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573D3" w14:textId="77777777" w:rsidR="00BF0197" w:rsidRPr="00C97275" w:rsidRDefault="0060276A">
      <w:pPr>
        <w:rPr>
          <w:rFonts w:ascii="Georgia" w:eastAsia="PMingLiU" w:hAnsi="Georgia" w:cs="Times New Roman"/>
          <w:sz w:val="32"/>
          <w:szCs w:val="32"/>
          <w:lang w:val="lt-LT"/>
        </w:rPr>
      </w:pPr>
      <w:bookmarkStart w:id="0" w:name="_Toc392590079"/>
      <w:bookmarkStart w:id="1" w:name="_Toc393381196"/>
      <w:r w:rsidRPr="00C97275">
        <w:rPr>
          <w:rFonts w:ascii="Georgia" w:eastAsia="PMingLiU" w:hAnsi="Georgia" w:cs="Times New Roman"/>
          <w:noProof/>
          <w:sz w:val="32"/>
          <w:szCs w:val="32"/>
          <w:lang w:val="lt-LT" w:eastAsia="lt-LT"/>
        </w:rPr>
        <mc:AlternateContent>
          <mc:Choice Requires="wpg">
            <w:drawing>
              <wp:anchor distT="0" distB="0" distL="114300" distR="114300" simplePos="0" relativeHeight="251648512" behindDoc="0" locked="0" layoutInCell="1" allowOverlap="1" wp14:anchorId="5D389652" wp14:editId="4A276B81">
                <wp:simplePos x="0" y="0"/>
                <wp:positionH relativeFrom="column">
                  <wp:posOffset>-510363</wp:posOffset>
                </wp:positionH>
                <wp:positionV relativeFrom="paragraph">
                  <wp:posOffset>-935665</wp:posOffset>
                </wp:positionV>
                <wp:extent cx="7612912" cy="10749516"/>
                <wp:effectExtent l="0" t="0" r="7620" b="0"/>
                <wp:wrapNone/>
                <wp:docPr id="214" name="Group 214"/>
                <wp:cNvGraphicFramePr/>
                <a:graphic xmlns:a="http://schemas.openxmlformats.org/drawingml/2006/main">
                  <a:graphicData uri="http://schemas.microsoft.com/office/word/2010/wordprocessingGroup">
                    <wpg:wgp>
                      <wpg:cNvGrpSpPr/>
                      <wpg:grpSpPr>
                        <a:xfrm>
                          <a:off x="0" y="0"/>
                          <a:ext cx="7612912" cy="10749516"/>
                          <a:chOff x="0" y="0"/>
                          <a:chExt cx="7612912" cy="10749516"/>
                        </a:xfrm>
                      </wpg:grpSpPr>
                      <pic:pic xmlns:pic="http://schemas.openxmlformats.org/drawingml/2006/picture">
                        <pic:nvPicPr>
                          <pic:cNvPr id="189" name="Picture 18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7612912" cy="10749516"/>
                          </a:xfrm>
                          <a:prstGeom prst="rect">
                            <a:avLst/>
                          </a:prstGeom>
                        </pic:spPr>
                      </pic:pic>
                      <wps:wsp>
                        <wps:cNvPr id="10" name="Stačiakampis 10"/>
                        <wps:cNvSpPr/>
                        <wps:spPr>
                          <a:xfrm>
                            <a:off x="4306186" y="1095153"/>
                            <a:ext cx="2860158" cy="52099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62C5D" w14:textId="5E806B3A" w:rsidR="00D1128E" w:rsidRPr="00DC0038" w:rsidRDefault="00D1128E" w:rsidP="0060276A">
                              <w:pPr>
                                <w:jc w:val="center"/>
                                <w:rPr>
                                  <w:sz w:val="60"/>
                                  <w:szCs w:val="60"/>
                                  <w:lang w:val="lt-LT"/>
                                </w:rPr>
                              </w:pPr>
                              <w:r w:rsidRPr="00DC0038">
                                <w:rPr>
                                  <w:sz w:val="60"/>
                                  <w:szCs w:val="60"/>
                                  <w:lang w:val="lt-LT"/>
                                </w:rPr>
                                <w:t>201</w:t>
                              </w:r>
                              <w:r>
                                <w:rPr>
                                  <w:sz w:val="60"/>
                                  <w:szCs w:val="60"/>
                                  <w:lang w:val="lt-LT"/>
                                </w:rPr>
                                <w:t>9</w:t>
                              </w:r>
                            </w:p>
                            <w:p w14:paraId="0BE0C674" w14:textId="77777777" w:rsidR="00D1128E" w:rsidRPr="00DC0038" w:rsidRDefault="00D1128E" w:rsidP="00DC0038">
                              <w:pPr>
                                <w:jc w:val="center"/>
                                <w:rPr>
                                  <w:sz w:val="60"/>
                                  <w:szCs w:val="60"/>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ačiakampis 10"/>
                        <wps:cNvSpPr/>
                        <wps:spPr>
                          <a:xfrm>
                            <a:off x="1913861" y="4742121"/>
                            <a:ext cx="2626242" cy="26576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D644B" w14:textId="77777777" w:rsidR="00D1128E" w:rsidRPr="00DC0038" w:rsidRDefault="00D1128E" w:rsidP="0060276A">
                              <w:pPr>
                                <w:jc w:val="center"/>
                                <w:rPr>
                                  <w:sz w:val="60"/>
                                  <w:szCs w:val="60"/>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4" o:spid="_x0000_s1026" style="position:absolute;margin-left:-40.2pt;margin-top:-73.65pt;width:599.45pt;height:846.4pt;z-index:251648512" coordsize="76129,10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27" type="#_x0000_t75" style="position:absolute;width:76129;height:10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mQnCAAAA3AAAAA8AAABkcnMvZG93bnJldi54bWxET01rwkAQvRf8D8sI3upGQbHRVaRQ0Hqp&#10;qYLehuyYpM3OLtltjP++Kwje5vE+Z7HqTC1aanxlWcFomIAgzq2uuFBw+P54nYHwAVljbZkU3MjD&#10;atl7WWCq7ZX31GahEDGEfYoKyhBcKqXPSzLoh9YRR+5iG4MhwqaQusFrDDe1HCfJVBqsODaU6Oi9&#10;pPw3+zMKjnjMtrS7nE+u/bQ/fHPj/ddEqUG/W89BBOrCU/xwb3ScP3uD+zPxAr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5kJwgAAANwAAAAPAAAAAAAAAAAAAAAAAJ8C&#10;AABkcnMvZG93bnJldi54bWxQSwUGAAAAAAQABAD3AAAAjgMAAAAA&#10;">
                  <v:imagedata r:id="rId14" o:title=""/>
                  <v:path arrowok="t"/>
                </v:shape>
                <v:rect id="Stačiakampis 10" o:spid="_x0000_s1028" style="position:absolute;left:43061;top:10951;width:28602;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QkMUA&#10;AADbAAAADwAAAGRycy9kb3ducmV2LnhtbESPQWvDMAyF74X9B6PBbq2zwUrJ6pZtsLJj15bS3USs&#10;xmGxbGKnSfvrp8NgN4n39N6n5Xr0rbpQl5rABh5nBSjiKtiGawOH/cd0ASplZIttYDJwpQTr1d1k&#10;iaUNA3/RZZdrJSGcSjTgco6l1qly5DHNQiQW7Rw6j1nWrta2w0HCfaufimKuPTYsDQ4jvTuqfna9&#10;NxA3h+332b3FYX49Pm/Guj/dmt6Yh/vx9QVUpjH/m/+uP63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CQxQAAANsAAAAPAAAAAAAAAAAAAAAAAJgCAABkcnMv&#10;ZG93bnJldi54bWxQSwUGAAAAAAQABAD1AAAAigMAAAAA&#10;" fillcolor="#4f81bd [3204]" stroked="f" strokeweight="2pt">
                  <v:textbox>
                    <w:txbxContent>
                      <w:p w14:paraId="54062C5D" w14:textId="5E806B3A" w:rsidR="00D1128E" w:rsidRPr="00DC0038" w:rsidRDefault="00D1128E" w:rsidP="0060276A">
                        <w:pPr>
                          <w:jc w:val="center"/>
                          <w:rPr>
                            <w:sz w:val="60"/>
                            <w:szCs w:val="60"/>
                            <w:lang w:val="lt-LT"/>
                          </w:rPr>
                        </w:pPr>
                        <w:r w:rsidRPr="00DC0038">
                          <w:rPr>
                            <w:sz w:val="60"/>
                            <w:szCs w:val="60"/>
                            <w:lang w:val="lt-LT"/>
                          </w:rPr>
                          <w:t>201</w:t>
                        </w:r>
                        <w:r>
                          <w:rPr>
                            <w:sz w:val="60"/>
                            <w:szCs w:val="60"/>
                            <w:lang w:val="lt-LT"/>
                          </w:rPr>
                          <w:t>9</w:t>
                        </w:r>
                      </w:p>
                      <w:p w14:paraId="0BE0C674" w14:textId="77777777" w:rsidR="00D1128E" w:rsidRPr="00DC0038" w:rsidRDefault="00D1128E" w:rsidP="00DC0038">
                        <w:pPr>
                          <w:jc w:val="center"/>
                          <w:rPr>
                            <w:sz w:val="60"/>
                            <w:szCs w:val="60"/>
                            <w:lang w:val="lt-LT"/>
                          </w:rPr>
                        </w:pPr>
                      </w:p>
                    </w:txbxContent>
                  </v:textbox>
                </v:rect>
                <v:rect id="Stačiakampis 10" o:spid="_x0000_s1029" style="position:absolute;left:19138;top:47421;width:26263;height:2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sZcUA&#10;AADcAAAADwAAAGRycy9kb3ducmV2LnhtbESPQWsCMRSE7wX/Q3hCbzWrosjWKFVQerQqpb09Ns/N&#10;0s1L2GTd1V9vCoUeh5n5hlmue1uLKzWhcqxgPMpAEBdOV1wqOJ92LwsQISJrrB2TghsFWK8GT0vM&#10;tev4g67HWIoE4ZCjAhOjz6UMhSGLYeQ8cfIurrEYk2xKqRvsEtzWcpJlc2mx4rRg0NPWUPFzbK0C&#10;vz8fvi9m47v57XO278v26161Sj0P+7dXEJH6+B/+a79rBZPxF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KxlxQAAANwAAAAPAAAAAAAAAAAAAAAAAJgCAABkcnMv&#10;ZG93bnJldi54bWxQSwUGAAAAAAQABAD1AAAAigMAAAAA&#10;" fillcolor="#4f81bd [3204]" stroked="f" strokeweight="2pt">
                  <v:textbox>
                    <w:txbxContent>
                      <w:p w14:paraId="6A9D644B" w14:textId="77777777" w:rsidR="00D1128E" w:rsidRPr="00DC0038" w:rsidRDefault="00D1128E" w:rsidP="0060276A">
                        <w:pPr>
                          <w:jc w:val="center"/>
                          <w:rPr>
                            <w:sz w:val="60"/>
                            <w:szCs w:val="60"/>
                            <w:lang w:val="lt-LT"/>
                          </w:rPr>
                        </w:pPr>
                      </w:p>
                    </w:txbxContent>
                  </v:textbox>
                </v:rect>
              </v:group>
            </w:pict>
          </mc:Fallback>
        </mc:AlternateContent>
      </w:r>
    </w:p>
    <w:p w14:paraId="36F93D9E" w14:textId="77777777" w:rsidR="00D555C1" w:rsidRPr="00C97275" w:rsidRDefault="00D555C1">
      <w:pPr>
        <w:rPr>
          <w:rFonts w:ascii="Georgia" w:eastAsia="PMingLiU" w:hAnsi="Georgia" w:cs="Times New Roman"/>
          <w:sz w:val="32"/>
          <w:szCs w:val="32"/>
          <w:lang w:val="lt-LT"/>
        </w:rPr>
      </w:pPr>
      <w:r w:rsidRPr="00C97275">
        <w:rPr>
          <w:rFonts w:ascii="Georgia" w:eastAsia="PMingLiU" w:hAnsi="Georgia" w:cs="Times New Roman"/>
          <w:sz w:val="32"/>
          <w:szCs w:val="32"/>
          <w:lang w:val="lt-LT"/>
        </w:rPr>
        <w:br w:type="page"/>
      </w:r>
    </w:p>
    <w:sdt>
      <w:sdtPr>
        <w:rPr>
          <w:rFonts w:asciiTheme="minorHAnsi" w:eastAsiaTheme="minorHAnsi" w:hAnsiTheme="minorHAnsi" w:cstheme="minorBidi"/>
          <w:b w:val="0"/>
          <w:bCs w:val="0"/>
          <w:color w:val="auto"/>
          <w:sz w:val="22"/>
          <w:szCs w:val="22"/>
          <w:lang w:val="lt-LT" w:eastAsia="en-US"/>
        </w:rPr>
        <w:id w:val="-1240335002"/>
        <w:docPartObj>
          <w:docPartGallery w:val="Table of Contents"/>
          <w:docPartUnique/>
        </w:docPartObj>
      </w:sdtPr>
      <w:sdtContent>
        <w:p w14:paraId="12BDB9AE" w14:textId="77777777" w:rsidR="00EE14AD" w:rsidRPr="00C97275" w:rsidRDefault="00BB54BF">
          <w:pPr>
            <w:pStyle w:val="Turinioantrat"/>
            <w:rPr>
              <w:lang w:val="lt-LT" w:eastAsia="en-US"/>
            </w:rPr>
          </w:pPr>
          <w:r w:rsidRPr="00C97275">
            <w:rPr>
              <w:lang w:val="lt-LT" w:eastAsia="en-US"/>
            </w:rPr>
            <w:t>Turinys</w:t>
          </w:r>
        </w:p>
        <w:p w14:paraId="1389158A" w14:textId="77777777" w:rsidR="00BB54BF" w:rsidRPr="00C97275" w:rsidRDefault="00BB54BF" w:rsidP="00BB54BF">
          <w:pPr>
            <w:rPr>
              <w:rFonts w:ascii="Georgia" w:hAnsi="Georgia"/>
              <w:sz w:val="18"/>
              <w:szCs w:val="18"/>
              <w:lang w:val="lt-LT" w:eastAsia="ja-JP"/>
            </w:rPr>
          </w:pPr>
        </w:p>
        <w:p w14:paraId="12CEC08F" w14:textId="77777777" w:rsidR="00297BA8" w:rsidRDefault="00EE14AD">
          <w:pPr>
            <w:pStyle w:val="Turinys1"/>
            <w:tabs>
              <w:tab w:val="right" w:leader="dot" w:pos="9016"/>
            </w:tabs>
            <w:rPr>
              <w:rFonts w:eastAsiaTheme="minorEastAsia"/>
              <w:noProof/>
              <w:lang w:val="lt-LT" w:eastAsia="lt-LT"/>
            </w:rPr>
          </w:pPr>
          <w:r w:rsidRPr="00C97275">
            <w:rPr>
              <w:rFonts w:ascii="Georgia" w:hAnsi="Georgia"/>
              <w:sz w:val="18"/>
              <w:szCs w:val="18"/>
              <w:lang w:val="lt-LT"/>
            </w:rPr>
            <w:fldChar w:fldCharType="begin"/>
          </w:r>
          <w:r w:rsidRPr="00C97275">
            <w:rPr>
              <w:rFonts w:ascii="Georgia" w:hAnsi="Georgia"/>
              <w:sz w:val="18"/>
              <w:szCs w:val="18"/>
              <w:lang w:val="lt-LT"/>
            </w:rPr>
            <w:instrText xml:space="preserve"> TOC \o "1-3" \h \z \u </w:instrText>
          </w:r>
          <w:r w:rsidRPr="00C97275">
            <w:rPr>
              <w:rFonts w:ascii="Georgia" w:hAnsi="Georgia"/>
              <w:sz w:val="18"/>
              <w:szCs w:val="18"/>
              <w:lang w:val="lt-LT"/>
            </w:rPr>
            <w:fldChar w:fldCharType="separate"/>
          </w:r>
          <w:hyperlink w:anchor="_Toc25594633" w:history="1">
            <w:r w:rsidR="00297BA8" w:rsidRPr="00155C99">
              <w:rPr>
                <w:rStyle w:val="Hipersaitas"/>
                <w:noProof/>
                <w:lang w:val="lt-LT"/>
              </w:rPr>
              <w:t>Lentelių sąrašas</w:t>
            </w:r>
            <w:r w:rsidR="00297BA8">
              <w:rPr>
                <w:noProof/>
                <w:webHidden/>
              </w:rPr>
              <w:tab/>
            </w:r>
            <w:r w:rsidR="00297BA8">
              <w:rPr>
                <w:noProof/>
                <w:webHidden/>
              </w:rPr>
              <w:fldChar w:fldCharType="begin"/>
            </w:r>
            <w:r w:rsidR="00297BA8">
              <w:rPr>
                <w:noProof/>
                <w:webHidden/>
              </w:rPr>
              <w:instrText xml:space="preserve"> PAGEREF _Toc25594633 \h </w:instrText>
            </w:r>
            <w:r w:rsidR="00297BA8">
              <w:rPr>
                <w:noProof/>
                <w:webHidden/>
              </w:rPr>
            </w:r>
            <w:r w:rsidR="00297BA8">
              <w:rPr>
                <w:noProof/>
                <w:webHidden/>
              </w:rPr>
              <w:fldChar w:fldCharType="separate"/>
            </w:r>
            <w:r w:rsidR="00297BA8">
              <w:rPr>
                <w:noProof/>
                <w:webHidden/>
              </w:rPr>
              <w:t>5</w:t>
            </w:r>
            <w:r w:rsidR="00297BA8">
              <w:rPr>
                <w:noProof/>
                <w:webHidden/>
              </w:rPr>
              <w:fldChar w:fldCharType="end"/>
            </w:r>
          </w:hyperlink>
        </w:p>
        <w:p w14:paraId="20BDEFD0" w14:textId="77777777" w:rsidR="00297BA8" w:rsidRDefault="00297BA8">
          <w:pPr>
            <w:pStyle w:val="Turinys1"/>
            <w:tabs>
              <w:tab w:val="right" w:leader="dot" w:pos="9016"/>
            </w:tabs>
            <w:rPr>
              <w:rFonts w:eastAsiaTheme="minorEastAsia"/>
              <w:noProof/>
              <w:lang w:val="lt-LT" w:eastAsia="lt-LT"/>
            </w:rPr>
          </w:pPr>
          <w:hyperlink w:anchor="_Toc25594634" w:history="1">
            <w:r w:rsidRPr="00155C99">
              <w:rPr>
                <w:rStyle w:val="Hipersaitas"/>
                <w:noProof/>
                <w:lang w:val="lt-LT"/>
              </w:rPr>
              <w:t>Paveikslų sąrašas</w:t>
            </w:r>
            <w:r>
              <w:rPr>
                <w:noProof/>
                <w:webHidden/>
              </w:rPr>
              <w:tab/>
            </w:r>
            <w:r>
              <w:rPr>
                <w:noProof/>
                <w:webHidden/>
              </w:rPr>
              <w:fldChar w:fldCharType="begin"/>
            </w:r>
            <w:r>
              <w:rPr>
                <w:noProof/>
                <w:webHidden/>
              </w:rPr>
              <w:instrText xml:space="preserve"> PAGEREF _Toc25594634 \h </w:instrText>
            </w:r>
            <w:r>
              <w:rPr>
                <w:noProof/>
                <w:webHidden/>
              </w:rPr>
            </w:r>
            <w:r>
              <w:rPr>
                <w:noProof/>
                <w:webHidden/>
              </w:rPr>
              <w:fldChar w:fldCharType="separate"/>
            </w:r>
            <w:r>
              <w:rPr>
                <w:noProof/>
                <w:webHidden/>
              </w:rPr>
              <w:t>8</w:t>
            </w:r>
            <w:r>
              <w:rPr>
                <w:noProof/>
                <w:webHidden/>
              </w:rPr>
              <w:fldChar w:fldCharType="end"/>
            </w:r>
          </w:hyperlink>
        </w:p>
        <w:p w14:paraId="31A5CB71" w14:textId="77777777" w:rsidR="00297BA8" w:rsidRDefault="00297BA8">
          <w:pPr>
            <w:pStyle w:val="Turinys1"/>
            <w:tabs>
              <w:tab w:val="right" w:leader="dot" w:pos="9016"/>
            </w:tabs>
            <w:rPr>
              <w:rFonts w:eastAsiaTheme="minorEastAsia"/>
              <w:noProof/>
              <w:lang w:val="lt-LT" w:eastAsia="lt-LT"/>
            </w:rPr>
          </w:pPr>
          <w:hyperlink w:anchor="_Toc25594635" w:history="1">
            <w:r w:rsidRPr="00155C99">
              <w:rPr>
                <w:rStyle w:val="Hipersaitas"/>
                <w:noProof/>
                <w:lang w:val="lt-LT"/>
              </w:rPr>
              <w:t>Žodynas</w:t>
            </w:r>
            <w:r>
              <w:rPr>
                <w:noProof/>
                <w:webHidden/>
              </w:rPr>
              <w:tab/>
            </w:r>
            <w:r>
              <w:rPr>
                <w:noProof/>
                <w:webHidden/>
              </w:rPr>
              <w:fldChar w:fldCharType="begin"/>
            </w:r>
            <w:r>
              <w:rPr>
                <w:noProof/>
                <w:webHidden/>
              </w:rPr>
              <w:instrText xml:space="preserve"> PAGEREF _Toc25594635 \h </w:instrText>
            </w:r>
            <w:r>
              <w:rPr>
                <w:noProof/>
                <w:webHidden/>
              </w:rPr>
            </w:r>
            <w:r>
              <w:rPr>
                <w:noProof/>
                <w:webHidden/>
              </w:rPr>
              <w:fldChar w:fldCharType="separate"/>
            </w:r>
            <w:r>
              <w:rPr>
                <w:noProof/>
                <w:webHidden/>
              </w:rPr>
              <w:t>9</w:t>
            </w:r>
            <w:r>
              <w:rPr>
                <w:noProof/>
                <w:webHidden/>
              </w:rPr>
              <w:fldChar w:fldCharType="end"/>
            </w:r>
          </w:hyperlink>
        </w:p>
        <w:p w14:paraId="407A6F77" w14:textId="77777777" w:rsidR="00297BA8" w:rsidRDefault="00297BA8">
          <w:pPr>
            <w:pStyle w:val="Turinys1"/>
            <w:tabs>
              <w:tab w:val="left" w:pos="660"/>
              <w:tab w:val="right" w:leader="dot" w:pos="9016"/>
            </w:tabs>
            <w:rPr>
              <w:rFonts w:eastAsiaTheme="minorEastAsia"/>
              <w:noProof/>
              <w:lang w:val="lt-LT" w:eastAsia="lt-LT"/>
            </w:rPr>
          </w:pPr>
          <w:hyperlink w:anchor="_Toc25594636" w:history="1">
            <w:r w:rsidRPr="00155C99">
              <w:rPr>
                <w:rStyle w:val="Hipersaitas"/>
                <w:noProof/>
                <w:lang w:val="lt-LT"/>
              </w:rPr>
              <w:t>1.</w:t>
            </w:r>
            <w:r>
              <w:rPr>
                <w:rFonts w:eastAsiaTheme="minorEastAsia"/>
                <w:noProof/>
                <w:lang w:val="lt-LT" w:eastAsia="lt-LT"/>
              </w:rPr>
              <w:tab/>
            </w:r>
            <w:r w:rsidRPr="00155C99">
              <w:rPr>
                <w:rStyle w:val="Hipersaitas"/>
                <w:noProof/>
                <w:lang w:val="lt-LT"/>
              </w:rPr>
              <w:t>Įžanga – ex-ante vertinimo pagrindimas</w:t>
            </w:r>
            <w:r>
              <w:rPr>
                <w:noProof/>
                <w:webHidden/>
              </w:rPr>
              <w:tab/>
            </w:r>
            <w:r>
              <w:rPr>
                <w:noProof/>
                <w:webHidden/>
              </w:rPr>
              <w:fldChar w:fldCharType="begin"/>
            </w:r>
            <w:r>
              <w:rPr>
                <w:noProof/>
                <w:webHidden/>
              </w:rPr>
              <w:instrText xml:space="preserve"> PAGEREF _Toc25594636 \h </w:instrText>
            </w:r>
            <w:r>
              <w:rPr>
                <w:noProof/>
                <w:webHidden/>
              </w:rPr>
            </w:r>
            <w:r>
              <w:rPr>
                <w:noProof/>
                <w:webHidden/>
              </w:rPr>
              <w:fldChar w:fldCharType="separate"/>
            </w:r>
            <w:r>
              <w:rPr>
                <w:noProof/>
                <w:webHidden/>
              </w:rPr>
              <w:t>12</w:t>
            </w:r>
            <w:r>
              <w:rPr>
                <w:noProof/>
                <w:webHidden/>
              </w:rPr>
              <w:fldChar w:fldCharType="end"/>
            </w:r>
          </w:hyperlink>
        </w:p>
        <w:p w14:paraId="3412F1A9" w14:textId="77777777" w:rsidR="00297BA8" w:rsidRDefault="00297BA8">
          <w:pPr>
            <w:pStyle w:val="Turinys2"/>
            <w:tabs>
              <w:tab w:val="left" w:pos="880"/>
              <w:tab w:val="right" w:leader="dot" w:pos="9016"/>
            </w:tabs>
            <w:rPr>
              <w:rFonts w:eastAsiaTheme="minorEastAsia"/>
              <w:noProof/>
              <w:lang w:val="lt-LT" w:eastAsia="lt-LT"/>
            </w:rPr>
          </w:pPr>
          <w:hyperlink w:anchor="_Toc25594637" w:history="1">
            <w:r w:rsidRPr="00155C99">
              <w:rPr>
                <w:rStyle w:val="Hipersaitas"/>
                <w:rFonts w:ascii="Georgia" w:hAnsi="Georgia"/>
                <w:noProof/>
                <w:lang w:val="lt-LT"/>
              </w:rPr>
              <w:t>1.1.</w:t>
            </w:r>
            <w:r>
              <w:rPr>
                <w:rFonts w:eastAsiaTheme="minorEastAsia"/>
                <w:noProof/>
                <w:lang w:val="lt-LT" w:eastAsia="lt-LT"/>
              </w:rPr>
              <w:tab/>
            </w:r>
            <w:r w:rsidRPr="00155C99">
              <w:rPr>
                <w:rStyle w:val="Hipersaitas"/>
                <w:rFonts w:ascii="Georgia" w:hAnsi="Georgia"/>
                <w:noProof/>
                <w:lang w:val="lt-LT"/>
              </w:rPr>
              <w:t>Energijos efektyvumo finansinių priemonių suderinamumas su ES ir nacionaliniais strateginiais tikslais energijos efektyvumo srityje</w:t>
            </w:r>
            <w:r>
              <w:rPr>
                <w:noProof/>
                <w:webHidden/>
              </w:rPr>
              <w:tab/>
            </w:r>
            <w:r>
              <w:rPr>
                <w:noProof/>
                <w:webHidden/>
              </w:rPr>
              <w:fldChar w:fldCharType="begin"/>
            </w:r>
            <w:r>
              <w:rPr>
                <w:noProof/>
                <w:webHidden/>
              </w:rPr>
              <w:instrText xml:space="preserve"> PAGEREF _Toc25594637 \h </w:instrText>
            </w:r>
            <w:r>
              <w:rPr>
                <w:noProof/>
                <w:webHidden/>
              </w:rPr>
            </w:r>
            <w:r>
              <w:rPr>
                <w:noProof/>
                <w:webHidden/>
              </w:rPr>
              <w:fldChar w:fldCharType="separate"/>
            </w:r>
            <w:r>
              <w:rPr>
                <w:noProof/>
                <w:webHidden/>
              </w:rPr>
              <w:t>13</w:t>
            </w:r>
            <w:r>
              <w:rPr>
                <w:noProof/>
                <w:webHidden/>
              </w:rPr>
              <w:fldChar w:fldCharType="end"/>
            </w:r>
          </w:hyperlink>
        </w:p>
        <w:p w14:paraId="55CDBA88" w14:textId="77777777" w:rsidR="00297BA8" w:rsidRDefault="00297BA8">
          <w:pPr>
            <w:pStyle w:val="Turinys2"/>
            <w:tabs>
              <w:tab w:val="left" w:pos="1100"/>
              <w:tab w:val="right" w:leader="dot" w:pos="9016"/>
            </w:tabs>
            <w:rPr>
              <w:rFonts w:eastAsiaTheme="minorEastAsia"/>
              <w:noProof/>
              <w:lang w:val="lt-LT" w:eastAsia="lt-LT"/>
            </w:rPr>
          </w:pPr>
          <w:hyperlink w:anchor="_Toc25594638" w:history="1">
            <w:r w:rsidRPr="00155C99">
              <w:rPr>
                <w:rStyle w:val="Hipersaitas"/>
                <w:rFonts w:ascii="Georgia" w:hAnsi="Georgia"/>
                <w:noProof/>
                <w:lang w:val="lt-LT"/>
              </w:rPr>
              <w:t>1.1.1.</w:t>
            </w:r>
            <w:r>
              <w:rPr>
                <w:rFonts w:eastAsiaTheme="minorEastAsia"/>
                <w:noProof/>
                <w:lang w:val="lt-LT" w:eastAsia="lt-LT"/>
              </w:rPr>
              <w:tab/>
            </w:r>
            <w:r w:rsidRPr="00155C99">
              <w:rPr>
                <w:rStyle w:val="Hipersaitas"/>
                <w:rFonts w:ascii="Georgia" w:hAnsi="Georgia"/>
                <w:noProof/>
                <w:lang w:val="lt-LT"/>
              </w:rPr>
              <w:t>ES ir nacionaliniai strateginiai dokumentai, aktualūs energijos efektyvumo srityje</w:t>
            </w:r>
            <w:r>
              <w:rPr>
                <w:noProof/>
                <w:webHidden/>
              </w:rPr>
              <w:tab/>
            </w:r>
            <w:r>
              <w:rPr>
                <w:noProof/>
                <w:webHidden/>
              </w:rPr>
              <w:fldChar w:fldCharType="begin"/>
            </w:r>
            <w:r>
              <w:rPr>
                <w:noProof/>
                <w:webHidden/>
              </w:rPr>
              <w:instrText xml:space="preserve"> PAGEREF _Toc25594638 \h </w:instrText>
            </w:r>
            <w:r>
              <w:rPr>
                <w:noProof/>
                <w:webHidden/>
              </w:rPr>
            </w:r>
            <w:r>
              <w:rPr>
                <w:noProof/>
                <w:webHidden/>
              </w:rPr>
              <w:fldChar w:fldCharType="separate"/>
            </w:r>
            <w:r>
              <w:rPr>
                <w:noProof/>
                <w:webHidden/>
              </w:rPr>
              <w:t>13</w:t>
            </w:r>
            <w:r>
              <w:rPr>
                <w:noProof/>
                <w:webHidden/>
              </w:rPr>
              <w:fldChar w:fldCharType="end"/>
            </w:r>
          </w:hyperlink>
        </w:p>
        <w:p w14:paraId="5079E0F3" w14:textId="77777777" w:rsidR="00297BA8" w:rsidRDefault="00297BA8">
          <w:pPr>
            <w:pStyle w:val="Turinys2"/>
            <w:tabs>
              <w:tab w:val="left" w:pos="1100"/>
              <w:tab w:val="right" w:leader="dot" w:pos="9016"/>
            </w:tabs>
            <w:rPr>
              <w:rFonts w:eastAsiaTheme="minorEastAsia"/>
              <w:noProof/>
              <w:lang w:val="lt-LT" w:eastAsia="lt-LT"/>
            </w:rPr>
          </w:pPr>
          <w:hyperlink w:anchor="_Toc25594639" w:history="1">
            <w:r w:rsidRPr="00155C99">
              <w:rPr>
                <w:rStyle w:val="Hipersaitas"/>
                <w:rFonts w:ascii="Georgia" w:hAnsi="Georgia"/>
                <w:noProof/>
                <w:lang w:val="lt-LT"/>
              </w:rPr>
              <w:t>1.1.2.</w:t>
            </w:r>
            <w:r>
              <w:rPr>
                <w:rFonts w:eastAsiaTheme="minorEastAsia"/>
                <w:noProof/>
                <w:lang w:val="lt-LT" w:eastAsia="lt-LT"/>
              </w:rPr>
              <w:tab/>
            </w:r>
            <w:r w:rsidRPr="00155C99">
              <w:rPr>
                <w:rStyle w:val="Hipersaitas"/>
                <w:rFonts w:ascii="Georgia" w:hAnsi="Georgia"/>
                <w:noProof/>
                <w:lang w:val="lt-LT"/>
              </w:rPr>
              <w:t>Finansinių priemonių suderinamumas su ES ir nacionaliniais strateginiais dokumentais</w:t>
            </w:r>
            <w:r>
              <w:rPr>
                <w:noProof/>
                <w:webHidden/>
              </w:rPr>
              <w:tab/>
            </w:r>
            <w:r>
              <w:rPr>
                <w:noProof/>
                <w:webHidden/>
              </w:rPr>
              <w:fldChar w:fldCharType="begin"/>
            </w:r>
            <w:r>
              <w:rPr>
                <w:noProof/>
                <w:webHidden/>
              </w:rPr>
              <w:instrText xml:space="preserve"> PAGEREF _Toc25594639 \h </w:instrText>
            </w:r>
            <w:r>
              <w:rPr>
                <w:noProof/>
                <w:webHidden/>
              </w:rPr>
            </w:r>
            <w:r>
              <w:rPr>
                <w:noProof/>
                <w:webHidden/>
              </w:rPr>
              <w:fldChar w:fldCharType="separate"/>
            </w:r>
            <w:r>
              <w:rPr>
                <w:noProof/>
                <w:webHidden/>
              </w:rPr>
              <w:t>18</w:t>
            </w:r>
            <w:r>
              <w:rPr>
                <w:noProof/>
                <w:webHidden/>
              </w:rPr>
              <w:fldChar w:fldCharType="end"/>
            </w:r>
          </w:hyperlink>
        </w:p>
        <w:p w14:paraId="6EB7B98B" w14:textId="77777777" w:rsidR="00297BA8" w:rsidRDefault="00297BA8">
          <w:pPr>
            <w:pStyle w:val="Turinys2"/>
            <w:tabs>
              <w:tab w:val="left" w:pos="880"/>
              <w:tab w:val="right" w:leader="dot" w:pos="9016"/>
            </w:tabs>
            <w:rPr>
              <w:rFonts w:eastAsiaTheme="minorEastAsia"/>
              <w:noProof/>
              <w:lang w:val="lt-LT" w:eastAsia="lt-LT"/>
            </w:rPr>
          </w:pPr>
          <w:hyperlink w:anchor="_Toc25594640" w:history="1">
            <w:r w:rsidRPr="00155C99">
              <w:rPr>
                <w:rStyle w:val="Hipersaitas"/>
                <w:rFonts w:ascii="Georgia" w:hAnsi="Georgia"/>
                <w:noProof/>
                <w:lang w:val="lt-LT"/>
              </w:rPr>
              <w:t>1.2.</w:t>
            </w:r>
            <w:r>
              <w:rPr>
                <w:rFonts w:eastAsiaTheme="minorEastAsia"/>
                <w:noProof/>
                <w:lang w:val="lt-LT" w:eastAsia="lt-LT"/>
              </w:rPr>
              <w:tab/>
            </w:r>
            <w:r w:rsidRPr="00155C99">
              <w:rPr>
                <w:rStyle w:val="Hipersaitas"/>
                <w:rFonts w:ascii="Georgia" w:hAnsi="Georgia"/>
                <w:noProof/>
                <w:lang w:val="lt-LT"/>
              </w:rPr>
              <w:t>Finansinės priemonės, įgyvendintos energijos efektyvumo srityje 2007-2013 m. periodu</w:t>
            </w:r>
            <w:r>
              <w:rPr>
                <w:noProof/>
                <w:webHidden/>
              </w:rPr>
              <w:tab/>
            </w:r>
            <w:r>
              <w:rPr>
                <w:noProof/>
                <w:webHidden/>
              </w:rPr>
              <w:fldChar w:fldCharType="begin"/>
            </w:r>
            <w:r>
              <w:rPr>
                <w:noProof/>
                <w:webHidden/>
              </w:rPr>
              <w:instrText xml:space="preserve"> PAGEREF _Toc25594640 \h </w:instrText>
            </w:r>
            <w:r>
              <w:rPr>
                <w:noProof/>
                <w:webHidden/>
              </w:rPr>
            </w:r>
            <w:r>
              <w:rPr>
                <w:noProof/>
                <w:webHidden/>
              </w:rPr>
              <w:fldChar w:fldCharType="separate"/>
            </w:r>
            <w:r>
              <w:rPr>
                <w:noProof/>
                <w:webHidden/>
              </w:rPr>
              <w:t>20</w:t>
            </w:r>
            <w:r>
              <w:rPr>
                <w:noProof/>
                <w:webHidden/>
              </w:rPr>
              <w:fldChar w:fldCharType="end"/>
            </w:r>
          </w:hyperlink>
        </w:p>
        <w:p w14:paraId="1955FF96" w14:textId="77777777" w:rsidR="00297BA8" w:rsidRDefault="00297BA8">
          <w:pPr>
            <w:pStyle w:val="Turinys2"/>
            <w:tabs>
              <w:tab w:val="left" w:pos="880"/>
              <w:tab w:val="right" w:leader="dot" w:pos="9016"/>
            </w:tabs>
            <w:rPr>
              <w:rFonts w:eastAsiaTheme="minorEastAsia"/>
              <w:noProof/>
              <w:lang w:val="lt-LT" w:eastAsia="lt-LT"/>
            </w:rPr>
          </w:pPr>
          <w:hyperlink w:anchor="_Toc25594641" w:history="1">
            <w:r w:rsidRPr="00155C99">
              <w:rPr>
                <w:rStyle w:val="Hipersaitas"/>
                <w:rFonts w:ascii="Georgia" w:hAnsi="Georgia"/>
                <w:noProof/>
                <w:lang w:val="lt-LT"/>
              </w:rPr>
              <w:t>1.3.</w:t>
            </w:r>
            <w:r>
              <w:rPr>
                <w:rFonts w:eastAsiaTheme="minorEastAsia"/>
                <w:noProof/>
                <w:lang w:val="lt-LT" w:eastAsia="lt-LT"/>
              </w:rPr>
              <w:tab/>
            </w:r>
            <w:r w:rsidRPr="00155C99">
              <w:rPr>
                <w:rStyle w:val="Hipersaitas"/>
                <w:rFonts w:ascii="Georgia" w:hAnsi="Georgia"/>
                <w:noProof/>
                <w:lang w:val="lt-LT"/>
              </w:rPr>
              <w:t>Finansinių priemonių įgyvendinimo alternatyvos atsižvelgiant į ES reglamentų nuostatas</w:t>
            </w:r>
            <w:r>
              <w:rPr>
                <w:noProof/>
                <w:webHidden/>
              </w:rPr>
              <w:tab/>
            </w:r>
            <w:r>
              <w:rPr>
                <w:noProof/>
                <w:webHidden/>
              </w:rPr>
              <w:fldChar w:fldCharType="begin"/>
            </w:r>
            <w:r>
              <w:rPr>
                <w:noProof/>
                <w:webHidden/>
              </w:rPr>
              <w:instrText xml:space="preserve"> PAGEREF _Toc25594641 \h </w:instrText>
            </w:r>
            <w:r>
              <w:rPr>
                <w:noProof/>
                <w:webHidden/>
              </w:rPr>
            </w:r>
            <w:r>
              <w:rPr>
                <w:noProof/>
                <w:webHidden/>
              </w:rPr>
              <w:fldChar w:fldCharType="separate"/>
            </w:r>
            <w:r>
              <w:rPr>
                <w:noProof/>
                <w:webHidden/>
              </w:rPr>
              <w:t>22</w:t>
            </w:r>
            <w:r>
              <w:rPr>
                <w:noProof/>
                <w:webHidden/>
              </w:rPr>
              <w:fldChar w:fldCharType="end"/>
            </w:r>
          </w:hyperlink>
        </w:p>
        <w:p w14:paraId="133ADB29" w14:textId="77777777" w:rsidR="00297BA8" w:rsidRDefault="00297BA8">
          <w:pPr>
            <w:pStyle w:val="Turinys1"/>
            <w:tabs>
              <w:tab w:val="left" w:pos="660"/>
              <w:tab w:val="right" w:leader="dot" w:pos="9016"/>
            </w:tabs>
            <w:rPr>
              <w:rFonts w:eastAsiaTheme="minorEastAsia"/>
              <w:noProof/>
              <w:lang w:val="lt-LT" w:eastAsia="lt-LT"/>
            </w:rPr>
          </w:pPr>
          <w:hyperlink w:anchor="_Toc25594642" w:history="1">
            <w:r w:rsidRPr="00155C99">
              <w:rPr>
                <w:rStyle w:val="Hipersaitas"/>
                <w:rFonts w:eastAsia="Times New Roman"/>
                <w:noProof/>
                <w:lang w:val="lt-LT"/>
              </w:rPr>
              <w:t>2.</w:t>
            </w:r>
            <w:r>
              <w:rPr>
                <w:rFonts w:eastAsiaTheme="minorEastAsia"/>
                <w:noProof/>
                <w:lang w:val="lt-LT" w:eastAsia="lt-LT"/>
              </w:rPr>
              <w:tab/>
            </w:r>
            <w:r w:rsidRPr="00155C99">
              <w:rPr>
                <w:rStyle w:val="Hipersaitas"/>
                <w:rFonts w:eastAsia="Times New Roman"/>
                <w:noProof/>
                <w:lang w:val="lt-LT"/>
              </w:rPr>
              <w:t>Rinkos nepakankamumo analizė</w:t>
            </w:r>
            <w:r>
              <w:rPr>
                <w:noProof/>
                <w:webHidden/>
              </w:rPr>
              <w:tab/>
            </w:r>
            <w:r>
              <w:rPr>
                <w:noProof/>
                <w:webHidden/>
              </w:rPr>
              <w:fldChar w:fldCharType="begin"/>
            </w:r>
            <w:r>
              <w:rPr>
                <w:noProof/>
                <w:webHidden/>
              </w:rPr>
              <w:instrText xml:space="preserve"> PAGEREF _Toc25594642 \h </w:instrText>
            </w:r>
            <w:r>
              <w:rPr>
                <w:noProof/>
                <w:webHidden/>
              </w:rPr>
            </w:r>
            <w:r>
              <w:rPr>
                <w:noProof/>
                <w:webHidden/>
              </w:rPr>
              <w:fldChar w:fldCharType="separate"/>
            </w:r>
            <w:r>
              <w:rPr>
                <w:noProof/>
                <w:webHidden/>
              </w:rPr>
              <w:t>30</w:t>
            </w:r>
            <w:r>
              <w:rPr>
                <w:noProof/>
                <w:webHidden/>
              </w:rPr>
              <w:fldChar w:fldCharType="end"/>
            </w:r>
          </w:hyperlink>
        </w:p>
        <w:p w14:paraId="53F67A2D" w14:textId="77777777" w:rsidR="00297BA8" w:rsidRDefault="00297BA8">
          <w:pPr>
            <w:pStyle w:val="Turinys2"/>
            <w:tabs>
              <w:tab w:val="left" w:pos="880"/>
              <w:tab w:val="right" w:leader="dot" w:pos="9016"/>
            </w:tabs>
            <w:rPr>
              <w:rFonts w:eastAsiaTheme="minorEastAsia"/>
              <w:noProof/>
              <w:lang w:val="lt-LT" w:eastAsia="lt-LT"/>
            </w:rPr>
          </w:pPr>
          <w:hyperlink w:anchor="_Toc25594643" w:history="1">
            <w:r w:rsidRPr="00155C99">
              <w:rPr>
                <w:rStyle w:val="Hipersaitas"/>
                <w:rFonts w:ascii="Georgia" w:eastAsia="Times New Roman" w:hAnsi="Georgia"/>
                <w:noProof/>
                <w:lang w:val="lt-LT"/>
              </w:rPr>
              <w:t>2.1.</w:t>
            </w:r>
            <w:r>
              <w:rPr>
                <w:rFonts w:eastAsiaTheme="minorEastAsia"/>
                <w:noProof/>
                <w:lang w:val="lt-LT" w:eastAsia="lt-LT"/>
              </w:rPr>
              <w:tab/>
            </w:r>
            <w:r w:rsidRPr="00155C99">
              <w:rPr>
                <w:rStyle w:val="Hipersaitas"/>
                <w:rFonts w:ascii="Georgia" w:eastAsia="Times New Roman" w:hAnsi="Georgia"/>
                <w:noProof/>
                <w:lang w:val="lt-LT"/>
              </w:rPr>
              <w:t>Sektoriaus infrastruktūros, naudojamos viešųjų paslaugų teikimui, apžvalga</w:t>
            </w:r>
            <w:r>
              <w:rPr>
                <w:noProof/>
                <w:webHidden/>
              </w:rPr>
              <w:tab/>
            </w:r>
            <w:r>
              <w:rPr>
                <w:noProof/>
                <w:webHidden/>
              </w:rPr>
              <w:fldChar w:fldCharType="begin"/>
            </w:r>
            <w:r>
              <w:rPr>
                <w:noProof/>
                <w:webHidden/>
              </w:rPr>
              <w:instrText xml:space="preserve"> PAGEREF _Toc25594643 \h </w:instrText>
            </w:r>
            <w:r>
              <w:rPr>
                <w:noProof/>
                <w:webHidden/>
              </w:rPr>
            </w:r>
            <w:r>
              <w:rPr>
                <w:noProof/>
                <w:webHidden/>
              </w:rPr>
              <w:fldChar w:fldCharType="separate"/>
            </w:r>
            <w:r>
              <w:rPr>
                <w:noProof/>
                <w:webHidden/>
              </w:rPr>
              <w:t>30</w:t>
            </w:r>
            <w:r>
              <w:rPr>
                <w:noProof/>
                <w:webHidden/>
              </w:rPr>
              <w:fldChar w:fldCharType="end"/>
            </w:r>
          </w:hyperlink>
        </w:p>
        <w:p w14:paraId="31B9F8B9" w14:textId="77777777" w:rsidR="00297BA8" w:rsidRDefault="00297BA8">
          <w:pPr>
            <w:pStyle w:val="Turinys2"/>
            <w:tabs>
              <w:tab w:val="left" w:pos="1100"/>
              <w:tab w:val="right" w:leader="dot" w:pos="9016"/>
            </w:tabs>
            <w:rPr>
              <w:rFonts w:eastAsiaTheme="minorEastAsia"/>
              <w:noProof/>
              <w:lang w:val="lt-LT" w:eastAsia="lt-LT"/>
            </w:rPr>
          </w:pPr>
          <w:hyperlink w:anchor="_Toc25594644" w:history="1">
            <w:r w:rsidRPr="00155C99">
              <w:rPr>
                <w:rStyle w:val="Hipersaitas"/>
                <w:rFonts w:ascii="Georgia" w:eastAsia="Times New Roman" w:hAnsi="Georgia" w:cs="Arial Unicode MS"/>
                <w:b/>
                <w:i/>
                <w:noProof/>
                <w:lang w:val="lt-LT"/>
              </w:rPr>
              <w:t>2.1.1.</w:t>
            </w:r>
            <w:r>
              <w:rPr>
                <w:rFonts w:eastAsiaTheme="minorEastAsia"/>
                <w:noProof/>
                <w:lang w:val="lt-LT" w:eastAsia="lt-LT"/>
              </w:rPr>
              <w:tab/>
            </w:r>
            <w:r w:rsidRPr="00155C99">
              <w:rPr>
                <w:rStyle w:val="Hipersaitas"/>
                <w:rFonts w:ascii="Georgia" w:eastAsia="Times New Roman" w:hAnsi="Georgia" w:cs="Arial Unicode MS"/>
                <w:b/>
                <w:i/>
                <w:noProof/>
                <w:lang w:val="lt-LT"/>
              </w:rPr>
              <w:t>Viešieji pastatai</w:t>
            </w:r>
            <w:r>
              <w:rPr>
                <w:noProof/>
                <w:webHidden/>
              </w:rPr>
              <w:tab/>
            </w:r>
            <w:r>
              <w:rPr>
                <w:noProof/>
                <w:webHidden/>
              </w:rPr>
              <w:fldChar w:fldCharType="begin"/>
            </w:r>
            <w:r>
              <w:rPr>
                <w:noProof/>
                <w:webHidden/>
              </w:rPr>
              <w:instrText xml:space="preserve"> PAGEREF _Toc25594644 \h </w:instrText>
            </w:r>
            <w:r>
              <w:rPr>
                <w:noProof/>
                <w:webHidden/>
              </w:rPr>
            </w:r>
            <w:r>
              <w:rPr>
                <w:noProof/>
                <w:webHidden/>
              </w:rPr>
              <w:fldChar w:fldCharType="separate"/>
            </w:r>
            <w:r>
              <w:rPr>
                <w:noProof/>
                <w:webHidden/>
              </w:rPr>
              <w:t>30</w:t>
            </w:r>
            <w:r>
              <w:rPr>
                <w:noProof/>
                <w:webHidden/>
              </w:rPr>
              <w:fldChar w:fldCharType="end"/>
            </w:r>
          </w:hyperlink>
        </w:p>
        <w:p w14:paraId="4687AC05" w14:textId="77777777" w:rsidR="00297BA8" w:rsidRDefault="00297BA8">
          <w:pPr>
            <w:pStyle w:val="Turinys2"/>
            <w:tabs>
              <w:tab w:val="left" w:pos="1100"/>
              <w:tab w:val="right" w:leader="dot" w:pos="9016"/>
            </w:tabs>
            <w:rPr>
              <w:rFonts w:eastAsiaTheme="minorEastAsia"/>
              <w:noProof/>
              <w:lang w:val="lt-LT" w:eastAsia="lt-LT"/>
            </w:rPr>
          </w:pPr>
          <w:hyperlink w:anchor="_Toc25594645" w:history="1">
            <w:r w:rsidRPr="00155C99">
              <w:rPr>
                <w:rStyle w:val="Hipersaitas"/>
                <w:rFonts w:ascii="Georgia" w:eastAsia="Times New Roman" w:hAnsi="Georgia" w:cs="Arial Unicode MS"/>
                <w:b/>
                <w:i/>
                <w:noProof/>
                <w:lang w:val="lt-LT"/>
              </w:rPr>
              <w:t>2.1.2.</w:t>
            </w:r>
            <w:r>
              <w:rPr>
                <w:rFonts w:eastAsiaTheme="minorEastAsia"/>
                <w:noProof/>
                <w:lang w:val="lt-LT" w:eastAsia="lt-LT"/>
              </w:rPr>
              <w:tab/>
            </w:r>
            <w:r w:rsidRPr="00155C99">
              <w:rPr>
                <w:rStyle w:val="Hipersaitas"/>
                <w:rFonts w:ascii="Georgia" w:eastAsia="Times New Roman" w:hAnsi="Georgia" w:cs="Arial Unicode MS"/>
                <w:b/>
                <w:i/>
                <w:noProof/>
                <w:lang w:val="lt-LT"/>
              </w:rPr>
              <w:t>Daugiabučiai namai</w:t>
            </w:r>
            <w:r>
              <w:rPr>
                <w:noProof/>
                <w:webHidden/>
              </w:rPr>
              <w:tab/>
            </w:r>
            <w:r>
              <w:rPr>
                <w:noProof/>
                <w:webHidden/>
              </w:rPr>
              <w:fldChar w:fldCharType="begin"/>
            </w:r>
            <w:r>
              <w:rPr>
                <w:noProof/>
                <w:webHidden/>
              </w:rPr>
              <w:instrText xml:space="preserve"> PAGEREF _Toc25594645 \h </w:instrText>
            </w:r>
            <w:r>
              <w:rPr>
                <w:noProof/>
                <w:webHidden/>
              </w:rPr>
            </w:r>
            <w:r>
              <w:rPr>
                <w:noProof/>
                <w:webHidden/>
              </w:rPr>
              <w:fldChar w:fldCharType="separate"/>
            </w:r>
            <w:r>
              <w:rPr>
                <w:noProof/>
                <w:webHidden/>
              </w:rPr>
              <w:t>31</w:t>
            </w:r>
            <w:r>
              <w:rPr>
                <w:noProof/>
                <w:webHidden/>
              </w:rPr>
              <w:fldChar w:fldCharType="end"/>
            </w:r>
          </w:hyperlink>
        </w:p>
        <w:p w14:paraId="5DDF1B59" w14:textId="77777777" w:rsidR="00297BA8" w:rsidRDefault="00297BA8">
          <w:pPr>
            <w:pStyle w:val="Turinys2"/>
            <w:tabs>
              <w:tab w:val="left" w:pos="1100"/>
              <w:tab w:val="right" w:leader="dot" w:pos="9016"/>
            </w:tabs>
            <w:rPr>
              <w:rFonts w:eastAsiaTheme="minorEastAsia"/>
              <w:noProof/>
              <w:lang w:val="lt-LT" w:eastAsia="lt-LT"/>
            </w:rPr>
          </w:pPr>
          <w:hyperlink w:anchor="_Toc25594646" w:history="1">
            <w:r w:rsidRPr="00155C99">
              <w:rPr>
                <w:rStyle w:val="Hipersaitas"/>
                <w:rFonts w:ascii="Georgia" w:eastAsia="Times New Roman" w:hAnsi="Georgia" w:cs="Arial Unicode MS"/>
                <w:b/>
                <w:i/>
                <w:noProof/>
                <w:lang w:val="lt-LT"/>
              </w:rPr>
              <w:t>2.1.3.</w:t>
            </w:r>
            <w:r>
              <w:rPr>
                <w:rFonts w:eastAsiaTheme="minorEastAsia"/>
                <w:noProof/>
                <w:lang w:val="lt-LT" w:eastAsia="lt-LT"/>
              </w:rPr>
              <w:tab/>
            </w:r>
            <w:r w:rsidRPr="00155C99">
              <w:rPr>
                <w:rStyle w:val="Hipersaitas"/>
                <w:rFonts w:ascii="Georgia" w:eastAsia="Times New Roman" w:hAnsi="Georgia" w:cs="Arial Unicode MS"/>
                <w:b/>
                <w:i/>
                <w:noProof/>
                <w:lang w:val="lt-LT"/>
              </w:rPr>
              <w:t>Gatvių apšvietimas</w:t>
            </w:r>
            <w:r>
              <w:rPr>
                <w:noProof/>
                <w:webHidden/>
              </w:rPr>
              <w:tab/>
            </w:r>
            <w:r>
              <w:rPr>
                <w:noProof/>
                <w:webHidden/>
              </w:rPr>
              <w:fldChar w:fldCharType="begin"/>
            </w:r>
            <w:r>
              <w:rPr>
                <w:noProof/>
                <w:webHidden/>
              </w:rPr>
              <w:instrText xml:space="preserve"> PAGEREF _Toc25594646 \h </w:instrText>
            </w:r>
            <w:r>
              <w:rPr>
                <w:noProof/>
                <w:webHidden/>
              </w:rPr>
            </w:r>
            <w:r>
              <w:rPr>
                <w:noProof/>
                <w:webHidden/>
              </w:rPr>
              <w:fldChar w:fldCharType="separate"/>
            </w:r>
            <w:r>
              <w:rPr>
                <w:noProof/>
                <w:webHidden/>
              </w:rPr>
              <w:t>32</w:t>
            </w:r>
            <w:r>
              <w:rPr>
                <w:noProof/>
                <w:webHidden/>
              </w:rPr>
              <w:fldChar w:fldCharType="end"/>
            </w:r>
          </w:hyperlink>
        </w:p>
        <w:p w14:paraId="532915E0" w14:textId="77777777" w:rsidR="00297BA8" w:rsidRDefault="00297BA8">
          <w:pPr>
            <w:pStyle w:val="Turinys2"/>
            <w:tabs>
              <w:tab w:val="left" w:pos="880"/>
              <w:tab w:val="right" w:leader="dot" w:pos="9016"/>
            </w:tabs>
            <w:rPr>
              <w:rFonts w:eastAsiaTheme="minorEastAsia"/>
              <w:noProof/>
              <w:lang w:val="lt-LT" w:eastAsia="lt-LT"/>
            </w:rPr>
          </w:pPr>
          <w:hyperlink w:anchor="_Toc25594647" w:history="1">
            <w:r w:rsidRPr="00155C99">
              <w:rPr>
                <w:rStyle w:val="Hipersaitas"/>
                <w:rFonts w:ascii="Georgia" w:eastAsia="Times New Roman" w:hAnsi="Georgia"/>
                <w:noProof/>
                <w:lang w:val="lt-LT"/>
              </w:rPr>
              <w:t>2.2.</w:t>
            </w:r>
            <w:r>
              <w:rPr>
                <w:rFonts w:eastAsiaTheme="minorEastAsia"/>
                <w:noProof/>
                <w:lang w:val="lt-LT" w:eastAsia="lt-LT"/>
              </w:rPr>
              <w:tab/>
            </w:r>
            <w:r w:rsidRPr="00155C99">
              <w:rPr>
                <w:rStyle w:val="Hipersaitas"/>
                <w:rFonts w:ascii="Georgia" w:eastAsia="Times New Roman" w:hAnsi="Georgia"/>
                <w:noProof/>
                <w:lang w:val="lt-LT"/>
              </w:rPr>
              <w:t>Investicijų paklausos ir finansavimo pasiūlos įvertinimas</w:t>
            </w:r>
            <w:r>
              <w:rPr>
                <w:noProof/>
                <w:webHidden/>
              </w:rPr>
              <w:tab/>
            </w:r>
            <w:r>
              <w:rPr>
                <w:noProof/>
                <w:webHidden/>
              </w:rPr>
              <w:fldChar w:fldCharType="begin"/>
            </w:r>
            <w:r>
              <w:rPr>
                <w:noProof/>
                <w:webHidden/>
              </w:rPr>
              <w:instrText xml:space="preserve"> PAGEREF _Toc25594647 \h </w:instrText>
            </w:r>
            <w:r>
              <w:rPr>
                <w:noProof/>
                <w:webHidden/>
              </w:rPr>
            </w:r>
            <w:r>
              <w:rPr>
                <w:noProof/>
                <w:webHidden/>
              </w:rPr>
              <w:fldChar w:fldCharType="separate"/>
            </w:r>
            <w:r>
              <w:rPr>
                <w:noProof/>
                <w:webHidden/>
              </w:rPr>
              <w:t>33</w:t>
            </w:r>
            <w:r>
              <w:rPr>
                <w:noProof/>
                <w:webHidden/>
              </w:rPr>
              <w:fldChar w:fldCharType="end"/>
            </w:r>
          </w:hyperlink>
        </w:p>
        <w:p w14:paraId="6A390578" w14:textId="77777777" w:rsidR="00297BA8" w:rsidRDefault="00297BA8">
          <w:pPr>
            <w:pStyle w:val="Turinys2"/>
            <w:tabs>
              <w:tab w:val="left" w:pos="1100"/>
              <w:tab w:val="right" w:leader="dot" w:pos="9016"/>
            </w:tabs>
            <w:rPr>
              <w:rFonts w:eastAsiaTheme="minorEastAsia"/>
              <w:noProof/>
              <w:lang w:val="lt-LT" w:eastAsia="lt-LT"/>
            </w:rPr>
          </w:pPr>
          <w:hyperlink w:anchor="_Toc25594649" w:history="1">
            <w:r w:rsidRPr="00155C99">
              <w:rPr>
                <w:rStyle w:val="Hipersaitas"/>
                <w:rFonts w:ascii="Georgia" w:eastAsia="Times New Roman" w:hAnsi="Georgia" w:cs="Arial Unicode MS"/>
                <w:b/>
                <w:i/>
                <w:noProof/>
                <w:lang w:val="lt-LT"/>
              </w:rPr>
              <w:t>2.2.1.</w:t>
            </w:r>
            <w:r>
              <w:rPr>
                <w:rFonts w:eastAsiaTheme="minorEastAsia"/>
                <w:noProof/>
                <w:lang w:val="lt-LT" w:eastAsia="lt-LT"/>
              </w:rPr>
              <w:tab/>
            </w:r>
            <w:r w:rsidRPr="00155C99">
              <w:rPr>
                <w:rStyle w:val="Hipersaitas"/>
                <w:rFonts w:ascii="Georgia" w:eastAsia="Times New Roman" w:hAnsi="Georgia" w:cs="Arial Unicode MS"/>
                <w:b/>
                <w:i/>
                <w:noProof/>
                <w:lang w:val="lt-LT"/>
              </w:rPr>
              <w:t>Investicijų paklausos analizė</w:t>
            </w:r>
            <w:r>
              <w:rPr>
                <w:noProof/>
                <w:webHidden/>
              </w:rPr>
              <w:tab/>
            </w:r>
            <w:r>
              <w:rPr>
                <w:noProof/>
                <w:webHidden/>
              </w:rPr>
              <w:fldChar w:fldCharType="begin"/>
            </w:r>
            <w:r>
              <w:rPr>
                <w:noProof/>
                <w:webHidden/>
              </w:rPr>
              <w:instrText xml:space="preserve"> PAGEREF _Toc25594649 \h </w:instrText>
            </w:r>
            <w:r>
              <w:rPr>
                <w:noProof/>
                <w:webHidden/>
              </w:rPr>
            </w:r>
            <w:r>
              <w:rPr>
                <w:noProof/>
                <w:webHidden/>
              </w:rPr>
              <w:fldChar w:fldCharType="separate"/>
            </w:r>
            <w:r>
              <w:rPr>
                <w:noProof/>
                <w:webHidden/>
              </w:rPr>
              <w:t>33</w:t>
            </w:r>
            <w:r>
              <w:rPr>
                <w:noProof/>
                <w:webHidden/>
              </w:rPr>
              <w:fldChar w:fldCharType="end"/>
            </w:r>
          </w:hyperlink>
        </w:p>
        <w:p w14:paraId="2893B74B" w14:textId="77777777" w:rsidR="00297BA8" w:rsidRDefault="00297BA8">
          <w:pPr>
            <w:pStyle w:val="Turinys2"/>
            <w:tabs>
              <w:tab w:val="left" w:pos="1320"/>
              <w:tab w:val="right" w:leader="dot" w:pos="9016"/>
            </w:tabs>
            <w:rPr>
              <w:rFonts w:eastAsiaTheme="minorEastAsia"/>
              <w:noProof/>
              <w:lang w:val="lt-LT" w:eastAsia="lt-LT"/>
            </w:rPr>
          </w:pPr>
          <w:hyperlink w:anchor="_Toc25594650" w:history="1">
            <w:r w:rsidRPr="00155C99">
              <w:rPr>
                <w:rStyle w:val="Hipersaitas"/>
                <w:rFonts w:ascii="Georgia" w:eastAsia="Times New Roman" w:hAnsi="Georgia" w:cs="Arial Unicode MS"/>
                <w:b/>
                <w:i/>
                <w:noProof/>
                <w:lang w:val="lt-LT"/>
              </w:rPr>
              <w:t>2.2.1.1.</w:t>
            </w:r>
            <w:r>
              <w:rPr>
                <w:rFonts w:eastAsiaTheme="minorEastAsia"/>
                <w:noProof/>
                <w:lang w:val="lt-LT" w:eastAsia="lt-LT"/>
              </w:rPr>
              <w:tab/>
            </w:r>
            <w:r w:rsidRPr="00155C99">
              <w:rPr>
                <w:rStyle w:val="Hipersaitas"/>
                <w:rFonts w:ascii="Georgia" w:eastAsia="Times New Roman" w:hAnsi="Georgia" w:cs="Arial Unicode MS"/>
                <w:b/>
                <w:i/>
                <w:noProof/>
                <w:lang w:val="lt-LT"/>
              </w:rPr>
              <w:t>Bendri energijos taupymo tikslai</w:t>
            </w:r>
            <w:r>
              <w:rPr>
                <w:noProof/>
                <w:webHidden/>
              </w:rPr>
              <w:tab/>
            </w:r>
            <w:r>
              <w:rPr>
                <w:noProof/>
                <w:webHidden/>
              </w:rPr>
              <w:fldChar w:fldCharType="begin"/>
            </w:r>
            <w:r>
              <w:rPr>
                <w:noProof/>
                <w:webHidden/>
              </w:rPr>
              <w:instrText xml:space="preserve"> PAGEREF _Toc25594650 \h </w:instrText>
            </w:r>
            <w:r>
              <w:rPr>
                <w:noProof/>
                <w:webHidden/>
              </w:rPr>
            </w:r>
            <w:r>
              <w:rPr>
                <w:noProof/>
                <w:webHidden/>
              </w:rPr>
              <w:fldChar w:fldCharType="separate"/>
            </w:r>
            <w:r>
              <w:rPr>
                <w:noProof/>
                <w:webHidden/>
              </w:rPr>
              <w:t>33</w:t>
            </w:r>
            <w:r>
              <w:rPr>
                <w:noProof/>
                <w:webHidden/>
              </w:rPr>
              <w:fldChar w:fldCharType="end"/>
            </w:r>
          </w:hyperlink>
        </w:p>
        <w:p w14:paraId="45EB84E6" w14:textId="77777777" w:rsidR="00297BA8" w:rsidRDefault="00297BA8">
          <w:pPr>
            <w:pStyle w:val="Turinys2"/>
            <w:tabs>
              <w:tab w:val="left" w:pos="1320"/>
              <w:tab w:val="right" w:leader="dot" w:pos="9016"/>
            </w:tabs>
            <w:rPr>
              <w:rFonts w:eastAsiaTheme="minorEastAsia"/>
              <w:noProof/>
              <w:lang w:val="lt-LT" w:eastAsia="lt-LT"/>
            </w:rPr>
          </w:pPr>
          <w:hyperlink w:anchor="_Toc25594651" w:history="1">
            <w:r w:rsidRPr="00155C99">
              <w:rPr>
                <w:rStyle w:val="Hipersaitas"/>
                <w:rFonts w:ascii="Georgia" w:eastAsia="Times New Roman" w:hAnsi="Georgia" w:cs="Arial Unicode MS"/>
                <w:b/>
                <w:i/>
                <w:noProof/>
                <w:lang w:val="lt-LT"/>
              </w:rPr>
              <w:t>2.2.1.2.</w:t>
            </w:r>
            <w:r>
              <w:rPr>
                <w:rFonts w:eastAsiaTheme="minorEastAsia"/>
                <w:noProof/>
                <w:lang w:val="lt-LT" w:eastAsia="lt-LT"/>
              </w:rPr>
              <w:tab/>
            </w:r>
            <w:r w:rsidRPr="00155C99">
              <w:rPr>
                <w:rStyle w:val="Hipersaitas"/>
                <w:rFonts w:ascii="Georgia" w:eastAsia="Times New Roman" w:hAnsi="Georgia" w:cs="Arial Unicode MS"/>
                <w:b/>
                <w:i/>
                <w:noProof/>
                <w:lang w:val="lt-LT"/>
              </w:rPr>
              <w:t>Viešųjų pastatų modernizavimo paklausos skaičiavimas</w:t>
            </w:r>
            <w:r>
              <w:rPr>
                <w:noProof/>
                <w:webHidden/>
              </w:rPr>
              <w:tab/>
            </w:r>
            <w:r>
              <w:rPr>
                <w:noProof/>
                <w:webHidden/>
              </w:rPr>
              <w:fldChar w:fldCharType="begin"/>
            </w:r>
            <w:r>
              <w:rPr>
                <w:noProof/>
                <w:webHidden/>
              </w:rPr>
              <w:instrText xml:space="preserve"> PAGEREF _Toc25594651 \h </w:instrText>
            </w:r>
            <w:r>
              <w:rPr>
                <w:noProof/>
                <w:webHidden/>
              </w:rPr>
            </w:r>
            <w:r>
              <w:rPr>
                <w:noProof/>
                <w:webHidden/>
              </w:rPr>
              <w:fldChar w:fldCharType="separate"/>
            </w:r>
            <w:r>
              <w:rPr>
                <w:noProof/>
                <w:webHidden/>
              </w:rPr>
              <w:t>34</w:t>
            </w:r>
            <w:r>
              <w:rPr>
                <w:noProof/>
                <w:webHidden/>
              </w:rPr>
              <w:fldChar w:fldCharType="end"/>
            </w:r>
          </w:hyperlink>
        </w:p>
        <w:p w14:paraId="77563E6C" w14:textId="77777777" w:rsidR="00297BA8" w:rsidRDefault="00297BA8">
          <w:pPr>
            <w:pStyle w:val="Turinys2"/>
            <w:tabs>
              <w:tab w:val="left" w:pos="1320"/>
              <w:tab w:val="right" w:leader="dot" w:pos="9016"/>
            </w:tabs>
            <w:rPr>
              <w:rFonts w:eastAsiaTheme="minorEastAsia"/>
              <w:noProof/>
              <w:lang w:val="lt-LT" w:eastAsia="lt-LT"/>
            </w:rPr>
          </w:pPr>
          <w:hyperlink w:anchor="_Toc25594652" w:history="1">
            <w:r w:rsidRPr="00155C99">
              <w:rPr>
                <w:rStyle w:val="Hipersaitas"/>
                <w:rFonts w:ascii="Georgia" w:eastAsia="Times New Roman" w:hAnsi="Georgia" w:cs="Arial Unicode MS"/>
                <w:b/>
                <w:i/>
                <w:noProof/>
                <w:lang w:val="lt-LT"/>
              </w:rPr>
              <w:t>2.2.1.3.</w:t>
            </w:r>
            <w:r>
              <w:rPr>
                <w:rFonts w:eastAsiaTheme="minorEastAsia"/>
                <w:noProof/>
                <w:lang w:val="lt-LT" w:eastAsia="lt-LT"/>
              </w:rPr>
              <w:tab/>
            </w:r>
            <w:r w:rsidRPr="00155C99">
              <w:rPr>
                <w:rStyle w:val="Hipersaitas"/>
                <w:rFonts w:ascii="Georgia" w:eastAsia="Times New Roman" w:hAnsi="Georgia" w:cs="Arial Unicode MS"/>
                <w:b/>
                <w:i/>
                <w:noProof/>
                <w:lang w:val="lt-LT"/>
              </w:rPr>
              <w:t>Daugiabučių modernizavimo paklausos skaičiavimas</w:t>
            </w:r>
            <w:r>
              <w:rPr>
                <w:noProof/>
                <w:webHidden/>
              </w:rPr>
              <w:tab/>
            </w:r>
            <w:r>
              <w:rPr>
                <w:noProof/>
                <w:webHidden/>
              </w:rPr>
              <w:fldChar w:fldCharType="begin"/>
            </w:r>
            <w:r>
              <w:rPr>
                <w:noProof/>
                <w:webHidden/>
              </w:rPr>
              <w:instrText xml:space="preserve"> PAGEREF _Toc25594652 \h </w:instrText>
            </w:r>
            <w:r>
              <w:rPr>
                <w:noProof/>
                <w:webHidden/>
              </w:rPr>
            </w:r>
            <w:r>
              <w:rPr>
                <w:noProof/>
                <w:webHidden/>
              </w:rPr>
              <w:fldChar w:fldCharType="separate"/>
            </w:r>
            <w:r>
              <w:rPr>
                <w:noProof/>
                <w:webHidden/>
              </w:rPr>
              <w:t>36</w:t>
            </w:r>
            <w:r>
              <w:rPr>
                <w:noProof/>
                <w:webHidden/>
              </w:rPr>
              <w:fldChar w:fldCharType="end"/>
            </w:r>
          </w:hyperlink>
        </w:p>
        <w:p w14:paraId="42A5B164" w14:textId="77777777" w:rsidR="00297BA8" w:rsidRDefault="00297BA8">
          <w:pPr>
            <w:pStyle w:val="Turinys2"/>
            <w:tabs>
              <w:tab w:val="left" w:pos="1320"/>
              <w:tab w:val="right" w:leader="dot" w:pos="9016"/>
            </w:tabs>
            <w:rPr>
              <w:rFonts w:eastAsiaTheme="minorEastAsia"/>
              <w:noProof/>
              <w:lang w:val="lt-LT" w:eastAsia="lt-LT"/>
            </w:rPr>
          </w:pPr>
          <w:hyperlink w:anchor="_Toc25594657" w:history="1">
            <w:r w:rsidRPr="00155C99">
              <w:rPr>
                <w:rStyle w:val="Hipersaitas"/>
                <w:rFonts w:ascii="Georgia" w:eastAsia="Times New Roman" w:hAnsi="Georgia" w:cs="Arial Unicode MS"/>
                <w:b/>
                <w:i/>
                <w:noProof/>
                <w:lang w:val="lt-LT"/>
              </w:rPr>
              <w:t>2.2.1.4.</w:t>
            </w:r>
            <w:r>
              <w:rPr>
                <w:rFonts w:eastAsiaTheme="minorEastAsia"/>
                <w:noProof/>
                <w:lang w:val="lt-LT" w:eastAsia="lt-LT"/>
              </w:rPr>
              <w:tab/>
            </w:r>
            <w:r w:rsidRPr="00155C99">
              <w:rPr>
                <w:rStyle w:val="Hipersaitas"/>
                <w:rFonts w:ascii="Georgia" w:eastAsia="Times New Roman" w:hAnsi="Georgia" w:cs="Arial Unicode MS"/>
                <w:b/>
                <w:i/>
                <w:noProof/>
                <w:lang w:val="lt-LT"/>
              </w:rPr>
              <w:t>Gatvių apšvietimo tinklo modernizavimo paklausos skaičiavimas</w:t>
            </w:r>
            <w:r>
              <w:rPr>
                <w:noProof/>
                <w:webHidden/>
              </w:rPr>
              <w:tab/>
            </w:r>
            <w:r>
              <w:rPr>
                <w:noProof/>
                <w:webHidden/>
              </w:rPr>
              <w:fldChar w:fldCharType="begin"/>
            </w:r>
            <w:r>
              <w:rPr>
                <w:noProof/>
                <w:webHidden/>
              </w:rPr>
              <w:instrText xml:space="preserve"> PAGEREF _Toc25594657 \h </w:instrText>
            </w:r>
            <w:r>
              <w:rPr>
                <w:noProof/>
                <w:webHidden/>
              </w:rPr>
            </w:r>
            <w:r>
              <w:rPr>
                <w:noProof/>
                <w:webHidden/>
              </w:rPr>
              <w:fldChar w:fldCharType="separate"/>
            </w:r>
            <w:r>
              <w:rPr>
                <w:noProof/>
                <w:webHidden/>
              </w:rPr>
              <w:t>40</w:t>
            </w:r>
            <w:r>
              <w:rPr>
                <w:noProof/>
                <w:webHidden/>
              </w:rPr>
              <w:fldChar w:fldCharType="end"/>
            </w:r>
          </w:hyperlink>
        </w:p>
        <w:p w14:paraId="6993226A" w14:textId="77777777" w:rsidR="00297BA8" w:rsidRDefault="00297BA8">
          <w:pPr>
            <w:pStyle w:val="Turinys2"/>
            <w:tabs>
              <w:tab w:val="left" w:pos="1320"/>
              <w:tab w:val="right" w:leader="dot" w:pos="9016"/>
            </w:tabs>
            <w:rPr>
              <w:rFonts w:eastAsiaTheme="minorEastAsia"/>
              <w:noProof/>
              <w:lang w:val="lt-LT" w:eastAsia="lt-LT"/>
            </w:rPr>
          </w:pPr>
          <w:hyperlink w:anchor="_Toc25594658" w:history="1">
            <w:r w:rsidRPr="00155C99">
              <w:rPr>
                <w:rStyle w:val="Hipersaitas"/>
                <w:rFonts w:ascii="Georgia" w:eastAsia="Times New Roman" w:hAnsi="Georgia" w:cs="Arial Unicode MS"/>
                <w:b/>
                <w:i/>
                <w:noProof/>
                <w:lang w:val="lt-LT"/>
              </w:rPr>
              <w:t>2.2.1.5.</w:t>
            </w:r>
            <w:r>
              <w:rPr>
                <w:rFonts w:eastAsiaTheme="minorEastAsia"/>
                <w:noProof/>
                <w:lang w:val="lt-LT" w:eastAsia="lt-LT"/>
              </w:rPr>
              <w:tab/>
            </w:r>
            <w:r w:rsidRPr="00155C99">
              <w:rPr>
                <w:rStyle w:val="Hipersaitas"/>
                <w:rFonts w:ascii="Georgia" w:eastAsia="Times New Roman" w:hAnsi="Georgia" w:cs="Arial Unicode MS"/>
                <w:b/>
                <w:i/>
                <w:noProof/>
                <w:lang w:val="lt-LT"/>
              </w:rPr>
              <w:t>Investicijų paklausos apibendrinti duomenys</w:t>
            </w:r>
            <w:r>
              <w:rPr>
                <w:noProof/>
                <w:webHidden/>
              </w:rPr>
              <w:tab/>
            </w:r>
            <w:r>
              <w:rPr>
                <w:noProof/>
                <w:webHidden/>
              </w:rPr>
              <w:fldChar w:fldCharType="begin"/>
            </w:r>
            <w:r>
              <w:rPr>
                <w:noProof/>
                <w:webHidden/>
              </w:rPr>
              <w:instrText xml:space="preserve"> PAGEREF _Toc25594658 \h </w:instrText>
            </w:r>
            <w:r>
              <w:rPr>
                <w:noProof/>
                <w:webHidden/>
              </w:rPr>
            </w:r>
            <w:r>
              <w:rPr>
                <w:noProof/>
                <w:webHidden/>
              </w:rPr>
              <w:fldChar w:fldCharType="separate"/>
            </w:r>
            <w:r>
              <w:rPr>
                <w:noProof/>
                <w:webHidden/>
              </w:rPr>
              <w:t>41</w:t>
            </w:r>
            <w:r>
              <w:rPr>
                <w:noProof/>
                <w:webHidden/>
              </w:rPr>
              <w:fldChar w:fldCharType="end"/>
            </w:r>
          </w:hyperlink>
        </w:p>
        <w:p w14:paraId="4C9C3B96" w14:textId="77777777" w:rsidR="00297BA8" w:rsidRDefault="00297BA8">
          <w:pPr>
            <w:pStyle w:val="Turinys2"/>
            <w:tabs>
              <w:tab w:val="left" w:pos="1100"/>
              <w:tab w:val="right" w:leader="dot" w:pos="9016"/>
            </w:tabs>
            <w:rPr>
              <w:rFonts w:eastAsiaTheme="minorEastAsia"/>
              <w:noProof/>
              <w:lang w:val="lt-LT" w:eastAsia="lt-LT"/>
            </w:rPr>
          </w:pPr>
          <w:hyperlink w:anchor="_Toc25594659" w:history="1">
            <w:r w:rsidRPr="00155C99">
              <w:rPr>
                <w:rStyle w:val="Hipersaitas"/>
                <w:rFonts w:ascii="Georgia" w:eastAsia="Times New Roman" w:hAnsi="Georgia" w:cs="Arial Unicode MS"/>
                <w:b/>
                <w:i/>
                <w:noProof/>
                <w:lang w:val="lt-LT"/>
              </w:rPr>
              <w:t>2.2.2.</w:t>
            </w:r>
            <w:r>
              <w:rPr>
                <w:rFonts w:eastAsiaTheme="minorEastAsia"/>
                <w:noProof/>
                <w:lang w:val="lt-LT" w:eastAsia="lt-LT"/>
              </w:rPr>
              <w:tab/>
            </w:r>
            <w:r w:rsidRPr="00155C99">
              <w:rPr>
                <w:rStyle w:val="Hipersaitas"/>
                <w:rFonts w:ascii="Georgia" w:eastAsia="Times New Roman" w:hAnsi="Georgia" w:cs="Arial Unicode MS"/>
                <w:b/>
                <w:i/>
                <w:noProof/>
                <w:lang w:val="lt-LT"/>
              </w:rPr>
              <w:t>Investicijų pasiūlos analizė</w:t>
            </w:r>
            <w:r>
              <w:rPr>
                <w:noProof/>
                <w:webHidden/>
              </w:rPr>
              <w:tab/>
            </w:r>
            <w:r>
              <w:rPr>
                <w:noProof/>
                <w:webHidden/>
              </w:rPr>
              <w:fldChar w:fldCharType="begin"/>
            </w:r>
            <w:r>
              <w:rPr>
                <w:noProof/>
                <w:webHidden/>
              </w:rPr>
              <w:instrText xml:space="preserve"> PAGEREF _Toc25594659 \h </w:instrText>
            </w:r>
            <w:r>
              <w:rPr>
                <w:noProof/>
                <w:webHidden/>
              </w:rPr>
            </w:r>
            <w:r>
              <w:rPr>
                <w:noProof/>
                <w:webHidden/>
              </w:rPr>
              <w:fldChar w:fldCharType="separate"/>
            </w:r>
            <w:r>
              <w:rPr>
                <w:noProof/>
                <w:webHidden/>
              </w:rPr>
              <w:t>42</w:t>
            </w:r>
            <w:r>
              <w:rPr>
                <w:noProof/>
                <w:webHidden/>
              </w:rPr>
              <w:fldChar w:fldCharType="end"/>
            </w:r>
          </w:hyperlink>
        </w:p>
        <w:p w14:paraId="20A6C5BB" w14:textId="77777777" w:rsidR="00297BA8" w:rsidRDefault="00297BA8">
          <w:pPr>
            <w:pStyle w:val="Turinys2"/>
            <w:tabs>
              <w:tab w:val="left" w:pos="1320"/>
              <w:tab w:val="right" w:leader="dot" w:pos="9016"/>
            </w:tabs>
            <w:rPr>
              <w:rFonts w:eastAsiaTheme="minorEastAsia"/>
              <w:noProof/>
              <w:lang w:val="lt-LT" w:eastAsia="lt-LT"/>
            </w:rPr>
          </w:pPr>
          <w:hyperlink w:anchor="_Toc25594660" w:history="1">
            <w:r w:rsidRPr="00155C99">
              <w:rPr>
                <w:rStyle w:val="Hipersaitas"/>
                <w:rFonts w:ascii="Georgia" w:eastAsia="Times New Roman" w:hAnsi="Georgia" w:cs="Arial Unicode MS"/>
                <w:b/>
                <w:i/>
                <w:noProof/>
                <w:lang w:val="lt-LT"/>
              </w:rPr>
              <w:t>2.2.2.1.</w:t>
            </w:r>
            <w:r>
              <w:rPr>
                <w:rFonts w:eastAsiaTheme="minorEastAsia"/>
                <w:noProof/>
                <w:lang w:val="lt-LT" w:eastAsia="lt-LT"/>
              </w:rPr>
              <w:tab/>
            </w:r>
            <w:r w:rsidRPr="00155C99">
              <w:rPr>
                <w:rStyle w:val="Hipersaitas"/>
                <w:rFonts w:ascii="Georgia" w:eastAsia="Times New Roman" w:hAnsi="Georgia" w:cs="Arial Unicode MS"/>
                <w:b/>
                <w:i/>
                <w:noProof/>
                <w:lang w:val="lt-LT"/>
              </w:rPr>
              <w:t>Finansavimas 2007-2013 m. periodu</w:t>
            </w:r>
            <w:r>
              <w:rPr>
                <w:noProof/>
                <w:webHidden/>
              </w:rPr>
              <w:tab/>
            </w:r>
            <w:r>
              <w:rPr>
                <w:noProof/>
                <w:webHidden/>
              </w:rPr>
              <w:fldChar w:fldCharType="begin"/>
            </w:r>
            <w:r>
              <w:rPr>
                <w:noProof/>
                <w:webHidden/>
              </w:rPr>
              <w:instrText xml:space="preserve"> PAGEREF _Toc25594660 \h </w:instrText>
            </w:r>
            <w:r>
              <w:rPr>
                <w:noProof/>
                <w:webHidden/>
              </w:rPr>
            </w:r>
            <w:r>
              <w:rPr>
                <w:noProof/>
                <w:webHidden/>
              </w:rPr>
              <w:fldChar w:fldCharType="separate"/>
            </w:r>
            <w:r>
              <w:rPr>
                <w:noProof/>
                <w:webHidden/>
              </w:rPr>
              <w:t>42</w:t>
            </w:r>
            <w:r>
              <w:rPr>
                <w:noProof/>
                <w:webHidden/>
              </w:rPr>
              <w:fldChar w:fldCharType="end"/>
            </w:r>
          </w:hyperlink>
        </w:p>
        <w:p w14:paraId="38FC616A" w14:textId="77777777" w:rsidR="00297BA8" w:rsidRDefault="00297BA8">
          <w:pPr>
            <w:pStyle w:val="Turinys2"/>
            <w:tabs>
              <w:tab w:val="left" w:pos="1320"/>
              <w:tab w:val="right" w:leader="dot" w:pos="9016"/>
            </w:tabs>
            <w:rPr>
              <w:rFonts w:eastAsiaTheme="minorEastAsia"/>
              <w:noProof/>
              <w:lang w:val="lt-LT" w:eastAsia="lt-LT"/>
            </w:rPr>
          </w:pPr>
          <w:hyperlink w:anchor="_Toc25594661" w:history="1">
            <w:r w:rsidRPr="00155C99">
              <w:rPr>
                <w:rStyle w:val="Hipersaitas"/>
                <w:rFonts w:ascii="Georgia" w:eastAsia="Times New Roman" w:hAnsi="Georgia" w:cs="Arial Unicode MS"/>
                <w:b/>
                <w:i/>
                <w:noProof/>
                <w:lang w:val="lt-LT"/>
              </w:rPr>
              <w:t>2.2.2.2.</w:t>
            </w:r>
            <w:r>
              <w:rPr>
                <w:rFonts w:eastAsiaTheme="minorEastAsia"/>
                <w:noProof/>
                <w:lang w:val="lt-LT" w:eastAsia="lt-LT"/>
              </w:rPr>
              <w:tab/>
            </w:r>
            <w:r w:rsidRPr="00155C99">
              <w:rPr>
                <w:rStyle w:val="Hipersaitas"/>
                <w:rFonts w:ascii="Georgia" w:eastAsia="Times New Roman" w:hAnsi="Georgia" w:cs="Arial Unicode MS"/>
                <w:b/>
                <w:i/>
                <w:noProof/>
                <w:lang w:val="lt-LT"/>
              </w:rPr>
              <w:t>Finansavimas 2014-2020 m. laikotarpiu</w:t>
            </w:r>
            <w:r>
              <w:rPr>
                <w:noProof/>
                <w:webHidden/>
              </w:rPr>
              <w:tab/>
            </w:r>
            <w:r>
              <w:rPr>
                <w:noProof/>
                <w:webHidden/>
              </w:rPr>
              <w:fldChar w:fldCharType="begin"/>
            </w:r>
            <w:r>
              <w:rPr>
                <w:noProof/>
                <w:webHidden/>
              </w:rPr>
              <w:instrText xml:space="preserve"> PAGEREF _Toc25594661 \h </w:instrText>
            </w:r>
            <w:r>
              <w:rPr>
                <w:noProof/>
                <w:webHidden/>
              </w:rPr>
            </w:r>
            <w:r>
              <w:rPr>
                <w:noProof/>
                <w:webHidden/>
              </w:rPr>
              <w:fldChar w:fldCharType="separate"/>
            </w:r>
            <w:r>
              <w:rPr>
                <w:noProof/>
                <w:webHidden/>
              </w:rPr>
              <w:t>45</w:t>
            </w:r>
            <w:r>
              <w:rPr>
                <w:noProof/>
                <w:webHidden/>
              </w:rPr>
              <w:fldChar w:fldCharType="end"/>
            </w:r>
          </w:hyperlink>
        </w:p>
        <w:p w14:paraId="4531E81D" w14:textId="77777777" w:rsidR="00297BA8" w:rsidRDefault="00297BA8">
          <w:pPr>
            <w:pStyle w:val="Turinys2"/>
            <w:tabs>
              <w:tab w:val="left" w:pos="1320"/>
              <w:tab w:val="right" w:leader="dot" w:pos="9016"/>
            </w:tabs>
            <w:rPr>
              <w:rFonts w:eastAsiaTheme="minorEastAsia"/>
              <w:noProof/>
              <w:lang w:val="lt-LT" w:eastAsia="lt-LT"/>
            </w:rPr>
          </w:pPr>
          <w:hyperlink w:anchor="_Toc25594662" w:history="1">
            <w:r w:rsidRPr="00155C99">
              <w:rPr>
                <w:rStyle w:val="Hipersaitas"/>
                <w:rFonts w:ascii="Georgia" w:eastAsia="Times New Roman" w:hAnsi="Georgia" w:cs="Arial Unicode MS"/>
                <w:b/>
                <w:i/>
                <w:noProof/>
                <w:lang w:val="lt-LT"/>
              </w:rPr>
              <w:t>2.2.2.3.</w:t>
            </w:r>
            <w:r>
              <w:rPr>
                <w:rFonts w:eastAsiaTheme="minorEastAsia"/>
                <w:noProof/>
                <w:lang w:val="lt-LT" w:eastAsia="lt-LT"/>
              </w:rPr>
              <w:tab/>
            </w:r>
            <w:r w:rsidRPr="00155C99">
              <w:rPr>
                <w:rStyle w:val="Hipersaitas"/>
                <w:rFonts w:ascii="Georgia" w:eastAsia="Times New Roman" w:hAnsi="Georgia" w:cs="Arial Unicode MS"/>
                <w:b/>
                <w:i/>
                <w:noProof/>
                <w:lang w:val="lt-LT"/>
              </w:rPr>
              <w:t>Finansavimo pasiūlos apibendrinimas</w:t>
            </w:r>
            <w:r>
              <w:rPr>
                <w:noProof/>
                <w:webHidden/>
              </w:rPr>
              <w:tab/>
            </w:r>
            <w:r>
              <w:rPr>
                <w:noProof/>
                <w:webHidden/>
              </w:rPr>
              <w:fldChar w:fldCharType="begin"/>
            </w:r>
            <w:r>
              <w:rPr>
                <w:noProof/>
                <w:webHidden/>
              </w:rPr>
              <w:instrText xml:space="preserve"> PAGEREF _Toc25594662 \h </w:instrText>
            </w:r>
            <w:r>
              <w:rPr>
                <w:noProof/>
                <w:webHidden/>
              </w:rPr>
            </w:r>
            <w:r>
              <w:rPr>
                <w:noProof/>
                <w:webHidden/>
              </w:rPr>
              <w:fldChar w:fldCharType="separate"/>
            </w:r>
            <w:r>
              <w:rPr>
                <w:noProof/>
                <w:webHidden/>
              </w:rPr>
              <w:t>54</w:t>
            </w:r>
            <w:r>
              <w:rPr>
                <w:noProof/>
                <w:webHidden/>
              </w:rPr>
              <w:fldChar w:fldCharType="end"/>
            </w:r>
          </w:hyperlink>
        </w:p>
        <w:p w14:paraId="26A27AC0" w14:textId="77777777" w:rsidR="00297BA8" w:rsidRDefault="00297BA8">
          <w:pPr>
            <w:pStyle w:val="Turinys2"/>
            <w:tabs>
              <w:tab w:val="left" w:pos="880"/>
              <w:tab w:val="right" w:leader="dot" w:pos="9016"/>
            </w:tabs>
            <w:rPr>
              <w:rFonts w:eastAsiaTheme="minorEastAsia"/>
              <w:noProof/>
              <w:lang w:val="lt-LT" w:eastAsia="lt-LT"/>
            </w:rPr>
          </w:pPr>
          <w:hyperlink w:anchor="_Toc25594663" w:history="1">
            <w:r w:rsidRPr="00155C99">
              <w:rPr>
                <w:rStyle w:val="Hipersaitas"/>
                <w:rFonts w:ascii="Georgia" w:eastAsia="Times New Roman" w:hAnsi="Georgia"/>
                <w:noProof/>
                <w:lang w:val="lt-LT"/>
              </w:rPr>
              <w:t>2.3.</w:t>
            </w:r>
            <w:r>
              <w:rPr>
                <w:rFonts w:eastAsiaTheme="minorEastAsia"/>
                <w:noProof/>
                <w:lang w:val="lt-LT" w:eastAsia="lt-LT"/>
              </w:rPr>
              <w:tab/>
            </w:r>
            <w:r w:rsidRPr="00155C99">
              <w:rPr>
                <w:rStyle w:val="Hipersaitas"/>
                <w:rFonts w:ascii="Georgia" w:eastAsia="Times New Roman" w:hAnsi="Georgia"/>
                <w:noProof/>
                <w:lang w:val="lt-LT"/>
              </w:rPr>
              <w:t>Investicijų trūkumo įvertinimas</w:t>
            </w:r>
            <w:r>
              <w:rPr>
                <w:noProof/>
                <w:webHidden/>
              </w:rPr>
              <w:tab/>
            </w:r>
            <w:r>
              <w:rPr>
                <w:noProof/>
                <w:webHidden/>
              </w:rPr>
              <w:fldChar w:fldCharType="begin"/>
            </w:r>
            <w:r>
              <w:rPr>
                <w:noProof/>
                <w:webHidden/>
              </w:rPr>
              <w:instrText xml:space="preserve"> PAGEREF _Toc25594663 \h </w:instrText>
            </w:r>
            <w:r>
              <w:rPr>
                <w:noProof/>
                <w:webHidden/>
              </w:rPr>
            </w:r>
            <w:r>
              <w:rPr>
                <w:noProof/>
                <w:webHidden/>
              </w:rPr>
              <w:fldChar w:fldCharType="separate"/>
            </w:r>
            <w:r>
              <w:rPr>
                <w:noProof/>
                <w:webHidden/>
              </w:rPr>
              <w:t>56</w:t>
            </w:r>
            <w:r>
              <w:rPr>
                <w:noProof/>
                <w:webHidden/>
              </w:rPr>
              <w:fldChar w:fldCharType="end"/>
            </w:r>
          </w:hyperlink>
        </w:p>
        <w:p w14:paraId="424BE5E7" w14:textId="77777777" w:rsidR="00297BA8" w:rsidRDefault="00297BA8">
          <w:pPr>
            <w:pStyle w:val="Turinys2"/>
            <w:tabs>
              <w:tab w:val="left" w:pos="880"/>
              <w:tab w:val="right" w:leader="dot" w:pos="9016"/>
            </w:tabs>
            <w:rPr>
              <w:rFonts w:eastAsiaTheme="minorEastAsia"/>
              <w:noProof/>
              <w:lang w:val="lt-LT" w:eastAsia="lt-LT"/>
            </w:rPr>
          </w:pPr>
          <w:hyperlink w:anchor="_Toc25594664" w:history="1">
            <w:r w:rsidRPr="00155C99">
              <w:rPr>
                <w:rStyle w:val="Hipersaitas"/>
                <w:rFonts w:ascii="Georgia" w:eastAsia="Times New Roman" w:hAnsi="Georgia"/>
                <w:noProof/>
                <w:lang w:val="lt-LT"/>
              </w:rPr>
              <w:t>2.4.</w:t>
            </w:r>
            <w:r>
              <w:rPr>
                <w:rFonts w:eastAsiaTheme="minorEastAsia"/>
                <w:noProof/>
                <w:lang w:val="lt-LT" w:eastAsia="lt-LT"/>
              </w:rPr>
              <w:tab/>
            </w:r>
            <w:r w:rsidRPr="00155C99">
              <w:rPr>
                <w:rStyle w:val="Hipersaitas"/>
                <w:rFonts w:ascii="Georgia" w:eastAsia="Times New Roman" w:hAnsi="Georgia"/>
                <w:noProof/>
                <w:lang w:val="lt-LT"/>
              </w:rPr>
              <w:t>Rinkos gyvybingumo ir investicijų trūkumo susidarymo priežasčių analizė</w:t>
            </w:r>
            <w:r>
              <w:rPr>
                <w:noProof/>
                <w:webHidden/>
              </w:rPr>
              <w:tab/>
            </w:r>
            <w:r>
              <w:rPr>
                <w:noProof/>
                <w:webHidden/>
              </w:rPr>
              <w:fldChar w:fldCharType="begin"/>
            </w:r>
            <w:r>
              <w:rPr>
                <w:noProof/>
                <w:webHidden/>
              </w:rPr>
              <w:instrText xml:space="preserve"> PAGEREF _Toc25594664 \h </w:instrText>
            </w:r>
            <w:r>
              <w:rPr>
                <w:noProof/>
                <w:webHidden/>
              </w:rPr>
            </w:r>
            <w:r>
              <w:rPr>
                <w:noProof/>
                <w:webHidden/>
              </w:rPr>
              <w:fldChar w:fldCharType="separate"/>
            </w:r>
            <w:r>
              <w:rPr>
                <w:noProof/>
                <w:webHidden/>
              </w:rPr>
              <w:t>56</w:t>
            </w:r>
            <w:r>
              <w:rPr>
                <w:noProof/>
                <w:webHidden/>
              </w:rPr>
              <w:fldChar w:fldCharType="end"/>
            </w:r>
          </w:hyperlink>
        </w:p>
        <w:p w14:paraId="74BF93B3" w14:textId="77777777" w:rsidR="00297BA8" w:rsidRDefault="00297BA8">
          <w:pPr>
            <w:pStyle w:val="Turinys1"/>
            <w:tabs>
              <w:tab w:val="left" w:pos="660"/>
              <w:tab w:val="right" w:leader="dot" w:pos="9016"/>
            </w:tabs>
            <w:rPr>
              <w:rFonts w:eastAsiaTheme="minorEastAsia"/>
              <w:noProof/>
              <w:lang w:val="lt-LT" w:eastAsia="lt-LT"/>
            </w:rPr>
          </w:pPr>
          <w:hyperlink w:anchor="_Toc25594665" w:history="1">
            <w:r w:rsidRPr="00155C99">
              <w:rPr>
                <w:rStyle w:val="Hipersaitas"/>
                <w:rFonts w:cs="Arial"/>
                <w:noProof/>
                <w:lang w:val="lt-LT"/>
              </w:rPr>
              <w:t>3.</w:t>
            </w:r>
            <w:r>
              <w:rPr>
                <w:rFonts w:eastAsiaTheme="minorEastAsia"/>
                <w:noProof/>
                <w:lang w:val="lt-LT" w:eastAsia="lt-LT"/>
              </w:rPr>
              <w:tab/>
            </w:r>
            <w:r w:rsidRPr="00155C99">
              <w:rPr>
                <w:rStyle w:val="Hipersaitas"/>
                <w:noProof/>
                <w:lang w:val="lt-LT"/>
              </w:rPr>
              <w:t>Papildomų privačių ir viešųjų lėšų pritraukimas</w:t>
            </w:r>
            <w:r>
              <w:rPr>
                <w:noProof/>
                <w:webHidden/>
              </w:rPr>
              <w:tab/>
            </w:r>
            <w:r>
              <w:rPr>
                <w:noProof/>
                <w:webHidden/>
              </w:rPr>
              <w:fldChar w:fldCharType="begin"/>
            </w:r>
            <w:r>
              <w:rPr>
                <w:noProof/>
                <w:webHidden/>
              </w:rPr>
              <w:instrText xml:space="preserve"> PAGEREF _Toc25594665 \h </w:instrText>
            </w:r>
            <w:r>
              <w:rPr>
                <w:noProof/>
                <w:webHidden/>
              </w:rPr>
            </w:r>
            <w:r>
              <w:rPr>
                <w:noProof/>
                <w:webHidden/>
              </w:rPr>
              <w:fldChar w:fldCharType="separate"/>
            </w:r>
            <w:r>
              <w:rPr>
                <w:noProof/>
                <w:webHidden/>
              </w:rPr>
              <w:t>65</w:t>
            </w:r>
            <w:r>
              <w:rPr>
                <w:noProof/>
                <w:webHidden/>
              </w:rPr>
              <w:fldChar w:fldCharType="end"/>
            </w:r>
          </w:hyperlink>
        </w:p>
        <w:p w14:paraId="7492307C" w14:textId="77777777" w:rsidR="00297BA8" w:rsidRDefault="00297BA8">
          <w:pPr>
            <w:pStyle w:val="Turinys2"/>
            <w:tabs>
              <w:tab w:val="left" w:pos="880"/>
              <w:tab w:val="right" w:leader="dot" w:pos="9016"/>
            </w:tabs>
            <w:rPr>
              <w:rFonts w:eastAsiaTheme="minorEastAsia"/>
              <w:noProof/>
              <w:lang w:val="lt-LT" w:eastAsia="lt-LT"/>
            </w:rPr>
          </w:pPr>
          <w:hyperlink w:anchor="_Toc25594666" w:history="1">
            <w:r w:rsidRPr="00155C99">
              <w:rPr>
                <w:rStyle w:val="Hipersaitas"/>
                <w:rFonts w:ascii="Georgia" w:hAnsi="Georgia"/>
                <w:i/>
                <w:noProof/>
                <w:lang w:val="lt-LT"/>
              </w:rPr>
              <w:t>3.1.</w:t>
            </w:r>
            <w:r>
              <w:rPr>
                <w:rFonts w:eastAsiaTheme="minorEastAsia"/>
                <w:noProof/>
                <w:lang w:val="lt-LT" w:eastAsia="lt-LT"/>
              </w:rPr>
              <w:tab/>
            </w:r>
            <w:r w:rsidRPr="00155C99">
              <w:rPr>
                <w:rStyle w:val="Hipersaitas"/>
                <w:rFonts w:ascii="Georgia" w:hAnsi="Georgia"/>
                <w:i/>
                <w:noProof/>
                <w:lang w:val="lt-LT"/>
              </w:rPr>
              <w:t>Lėšų šaltinių identifikavimas</w:t>
            </w:r>
            <w:r>
              <w:rPr>
                <w:noProof/>
                <w:webHidden/>
              </w:rPr>
              <w:tab/>
            </w:r>
            <w:r>
              <w:rPr>
                <w:noProof/>
                <w:webHidden/>
              </w:rPr>
              <w:fldChar w:fldCharType="begin"/>
            </w:r>
            <w:r>
              <w:rPr>
                <w:noProof/>
                <w:webHidden/>
              </w:rPr>
              <w:instrText xml:space="preserve"> PAGEREF _Toc25594666 \h </w:instrText>
            </w:r>
            <w:r>
              <w:rPr>
                <w:noProof/>
                <w:webHidden/>
              </w:rPr>
            </w:r>
            <w:r>
              <w:rPr>
                <w:noProof/>
                <w:webHidden/>
              </w:rPr>
              <w:fldChar w:fldCharType="separate"/>
            </w:r>
            <w:r>
              <w:rPr>
                <w:noProof/>
                <w:webHidden/>
              </w:rPr>
              <w:t>65</w:t>
            </w:r>
            <w:r>
              <w:rPr>
                <w:noProof/>
                <w:webHidden/>
              </w:rPr>
              <w:fldChar w:fldCharType="end"/>
            </w:r>
          </w:hyperlink>
        </w:p>
        <w:p w14:paraId="275B0BFF" w14:textId="77777777" w:rsidR="00297BA8" w:rsidRDefault="00297BA8">
          <w:pPr>
            <w:pStyle w:val="Turinys2"/>
            <w:tabs>
              <w:tab w:val="left" w:pos="1100"/>
              <w:tab w:val="right" w:leader="dot" w:pos="9016"/>
            </w:tabs>
            <w:rPr>
              <w:rFonts w:eastAsiaTheme="minorEastAsia"/>
              <w:noProof/>
              <w:lang w:val="lt-LT" w:eastAsia="lt-LT"/>
            </w:rPr>
          </w:pPr>
          <w:hyperlink w:anchor="_Toc25594667" w:history="1">
            <w:r w:rsidRPr="00155C99">
              <w:rPr>
                <w:rStyle w:val="Hipersaitas"/>
                <w:rFonts w:ascii="Georgia" w:eastAsia="Times New Roman" w:hAnsi="Georgia" w:cs="Arial Unicode MS"/>
                <w:b/>
                <w:i/>
                <w:noProof/>
                <w:lang w:val="lt-LT"/>
              </w:rPr>
              <w:t>3.1.1.</w:t>
            </w:r>
            <w:r>
              <w:rPr>
                <w:rFonts w:eastAsiaTheme="minorEastAsia"/>
                <w:noProof/>
                <w:lang w:val="lt-LT" w:eastAsia="lt-LT"/>
              </w:rPr>
              <w:tab/>
            </w:r>
            <w:r w:rsidRPr="00155C99">
              <w:rPr>
                <w:rStyle w:val="Hipersaitas"/>
                <w:rFonts w:ascii="Georgia" w:eastAsia="Times New Roman" w:hAnsi="Georgia" w:cs="Arial Unicode MS"/>
                <w:b/>
                <w:i/>
                <w:noProof/>
                <w:lang w:val="lt-LT"/>
              </w:rPr>
              <w:t>Kitos valstybės paramos programos</w:t>
            </w:r>
            <w:r>
              <w:rPr>
                <w:noProof/>
                <w:webHidden/>
              </w:rPr>
              <w:tab/>
            </w:r>
            <w:r>
              <w:rPr>
                <w:noProof/>
                <w:webHidden/>
              </w:rPr>
              <w:fldChar w:fldCharType="begin"/>
            </w:r>
            <w:r>
              <w:rPr>
                <w:noProof/>
                <w:webHidden/>
              </w:rPr>
              <w:instrText xml:space="preserve"> PAGEREF _Toc25594667 \h </w:instrText>
            </w:r>
            <w:r>
              <w:rPr>
                <w:noProof/>
                <w:webHidden/>
              </w:rPr>
            </w:r>
            <w:r>
              <w:rPr>
                <w:noProof/>
                <w:webHidden/>
              </w:rPr>
              <w:fldChar w:fldCharType="separate"/>
            </w:r>
            <w:r>
              <w:rPr>
                <w:noProof/>
                <w:webHidden/>
              </w:rPr>
              <w:t>65</w:t>
            </w:r>
            <w:r>
              <w:rPr>
                <w:noProof/>
                <w:webHidden/>
              </w:rPr>
              <w:fldChar w:fldCharType="end"/>
            </w:r>
          </w:hyperlink>
        </w:p>
        <w:p w14:paraId="6AE7EE5B" w14:textId="77777777" w:rsidR="00297BA8" w:rsidRDefault="00297BA8">
          <w:pPr>
            <w:pStyle w:val="Turinys2"/>
            <w:tabs>
              <w:tab w:val="left" w:pos="1100"/>
              <w:tab w:val="right" w:leader="dot" w:pos="9016"/>
            </w:tabs>
            <w:rPr>
              <w:rFonts w:eastAsiaTheme="minorEastAsia"/>
              <w:noProof/>
              <w:lang w:val="lt-LT" w:eastAsia="lt-LT"/>
            </w:rPr>
          </w:pPr>
          <w:hyperlink w:anchor="_Toc25594668" w:history="1">
            <w:r w:rsidRPr="00155C99">
              <w:rPr>
                <w:rStyle w:val="Hipersaitas"/>
                <w:rFonts w:ascii="Georgia" w:eastAsia="Times New Roman" w:hAnsi="Georgia" w:cs="Arial Unicode MS"/>
                <w:b/>
                <w:i/>
                <w:noProof/>
                <w:lang w:val="lt-LT"/>
              </w:rPr>
              <w:t>3.1.2.</w:t>
            </w:r>
            <w:r>
              <w:rPr>
                <w:rFonts w:eastAsiaTheme="minorEastAsia"/>
                <w:noProof/>
                <w:lang w:val="lt-LT" w:eastAsia="lt-LT"/>
              </w:rPr>
              <w:tab/>
            </w:r>
            <w:r w:rsidRPr="00155C99">
              <w:rPr>
                <w:rStyle w:val="Hipersaitas"/>
                <w:rFonts w:ascii="Georgia" w:eastAsia="Times New Roman" w:hAnsi="Georgia" w:cs="Arial Unicode MS"/>
                <w:b/>
                <w:i/>
                <w:noProof/>
                <w:lang w:val="lt-LT"/>
              </w:rPr>
              <w:t>ES programos</w:t>
            </w:r>
            <w:r>
              <w:rPr>
                <w:noProof/>
                <w:webHidden/>
              </w:rPr>
              <w:tab/>
            </w:r>
            <w:r>
              <w:rPr>
                <w:noProof/>
                <w:webHidden/>
              </w:rPr>
              <w:fldChar w:fldCharType="begin"/>
            </w:r>
            <w:r>
              <w:rPr>
                <w:noProof/>
                <w:webHidden/>
              </w:rPr>
              <w:instrText xml:space="preserve"> PAGEREF _Toc25594668 \h </w:instrText>
            </w:r>
            <w:r>
              <w:rPr>
                <w:noProof/>
                <w:webHidden/>
              </w:rPr>
            </w:r>
            <w:r>
              <w:rPr>
                <w:noProof/>
                <w:webHidden/>
              </w:rPr>
              <w:fldChar w:fldCharType="separate"/>
            </w:r>
            <w:r>
              <w:rPr>
                <w:noProof/>
                <w:webHidden/>
              </w:rPr>
              <w:t>66</w:t>
            </w:r>
            <w:r>
              <w:rPr>
                <w:noProof/>
                <w:webHidden/>
              </w:rPr>
              <w:fldChar w:fldCharType="end"/>
            </w:r>
          </w:hyperlink>
        </w:p>
        <w:p w14:paraId="5EB00627" w14:textId="77777777" w:rsidR="00297BA8" w:rsidRDefault="00297BA8">
          <w:pPr>
            <w:pStyle w:val="Turinys2"/>
            <w:tabs>
              <w:tab w:val="left" w:pos="1100"/>
              <w:tab w:val="right" w:leader="dot" w:pos="9016"/>
            </w:tabs>
            <w:rPr>
              <w:rFonts w:eastAsiaTheme="minorEastAsia"/>
              <w:noProof/>
              <w:lang w:val="lt-LT" w:eastAsia="lt-LT"/>
            </w:rPr>
          </w:pPr>
          <w:hyperlink w:anchor="_Toc25594669" w:history="1">
            <w:r w:rsidRPr="00155C99">
              <w:rPr>
                <w:rStyle w:val="Hipersaitas"/>
                <w:rFonts w:ascii="Georgia" w:eastAsia="Times New Roman" w:hAnsi="Georgia" w:cs="Arial Unicode MS"/>
                <w:b/>
                <w:i/>
                <w:noProof/>
                <w:lang w:val="lt-LT"/>
              </w:rPr>
              <w:t>3.1.3.</w:t>
            </w:r>
            <w:r>
              <w:rPr>
                <w:rFonts w:eastAsiaTheme="minorEastAsia"/>
                <w:noProof/>
                <w:lang w:val="lt-LT" w:eastAsia="lt-LT"/>
              </w:rPr>
              <w:tab/>
            </w:r>
            <w:r w:rsidRPr="00155C99">
              <w:rPr>
                <w:rStyle w:val="Hipersaitas"/>
                <w:rFonts w:ascii="Georgia" w:eastAsia="Times New Roman" w:hAnsi="Georgia" w:cs="Arial Unicode MS"/>
                <w:b/>
                <w:i/>
                <w:noProof/>
                <w:lang w:val="lt-LT"/>
              </w:rPr>
              <w:t>Tarptautinių finansų institucijų analizė</w:t>
            </w:r>
            <w:r>
              <w:rPr>
                <w:noProof/>
                <w:webHidden/>
              </w:rPr>
              <w:tab/>
            </w:r>
            <w:r>
              <w:rPr>
                <w:noProof/>
                <w:webHidden/>
              </w:rPr>
              <w:fldChar w:fldCharType="begin"/>
            </w:r>
            <w:r>
              <w:rPr>
                <w:noProof/>
                <w:webHidden/>
              </w:rPr>
              <w:instrText xml:space="preserve"> PAGEREF _Toc25594669 \h </w:instrText>
            </w:r>
            <w:r>
              <w:rPr>
                <w:noProof/>
                <w:webHidden/>
              </w:rPr>
            </w:r>
            <w:r>
              <w:rPr>
                <w:noProof/>
                <w:webHidden/>
              </w:rPr>
              <w:fldChar w:fldCharType="separate"/>
            </w:r>
            <w:r>
              <w:rPr>
                <w:noProof/>
                <w:webHidden/>
              </w:rPr>
              <w:t>67</w:t>
            </w:r>
            <w:r>
              <w:rPr>
                <w:noProof/>
                <w:webHidden/>
              </w:rPr>
              <w:fldChar w:fldCharType="end"/>
            </w:r>
          </w:hyperlink>
        </w:p>
        <w:p w14:paraId="21E8F1FE" w14:textId="77777777" w:rsidR="00297BA8" w:rsidRDefault="00297BA8">
          <w:pPr>
            <w:pStyle w:val="Turinys2"/>
            <w:tabs>
              <w:tab w:val="left" w:pos="1320"/>
              <w:tab w:val="right" w:leader="dot" w:pos="9016"/>
            </w:tabs>
            <w:rPr>
              <w:rFonts w:eastAsiaTheme="minorEastAsia"/>
              <w:noProof/>
              <w:lang w:val="lt-LT" w:eastAsia="lt-LT"/>
            </w:rPr>
          </w:pPr>
          <w:hyperlink w:anchor="_Toc25594670" w:history="1">
            <w:r w:rsidRPr="00155C99">
              <w:rPr>
                <w:rStyle w:val="Hipersaitas"/>
                <w:rFonts w:ascii="Georgia" w:eastAsia="Times New Roman" w:hAnsi="Georgia" w:cs="Arial Unicode MS"/>
                <w:b/>
                <w:i/>
                <w:noProof/>
                <w:lang w:val="lt-LT"/>
              </w:rPr>
              <w:t>3.1.3.1.</w:t>
            </w:r>
            <w:r>
              <w:rPr>
                <w:rFonts w:eastAsiaTheme="minorEastAsia"/>
                <w:noProof/>
                <w:lang w:val="lt-LT" w:eastAsia="lt-LT"/>
              </w:rPr>
              <w:tab/>
            </w:r>
            <w:r w:rsidRPr="00155C99">
              <w:rPr>
                <w:rStyle w:val="Hipersaitas"/>
                <w:rFonts w:ascii="Georgia" w:eastAsia="Times New Roman" w:hAnsi="Georgia" w:cs="Arial Unicode MS"/>
                <w:b/>
                <w:i/>
                <w:noProof/>
                <w:lang w:val="lt-LT"/>
              </w:rPr>
              <w:t>Europos rekonstrukcijos ir plėtros bankas</w:t>
            </w:r>
            <w:r>
              <w:rPr>
                <w:noProof/>
                <w:webHidden/>
              </w:rPr>
              <w:tab/>
            </w:r>
            <w:r>
              <w:rPr>
                <w:noProof/>
                <w:webHidden/>
              </w:rPr>
              <w:fldChar w:fldCharType="begin"/>
            </w:r>
            <w:r>
              <w:rPr>
                <w:noProof/>
                <w:webHidden/>
              </w:rPr>
              <w:instrText xml:space="preserve"> PAGEREF _Toc25594670 \h </w:instrText>
            </w:r>
            <w:r>
              <w:rPr>
                <w:noProof/>
                <w:webHidden/>
              </w:rPr>
            </w:r>
            <w:r>
              <w:rPr>
                <w:noProof/>
                <w:webHidden/>
              </w:rPr>
              <w:fldChar w:fldCharType="separate"/>
            </w:r>
            <w:r>
              <w:rPr>
                <w:noProof/>
                <w:webHidden/>
              </w:rPr>
              <w:t>67</w:t>
            </w:r>
            <w:r>
              <w:rPr>
                <w:noProof/>
                <w:webHidden/>
              </w:rPr>
              <w:fldChar w:fldCharType="end"/>
            </w:r>
          </w:hyperlink>
        </w:p>
        <w:p w14:paraId="00985F5D" w14:textId="77777777" w:rsidR="00297BA8" w:rsidRDefault="00297BA8">
          <w:pPr>
            <w:pStyle w:val="Turinys2"/>
            <w:tabs>
              <w:tab w:val="left" w:pos="1320"/>
              <w:tab w:val="right" w:leader="dot" w:pos="9016"/>
            </w:tabs>
            <w:rPr>
              <w:rFonts w:eastAsiaTheme="minorEastAsia"/>
              <w:noProof/>
              <w:lang w:val="lt-LT" w:eastAsia="lt-LT"/>
            </w:rPr>
          </w:pPr>
          <w:hyperlink w:anchor="_Toc25594671" w:history="1">
            <w:r w:rsidRPr="00155C99">
              <w:rPr>
                <w:rStyle w:val="Hipersaitas"/>
                <w:rFonts w:ascii="Georgia" w:eastAsia="Times New Roman" w:hAnsi="Georgia" w:cs="Arial Unicode MS"/>
                <w:b/>
                <w:i/>
                <w:noProof/>
                <w:lang w:val="lt-LT"/>
              </w:rPr>
              <w:t>3.1.3.2.</w:t>
            </w:r>
            <w:r>
              <w:rPr>
                <w:rFonts w:eastAsiaTheme="minorEastAsia"/>
                <w:noProof/>
                <w:lang w:val="lt-LT" w:eastAsia="lt-LT"/>
              </w:rPr>
              <w:tab/>
            </w:r>
            <w:r w:rsidRPr="00155C99">
              <w:rPr>
                <w:rStyle w:val="Hipersaitas"/>
                <w:rFonts w:ascii="Georgia" w:eastAsia="Times New Roman" w:hAnsi="Georgia" w:cs="Arial Unicode MS"/>
                <w:b/>
                <w:i/>
                <w:noProof/>
                <w:lang w:val="lt-LT"/>
              </w:rPr>
              <w:t>Šiaurės investicijų bankas</w:t>
            </w:r>
            <w:r>
              <w:rPr>
                <w:noProof/>
                <w:webHidden/>
              </w:rPr>
              <w:tab/>
            </w:r>
            <w:r>
              <w:rPr>
                <w:noProof/>
                <w:webHidden/>
              </w:rPr>
              <w:fldChar w:fldCharType="begin"/>
            </w:r>
            <w:r>
              <w:rPr>
                <w:noProof/>
                <w:webHidden/>
              </w:rPr>
              <w:instrText xml:space="preserve"> PAGEREF _Toc25594671 \h </w:instrText>
            </w:r>
            <w:r>
              <w:rPr>
                <w:noProof/>
                <w:webHidden/>
              </w:rPr>
            </w:r>
            <w:r>
              <w:rPr>
                <w:noProof/>
                <w:webHidden/>
              </w:rPr>
              <w:fldChar w:fldCharType="separate"/>
            </w:r>
            <w:r>
              <w:rPr>
                <w:noProof/>
                <w:webHidden/>
              </w:rPr>
              <w:t>71</w:t>
            </w:r>
            <w:r>
              <w:rPr>
                <w:noProof/>
                <w:webHidden/>
              </w:rPr>
              <w:fldChar w:fldCharType="end"/>
            </w:r>
          </w:hyperlink>
        </w:p>
        <w:p w14:paraId="708F2E33" w14:textId="77777777" w:rsidR="00297BA8" w:rsidRDefault="00297BA8">
          <w:pPr>
            <w:pStyle w:val="Turinys2"/>
            <w:tabs>
              <w:tab w:val="left" w:pos="1320"/>
              <w:tab w:val="right" w:leader="dot" w:pos="9016"/>
            </w:tabs>
            <w:rPr>
              <w:rFonts w:eastAsiaTheme="minorEastAsia"/>
              <w:noProof/>
              <w:lang w:val="lt-LT" w:eastAsia="lt-LT"/>
            </w:rPr>
          </w:pPr>
          <w:hyperlink w:anchor="_Toc25594672" w:history="1">
            <w:r w:rsidRPr="00155C99">
              <w:rPr>
                <w:rStyle w:val="Hipersaitas"/>
                <w:rFonts w:ascii="Georgia" w:eastAsia="Times New Roman" w:hAnsi="Georgia" w:cs="Arial Unicode MS"/>
                <w:b/>
                <w:i/>
                <w:noProof/>
                <w:lang w:val="lt-LT"/>
              </w:rPr>
              <w:t>3.1.3.3.</w:t>
            </w:r>
            <w:r>
              <w:rPr>
                <w:rFonts w:eastAsiaTheme="minorEastAsia"/>
                <w:noProof/>
                <w:lang w:val="lt-LT" w:eastAsia="lt-LT"/>
              </w:rPr>
              <w:tab/>
            </w:r>
            <w:r w:rsidRPr="00155C99">
              <w:rPr>
                <w:rStyle w:val="Hipersaitas"/>
                <w:rFonts w:ascii="Georgia" w:eastAsia="Times New Roman" w:hAnsi="Georgia" w:cs="Arial Unicode MS"/>
                <w:b/>
                <w:i/>
                <w:noProof/>
                <w:lang w:val="lt-LT"/>
              </w:rPr>
              <w:t>Europos investicijų bankas</w:t>
            </w:r>
            <w:r>
              <w:rPr>
                <w:noProof/>
                <w:webHidden/>
              </w:rPr>
              <w:tab/>
            </w:r>
            <w:r>
              <w:rPr>
                <w:noProof/>
                <w:webHidden/>
              </w:rPr>
              <w:fldChar w:fldCharType="begin"/>
            </w:r>
            <w:r>
              <w:rPr>
                <w:noProof/>
                <w:webHidden/>
              </w:rPr>
              <w:instrText xml:space="preserve"> PAGEREF _Toc25594672 \h </w:instrText>
            </w:r>
            <w:r>
              <w:rPr>
                <w:noProof/>
                <w:webHidden/>
              </w:rPr>
            </w:r>
            <w:r>
              <w:rPr>
                <w:noProof/>
                <w:webHidden/>
              </w:rPr>
              <w:fldChar w:fldCharType="separate"/>
            </w:r>
            <w:r>
              <w:rPr>
                <w:noProof/>
                <w:webHidden/>
              </w:rPr>
              <w:t>74</w:t>
            </w:r>
            <w:r>
              <w:rPr>
                <w:noProof/>
                <w:webHidden/>
              </w:rPr>
              <w:fldChar w:fldCharType="end"/>
            </w:r>
          </w:hyperlink>
        </w:p>
        <w:p w14:paraId="3FEC5C4E" w14:textId="77777777" w:rsidR="00297BA8" w:rsidRDefault="00297BA8">
          <w:pPr>
            <w:pStyle w:val="Turinys2"/>
            <w:tabs>
              <w:tab w:val="left" w:pos="1320"/>
              <w:tab w:val="right" w:leader="dot" w:pos="9016"/>
            </w:tabs>
            <w:rPr>
              <w:rFonts w:eastAsiaTheme="minorEastAsia"/>
              <w:noProof/>
              <w:lang w:val="lt-LT" w:eastAsia="lt-LT"/>
            </w:rPr>
          </w:pPr>
          <w:hyperlink w:anchor="_Toc25594673" w:history="1">
            <w:r w:rsidRPr="00155C99">
              <w:rPr>
                <w:rStyle w:val="Hipersaitas"/>
                <w:rFonts w:ascii="Georgia" w:eastAsia="Times New Roman" w:hAnsi="Georgia" w:cs="Arial Unicode MS"/>
                <w:b/>
                <w:i/>
                <w:noProof/>
                <w:lang w:val="lt-LT"/>
              </w:rPr>
              <w:t>3.1.3.4.</w:t>
            </w:r>
            <w:r>
              <w:rPr>
                <w:rFonts w:eastAsiaTheme="minorEastAsia"/>
                <w:noProof/>
                <w:lang w:val="lt-LT" w:eastAsia="lt-LT"/>
              </w:rPr>
              <w:tab/>
            </w:r>
            <w:r w:rsidRPr="00155C99">
              <w:rPr>
                <w:rStyle w:val="Hipersaitas"/>
                <w:rFonts w:ascii="Georgia" w:eastAsia="Times New Roman" w:hAnsi="Georgia" w:cs="Arial Unicode MS"/>
                <w:b/>
                <w:i/>
                <w:noProof/>
                <w:lang w:val="lt-LT"/>
              </w:rPr>
              <w:t>Europos Tarybos vystymo bankas</w:t>
            </w:r>
            <w:r>
              <w:rPr>
                <w:noProof/>
                <w:webHidden/>
              </w:rPr>
              <w:tab/>
            </w:r>
            <w:r>
              <w:rPr>
                <w:noProof/>
                <w:webHidden/>
              </w:rPr>
              <w:fldChar w:fldCharType="begin"/>
            </w:r>
            <w:r>
              <w:rPr>
                <w:noProof/>
                <w:webHidden/>
              </w:rPr>
              <w:instrText xml:space="preserve"> PAGEREF _Toc25594673 \h </w:instrText>
            </w:r>
            <w:r>
              <w:rPr>
                <w:noProof/>
                <w:webHidden/>
              </w:rPr>
            </w:r>
            <w:r>
              <w:rPr>
                <w:noProof/>
                <w:webHidden/>
              </w:rPr>
              <w:fldChar w:fldCharType="separate"/>
            </w:r>
            <w:r>
              <w:rPr>
                <w:noProof/>
                <w:webHidden/>
              </w:rPr>
              <w:t>79</w:t>
            </w:r>
            <w:r>
              <w:rPr>
                <w:noProof/>
                <w:webHidden/>
              </w:rPr>
              <w:fldChar w:fldCharType="end"/>
            </w:r>
          </w:hyperlink>
        </w:p>
        <w:p w14:paraId="699DF26D" w14:textId="77777777" w:rsidR="00297BA8" w:rsidRDefault="00297BA8">
          <w:pPr>
            <w:pStyle w:val="Turinys2"/>
            <w:tabs>
              <w:tab w:val="left" w:pos="1100"/>
              <w:tab w:val="right" w:leader="dot" w:pos="9016"/>
            </w:tabs>
            <w:rPr>
              <w:rFonts w:eastAsiaTheme="minorEastAsia"/>
              <w:noProof/>
              <w:lang w:val="lt-LT" w:eastAsia="lt-LT"/>
            </w:rPr>
          </w:pPr>
          <w:hyperlink w:anchor="_Toc25594674" w:history="1">
            <w:r w:rsidRPr="00155C99">
              <w:rPr>
                <w:rStyle w:val="Hipersaitas"/>
                <w:rFonts w:ascii="Georgia" w:eastAsia="Times New Roman" w:hAnsi="Georgia" w:cs="Arial Unicode MS"/>
                <w:b/>
                <w:i/>
                <w:noProof/>
                <w:lang w:val="lt-LT"/>
              </w:rPr>
              <w:t>3.1.4.</w:t>
            </w:r>
            <w:r>
              <w:rPr>
                <w:rFonts w:eastAsiaTheme="minorEastAsia"/>
                <w:noProof/>
                <w:lang w:val="lt-LT" w:eastAsia="lt-LT"/>
              </w:rPr>
              <w:tab/>
            </w:r>
            <w:r w:rsidRPr="00155C99">
              <w:rPr>
                <w:rStyle w:val="Hipersaitas"/>
                <w:rFonts w:ascii="Georgia" w:eastAsia="Times New Roman" w:hAnsi="Georgia" w:cs="Arial Unicode MS"/>
                <w:b/>
                <w:i/>
                <w:noProof/>
                <w:lang w:val="lt-LT"/>
              </w:rPr>
              <w:t>Energijos Taupymo Paslaugų Įmonės (ESCO)</w:t>
            </w:r>
            <w:r>
              <w:rPr>
                <w:noProof/>
                <w:webHidden/>
              </w:rPr>
              <w:tab/>
            </w:r>
            <w:r>
              <w:rPr>
                <w:noProof/>
                <w:webHidden/>
              </w:rPr>
              <w:fldChar w:fldCharType="begin"/>
            </w:r>
            <w:r>
              <w:rPr>
                <w:noProof/>
                <w:webHidden/>
              </w:rPr>
              <w:instrText xml:space="preserve"> PAGEREF _Toc25594674 \h </w:instrText>
            </w:r>
            <w:r>
              <w:rPr>
                <w:noProof/>
                <w:webHidden/>
              </w:rPr>
            </w:r>
            <w:r>
              <w:rPr>
                <w:noProof/>
                <w:webHidden/>
              </w:rPr>
              <w:fldChar w:fldCharType="separate"/>
            </w:r>
            <w:r>
              <w:rPr>
                <w:noProof/>
                <w:webHidden/>
              </w:rPr>
              <w:t>81</w:t>
            </w:r>
            <w:r>
              <w:rPr>
                <w:noProof/>
                <w:webHidden/>
              </w:rPr>
              <w:fldChar w:fldCharType="end"/>
            </w:r>
          </w:hyperlink>
        </w:p>
        <w:p w14:paraId="6B6A347C" w14:textId="77777777" w:rsidR="00297BA8" w:rsidRDefault="00297BA8">
          <w:pPr>
            <w:pStyle w:val="Turinys2"/>
            <w:tabs>
              <w:tab w:val="left" w:pos="1100"/>
              <w:tab w:val="right" w:leader="dot" w:pos="9016"/>
            </w:tabs>
            <w:rPr>
              <w:rFonts w:eastAsiaTheme="minorEastAsia"/>
              <w:noProof/>
              <w:lang w:val="lt-LT" w:eastAsia="lt-LT"/>
            </w:rPr>
          </w:pPr>
          <w:hyperlink w:anchor="_Toc25594675" w:history="1">
            <w:r w:rsidRPr="00155C99">
              <w:rPr>
                <w:rStyle w:val="Hipersaitas"/>
                <w:rFonts w:ascii="Georgia" w:eastAsia="Times New Roman" w:hAnsi="Georgia" w:cs="Arial Unicode MS"/>
                <w:b/>
                <w:i/>
                <w:noProof/>
                <w:lang w:val="lt-LT"/>
              </w:rPr>
              <w:t>3.1.5.</w:t>
            </w:r>
            <w:r>
              <w:rPr>
                <w:rFonts w:eastAsiaTheme="minorEastAsia"/>
                <w:noProof/>
                <w:lang w:val="lt-LT" w:eastAsia="lt-LT"/>
              </w:rPr>
              <w:tab/>
            </w:r>
            <w:r w:rsidRPr="00155C99">
              <w:rPr>
                <w:rStyle w:val="Hipersaitas"/>
                <w:rFonts w:ascii="Georgia" w:eastAsia="Times New Roman" w:hAnsi="Georgia" w:cs="Arial Unicode MS"/>
                <w:b/>
                <w:i/>
                <w:noProof/>
                <w:lang w:val="lt-LT"/>
              </w:rPr>
              <w:t>Infrastruktūriniai fondai</w:t>
            </w:r>
            <w:r>
              <w:rPr>
                <w:noProof/>
                <w:webHidden/>
              </w:rPr>
              <w:tab/>
            </w:r>
            <w:r>
              <w:rPr>
                <w:noProof/>
                <w:webHidden/>
              </w:rPr>
              <w:fldChar w:fldCharType="begin"/>
            </w:r>
            <w:r>
              <w:rPr>
                <w:noProof/>
                <w:webHidden/>
              </w:rPr>
              <w:instrText xml:space="preserve"> PAGEREF _Toc25594675 \h </w:instrText>
            </w:r>
            <w:r>
              <w:rPr>
                <w:noProof/>
                <w:webHidden/>
              </w:rPr>
            </w:r>
            <w:r>
              <w:rPr>
                <w:noProof/>
                <w:webHidden/>
              </w:rPr>
              <w:fldChar w:fldCharType="separate"/>
            </w:r>
            <w:r>
              <w:rPr>
                <w:noProof/>
                <w:webHidden/>
              </w:rPr>
              <w:t>82</w:t>
            </w:r>
            <w:r>
              <w:rPr>
                <w:noProof/>
                <w:webHidden/>
              </w:rPr>
              <w:fldChar w:fldCharType="end"/>
            </w:r>
          </w:hyperlink>
        </w:p>
        <w:p w14:paraId="646C60AC" w14:textId="77777777" w:rsidR="00297BA8" w:rsidRDefault="00297BA8">
          <w:pPr>
            <w:pStyle w:val="Turinys2"/>
            <w:tabs>
              <w:tab w:val="left" w:pos="880"/>
              <w:tab w:val="right" w:leader="dot" w:pos="9016"/>
            </w:tabs>
            <w:rPr>
              <w:rFonts w:eastAsiaTheme="minorEastAsia"/>
              <w:noProof/>
              <w:lang w:val="lt-LT" w:eastAsia="lt-LT"/>
            </w:rPr>
          </w:pPr>
          <w:hyperlink w:anchor="_Toc25594676" w:history="1">
            <w:r w:rsidRPr="00155C99">
              <w:rPr>
                <w:rStyle w:val="Hipersaitas"/>
                <w:rFonts w:ascii="Georgia" w:hAnsi="Georgia"/>
                <w:noProof/>
                <w:lang w:val="lt-LT"/>
              </w:rPr>
              <w:t>3.2.</w:t>
            </w:r>
            <w:r>
              <w:rPr>
                <w:rFonts w:eastAsiaTheme="minorEastAsia"/>
                <w:noProof/>
                <w:lang w:val="lt-LT" w:eastAsia="lt-LT"/>
              </w:rPr>
              <w:tab/>
            </w:r>
            <w:r w:rsidRPr="00155C99">
              <w:rPr>
                <w:rStyle w:val="Hipersaitas"/>
                <w:rFonts w:ascii="Georgia" w:hAnsi="Georgia"/>
                <w:noProof/>
                <w:lang w:val="lt-LT"/>
              </w:rPr>
              <w:t>Lygio ir būdo privačių lėšų pritraukimui nustatymas</w:t>
            </w:r>
            <w:r>
              <w:rPr>
                <w:noProof/>
                <w:webHidden/>
              </w:rPr>
              <w:tab/>
            </w:r>
            <w:r>
              <w:rPr>
                <w:noProof/>
                <w:webHidden/>
              </w:rPr>
              <w:fldChar w:fldCharType="begin"/>
            </w:r>
            <w:r>
              <w:rPr>
                <w:noProof/>
                <w:webHidden/>
              </w:rPr>
              <w:instrText xml:space="preserve"> PAGEREF _Toc25594676 \h </w:instrText>
            </w:r>
            <w:r>
              <w:rPr>
                <w:noProof/>
                <w:webHidden/>
              </w:rPr>
            </w:r>
            <w:r>
              <w:rPr>
                <w:noProof/>
                <w:webHidden/>
              </w:rPr>
              <w:fldChar w:fldCharType="separate"/>
            </w:r>
            <w:r>
              <w:rPr>
                <w:noProof/>
                <w:webHidden/>
              </w:rPr>
              <w:t>83</w:t>
            </w:r>
            <w:r>
              <w:rPr>
                <w:noProof/>
                <w:webHidden/>
              </w:rPr>
              <w:fldChar w:fldCharType="end"/>
            </w:r>
          </w:hyperlink>
        </w:p>
        <w:p w14:paraId="2CC5886B" w14:textId="77777777" w:rsidR="00297BA8" w:rsidRDefault="00297BA8">
          <w:pPr>
            <w:pStyle w:val="Turinys2"/>
            <w:tabs>
              <w:tab w:val="left" w:pos="880"/>
              <w:tab w:val="right" w:leader="dot" w:pos="9016"/>
            </w:tabs>
            <w:rPr>
              <w:rFonts w:eastAsiaTheme="minorEastAsia"/>
              <w:noProof/>
              <w:lang w:val="lt-LT" w:eastAsia="lt-LT"/>
            </w:rPr>
          </w:pPr>
          <w:hyperlink w:anchor="_Toc25594677" w:history="1">
            <w:r w:rsidRPr="00155C99">
              <w:rPr>
                <w:rStyle w:val="Hipersaitas"/>
                <w:rFonts w:ascii="Georgia" w:hAnsi="Georgia"/>
                <w:noProof/>
                <w:lang w:val="lt-LT"/>
              </w:rPr>
              <w:t>3.3.</w:t>
            </w:r>
            <w:r>
              <w:rPr>
                <w:rFonts w:eastAsiaTheme="minorEastAsia"/>
                <w:noProof/>
                <w:lang w:val="lt-LT" w:eastAsia="lt-LT"/>
              </w:rPr>
              <w:tab/>
            </w:r>
            <w:r w:rsidRPr="00155C99">
              <w:rPr>
                <w:rStyle w:val="Hipersaitas"/>
                <w:rFonts w:ascii="Georgia" w:hAnsi="Georgia"/>
                <w:noProof/>
                <w:lang w:val="lt-LT"/>
              </w:rPr>
              <w:t>Skatinamųjų elementų  įvertinimas</w:t>
            </w:r>
            <w:r>
              <w:rPr>
                <w:noProof/>
                <w:webHidden/>
              </w:rPr>
              <w:tab/>
            </w:r>
            <w:r>
              <w:rPr>
                <w:noProof/>
                <w:webHidden/>
              </w:rPr>
              <w:fldChar w:fldCharType="begin"/>
            </w:r>
            <w:r>
              <w:rPr>
                <w:noProof/>
                <w:webHidden/>
              </w:rPr>
              <w:instrText xml:space="preserve"> PAGEREF _Toc25594677 \h </w:instrText>
            </w:r>
            <w:r>
              <w:rPr>
                <w:noProof/>
                <w:webHidden/>
              </w:rPr>
            </w:r>
            <w:r>
              <w:rPr>
                <w:noProof/>
                <w:webHidden/>
              </w:rPr>
              <w:fldChar w:fldCharType="separate"/>
            </w:r>
            <w:r>
              <w:rPr>
                <w:noProof/>
                <w:webHidden/>
              </w:rPr>
              <w:t>85</w:t>
            </w:r>
            <w:r>
              <w:rPr>
                <w:noProof/>
                <w:webHidden/>
              </w:rPr>
              <w:fldChar w:fldCharType="end"/>
            </w:r>
          </w:hyperlink>
        </w:p>
        <w:p w14:paraId="310F33DC" w14:textId="77777777" w:rsidR="00297BA8" w:rsidRDefault="00297BA8">
          <w:pPr>
            <w:pStyle w:val="Turinys1"/>
            <w:tabs>
              <w:tab w:val="left" w:pos="660"/>
              <w:tab w:val="right" w:leader="dot" w:pos="9016"/>
            </w:tabs>
            <w:rPr>
              <w:rFonts w:eastAsiaTheme="minorEastAsia"/>
              <w:noProof/>
              <w:lang w:val="lt-LT" w:eastAsia="lt-LT"/>
            </w:rPr>
          </w:pPr>
          <w:hyperlink w:anchor="_Toc25594678" w:history="1">
            <w:r w:rsidRPr="00155C99">
              <w:rPr>
                <w:rStyle w:val="Hipersaitas"/>
                <w:rFonts w:cs="Arial"/>
                <w:noProof/>
                <w:lang w:val="lt-LT"/>
              </w:rPr>
              <w:t>4.</w:t>
            </w:r>
            <w:r>
              <w:rPr>
                <w:rFonts w:eastAsiaTheme="minorEastAsia"/>
                <w:noProof/>
                <w:lang w:val="lt-LT" w:eastAsia="lt-LT"/>
              </w:rPr>
              <w:tab/>
            </w:r>
            <w:r w:rsidRPr="00155C99">
              <w:rPr>
                <w:rStyle w:val="Hipersaitas"/>
                <w:noProof/>
                <w:lang w:val="lt-LT"/>
              </w:rPr>
              <w:t>Finansinės priemonės pridėtinė vertė ir suderinamumas su kitomis viešųjų intervencijų formomis</w:t>
            </w:r>
            <w:r>
              <w:rPr>
                <w:noProof/>
                <w:webHidden/>
              </w:rPr>
              <w:tab/>
            </w:r>
            <w:r>
              <w:rPr>
                <w:noProof/>
                <w:webHidden/>
              </w:rPr>
              <w:fldChar w:fldCharType="begin"/>
            </w:r>
            <w:r>
              <w:rPr>
                <w:noProof/>
                <w:webHidden/>
              </w:rPr>
              <w:instrText xml:space="preserve"> PAGEREF _Toc25594678 \h </w:instrText>
            </w:r>
            <w:r>
              <w:rPr>
                <w:noProof/>
                <w:webHidden/>
              </w:rPr>
            </w:r>
            <w:r>
              <w:rPr>
                <w:noProof/>
                <w:webHidden/>
              </w:rPr>
              <w:fldChar w:fldCharType="separate"/>
            </w:r>
            <w:r>
              <w:rPr>
                <w:noProof/>
                <w:webHidden/>
              </w:rPr>
              <w:t>87</w:t>
            </w:r>
            <w:r>
              <w:rPr>
                <w:noProof/>
                <w:webHidden/>
              </w:rPr>
              <w:fldChar w:fldCharType="end"/>
            </w:r>
          </w:hyperlink>
        </w:p>
        <w:p w14:paraId="2F45413C" w14:textId="77777777" w:rsidR="00297BA8" w:rsidRDefault="00297BA8">
          <w:pPr>
            <w:pStyle w:val="Turinys2"/>
            <w:tabs>
              <w:tab w:val="left" w:pos="880"/>
              <w:tab w:val="right" w:leader="dot" w:pos="9016"/>
            </w:tabs>
            <w:rPr>
              <w:rFonts w:eastAsiaTheme="minorEastAsia"/>
              <w:noProof/>
              <w:lang w:val="lt-LT" w:eastAsia="lt-LT"/>
            </w:rPr>
          </w:pPr>
          <w:hyperlink w:anchor="_Toc25594679" w:history="1">
            <w:r w:rsidRPr="00155C99">
              <w:rPr>
                <w:rStyle w:val="Hipersaitas"/>
                <w:rFonts w:ascii="Georgia" w:hAnsi="Georgia"/>
                <w:noProof/>
                <w:lang w:val="lt-LT"/>
              </w:rPr>
              <w:t>4.1.</w:t>
            </w:r>
            <w:r>
              <w:rPr>
                <w:rFonts w:eastAsiaTheme="minorEastAsia"/>
                <w:noProof/>
                <w:lang w:val="lt-LT" w:eastAsia="lt-LT"/>
              </w:rPr>
              <w:tab/>
            </w:r>
            <w:r w:rsidRPr="00155C99">
              <w:rPr>
                <w:rStyle w:val="Hipersaitas"/>
                <w:rFonts w:ascii="Georgia" w:hAnsi="Georgia"/>
                <w:noProof/>
                <w:lang w:val="lt-LT"/>
              </w:rPr>
              <w:t>Kiekybinis pridėtinės vertės vertinimas - jautrumo analizė ir alternatyvų palyginimas</w:t>
            </w:r>
            <w:r>
              <w:rPr>
                <w:noProof/>
                <w:webHidden/>
              </w:rPr>
              <w:tab/>
            </w:r>
            <w:r>
              <w:rPr>
                <w:noProof/>
                <w:webHidden/>
              </w:rPr>
              <w:fldChar w:fldCharType="begin"/>
            </w:r>
            <w:r>
              <w:rPr>
                <w:noProof/>
                <w:webHidden/>
              </w:rPr>
              <w:instrText xml:space="preserve"> PAGEREF _Toc25594679 \h </w:instrText>
            </w:r>
            <w:r>
              <w:rPr>
                <w:noProof/>
                <w:webHidden/>
              </w:rPr>
            </w:r>
            <w:r>
              <w:rPr>
                <w:noProof/>
                <w:webHidden/>
              </w:rPr>
              <w:fldChar w:fldCharType="separate"/>
            </w:r>
            <w:r>
              <w:rPr>
                <w:noProof/>
                <w:webHidden/>
              </w:rPr>
              <w:t>87</w:t>
            </w:r>
            <w:r>
              <w:rPr>
                <w:noProof/>
                <w:webHidden/>
              </w:rPr>
              <w:fldChar w:fldCharType="end"/>
            </w:r>
          </w:hyperlink>
        </w:p>
        <w:p w14:paraId="0EE46B20" w14:textId="77777777" w:rsidR="00297BA8" w:rsidRDefault="00297BA8">
          <w:pPr>
            <w:pStyle w:val="Turinys2"/>
            <w:tabs>
              <w:tab w:val="left" w:pos="1100"/>
              <w:tab w:val="right" w:leader="dot" w:pos="9016"/>
            </w:tabs>
            <w:rPr>
              <w:rFonts w:eastAsiaTheme="minorEastAsia"/>
              <w:noProof/>
              <w:lang w:val="lt-LT" w:eastAsia="lt-LT"/>
            </w:rPr>
          </w:pPr>
          <w:hyperlink w:anchor="_Toc25594680" w:history="1">
            <w:r w:rsidRPr="00155C99">
              <w:rPr>
                <w:rStyle w:val="Hipersaitas"/>
                <w:rFonts w:ascii="Georgia" w:hAnsi="Georgia"/>
                <w:noProof/>
                <w:lang w:val="lt-LT"/>
              </w:rPr>
              <w:t>4.1.1.</w:t>
            </w:r>
            <w:r>
              <w:rPr>
                <w:rFonts w:eastAsiaTheme="minorEastAsia"/>
                <w:noProof/>
                <w:lang w:val="lt-LT" w:eastAsia="lt-LT"/>
              </w:rPr>
              <w:tab/>
            </w:r>
            <w:r w:rsidRPr="00155C99">
              <w:rPr>
                <w:rStyle w:val="Hipersaitas"/>
                <w:rFonts w:ascii="Georgia" w:hAnsi="Georgia"/>
                <w:noProof/>
                <w:lang w:val="lt-LT"/>
              </w:rPr>
              <w:t>Šilumos kainos prognozės Lietuvoje</w:t>
            </w:r>
            <w:r>
              <w:rPr>
                <w:noProof/>
                <w:webHidden/>
              </w:rPr>
              <w:tab/>
            </w:r>
            <w:r>
              <w:rPr>
                <w:noProof/>
                <w:webHidden/>
              </w:rPr>
              <w:fldChar w:fldCharType="begin"/>
            </w:r>
            <w:r>
              <w:rPr>
                <w:noProof/>
                <w:webHidden/>
              </w:rPr>
              <w:instrText xml:space="preserve"> PAGEREF _Toc25594680 \h </w:instrText>
            </w:r>
            <w:r>
              <w:rPr>
                <w:noProof/>
                <w:webHidden/>
              </w:rPr>
            </w:r>
            <w:r>
              <w:rPr>
                <w:noProof/>
                <w:webHidden/>
              </w:rPr>
              <w:fldChar w:fldCharType="separate"/>
            </w:r>
            <w:r>
              <w:rPr>
                <w:noProof/>
                <w:webHidden/>
              </w:rPr>
              <w:t>87</w:t>
            </w:r>
            <w:r>
              <w:rPr>
                <w:noProof/>
                <w:webHidden/>
              </w:rPr>
              <w:fldChar w:fldCharType="end"/>
            </w:r>
          </w:hyperlink>
        </w:p>
        <w:p w14:paraId="6BEE534F" w14:textId="77777777" w:rsidR="00297BA8" w:rsidRDefault="00297BA8">
          <w:pPr>
            <w:pStyle w:val="Turinys2"/>
            <w:tabs>
              <w:tab w:val="left" w:pos="1100"/>
              <w:tab w:val="right" w:leader="dot" w:pos="9016"/>
            </w:tabs>
            <w:rPr>
              <w:rFonts w:eastAsiaTheme="minorEastAsia"/>
              <w:noProof/>
              <w:lang w:val="lt-LT" w:eastAsia="lt-LT"/>
            </w:rPr>
          </w:pPr>
          <w:hyperlink w:anchor="_Toc25594681" w:history="1">
            <w:r w:rsidRPr="00155C99">
              <w:rPr>
                <w:rStyle w:val="Hipersaitas"/>
                <w:rFonts w:ascii="Georgia" w:hAnsi="Georgia"/>
                <w:noProof/>
                <w:lang w:val="lt-LT"/>
              </w:rPr>
              <w:t>4.1.2.</w:t>
            </w:r>
            <w:r>
              <w:rPr>
                <w:rFonts w:eastAsiaTheme="minorEastAsia"/>
                <w:noProof/>
                <w:lang w:val="lt-LT" w:eastAsia="lt-LT"/>
              </w:rPr>
              <w:tab/>
            </w:r>
            <w:r w:rsidRPr="00155C99">
              <w:rPr>
                <w:rStyle w:val="Hipersaitas"/>
                <w:rFonts w:ascii="Georgia" w:hAnsi="Georgia"/>
                <w:noProof/>
                <w:lang w:val="lt-LT"/>
              </w:rPr>
              <w:t>Daugiabučių modernizavimo jautrumo analizė</w:t>
            </w:r>
            <w:r>
              <w:rPr>
                <w:noProof/>
                <w:webHidden/>
              </w:rPr>
              <w:tab/>
            </w:r>
            <w:r>
              <w:rPr>
                <w:noProof/>
                <w:webHidden/>
              </w:rPr>
              <w:fldChar w:fldCharType="begin"/>
            </w:r>
            <w:r>
              <w:rPr>
                <w:noProof/>
                <w:webHidden/>
              </w:rPr>
              <w:instrText xml:space="preserve"> PAGEREF _Toc25594681 \h </w:instrText>
            </w:r>
            <w:r>
              <w:rPr>
                <w:noProof/>
                <w:webHidden/>
              </w:rPr>
            </w:r>
            <w:r>
              <w:rPr>
                <w:noProof/>
                <w:webHidden/>
              </w:rPr>
              <w:fldChar w:fldCharType="separate"/>
            </w:r>
            <w:r>
              <w:rPr>
                <w:noProof/>
                <w:webHidden/>
              </w:rPr>
              <w:t>88</w:t>
            </w:r>
            <w:r>
              <w:rPr>
                <w:noProof/>
                <w:webHidden/>
              </w:rPr>
              <w:fldChar w:fldCharType="end"/>
            </w:r>
          </w:hyperlink>
        </w:p>
        <w:p w14:paraId="30FEEFBE" w14:textId="77777777" w:rsidR="00297BA8" w:rsidRDefault="00297BA8">
          <w:pPr>
            <w:pStyle w:val="Turinys2"/>
            <w:tabs>
              <w:tab w:val="left" w:pos="1100"/>
              <w:tab w:val="right" w:leader="dot" w:pos="9016"/>
            </w:tabs>
            <w:rPr>
              <w:rFonts w:eastAsiaTheme="minorEastAsia"/>
              <w:noProof/>
              <w:lang w:val="lt-LT" w:eastAsia="lt-LT"/>
            </w:rPr>
          </w:pPr>
          <w:hyperlink w:anchor="_Toc25594682" w:history="1">
            <w:r w:rsidRPr="00155C99">
              <w:rPr>
                <w:rStyle w:val="Hipersaitas"/>
                <w:rFonts w:ascii="Georgia" w:hAnsi="Georgia"/>
                <w:noProof/>
                <w:lang w:val="lt-LT"/>
              </w:rPr>
              <w:t>4.1.3.</w:t>
            </w:r>
            <w:r>
              <w:rPr>
                <w:rFonts w:eastAsiaTheme="minorEastAsia"/>
                <w:noProof/>
                <w:lang w:val="lt-LT" w:eastAsia="lt-LT"/>
              </w:rPr>
              <w:tab/>
            </w:r>
            <w:r w:rsidRPr="00155C99">
              <w:rPr>
                <w:rStyle w:val="Hipersaitas"/>
                <w:rFonts w:ascii="Georgia" w:hAnsi="Georgia"/>
                <w:noProof/>
                <w:lang w:val="lt-LT"/>
              </w:rPr>
              <w:t>Viešųjų pastatų renovacijos jautrumo analizė</w:t>
            </w:r>
            <w:r>
              <w:rPr>
                <w:noProof/>
                <w:webHidden/>
              </w:rPr>
              <w:tab/>
            </w:r>
            <w:r>
              <w:rPr>
                <w:noProof/>
                <w:webHidden/>
              </w:rPr>
              <w:fldChar w:fldCharType="begin"/>
            </w:r>
            <w:r>
              <w:rPr>
                <w:noProof/>
                <w:webHidden/>
              </w:rPr>
              <w:instrText xml:space="preserve"> PAGEREF _Toc25594682 \h </w:instrText>
            </w:r>
            <w:r>
              <w:rPr>
                <w:noProof/>
                <w:webHidden/>
              </w:rPr>
            </w:r>
            <w:r>
              <w:rPr>
                <w:noProof/>
                <w:webHidden/>
              </w:rPr>
              <w:fldChar w:fldCharType="separate"/>
            </w:r>
            <w:r>
              <w:rPr>
                <w:noProof/>
                <w:webHidden/>
              </w:rPr>
              <w:t>93</w:t>
            </w:r>
            <w:r>
              <w:rPr>
                <w:noProof/>
                <w:webHidden/>
              </w:rPr>
              <w:fldChar w:fldCharType="end"/>
            </w:r>
          </w:hyperlink>
        </w:p>
        <w:p w14:paraId="3F401108" w14:textId="77777777" w:rsidR="00297BA8" w:rsidRDefault="00297BA8">
          <w:pPr>
            <w:pStyle w:val="Turinys2"/>
            <w:tabs>
              <w:tab w:val="left" w:pos="1100"/>
              <w:tab w:val="right" w:leader="dot" w:pos="9016"/>
            </w:tabs>
            <w:rPr>
              <w:rFonts w:eastAsiaTheme="minorEastAsia"/>
              <w:noProof/>
              <w:lang w:val="lt-LT" w:eastAsia="lt-LT"/>
            </w:rPr>
          </w:pPr>
          <w:hyperlink w:anchor="_Toc25594683" w:history="1">
            <w:r w:rsidRPr="00155C99">
              <w:rPr>
                <w:rStyle w:val="Hipersaitas"/>
                <w:rFonts w:ascii="Georgia" w:hAnsi="Georgia"/>
                <w:noProof/>
                <w:lang w:val="lt-LT"/>
              </w:rPr>
              <w:t>4.1.4.</w:t>
            </w:r>
            <w:r>
              <w:rPr>
                <w:rFonts w:eastAsiaTheme="minorEastAsia"/>
                <w:noProof/>
                <w:lang w:val="lt-LT" w:eastAsia="lt-LT"/>
              </w:rPr>
              <w:tab/>
            </w:r>
            <w:r w:rsidRPr="00155C99">
              <w:rPr>
                <w:rStyle w:val="Hipersaitas"/>
                <w:rFonts w:ascii="Georgia" w:hAnsi="Georgia"/>
                <w:noProof/>
                <w:lang w:val="lt-LT"/>
              </w:rPr>
              <w:t>Alternatyvų palyginimas</w:t>
            </w:r>
            <w:r>
              <w:rPr>
                <w:noProof/>
                <w:webHidden/>
              </w:rPr>
              <w:tab/>
            </w:r>
            <w:r>
              <w:rPr>
                <w:noProof/>
                <w:webHidden/>
              </w:rPr>
              <w:fldChar w:fldCharType="begin"/>
            </w:r>
            <w:r>
              <w:rPr>
                <w:noProof/>
                <w:webHidden/>
              </w:rPr>
              <w:instrText xml:space="preserve"> PAGEREF _Toc25594683 \h </w:instrText>
            </w:r>
            <w:r>
              <w:rPr>
                <w:noProof/>
                <w:webHidden/>
              </w:rPr>
            </w:r>
            <w:r>
              <w:rPr>
                <w:noProof/>
                <w:webHidden/>
              </w:rPr>
              <w:fldChar w:fldCharType="separate"/>
            </w:r>
            <w:r>
              <w:rPr>
                <w:noProof/>
                <w:webHidden/>
              </w:rPr>
              <w:t>93</w:t>
            </w:r>
            <w:r>
              <w:rPr>
                <w:noProof/>
                <w:webHidden/>
              </w:rPr>
              <w:fldChar w:fldCharType="end"/>
            </w:r>
          </w:hyperlink>
        </w:p>
        <w:p w14:paraId="17DA44EA" w14:textId="77777777" w:rsidR="00297BA8" w:rsidRDefault="00297BA8">
          <w:pPr>
            <w:pStyle w:val="Turinys2"/>
            <w:tabs>
              <w:tab w:val="left" w:pos="1320"/>
              <w:tab w:val="right" w:leader="dot" w:pos="9016"/>
            </w:tabs>
            <w:rPr>
              <w:rFonts w:eastAsiaTheme="minorEastAsia"/>
              <w:noProof/>
              <w:lang w:val="lt-LT" w:eastAsia="lt-LT"/>
            </w:rPr>
          </w:pPr>
          <w:hyperlink w:anchor="_Toc25594684" w:history="1">
            <w:r w:rsidRPr="00155C99">
              <w:rPr>
                <w:rStyle w:val="Hipersaitas"/>
                <w:rFonts w:ascii="Georgia" w:hAnsi="Georgia"/>
                <w:noProof/>
                <w:lang w:val="lt-LT"/>
              </w:rPr>
              <w:t>4.1.4.1.</w:t>
            </w:r>
            <w:r>
              <w:rPr>
                <w:rFonts w:eastAsiaTheme="minorEastAsia"/>
                <w:noProof/>
                <w:lang w:val="lt-LT" w:eastAsia="lt-LT"/>
              </w:rPr>
              <w:tab/>
            </w:r>
            <w:r w:rsidRPr="00155C99">
              <w:rPr>
                <w:rStyle w:val="Hipersaitas"/>
                <w:rFonts w:ascii="Georgia" w:hAnsi="Georgia"/>
                <w:noProof/>
                <w:lang w:val="lt-LT"/>
              </w:rPr>
              <w:t>Daugiabučių modernizavimas</w:t>
            </w:r>
            <w:r>
              <w:rPr>
                <w:noProof/>
                <w:webHidden/>
              </w:rPr>
              <w:tab/>
            </w:r>
            <w:r>
              <w:rPr>
                <w:noProof/>
                <w:webHidden/>
              </w:rPr>
              <w:fldChar w:fldCharType="begin"/>
            </w:r>
            <w:r>
              <w:rPr>
                <w:noProof/>
                <w:webHidden/>
              </w:rPr>
              <w:instrText xml:space="preserve"> PAGEREF _Toc25594684 \h </w:instrText>
            </w:r>
            <w:r>
              <w:rPr>
                <w:noProof/>
                <w:webHidden/>
              </w:rPr>
            </w:r>
            <w:r>
              <w:rPr>
                <w:noProof/>
                <w:webHidden/>
              </w:rPr>
              <w:fldChar w:fldCharType="separate"/>
            </w:r>
            <w:r>
              <w:rPr>
                <w:noProof/>
                <w:webHidden/>
              </w:rPr>
              <w:t>93</w:t>
            </w:r>
            <w:r>
              <w:rPr>
                <w:noProof/>
                <w:webHidden/>
              </w:rPr>
              <w:fldChar w:fldCharType="end"/>
            </w:r>
          </w:hyperlink>
        </w:p>
        <w:p w14:paraId="2B9272CA" w14:textId="77777777" w:rsidR="00297BA8" w:rsidRDefault="00297BA8">
          <w:pPr>
            <w:pStyle w:val="Turinys2"/>
            <w:tabs>
              <w:tab w:val="left" w:pos="1320"/>
              <w:tab w:val="right" w:leader="dot" w:pos="9016"/>
            </w:tabs>
            <w:rPr>
              <w:rFonts w:eastAsiaTheme="minorEastAsia"/>
              <w:noProof/>
              <w:lang w:val="lt-LT" w:eastAsia="lt-LT"/>
            </w:rPr>
          </w:pPr>
          <w:hyperlink w:anchor="_Toc25594685" w:history="1">
            <w:r w:rsidRPr="00155C99">
              <w:rPr>
                <w:rStyle w:val="Hipersaitas"/>
                <w:rFonts w:ascii="Georgia" w:hAnsi="Georgia"/>
                <w:noProof/>
                <w:lang w:val="lt-LT"/>
              </w:rPr>
              <w:t>4.1.4.2.</w:t>
            </w:r>
            <w:r>
              <w:rPr>
                <w:rFonts w:eastAsiaTheme="minorEastAsia"/>
                <w:noProof/>
                <w:lang w:val="lt-LT" w:eastAsia="lt-LT"/>
              </w:rPr>
              <w:tab/>
            </w:r>
            <w:r w:rsidRPr="00155C99">
              <w:rPr>
                <w:rStyle w:val="Hipersaitas"/>
                <w:rFonts w:ascii="Georgia" w:hAnsi="Georgia"/>
                <w:noProof/>
                <w:lang w:val="lt-LT"/>
              </w:rPr>
              <w:t>Centrinės valdžios viešieji pastatai</w:t>
            </w:r>
            <w:r>
              <w:rPr>
                <w:noProof/>
                <w:webHidden/>
              </w:rPr>
              <w:tab/>
            </w:r>
            <w:r>
              <w:rPr>
                <w:noProof/>
                <w:webHidden/>
              </w:rPr>
              <w:fldChar w:fldCharType="begin"/>
            </w:r>
            <w:r>
              <w:rPr>
                <w:noProof/>
                <w:webHidden/>
              </w:rPr>
              <w:instrText xml:space="preserve"> PAGEREF _Toc25594685 \h </w:instrText>
            </w:r>
            <w:r>
              <w:rPr>
                <w:noProof/>
                <w:webHidden/>
              </w:rPr>
            </w:r>
            <w:r>
              <w:rPr>
                <w:noProof/>
                <w:webHidden/>
              </w:rPr>
              <w:fldChar w:fldCharType="separate"/>
            </w:r>
            <w:r>
              <w:rPr>
                <w:noProof/>
                <w:webHidden/>
              </w:rPr>
              <w:t>112</w:t>
            </w:r>
            <w:r>
              <w:rPr>
                <w:noProof/>
                <w:webHidden/>
              </w:rPr>
              <w:fldChar w:fldCharType="end"/>
            </w:r>
          </w:hyperlink>
        </w:p>
        <w:p w14:paraId="2C4A888D" w14:textId="77777777" w:rsidR="00297BA8" w:rsidRDefault="00297BA8">
          <w:pPr>
            <w:pStyle w:val="Turinys2"/>
            <w:tabs>
              <w:tab w:val="left" w:pos="1320"/>
              <w:tab w:val="right" w:leader="dot" w:pos="9016"/>
            </w:tabs>
            <w:rPr>
              <w:rFonts w:eastAsiaTheme="minorEastAsia"/>
              <w:noProof/>
              <w:lang w:val="lt-LT" w:eastAsia="lt-LT"/>
            </w:rPr>
          </w:pPr>
          <w:hyperlink w:anchor="_Toc25594686" w:history="1">
            <w:r w:rsidRPr="00155C99">
              <w:rPr>
                <w:rStyle w:val="Hipersaitas"/>
                <w:rFonts w:ascii="Georgia" w:hAnsi="Georgia"/>
                <w:noProof/>
                <w:lang w:val="lt-LT"/>
              </w:rPr>
              <w:t>4.1.4.3.</w:t>
            </w:r>
            <w:r>
              <w:rPr>
                <w:rFonts w:eastAsiaTheme="minorEastAsia"/>
                <w:noProof/>
                <w:lang w:val="lt-LT" w:eastAsia="lt-LT"/>
              </w:rPr>
              <w:tab/>
            </w:r>
            <w:r w:rsidRPr="00155C99">
              <w:rPr>
                <w:rStyle w:val="Hipersaitas"/>
                <w:rFonts w:ascii="Georgia" w:hAnsi="Georgia"/>
                <w:noProof/>
                <w:lang w:val="lt-LT"/>
              </w:rPr>
              <w:t>Savivaldybių viešieji pastatai</w:t>
            </w:r>
            <w:r>
              <w:rPr>
                <w:noProof/>
                <w:webHidden/>
              </w:rPr>
              <w:tab/>
            </w:r>
            <w:r>
              <w:rPr>
                <w:noProof/>
                <w:webHidden/>
              </w:rPr>
              <w:fldChar w:fldCharType="begin"/>
            </w:r>
            <w:r>
              <w:rPr>
                <w:noProof/>
                <w:webHidden/>
              </w:rPr>
              <w:instrText xml:space="preserve"> PAGEREF _Toc25594686 \h </w:instrText>
            </w:r>
            <w:r>
              <w:rPr>
                <w:noProof/>
                <w:webHidden/>
              </w:rPr>
            </w:r>
            <w:r>
              <w:rPr>
                <w:noProof/>
                <w:webHidden/>
              </w:rPr>
              <w:fldChar w:fldCharType="separate"/>
            </w:r>
            <w:r>
              <w:rPr>
                <w:noProof/>
                <w:webHidden/>
              </w:rPr>
              <w:t>113</w:t>
            </w:r>
            <w:r>
              <w:rPr>
                <w:noProof/>
                <w:webHidden/>
              </w:rPr>
              <w:fldChar w:fldCharType="end"/>
            </w:r>
          </w:hyperlink>
        </w:p>
        <w:p w14:paraId="4265428B" w14:textId="77777777" w:rsidR="00297BA8" w:rsidRDefault="00297BA8">
          <w:pPr>
            <w:pStyle w:val="Turinys2"/>
            <w:tabs>
              <w:tab w:val="left" w:pos="1320"/>
              <w:tab w:val="right" w:leader="dot" w:pos="9016"/>
            </w:tabs>
            <w:rPr>
              <w:rFonts w:eastAsiaTheme="minorEastAsia"/>
              <w:noProof/>
              <w:lang w:val="lt-LT" w:eastAsia="lt-LT"/>
            </w:rPr>
          </w:pPr>
          <w:hyperlink w:anchor="_Toc25594687" w:history="1">
            <w:r w:rsidRPr="00155C99">
              <w:rPr>
                <w:rStyle w:val="Hipersaitas"/>
                <w:rFonts w:ascii="Georgia" w:hAnsi="Georgia"/>
                <w:noProof/>
                <w:lang w:val="lt-LT"/>
              </w:rPr>
              <w:t>4.1.4.4.</w:t>
            </w:r>
            <w:r>
              <w:rPr>
                <w:rFonts w:eastAsiaTheme="minorEastAsia"/>
                <w:noProof/>
                <w:lang w:val="lt-LT" w:eastAsia="lt-LT"/>
              </w:rPr>
              <w:tab/>
            </w:r>
            <w:r w:rsidRPr="00155C99">
              <w:rPr>
                <w:rStyle w:val="Hipersaitas"/>
                <w:rFonts w:ascii="Georgia" w:hAnsi="Georgia"/>
                <w:noProof/>
                <w:lang w:val="lt-LT"/>
              </w:rPr>
              <w:t>Gatvių apšvietimas</w:t>
            </w:r>
            <w:r>
              <w:rPr>
                <w:noProof/>
                <w:webHidden/>
              </w:rPr>
              <w:tab/>
            </w:r>
            <w:r>
              <w:rPr>
                <w:noProof/>
                <w:webHidden/>
              </w:rPr>
              <w:fldChar w:fldCharType="begin"/>
            </w:r>
            <w:r>
              <w:rPr>
                <w:noProof/>
                <w:webHidden/>
              </w:rPr>
              <w:instrText xml:space="preserve"> PAGEREF _Toc25594687 \h </w:instrText>
            </w:r>
            <w:r>
              <w:rPr>
                <w:noProof/>
                <w:webHidden/>
              </w:rPr>
            </w:r>
            <w:r>
              <w:rPr>
                <w:noProof/>
                <w:webHidden/>
              </w:rPr>
              <w:fldChar w:fldCharType="separate"/>
            </w:r>
            <w:r>
              <w:rPr>
                <w:noProof/>
                <w:webHidden/>
              </w:rPr>
              <w:t>113</w:t>
            </w:r>
            <w:r>
              <w:rPr>
                <w:noProof/>
                <w:webHidden/>
              </w:rPr>
              <w:fldChar w:fldCharType="end"/>
            </w:r>
          </w:hyperlink>
        </w:p>
        <w:p w14:paraId="41B6A69D" w14:textId="77777777" w:rsidR="00297BA8" w:rsidRDefault="00297BA8">
          <w:pPr>
            <w:pStyle w:val="Turinys2"/>
            <w:tabs>
              <w:tab w:val="left" w:pos="880"/>
              <w:tab w:val="right" w:leader="dot" w:pos="9016"/>
            </w:tabs>
            <w:rPr>
              <w:rFonts w:eastAsiaTheme="minorEastAsia"/>
              <w:noProof/>
              <w:lang w:val="lt-LT" w:eastAsia="lt-LT"/>
            </w:rPr>
          </w:pPr>
          <w:hyperlink w:anchor="_Toc25594688" w:history="1">
            <w:r w:rsidRPr="00155C99">
              <w:rPr>
                <w:rStyle w:val="Hipersaitas"/>
                <w:rFonts w:ascii="Georgia" w:hAnsi="Georgia"/>
                <w:noProof/>
                <w:lang w:val="lt-LT"/>
              </w:rPr>
              <w:t>4.2.</w:t>
            </w:r>
            <w:r>
              <w:rPr>
                <w:rFonts w:eastAsiaTheme="minorEastAsia"/>
                <w:noProof/>
                <w:lang w:val="lt-LT" w:eastAsia="lt-LT"/>
              </w:rPr>
              <w:tab/>
            </w:r>
            <w:r w:rsidRPr="00155C99">
              <w:rPr>
                <w:rStyle w:val="Hipersaitas"/>
                <w:rFonts w:ascii="Georgia" w:hAnsi="Georgia"/>
                <w:noProof/>
                <w:lang w:val="lt-LT"/>
              </w:rPr>
              <w:t>Kokybinis pridėtinės vertės vertinimas</w:t>
            </w:r>
            <w:r>
              <w:rPr>
                <w:noProof/>
                <w:webHidden/>
              </w:rPr>
              <w:tab/>
            </w:r>
            <w:r>
              <w:rPr>
                <w:noProof/>
                <w:webHidden/>
              </w:rPr>
              <w:fldChar w:fldCharType="begin"/>
            </w:r>
            <w:r>
              <w:rPr>
                <w:noProof/>
                <w:webHidden/>
              </w:rPr>
              <w:instrText xml:space="preserve"> PAGEREF _Toc25594688 \h </w:instrText>
            </w:r>
            <w:r>
              <w:rPr>
                <w:noProof/>
                <w:webHidden/>
              </w:rPr>
            </w:r>
            <w:r>
              <w:rPr>
                <w:noProof/>
                <w:webHidden/>
              </w:rPr>
              <w:fldChar w:fldCharType="separate"/>
            </w:r>
            <w:r>
              <w:rPr>
                <w:noProof/>
                <w:webHidden/>
              </w:rPr>
              <w:t>113</w:t>
            </w:r>
            <w:r>
              <w:rPr>
                <w:noProof/>
                <w:webHidden/>
              </w:rPr>
              <w:fldChar w:fldCharType="end"/>
            </w:r>
          </w:hyperlink>
        </w:p>
        <w:p w14:paraId="17229FE4" w14:textId="77777777" w:rsidR="00297BA8" w:rsidRDefault="00297BA8">
          <w:pPr>
            <w:pStyle w:val="Turinys2"/>
            <w:tabs>
              <w:tab w:val="left" w:pos="1320"/>
              <w:tab w:val="right" w:leader="dot" w:pos="9016"/>
            </w:tabs>
            <w:rPr>
              <w:rFonts w:eastAsiaTheme="minorEastAsia"/>
              <w:noProof/>
              <w:lang w:val="lt-LT" w:eastAsia="lt-LT"/>
            </w:rPr>
          </w:pPr>
          <w:hyperlink w:anchor="_Toc25594689" w:history="1">
            <w:r w:rsidRPr="00155C99">
              <w:rPr>
                <w:rStyle w:val="Hipersaitas"/>
                <w:rFonts w:ascii="Georgia" w:hAnsi="Georgia"/>
                <w:noProof/>
                <w:lang w:val="lt-LT"/>
              </w:rPr>
              <w:t>4.2.1.1.</w:t>
            </w:r>
            <w:r>
              <w:rPr>
                <w:rFonts w:eastAsiaTheme="minorEastAsia"/>
                <w:noProof/>
                <w:lang w:val="lt-LT" w:eastAsia="lt-LT"/>
              </w:rPr>
              <w:tab/>
            </w:r>
            <w:r w:rsidRPr="00155C99">
              <w:rPr>
                <w:rStyle w:val="Hipersaitas"/>
                <w:rFonts w:ascii="Georgia" w:hAnsi="Georgia"/>
                <w:noProof/>
                <w:lang w:val="lt-LT"/>
              </w:rPr>
              <w:t>Daugiabučių namų modernizavimas</w:t>
            </w:r>
            <w:r>
              <w:rPr>
                <w:noProof/>
                <w:webHidden/>
              </w:rPr>
              <w:tab/>
            </w:r>
            <w:r>
              <w:rPr>
                <w:noProof/>
                <w:webHidden/>
              </w:rPr>
              <w:fldChar w:fldCharType="begin"/>
            </w:r>
            <w:r>
              <w:rPr>
                <w:noProof/>
                <w:webHidden/>
              </w:rPr>
              <w:instrText xml:space="preserve"> PAGEREF _Toc25594689 \h </w:instrText>
            </w:r>
            <w:r>
              <w:rPr>
                <w:noProof/>
                <w:webHidden/>
              </w:rPr>
            </w:r>
            <w:r>
              <w:rPr>
                <w:noProof/>
                <w:webHidden/>
              </w:rPr>
              <w:fldChar w:fldCharType="separate"/>
            </w:r>
            <w:r>
              <w:rPr>
                <w:noProof/>
                <w:webHidden/>
              </w:rPr>
              <w:t>113</w:t>
            </w:r>
            <w:r>
              <w:rPr>
                <w:noProof/>
                <w:webHidden/>
              </w:rPr>
              <w:fldChar w:fldCharType="end"/>
            </w:r>
          </w:hyperlink>
        </w:p>
        <w:p w14:paraId="265CB2EA" w14:textId="77777777" w:rsidR="00297BA8" w:rsidRDefault="00297BA8">
          <w:pPr>
            <w:pStyle w:val="Turinys2"/>
            <w:tabs>
              <w:tab w:val="left" w:pos="1320"/>
              <w:tab w:val="right" w:leader="dot" w:pos="9016"/>
            </w:tabs>
            <w:rPr>
              <w:rFonts w:eastAsiaTheme="minorEastAsia"/>
              <w:noProof/>
              <w:lang w:val="lt-LT" w:eastAsia="lt-LT"/>
            </w:rPr>
          </w:pPr>
          <w:hyperlink w:anchor="_Toc25594690" w:history="1">
            <w:r w:rsidRPr="00155C99">
              <w:rPr>
                <w:rStyle w:val="Hipersaitas"/>
                <w:rFonts w:ascii="Georgia" w:hAnsi="Georgia"/>
                <w:noProof/>
                <w:lang w:val="lt-LT"/>
              </w:rPr>
              <w:t>4.2.1.2.</w:t>
            </w:r>
            <w:r>
              <w:rPr>
                <w:rFonts w:eastAsiaTheme="minorEastAsia"/>
                <w:noProof/>
                <w:lang w:val="lt-LT" w:eastAsia="lt-LT"/>
              </w:rPr>
              <w:tab/>
            </w:r>
            <w:r w:rsidRPr="00155C99">
              <w:rPr>
                <w:rStyle w:val="Hipersaitas"/>
                <w:rFonts w:ascii="Georgia" w:hAnsi="Georgia"/>
                <w:noProof/>
                <w:lang w:val="lt-LT"/>
              </w:rPr>
              <w:t>Centrinės valdžios ir savivaldybių viešieji pastatai</w:t>
            </w:r>
            <w:r>
              <w:rPr>
                <w:noProof/>
                <w:webHidden/>
              </w:rPr>
              <w:tab/>
            </w:r>
            <w:r>
              <w:rPr>
                <w:noProof/>
                <w:webHidden/>
              </w:rPr>
              <w:fldChar w:fldCharType="begin"/>
            </w:r>
            <w:r>
              <w:rPr>
                <w:noProof/>
                <w:webHidden/>
              </w:rPr>
              <w:instrText xml:space="preserve"> PAGEREF _Toc25594690 \h </w:instrText>
            </w:r>
            <w:r>
              <w:rPr>
                <w:noProof/>
                <w:webHidden/>
              </w:rPr>
            </w:r>
            <w:r>
              <w:rPr>
                <w:noProof/>
                <w:webHidden/>
              </w:rPr>
              <w:fldChar w:fldCharType="separate"/>
            </w:r>
            <w:r>
              <w:rPr>
                <w:noProof/>
                <w:webHidden/>
              </w:rPr>
              <w:t>114</w:t>
            </w:r>
            <w:r>
              <w:rPr>
                <w:noProof/>
                <w:webHidden/>
              </w:rPr>
              <w:fldChar w:fldCharType="end"/>
            </w:r>
          </w:hyperlink>
        </w:p>
        <w:p w14:paraId="4D48809E" w14:textId="77777777" w:rsidR="00297BA8" w:rsidRDefault="00297BA8">
          <w:pPr>
            <w:pStyle w:val="Turinys2"/>
            <w:tabs>
              <w:tab w:val="left" w:pos="1320"/>
              <w:tab w:val="right" w:leader="dot" w:pos="9016"/>
            </w:tabs>
            <w:rPr>
              <w:rFonts w:eastAsiaTheme="minorEastAsia"/>
              <w:noProof/>
              <w:lang w:val="lt-LT" w:eastAsia="lt-LT"/>
            </w:rPr>
          </w:pPr>
          <w:hyperlink w:anchor="_Toc25594691" w:history="1">
            <w:r w:rsidRPr="00155C99">
              <w:rPr>
                <w:rStyle w:val="Hipersaitas"/>
                <w:rFonts w:ascii="Georgia" w:hAnsi="Georgia"/>
                <w:noProof/>
                <w:lang w:val="lt-LT"/>
              </w:rPr>
              <w:t>4.2.1.3.</w:t>
            </w:r>
            <w:r>
              <w:rPr>
                <w:rFonts w:eastAsiaTheme="minorEastAsia"/>
                <w:noProof/>
                <w:lang w:val="lt-LT" w:eastAsia="lt-LT"/>
              </w:rPr>
              <w:tab/>
            </w:r>
            <w:r w:rsidRPr="00155C99">
              <w:rPr>
                <w:rStyle w:val="Hipersaitas"/>
                <w:rFonts w:ascii="Georgia" w:hAnsi="Georgia"/>
                <w:noProof/>
                <w:lang w:val="lt-LT"/>
              </w:rPr>
              <w:t>Gatvių apšvietimas</w:t>
            </w:r>
            <w:r>
              <w:rPr>
                <w:noProof/>
                <w:webHidden/>
              </w:rPr>
              <w:tab/>
            </w:r>
            <w:r>
              <w:rPr>
                <w:noProof/>
                <w:webHidden/>
              </w:rPr>
              <w:fldChar w:fldCharType="begin"/>
            </w:r>
            <w:r>
              <w:rPr>
                <w:noProof/>
                <w:webHidden/>
              </w:rPr>
              <w:instrText xml:space="preserve"> PAGEREF _Toc25594691 \h </w:instrText>
            </w:r>
            <w:r>
              <w:rPr>
                <w:noProof/>
                <w:webHidden/>
              </w:rPr>
            </w:r>
            <w:r>
              <w:rPr>
                <w:noProof/>
                <w:webHidden/>
              </w:rPr>
              <w:fldChar w:fldCharType="separate"/>
            </w:r>
            <w:r>
              <w:rPr>
                <w:noProof/>
                <w:webHidden/>
              </w:rPr>
              <w:t>114</w:t>
            </w:r>
            <w:r>
              <w:rPr>
                <w:noProof/>
                <w:webHidden/>
              </w:rPr>
              <w:fldChar w:fldCharType="end"/>
            </w:r>
          </w:hyperlink>
        </w:p>
        <w:p w14:paraId="717AFD6B" w14:textId="77777777" w:rsidR="00297BA8" w:rsidRDefault="00297BA8">
          <w:pPr>
            <w:pStyle w:val="Turinys2"/>
            <w:tabs>
              <w:tab w:val="left" w:pos="880"/>
              <w:tab w:val="right" w:leader="dot" w:pos="9016"/>
            </w:tabs>
            <w:rPr>
              <w:rFonts w:eastAsiaTheme="minorEastAsia"/>
              <w:noProof/>
              <w:lang w:val="lt-LT" w:eastAsia="lt-LT"/>
            </w:rPr>
          </w:pPr>
          <w:hyperlink w:anchor="_Toc25594692" w:history="1">
            <w:r w:rsidRPr="00155C99">
              <w:rPr>
                <w:rStyle w:val="Hipersaitas"/>
                <w:rFonts w:ascii="Georgia" w:hAnsi="Georgia"/>
                <w:noProof/>
                <w:lang w:val="lt-LT"/>
              </w:rPr>
              <w:t>4.3.</w:t>
            </w:r>
            <w:r>
              <w:rPr>
                <w:rFonts w:eastAsiaTheme="minorEastAsia"/>
                <w:noProof/>
                <w:lang w:val="lt-LT" w:eastAsia="lt-LT"/>
              </w:rPr>
              <w:tab/>
            </w:r>
            <w:r w:rsidRPr="00155C99">
              <w:rPr>
                <w:rStyle w:val="Hipersaitas"/>
                <w:rFonts w:ascii="Georgia" w:hAnsi="Georgia"/>
                <w:noProof/>
                <w:lang w:val="lt-LT"/>
              </w:rPr>
              <w:t>Sverto efekto skaičiavimas</w:t>
            </w:r>
            <w:r>
              <w:rPr>
                <w:noProof/>
                <w:webHidden/>
              </w:rPr>
              <w:tab/>
            </w:r>
            <w:r>
              <w:rPr>
                <w:noProof/>
                <w:webHidden/>
              </w:rPr>
              <w:fldChar w:fldCharType="begin"/>
            </w:r>
            <w:r>
              <w:rPr>
                <w:noProof/>
                <w:webHidden/>
              </w:rPr>
              <w:instrText xml:space="preserve"> PAGEREF _Toc25594692 \h </w:instrText>
            </w:r>
            <w:r>
              <w:rPr>
                <w:noProof/>
                <w:webHidden/>
              </w:rPr>
            </w:r>
            <w:r>
              <w:rPr>
                <w:noProof/>
                <w:webHidden/>
              </w:rPr>
              <w:fldChar w:fldCharType="separate"/>
            </w:r>
            <w:r>
              <w:rPr>
                <w:noProof/>
                <w:webHidden/>
              </w:rPr>
              <w:t>115</w:t>
            </w:r>
            <w:r>
              <w:rPr>
                <w:noProof/>
                <w:webHidden/>
              </w:rPr>
              <w:fldChar w:fldCharType="end"/>
            </w:r>
          </w:hyperlink>
        </w:p>
        <w:p w14:paraId="1658F1C7" w14:textId="77777777" w:rsidR="00297BA8" w:rsidRDefault="00297BA8">
          <w:pPr>
            <w:pStyle w:val="Turinys2"/>
            <w:tabs>
              <w:tab w:val="left" w:pos="880"/>
              <w:tab w:val="right" w:leader="dot" w:pos="9016"/>
            </w:tabs>
            <w:rPr>
              <w:rFonts w:eastAsiaTheme="minorEastAsia"/>
              <w:noProof/>
              <w:lang w:val="lt-LT" w:eastAsia="lt-LT"/>
            </w:rPr>
          </w:pPr>
          <w:hyperlink w:anchor="_Toc25594693" w:history="1">
            <w:r w:rsidRPr="00155C99">
              <w:rPr>
                <w:rStyle w:val="Hipersaitas"/>
                <w:rFonts w:ascii="Georgia" w:hAnsi="Georgia"/>
                <w:noProof/>
                <w:lang w:val="lt-LT"/>
              </w:rPr>
              <w:t>4.4.</w:t>
            </w:r>
            <w:r>
              <w:rPr>
                <w:rFonts w:eastAsiaTheme="minorEastAsia"/>
                <w:noProof/>
                <w:lang w:val="lt-LT" w:eastAsia="lt-LT"/>
              </w:rPr>
              <w:tab/>
            </w:r>
            <w:r w:rsidRPr="00155C99">
              <w:rPr>
                <w:rStyle w:val="Hipersaitas"/>
                <w:rFonts w:ascii="Georgia" w:hAnsi="Georgia"/>
                <w:noProof/>
                <w:lang w:val="lt-LT"/>
              </w:rPr>
              <w:t>Alternatyvų palyginimas</w:t>
            </w:r>
            <w:r>
              <w:rPr>
                <w:noProof/>
                <w:webHidden/>
              </w:rPr>
              <w:tab/>
            </w:r>
            <w:r>
              <w:rPr>
                <w:noProof/>
                <w:webHidden/>
              </w:rPr>
              <w:fldChar w:fldCharType="begin"/>
            </w:r>
            <w:r>
              <w:rPr>
                <w:noProof/>
                <w:webHidden/>
              </w:rPr>
              <w:instrText xml:space="preserve"> PAGEREF _Toc25594693 \h </w:instrText>
            </w:r>
            <w:r>
              <w:rPr>
                <w:noProof/>
                <w:webHidden/>
              </w:rPr>
            </w:r>
            <w:r>
              <w:rPr>
                <w:noProof/>
                <w:webHidden/>
              </w:rPr>
              <w:fldChar w:fldCharType="separate"/>
            </w:r>
            <w:r>
              <w:rPr>
                <w:noProof/>
                <w:webHidden/>
              </w:rPr>
              <w:t>116</w:t>
            </w:r>
            <w:r>
              <w:rPr>
                <w:noProof/>
                <w:webHidden/>
              </w:rPr>
              <w:fldChar w:fldCharType="end"/>
            </w:r>
          </w:hyperlink>
        </w:p>
        <w:p w14:paraId="6D40152A" w14:textId="77777777" w:rsidR="00297BA8" w:rsidRDefault="00297BA8">
          <w:pPr>
            <w:pStyle w:val="Turinys2"/>
            <w:tabs>
              <w:tab w:val="left" w:pos="1100"/>
              <w:tab w:val="right" w:leader="dot" w:pos="9016"/>
            </w:tabs>
            <w:rPr>
              <w:rFonts w:eastAsiaTheme="minorEastAsia"/>
              <w:noProof/>
              <w:lang w:val="lt-LT" w:eastAsia="lt-LT"/>
            </w:rPr>
          </w:pPr>
          <w:hyperlink w:anchor="_Toc25594694" w:history="1">
            <w:r w:rsidRPr="00155C99">
              <w:rPr>
                <w:rStyle w:val="Hipersaitas"/>
                <w:rFonts w:ascii="Georgia" w:hAnsi="Georgia"/>
                <w:noProof/>
                <w:lang w:val="lt-LT"/>
              </w:rPr>
              <w:t>4.4.1.</w:t>
            </w:r>
            <w:r>
              <w:rPr>
                <w:rFonts w:eastAsiaTheme="minorEastAsia"/>
                <w:noProof/>
                <w:lang w:val="lt-LT" w:eastAsia="lt-LT"/>
              </w:rPr>
              <w:tab/>
            </w:r>
            <w:r w:rsidRPr="00155C99">
              <w:rPr>
                <w:rStyle w:val="Hipersaitas"/>
                <w:rFonts w:ascii="Georgia" w:hAnsi="Georgia"/>
                <w:noProof/>
                <w:lang w:val="lt-LT"/>
              </w:rPr>
              <w:t>Daugiabučių namų modernizacijos scenarijų palyginimas</w:t>
            </w:r>
            <w:r>
              <w:rPr>
                <w:noProof/>
                <w:webHidden/>
              </w:rPr>
              <w:tab/>
            </w:r>
            <w:r>
              <w:rPr>
                <w:noProof/>
                <w:webHidden/>
              </w:rPr>
              <w:fldChar w:fldCharType="begin"/>
            </w:r>
            <w:r>
              <w:rPr>
                <w:noProof/>
                <w:webHidden/>
              </w:rPr>
              <w:instrText xml:space="preserve"> PAGEREF _Toc25594694 \h </w:instrText>
            </w:r>
            <w:r>
              <w:rPr>
                <w:noProof/>
                <w:webHidden/>
              </w:rPr>
            </w:r>
            <w:r>
              <w:rPr>
                <w:noProof/>
                <w:webHidden/>
              </w:rPr>
              <w:fldChar w:fldCharType="separate"/>
            </w:r>
            <w:r>
              <w:rPr>
                <w:noProof/>
                <w:webHidden/>
              </w:rPr>
              <w:t>116</w:t>
            </w:r>
            <w:r>
              <w:rPr>
                <w:noProof/>
                <w:webHidden/>
              </w:rPr>
              <w:fldChar w:fldCharType="end"/>
            </w:r>
          </w:hyperlink>
        </w:p>
        <w:p w14:paraId="4E78DD19" w14:textId="77777777" w:rsidR="00297BA8" w:rsidRDefault="00297BA8">
          <w:pPr>
            <w:pStyle w:val="Turinys2"/>
            <w:tabs>
              <w:tab w:val="left" w:pos="1100"/>
              <w:tab w:val="right" w:leader="dot" w:pos="9016"/>
            </w:tabs>
            <w:rPr>
              <w:rFonts w:eastAsiaTheme="minorEastAsia"/>
              <w:noProof/>
              <w:lang w:val="lt-LT" w:eastAsia="lt-LT"/>
            </w:rPr>
          </w:pPr>
          <w:hyperlink w:anchor="_Toc25594695" w:history="1">
            <w:r w:rsidRPr="00155C99">
              <w:rPr>
                <w:rStyle w:val="Hipersaitas"/>
                <w:rFonts w:ascii="Georgia" w:hAnsi="Georgia"/>
                <w:noProof/>
                <w:lang w:val="lt-LT"/>
              </w:rPr>
              <w:t>4.4.2.</w:t>
            </w:r>
            <w:r>
              <w:rPr>
                <w:rFonts w:eastAsiaTheme="minorEastAsia"/>
                <w:noProof/>
                <w:lang w:val="lt-LT" w:eastAsia="lt-LT"/>
              </w:rPr>
              <w:tab/>
            </w:r>
            <w:r w:rsidRPr="00155C99">
              <w:rPr>
                <w:rStyle w:val="Hipersaitas"/>
                <w:rFonts w:ascii="Georgia" w:hAnsi="Georgia"/>
                <w:noProof/>
                <w:lang w:val="lt-LT"/>
              </w:rPr>
              <w:t>Centrinės valdžios pastatų renovavimo modelių palyginimas</w:t>
            </w:r>
            <w:r>
              <w:rPr>
                <w:noProof/>
                <w:webHidden/>
              </w:rPr>
              <w:tab/>
            </w:r>
            <w:r>
              <w:rPr>
                <w:noProof/>
                <w:webHidden/>
              </w:rPr>
              <w:fldChar w:fldCharType="begin"/>
            </w:r>
            <w:r>
              <w:rPr>
                <w:noProof/>
                <w:webHidden/>
              </w:rPr>
              <w:instrText xml:space="preserve"> PAGEREF _Toc25594695 \h </w:instrText>
            </w:r>
            <w:r>
              <w:rPr>
                <w:noProof/>
                <w:webHidden/>
              </w:rPr>
            </w:r>
            <w:r>
              <w:rPr>
                <w:noProof/>
                <w:webHidden/>
              </w:rPr>
              <w:fldChar w:fldCharType="separate"/>
            </w:r>
            <w:r>
              <w:rPr>
                <w:noProof/>
                <w:webHidden/>
              </w:rPr>
              <w:t>116</w:t>
            </w:r>
            <w:r>
              <w:rPr>
                <w:noProof/>
                <w:webHidden/>
              </w:rPr>
              <w:fldChar w:fldCharType="end"/>
            </w:r>
          </w:hyperlink>
        </w:p>
        <w:p w14:paraId="0DC6F70E" w14:textId="77777777" w:rsidR="00297BA8" w:rsidRDefault="00297BA8">
          <w:pPr>
            <w:pStyle w:val="Turinys2"/>
            <w:tabs>
              <w:tab w:val="left" w:pos="1100"/>
              <w:tab w:val="right" w:leader="dot" w:pos="9016"/>
            </w:tabs>
            <w:rPr>
              <w:rFonts w:eastAsiaTheme="minorEastAsia"/>
              <w:noProof/>
              <w:lang w:val="lt-LT" w:eastAsia="lt-LT"/>
            </w:rPr>
          </w:pPr>
          <w:hyperlink w:anchor="_Toc25594696" w:history="1">
            <w:r w:rsidRPr="00155C99">
              <w:rPr>
                <w:rStyle w:val="Hipersaitas"/>
                <w:rFonts w:ascii="Georgia" w:hAnsi="Georgia"/>
                <w:noProof/>
                <w:lang w:val="lt-LT"/>
              </w:rPr>
              <w:t>4.4.3.</w:t>
            </w:r>
            <w:r>
              <w:rPr>
                <w:rFonts w:eastAsiaTheme="minorEastAsia"/>
                <w:noProof/>
                <w:lang w:val="lt-LT" w:eastAsia="lt-LT"/>
              </w:rPr>
              <w:tab/>
            </w:r>
            <w:r w:rsidRPr="00155C99">
              <w:rPr>
                <w:rStyle w:val="Hipersaitas"/>
                <w:rFonts w:ascii="Georgia" w:hAnsi="Georgia"/>
                <w:noProof/>
                <w:lang w:val="lt-LT"/>
              </w:rPr>
              <w:t>Savivaldybių pastatų modernizavimo modelių palyginimas</w:t>
            </w:r>
            <w:r>
              <w:rPr>
                <w:noProof/>
                <w:webHidden/>
              </w:rPr>
              <w:tab/>
            </w:r>
            <w:r>
              <w:rPr>
                <w:noProof/>
                <w:webHidden/>
              </w:rPr>
              <w:fldChar w:fldCharType="begin"/>
            </w:r>
            <w:r>
              <w:rPr>
                <w:noProof/>
                <w:webHidden/>
              </w:rPr>
              <w:instrText xml:space="preserve"> PAGEREF _Toc25594696 \h </w:instrText>
            </w:r>
            <w:r>
              <w:rPr>
                <w:noProof/>
                <w:webHidden/>
              </w:rPr>
            </w:r>
            <w:r>
              <w:rPr>
                <w:noProof/>
                <w:webHidden/>
              </w:rPr>
              <w:fldChar w:fldCharType="separate"/>
            </w:r>
            <w:r>
              <w:rPr>
                <w:noProof/>
                <w:webHidden/>
              </w:rPr>
              <w:t>116</w:t>
            </w:r>
            <w:r>
              <w:rPr>
                <w:noProof/>
                <w:webHidden/>
              </w:rPr>
              <w:fldChar w:fldCharType="end"/>
            </w:r>
          </w:hyperlink>
        </w:p>
        <w:p w14:paraId="250087F0" w14:textId="77777777" w:rsidR="00297BA8" w:rsidRDefault="00297BA8">
          <w:pPr>
            <w:pStyle w:val="Turinys2"/>
            <w:tabs>
              <w:tab w:val="left" w:pos="1100"/>
              <w:tab w:val="right" w:leader="dot" w:pos="9016"/>
            </w:tabs>
            <w:rPr>
              <w:rFonts w:eastAsiaTheme="minorEastAsia"/>
              <w:noProof/>
              <w:lang w:val="lt-LT" w:eastAsia="lt-LT"/>
            </w:rPr>
          </w:pPr>
          <w:hyperlink w:anchor="_Toc25594697" w:history="1">
            <w:r w:rsidRPr="00155C99">
              <w:rPr>
                <w:rStyle w:val="Hipersaitas"/>
                <w:rFonts w:ascii="Georgia" w:hAnsi="Georgia"/>
                <w:noProof/>
                <w:lang w:val="lt-LT"/>
              </w:rPr>
              <w:t>4.4.4.</w:t>
            </w:r>
            <w:r>
              <w:rPr>
                <w:rFonts w:eastAsiaTheme="minorEastAsia"/>
                <w:noProof/>
                <w:lang w:val="lt-LT" w:eastAsia="lt-LT"/>
              </w:rPr>
              <w:tab/>
            </w:r>
            <w:r w:rsidRPr="00155C99">
              <w:rPr>
                <w:rStyle w:val="Hipersaitas"/>
                <w:rFonts w:ascii="Georgia" w:hAnsi="Georgia"/>
                <w:noProof/>
                <w:lang w:val="lt-LT"/>
              </w:rPr>
              <w:t>Gatvių apšvietimo modernizavimo scenarijų palyginimas</w:t>
            </w:r>
            <w:r>
              <w:rPr>
                <w:noProof/>
                <w:webHidden/>
              </w:rPr>
              <w:tab/>
            </w:r>
            <w:r>
              <w:rPr>
                <w:noProof/>
                <w:webHidden/>
              </w:rPr>
              <w:fldChar w:fldCharType="begin"/>
            </w:r>
            <w:r>
              <w:rPr>
                <w:noProof/>
                <w:webHidden/>
              </w:rPr>
              <w:instrText xml:space="preserve"> PAGEREF _Toc25594697 \h </w:instrText>
            </w:r>
            <w:r>
              <w:rPr>
                <w:noProof/>
                <w:webHidden/>
              </w:rPr>
            </w:r>
            <w:r>
              <w:rPr>
                <w:noProof/>
                <w:webHidden/>
              </w:rPr>
              <w:fldChar w:fldCharType="separate"/>
            </w:r>
            <w:r>
              <w:rPr>
                <w:noProof/>
                <w:webHidden/>
              </w:rPr>
              <w:t>117</w:t>
            </w:r>
            <w:r>
              <w:rPr>
                <w:noProof/>
                <w:webHidden/>
              </w:rPr>
              <w:fldChar w:fldCharType="end"/>
            </w:r>
          </w:hyperlink>
        </w:p>
        <w:p w14:paraId="206BD057" w14:textId="77777777" w:rsidR="00297BA8" w:rsidRDefault="00297BA8">
          <w:pPr>
            <w:pStyle w:val="Turinys2"/>
            <w:tabs>
              <w:tab w:val="left" w:pos="880"/>
              <w:tab w:val="right" w:leader="dot" w:pos="9016"/>
            </w:tabs>
            <w:rPr>
              <w:rFonts w:eastAsiaTheme="minorEastAsia"/>
              <w:noProof/>
              <w:lang w:val="lt-LT" w:eastAsia="lt-LT"/>
            </w:rPr>
          </w:pPr>
          <w:hyperlink w:anchor="_Toc25594698" w:history="1">
            <w:r w:rsidRPr="00155C99">
              <w:rPr>
                <w:rStyle w:val="Hipersaitas"/>
                <w:rFonts w:ascii="Georgia" w:hAnsi="Georgia"/>
                <w:noProof/>
                <w:lang w:val="lt-LT"/>
              </w:rPr>
              <w:t>4.5.</w:t>
            </w:r>
            <w:r>
              <w:rPr>
                <w:rFonts w:eastAsiaTheme="minorEastAsia"/>
                <w:noProof/>
                <w:lang w:val="lt-LT" w:eastAsia="lt-LT"/>
              </w:rPr>
              <w:tab/>
            </w:r>
            <w:r w:rsidRPr="00155C99">
              <w:rPr>
                <w:rStyle w:val="Hipersaitas"/>
                <w:rFonts w:ascii="Georgia" w:hAnsi="Georgia"/>
                <w:noProof/>
                <w:lang w:val="lt-LT"/>
              </w:rPr>
              <w:t>Finansinės priemonės darna su kitomis viešųjų intervencijų formomis</w:t>
            </w:r>
            <w:r>
              <w:rPr>
                <w:noProof/>
                <w:webHidden/>
              </w:rPr>
              <w:tab/>
            </w:r>
            <w:r>
              <w:rPr>
                <w:noProof/>
                <w:webHidden/>
              </w:rPr>
              <w:fldChar w:fldCharType="begin"/>
            </w:r>
            <w:r>
              <w:rPr>
                <w:noProof/>
                <w:webHidden/>
              </w:rPr>
              <w:instrText xml:space="preserve"> PAGEREF _Toc25594698 \h </w:instrText>
            </w:r>
            <w:r>
              <w:rPr>
                <w:noProof/>
                <w:webHidden/>
              </w:rPr>
            </w:r>
            <w:r>
              <w:rPr>
                <w:noProof/>
                <w:webHidden/>
              </w:rPr>
              <w:fldChar w:fldCharType="separate"/>
            </w:r>
            <w:r>
              <w:rPr>
                <w:noProof/>
                <w:webHidden/>
              </w:rPr>
              <w:t>117</w:t>
            </w:r>
            <w:r>
              <w:rPr>
                <w:noProof/>
                <w:webHidden/>
              </w:rPr>
              <w:fldChar w:fldCharType="end"/>
            </w:r>
          </w:hyperlink>
        </w:p>
        <w:p w14:paraId="63245E63" w14:textId="77777777" w:rsidR="00297BA8" w:rsidRDefault="00297BA8">
          <w:pPr>
            <w:pStyle w:val="Turinys2"/>
            <w:tabs>
              <w:tab w:val="left" w:pos="880"/>
              <w:tab w:val="right" w:leader="dot" w:pos="9016"/>
            </w:tabs>
            <w:rPr>
              <w:rFonts w:eastAsiaTheme="minorEastAsia"/>
              <w:noProof/>
              <w:lang w:val="lt-LT" w:eastAsia="lt-LT"/>
            </w:rPr>
          </w:pPr>
          <w:hyperlink w:anchor="_Toc25594699" w:history="1">
            <w:r w:rsidRPr="00155C99">
              <w:rPr>
                <w:rStyle w:val="Hipersaitas"/>
                <w:rFonts w:ascii="Georgia" w:hAnsi="Georgia"/>
                <w:noProof/>
                <w:lang w:val="lt-LT"/>
              </w:rPr>
              <w:t>4.6.</w:t>
            </w:r>
            <w:r>
              <w:rPr>
                <w:rFonts w:eastAsiaTheme="minorEastAsia"/>
                <w:noProof/>
                <w:lang w:val="lt-LT" w:eastAsia="lt-LT"/>
              </w:rPr>
              <w:tab/>
            </w:r>
            <w:r w:rsidRPr="00155C99">
              <w:rPr>
                <w:rStyle w:val="Hipersaitas"/>
                <w:rFonts w:ascii="Georgia" w:hAnsi="Georgia"/>
                <w:noProof/>
                <w:lang w:val="lt-LT"/>
              </w:rPr>
              <w:t>Finansinių priemonių poveikis valstybės biudžeto deficitui ir valstybės skolai</w:t>
            </w:r>
            <w:r>
              <w:rPr>
                <w:noProof/>
                <w:webHidden/>
              </w:rPr>
              <w:tab/>
            </w:r>
            <w:r>
              <w:rPr>
                <w:noProof/>
                <w:webHidden/>
              </w:rPr>
              <w:fldChar w:fldCharType="begin"/>
            </w:r>
            <w:r>
              <w:rPr>
                <w:noProof/>
                <w:webHidden/>
              </w:rPr>
              <w:instrText xml:space="preserve"> PAGEREF _Toc25594699 \h </w:instrText>
            </w:r>
            <w:r>
              <w:rPr>
                <w:noProof/>
                <w:webHidden/>
              </w:rPr>
            </w:r>
            <w:r>
              <w:rPr>
                <w:noProof/>
                <w:webHidden/>
              </w:rPr>
              <w:fldChar w:fldCharType="separate"/>
            </w:r>
            <w:r>
              <w:rPr>
                <w:noProof/>
                <w:webHidden/>
              </w:rPr>
              <w:t>118</w:t>
            </w:r>
            <w:r>
              <w:rPr>
                <w:noProof/>
                <w:webHidden/>
              </w:rPr>
              <w:fldChar w:fldCharType="end"/>
            </w:r>
          </w:hyperlink>
        </w:p>
        <w:p w14:paraId="0545F26E" w14:textId="77777777" w:rsidR="00297BA8" w:rsidRDefault="00297BA8">
          <w:pPr>
            <w:pStyle w:val="Turinys1"/>
            <w:tabs>
              <w:tab w:val="left" w:pos="660"/>
              <w:tab w:val="right" w:leader="dot" w:pos="9016"/>
            </w:tabs>
            <w:rPr>
              <w:rFonts w:eastAsiaTheme="minorEastAsia"/>
              <w:noProof/>
              <w:lang w:val="lt-LT" w:eastAsia="lt-LT"/>
            </w:rPr>
          </w:pPr>
          <w:hyperlink w:anchor="_Toc25594700" w:history="1">
            <w:r w:rsidRPr="00155C99">
              <w:rPr>
                <w:rStyle w:val="Hipersaitas"/>
                <w:rFonts w:cs="Arial"/>
                <w:noProof/>
                <w:lang w:val="lt-LT"/>
              </w:rPr>
              <w:t>5.</w:t>
            </w:r>
            <w:r>
              <w:rPr>
                <w:rFonts w:eastAsiaTheme="minorEastAsia"/>
                <w:noProof/>
                <w:lang w:val="lt-LT" w:eastAsia="lt-LT"/>
              </w:rPr>
              <w:tab/>
            </w:r>
            <w:r w:rsidRPr="00155C99">
              <w:rPr>
                <w:rStyle w:val="Hipersaitas"/>
                <w:noProof/>
                <w:lang w:val="lt-LT"/>
              </w:rPr>
              <w:t>Valstybės pagalba</w:t>
            </w:r>
            <w:r>
              <w:rPr>
                <w:noProof/>
                <w:webHidden/>
              </w:rPr>
              <w:tab/>
            </w:r>
            <w:r>
              <w:rPr>
                <w:noProof/>
                <w:webHidden/>
              </w:rPr>
              <w:fldChar w:fldCharType="begin"/>
            </w:r>
            <w:r>
              <w:rPr>
                <w:noProof/>
                <w:webHidden/>
              </w:rPr>
              <w:instrText xml:space="preserve"> PAGEREF _Toc25594700 \h </w:instrText>
            </w:r>
            <w:r>
              <w:rPr>
                <w:noProof/>
                <w:webHidden/>
              </w:rPr>
            </w:r>
            <w:r>
              <w:rPr>
                <w:noProof/>
                <w:webHidden/>
              </w:rPr>
              <w:fldChar w:fldCharType="separate"/>
            </w:r>
            <w:r>
              <w:rPr>
                <w:noProof/>
                <w:webHidden/>
              </w:rPr>
              <w:t>120</w:t>
            </w:r>
            <w:r>
              <w:rPr>
                <w:noProof/>
                <w:webHidden/>
              </w:rPr>
              <w:fldChar w:fldCharType="end"/>
            </w:r>
          </w:hyperlink>
        </w:p>
        <w:p w14:paraId="6772201A" w14:textId="77777777" w:rsidR="00297BA8" w:rsidRDefault="00297BA8">
          <w:pPr>
            <w:pStyle w:val="Turinys2"/>
            <w:tabs>
              <w:tab w:val="left" w:pos="880"/>
              <w:tab w:val="right" w:leader="dot" w:pos="9016"/>
            </w:tabs>
            <w:rPr>
              <w:rFonts w:eastAsiaTheme="minorEastAsia"/>
              <w:noProof/>
              <w:lang w:val="lt-LT" w:eastAsia="lt-LT"/>
            </w:rPr>
          </w:pPr>
          <w:hyperlink w:anchor="_Toc25594701" w:history="1">
            <w:r w:rsidRPr="00155C99">
              <w:rPr>
                <w:rStyle w:val="Hipersaitas"/>
                <w:rFonts w:ascii="Georgia" w:hAnsi="Georgia"/>
                <w:noProof/>
                <w:lang w:val="lt-LT"/>
              </w:rPr>
              <w:t>5.1.</w:t>
            </w:r>
            <w:r>
              <w:rPr>
                <w:rFonts w:eastAsiaTheme="minorEastAsia"/>
                <w:noProof/>
                <w:lang w:val="lt-LT" w:eastAsia="lt-LT"/>
              </w:rPr>
              <w:tab/>
            </w:r>
            <w:r w:rsidRPr="00155C99">
              <w:rPr>
                <w:rStyle w:val="Hipersaitas"/>
                <w:rFonts w:ascii="Georgia" w:hAnsi="Georgia"/>
                <w:noProof/>
                <w:lang w:val="lt-LT"/>
              </w:rPr>
              <w:t>Valstybės pagalbos teikimo požymių apibūdinimas</w:t>
            </w:r>
            <w:r>
              <w:rPr>
                <w:noProof/>
                <w:webHidden/>
              </w:rPr>
              <w:tab/>
            </w:r>
            <w:r>
              <w:rPr>
                <w:noProof/>
                <w:webHidden/>
              </w:rPr>
              <w:fldChar w:fldCharType="begin"/>
            </w:r>
            <w:r>
              <w:rPr>
                <w:noProof/>
                <w:webHidden/>
              </w:rPr>
              <w:instrText xml:space="preserve"> PAGEREF _Toc25594701 \h </w:instrText>
            </w:r>
            <w:r>
              <w:rPr>
                <w:noProof/>
                <w:webHidden/>
              </w:rPr>
            </w:r>
            <w:r>
              <w:rPr>
                <w:noProof/>
                <w:webHidden/>
              </w:rPr>
              <w:fldChar w:fldCharType="separate"/>
            </w:r>
            <w:r>
              <w:rPr>
                <w:noProof/>
                <w:webHidden/>
              </w:rPr>
              <w:t>121</w:t>
            </w:r>
            <w:r>
              <w:rPr>
                <w:noProof/>
                <w:webHidden/>
              </w:rPr>
              <w:fldChar w:fldCharType="end"/>
            </w:r>
          </w:hyperlink>
        </w:p>
        <w:p w14:paraId="204683DA" w14:textId="77777777" w:rsidR="00297BA8" w:rsidRDefault="00297BA8">
          <w:pPr>
            <w:pStyle w:val="Turinys2"/>
            <w:tabs>
              <w:tab w:val="left" w:pos="1100"/>
              <w:tab w:val="right" w:leader="dot" w:pos="9016"/>
            </w:tabs>
            <w:rPr>
              <w:rFonts w:eastAsiaTheme="minorEastAsia"/>
              <w:noProof/>
              <w:lang w:val="lt-LT" w:eastAsia="lt-LT"/>
            </w:rPr>
          </w:pPr>
          <w:hyperlink w:anchor="_Toc25594702" w:history="1">
            <w:r w:rsidRPr="00155C99">
              <w:rPr>
                <w:rStyle w:val="Hipersaitas"/>
                <w:rFonts w:ascii="Georgia" w:hAnsi="Georgia"/>
                <w:noProof/>
                <w:lang w:val="lt-LT"/>
              </w:rPr>
              <w:t>5.1.1.</w:t>
            </w:r>
            <w:r>
              <w:rPr>
                <w:rFonts w:eastAsiaTheme="minorEastAsia"/>
                <w:noProof/>
                <w:lang w:val="lt-LT" w:eastAsia="lt-LT"/>
              </w:rPr>
              <w:tab/>
            </w:r>
            <w:r w:rsidRPr="00155C99">
              <w:rPr>
                <w:rStyle w:val="Hipersaitas"/>
                <w:rFonts w:ascii="Georgia" w:hAnsi="Georgia"/>
                <w:noProof/>
                <w:lang w:val="lt-LT"/>
              </w:rPr>
              <w:t>Priemonės priskyrimas viešajam sektoriui</w:t>
            </w:r>
            <w:r>
              <w:rPr>
                <w:noProof/>
                <w:webHidden/>
              </w:rPr>
              <w:tab/>
            </w:r>
            <w:r>
              <w:rPr>
                <w:noProof/>
                <w:webHidden/>
              </w:rPr>
              <w:fldChar w:fldCharType="begin"/>
            </w:r>
            <w:r>
              <w:rPr>
                <w:noProof/>
                <w:webHidden/>
              </w:rPr>
              <w:instrText xml:space="preserve"> PAGEREF _Toc25594702 \h </w:instrText>
            </w:r>
            <w:r>
              <w:rPr>
                <w:noProof/>
                <w:webHidden/>
              </w:rPr>
            </w:r>
            <w:r>
              <w:rPr>
                <w:noProof/>
                <w:webHidden/>
              </w:rPr>
              <w:fldChar w:fldCharType="separate"/>
            </w:r>
            <w:r>
              <w:rPr>
                <w:noProof/>
                <w:webHidden/>
              </w:rPr>
              <w:t>122</w:t>
            </w:r>
            <w:r>
              <w:rPr>
                <w:noProof/>
                <w:webHidden/>
              </w:rPr>
              <w:fldChar w:fldCharType="end"/>
            </w:r>
          </w:hyperlink>
        </w:p>
        <w:p w14:paraId="4C3D0614" w14:textId="77777777" w:rsidR="00297BA8" w:rsidRDefault="00297BA8">
          <w:pPr>
            <w:pStyle w:val="Turinys2"/>
            <w:tabs>
              <w:tab w:val="left" w:pos="1100"/>
              <w:tab w:val="right" w:leader="dot" w:pos="9016"/>
            </w:tabs>
            <w:rPr>
              <w:rFonts w:eastAsiaTheme="minorEastAsia"/>
              <w:noProof/>
              <w:lang w:val="lt-LT" w:eastAsia="lt-LT"/>
            </w:rPr>
          </w:pPr>
          <w:hyperlink w:anchor="_Toc25594703" w:history="1">
            <w:r w:rsidRPr="00155C99">
              <w:rPr>
                <w:rStyle w:val="Hipersaitas"/>
                <w:rFonts w:ascii="Georgia" w:hAnsi="Georgia"/>
                <w:noProof/>
                <w:lang w:val="lt-LT"/>
              </w:rPr>
              <w:t>5.1.2.</w:t>
            </w:r>
            <w:r>
              <w:rPr>
                <w:rFonts w:eastAsiaTheme="minorEastAsia"/>
                <w:noProof/>
                <w:lang w:val="lt-LT" w:eastAsia="lt-LT"/>
              </w:rPr>
              <w:tab/>
            </w:r>
            <w:r w:rsidRPr="00155C99">
              <w:rPr>
                <w:rStyle w:val="Hipersaitas"/>
                <w:rFonts w:ascii="Georgia" w:hAnsi="Georgia"/>
                <w:noProof/>
                <w:lang w:val="lt-LT"/>
              </w:rPr>
              <w:t>Ekonominio pranašumo suteikimas</w:t>
            </w:r>
            <w:r>
              <w:rPr>
                <w:noProof/>
                <w:webHidden/>
              </w:rPr>
              <w:tab/>
            </w:r>
            <w:r>
              <w:rPr>
                <w:noProof/>
                <w:webHidden/>
              </w:rPr>
              <w:fldChar w:fldCharType="begin"/>
            </w:r>
            <w:r>
              <w:rPr>
                <w:noProof/>
                <w:webHidden/>
              </w:rPr>
              <w:instrText xml:space="preserve"> PAGEREF _Toc25594703 \h </w:instrText>
            </w:r>
            <w:r>
              <w:rPr>
                <w:noProof/>
                <w:webHidden/>
              </w:rPr>
            </w:r>
            <w:r>
              <w:rPr>
                <w:noProof/>
                <w:webHidden/>
              </w:rPr>
              <w:fldChar w:fldCharType="separate"/>
            </w:r>
            <w:r>
              <w:rPr>
                <w:noProof/>
                <w:webHidden/>
              </w:rPr>
              <w:t>122</w:t>
            </w:r>
            <w:r>
              <w:rPr>
                <w:noProof/>
                <w:webHidden/>
              </w:rPr>
              <w:fldChar w:fldCharType="end"/>
            </w:r>
          </w:hyperlink>
        </w:p>
        <w:p w14:paraId="5C1F1CD5" w14:textId="77777777" w:rsidR="00297BA8" w:rsidRDefault="00297BA8">
          <w:pPr>
            <w:pStyle w:val="Turinys2"/>
            <w:tabs>
              <w:tab w:val="left" w:pos="1100"/>
              <w:tab w:val="right" w:leader="dot" w:pos="9016"/>
            </w:tabs>
            <w:rPr>
              <w:rFonts w:eastAsiaTheme="minorEastAsia"/>
              <w:noProof/>
              <w:lang w:val="lt-LT" w:eastAsia="lt-LT"/>
            </w:rPr>
          </w:pPr>
          <w:hyperlink w:anchor="_Toc25594704" w:history="1">
            <w:r w:rsidRPr="00155C99">
              <w:rPr>
                <w:rStyle w:val="Hipersaitas"/>
                <w:rFonts w:ascii="Georgia" w:hAnsi="Georgia"/>
                <w:noProof/>
                <w:lang w:val="lt-LT"/>
              </w:rPr>
              <w:t>5.1.3.</w:t>
            </w:r>
            <w:r>
              <w:rPr>
                <w:rFonts w:eastAsiaTheme="minorEastAsia"/>
                <w:noProof/>
                <w:lang w:val="lt-LT" w:eastAsia="lt-LT"/>
              </w:rPr>
              <w:tab/>
            </w:r>
            <w:r w:rsidRPr="00155C99">
              <w:rPr>
                <w:rStyle w:val="Hipersaitas"/>
                <w:rFonts w:ascii="Georgia" w:hAnsi="Georgia"/>
                <w:noProof/>
                <w:lang w:val="lt-LT"/>
              </w:rPr>
              <w:t>Priemonės selektyvumas</w:t>
            </w:r>
            <w:r>
              <w:rPr>
                <w:noProof/>
                <w:webHidden/>
              </w:rPr>
              <w:tab/>
            </w:r>
            <w:r>
              <w:rPr>
                <w:noProof/>
                <w:webHidden/>
              </w:rPr>
              <w:fldChar w:fldCharType="begin"/>
            </w:r>
            <w:r>
              <w:rPr>
                <w:noProof/>
                <w:webHidden/>
              </w:rPr>
              <w:instrText xml:space="preserve"> PAGEREF _Toc25594704 \h </w:instrText>
            </w:r>
            <w:r>
              <w:rPr>
                <w:noProof/>
                <w:webHidden/>
              </w:rPr>
            </w:r>
            <w:r>
              <w:rPr>
                <w:noProof/>
                <w:webHidden/>
              </w:rPr>
              <w:fldChar w:fldCharType="separate"/>
            </w:r>
            <w:r>
              <w:rPr>
                <w:noProof/>
                <w:webHidden/>
              </w:rPr>
              <w:t>123</w:t>
            </w:r>
            <w:r>
              <w:rPr>
                <w:noProof/>
                <w:webHidden/>
              </w:rPr>
              <w:fldChar w:fldCharType="end"/>
            </w:r>
          </w:hyperlink>
        </w:p>
        <w:p w14:paraId="30A202FA" w14:textId="77777777" w:rsidR="00297BA8" w:rsidRDefault="00297BA8">
          <w:pPr>
            <w:pStyle w:val="Turinys2"/>
            <w:tabs>
              <w:tab w:val="left" w:pos="1100"/>
              <w:tab w:val="right" w:leader="dot" w:pos="9016"/>
            </w:tabs>
            <w:rPr>
              <w:rFonts w:eastAsiaTheme="minorEastAsia"/>
              <w:noProof/>
              <w:lang w:val="lt-LT" w:eastAsia="lt-LT"/>
            </w:rPr>
          </w:pPr>
          <w:hyperlink w:anchor="_Toc25594705" w:history="1">
            <w:r w:rsidRPr="00155C99">
              <w:rPr>
                <w:rStyle w:val="Hipersaitas"/>
                <w:rFonts w:ascii="Georgia" w:hAnsi="Georgia"/>
                <w:noProof/>
                <w:lang w:val="lt-LT"/>
              </w:rPr>
              <w:t>5.1.4.</w:t>
            </w:r>
            <w:r>
              <w:rPr>
                <w:rFonts w:eastAsiaTheme="minorEastAsia"/>
                <w:noProof/>
                <w:lang w:val="lt-LT" w:eastAsia="lt-LT"/>
              </w:rPr>
              <w:tab/>
            </w:r>
            <w:r w:rsidRPr="00155C99">
              <w:rPr>
                <w:rStyle w:val="Hipersaitas"/>
                <w:rFonts w:ascii="Georgia" w:hAnsi="Georgia"/>
                <w:noProof/>
                <w:lang w:val="lt-LT"/>
              </w:rPr>
              <w:t>Priemonės poveikis konkurencijai ir (ar) prekybai</w:t>
            </w:r>
            <w:r>
              <w:rPr>
                <w:noProof/>
                <w:webHidden/>
              </w:rPr>
              <w:tab/>
            </w:r>
            <w:r>
              <w:rPr>
                <w:noProof/>
                <w:webHidden/>
              </w:rPr>
              <w:fldChar w:fldCharType="begin"/>
            </w:r>
            <w:r>
              <w:rPr>
                <w:noProof/>
                <w:webHidden/>
              </w:rPr>
              <w:instrText xml:space="preserve"> PAGEREF _Toc25594705 \h </w:instrText>
            </w:r>
            <w:r>
              <w:rPr>
                <w:noProof/>
                <w:webHidden/>
              </w:rPr>
            </w:r>
            <w:r>
              <w:rPr>
                <w:noProof/>
                <w:webHidden/>
              </w:rPr>
              <w:fldChar w:fldCharType="separate"/>
            </w:r>
            <w:r>
              <w:rPr>
                <w:noProof/>
                <w:webHidden/>
              </w:rPr>
              <w:t>124</w:t>
            </w:r>
            <w:r>
              <w:rPr>
                <w:noProof/>
                <w:webHidden/>
              </w:rPr>
              <w:fldChar w:fldCharType="end"/>
            </w:r>
          </w:hyperlink>
        </w:p>
        <w:p w14:paraId="5259045D" w14:textId="77777777" w:rsidR="00297BA8" w:rsidRDefault="00297BA8">
          <w:pPr>
            <w:pStyle w:val="Turinys2"/>
            <w:tabs>
              <w:tab w:val="left" w:pos="880"/>
              <w:tab w:val="right" w:leader="dot" w:pos="9016"/>
            </w:tabs>
            <w:rPr>
              <w:rFonts w:eastAsiaTheme="minorEastAsia"/>
              <w:noProof/>
              <w:lang w:val="lt-LT" w:eastAsia="lt-LT"/>
            </w:rPr>
          </w:pPr>
          <w:hyperlink w:anchor="_Toc25594706" w:history="1">
            <w:r w:rsidRPr="00155C99">
              <w:rPr>
                <w:rStyle w:val="Hipersaitas"/>
                <w:rFonts w:ascii="Georgia" w:hAnsi="Georgia"/>
                <w:noProof/>
                <w:lang w:val="lt-LT"/>
              </w:rPr>
              <w:t>5.2.</w:t>
            </w:r>
            <w:r>
              <w:rPr>
                <w:rFonts w:eastAsiaTheme="minorEastAsia"/>
                <w:noProof/>
                <w:lang w:val="lt-LT" w:eastAsia="lt-LT"/>
              </w:rPr>
              <w:tab/>
            </w:r>
            <w:r w:rsidRPr="00155C99">
              <w:rPr>
                <w:rStyle w:val="Hipersaitas"/>
                <w:rFonts w:ascii="Georgia" w:hAnsi="Georgia"/>
                <w:noProof/>
                <w:lang w:val="lt-LT"/>
              </w:rPr>
              <w:t>Numatomų vykdyti finansinių priemonių apribojimai, susiję su valstybės pagalbos taisyklių reikalavimais</w:t>
            </w:r>
            <w:r>
              <w:rPr>
                <w:noProof/>
                <w:webHidden/>
              </w:rPr>
              <w:tab/>
            </w:r>
            <w:r>
              <w:rPr>
                <w:noProof/>
                <w:webHidden/>
              </w:rPr>
              <w:fldChar w:fldCharType="begin"/>
            </w:r>
            <w:r>
              <w:rPr>
                <w:noProof/>
                <w:webHidden/>
              </w:rPr>
              <w:instrText xml:space="preserve"> PAGEREF _Toc25594706 \h </w:instrText>
            </w:r>
            <w:r>
              <w:rPr>
                <w:noProof/>
                <w:webHidden/>
              </w:rPr>
            </w:r>
            <w:r>
              <w:rPr>
                <w:noProof/>
                <w:webHidden/>
              </w:rPr>
              <w:fldChar w:fldCharType="separate"/>
            </w:r>
            <w:r>
              <w:rPr>
                <w:noProof/>
                <w:webHidden/>
              </w:rPr>
              <w:t>124</w:t>
            </w:r>
            <w:r>
              <w:rPr>
                <w:noProof/>
                <w:webHidden/>
              </w:rPr>
              <w:fldChar w:fldCharType="end"/>
            </w:r>
          </w:hyperlink>
        </w:p>
        <w:p w14:paraId="3C0951EE" w14:textId="77777777" w:rsidR="00297BA8" w:rsidRDefault="00297BA8">
          <w:pPr>
            <w:pStyle w:val="Turinys2"/>
            <w:tabs>
              <w:tab w:val="left" w:pos="1100"/>
              <w:tab w:val="right" w:leader="dot" w:pos="9016"/>
            </w:tabs>
            <w:rPr>
              <w:rFonts w:eastAsiaTheme="minorEastAsia"/>
              <w:noProof/>
              <w:lang w:val="lt-LT" w:eastAsia="lt-LT"/>
            </w:rPr>
          </w:pPr>
          <w:hyperlink w:anchor="_Toc25594707" w:history="1">
            <w:r w:rsidRPr="00155C99">
              <w:rPr>
                <w:rStyle w:val="Hipersaitas"/>
                <w:rFonts w:ascii="Georgia" w:hAnsi="Georgia"/>
                <w:noProof/>
                <w:lang w:val="lt-LT"/>
              </w:rPr>
              <w:t>5.2.1.</w:t>
            </w:r>
            <w:r>
              <w:rPr>
                <w:rFonts w:eastAsiaTheme="minorEastAsia"/>
                <w:noProof/>
                <w:lang w:val="lt-LT" w:eastAsia="lt-LT"/>
              </w:rPr>
              <w:tab/>
            </w:r>
            <w:r w:rsidRPr="00155C99">
              <w:rPr>
                <w:rStyle w:val="Hipersaitas"/>
                <w:rFonts w:ascii="Georgia" w:hAnsi="Georgia"/>
                <w:noProof/>
                <w:lang w:val="lt-LT"/>
              </w:rPr>
              <w:t>Daugiabučių namų renovacijos finansinių priemonių vertinimas</w:t>
            </w:r>
            <w:r>
              <w:rPr>
                <w:noProof/>
                <w:webHidden/>
              </w:rPr>
              <w:tab/>
            </w:r>
            <w:r>
              <w:rPr>
                <w:noProof/>
                <w:webHidden/>
              </w:rPr>
              <w:fldChar w:fldCharType="begin"/>
            </w:r>
            <w:r>
              <w:rPr>
                <w:noProof/>
                <w:webHidden/>
              </w:rPr>
              <w:instrText xml:space="preserve"> PAGEREF _Toc25594707 \h </w:instrText>
            </w:r>
            <w:r>
              <w:rPr>
                <w:noProof/>
                <w:webHidden/>
              </w:rPr>
            </w:r>
            <w:r>
              <w:rPr>
                <w:noProof/>
                <w:webHidden/>
              </w:rPr>
              <w:fldChar w:fldCharType="separate"/>
            </w:r>
            <w:r>
              <w:rPr>
                <w:noProof/>
                <w:webHidden/>
              </w:rPr>
              <w:t>130</w:t>
            </w:r>
            <w:r>
              <w:rPr>
                <w:noProof/>
                <w:webHidden/>
              </w:rPr>
              <w:fldChar w:fldCharType="end"/>
            </w:r>
          </w:hyperlink>
        </w:p>
        <w:p w14:paraId="4C98F1C0" w14:textId="77777777" w:rsidR="00297BA8" w:rsidRDefault="00297BA8">
          <w:pPr>
            <w:pStyle w:val="Turinys2"/>
            <w:tabs>
              <w:tab w:val="left" w:pos="1320"/>
              <w:tab w:val="right" w:leader="dot" w:pos="9016"/>
            </w:tabs>
            <w:rPr>
              <w:rFonts w:eastAsiaTheme="minorEastAsia"/>
              <w:noProof/>
              <w:lang w:val="lt-LT" w:eastAsia="lt-LT"/>
            </w:rPr>
          </w:pPr>
          <w:hyperlink w:anchor="_Toc25594708" w:history="1">
            <w:r w:rsidRPr="00155C99">
              <w:rPr>
                <w:rStyle w:val="Hipersaitas"/>
                <w:rFonts w:ascii="Georgia" w:hAnsi="Georgia"/>
                <w:noProof/>
                <w:lang w:val="lt-LT"/>
              </w:rPr>
              <w:t>5.2.1.1.</w:t>
            </w:r>
            <w:r>
              <w:rPr>
                <w:rFonts w:eastAsiaTheme="minorEastAsia"/>
                <w:noProof/>
                <w:lang w:val="lt-LT" w:eastAsia="lt-LT"/>
              </w:rPr>
              <w:tab/>
            </w:r>
            <w:r w:rsidRPr="00155C99">
              <w:rPr>
                <w:rStyle w:val="Hipersaitas"/>
                <w:rFonts w:ascii="Georgia" w:hAnsi="Georgia"/>
                <w:noProof/>
                <w:lang w:val="lt-LT"/>
              </w:rPr>
              <w:t>Priemonės įgyvendinimo mechanizmo klasifikavimas</w:t>
            </w:r>
            <w:r>
              <w:rPr>
                <w:noProof/>
                <w:webHidden/>
              </w:rPr>
              <w:tab/>
            </w:r>
            <w:r>
              <w:rPr>
                <w:noProof/>
                <w:webHidden/>
              </w:rPr>
              <w:fldChar w:fldCharType="begin"/>
            </w:r>
            <w:r>
              <w:rPr>
                <w:noProof/>
                <w:webHidden/>
              </w:rPr>
              <w:instrText xml:space="preserve"> PAGEREF _Toc25594708 \h </w:instrText>
            </w:r>
            <w:r>
              <w:rPr>
                <w:noProof/>
                <w:webHidden/>
              </w:rPr>
            </w:r>
            <w:r>
              <w:rPr>
                <w:noProof/>
                <w:webHidden/>
              </w:rPr>
              <w:fldChar w:fldCharType="separate"/>
            </w:r>
            <w:r>
              <w:rPr>
                <w:noProof/>
                <w:webHidden/>
              </w:rPr>
              <w:t>131</w:t>
            </w:r>
            <w:r>
              <w:rPr>
                <w:noProof/>
                <w:webHidden/>
              </w:rPr>
              <w:fldChar w:fldCharType="end"/>
            </w:r>
          </w:hyperlink>
        </w:p>
        <w:p w14:paraId="227F27DF" w14:textId="77777777" w:rsidR="00297BA8" w:rsidRDefault="00297BA8">
          <w:pPr>
            <w:pStyle w:val="Turinys2"/>
            <w:tabs>
              <w:tab w:val="left" w:pos="1320"/>
              <w:tab w:val="right" w:leader="dot" w:pos="9016"/>
            </w:tabs>
            <w:rPr>
              <w:rFonts w:eastAsiaTheme="minorEastAsia"/>
              <w:noProof/>
              <w:lang w:val="lt-LT" w:eastAsia="lt-LT"/>
            </w:rPr>
          </w:pPr>
          <w:hyperlink w:anchor="_Toc25594709" w:history="1">
            <w:r w:rsidRPr="00155C99">
              <w:rPr>
                <w:rStyle w:val="Hipersaitas"/>
                <w:rFonts w:ascii="Georgia" w:hAnsi="Georgia"/>
                <w:noProof/>
                <w:lang w:val="lt-LT"/>
              </w:rPr>
              <w:t>5.2.1.2.</w:t>
            </w:r>
            <w:r>
              <w:rPr>
                <w:rFonts w:eastAsiaTheme="minorEastAsia"/>
                <w:noProof/>
                <w:lang w:val="lt-LT" w:eastAsia="lt-LT"/>
              </w:rPr>
              <w:tab/>
            </w:r>
            <w:r w:rsidRPr="00155C99">
              <w:rPr>
                <w:rStyle w:val="Hipersaitas"/>
                <w:rFonts w:ascii="Georgia" w:hAnsi="Georgia"/>
                <w:noProof/>
                <w:lang w:val="lt-LT"/>
              </w:rPr>
              <w:t>Priemonės įgyvendinimo suderinamumo vertinimas</w:t>
            </w:r>
            <w:r>
              <w:rPr>
                <w:noProof/>
                <w:webHidden/>
              </w:rPr>
              <w:tab/>
            </w:r>
            <w:r>
              <w:rPr>
                <w:noProof/>
                <w:webHidden/>
              </w:rPr>
              <w:fldChar w:fldCharType="begin"/>
            </w:r>
            <w:r>
              <w:rPr>
                <w:noProof/>
                <w:webHidden/>
              </w:rPr>
              <w:instrText xml:space="preserve"> PAGEREF _Toc25594709 \h </w:instrText>
            </w:r>
            <w:r>
              <w:rPr>
                <w:noProof/>
                <w:webHidden/>
              </w:rPr>
            </w:r>
            <w:r>
              <w:rPr>
                <w:noProof/>
                <w:webHidden/>
              </w:rPr>
              <w:fldChar w:fldCharType="separate"/>
            </w:r>
            <w:r>
              <w:rPr>
                <w:noProof/>
                <w:webHidden/>
              </w:rPr>
              <w:t>135</w:t>
            </w:r>
            <w:r>
              <w:rPr>
                <w:noProof/>
                <w:webHidden/>
              </w:rPr>
              <w:fldChar w:fldCharType="end"/>
            </w:r>
          </w:hyperlink>
        </w:p>
        <w:p w14:paraId="032956AE" w14:textId="77777777" w:rsidR="00297BA8" w:rsidRDefault="00297BA8">
          <w:pPr>
            <w:pStyle w:val="Turinys2"/>
            <w:tabs>
              <w:tab w:val="left" w:pos="1320"/>
              <w:tab w:val="right" w:leader="dot" w:pos="9016"/>
            </w:tabs>
            <w:rPr>
              <w:rFonts w:eastAsiaTheme="minorEastAsia"/>
              <w:noProof/>
              <w:lang w:val="lt-LT" w:eastAsia="lt-LT"/>
            </w:rPr>
          </w:pPr>
          <w:hyperlink w:anchor="_Toc25594710" w:history="1">
            <w:r w:rsidRPr="00155C99">
              <w:rPr>
                <w:rStyle w:val="Hipersaitas"/>
                <w:rFonts w:ascii="Georgia" w:hAnsi="Georgia"/>
                <w:noProof/>
                <w:lang w:val="lt-LT"/>
              </w:rPr>
              <w:t>5.2.1.3.</w:t>
            </w:r>
            <w:r>
              <w:rPr>
                <w:rFonts w:eastAsiaTheme="minorEastAsia"/>
                <w:noProof/>
                <w:lang w:val="lt-LT" w:eastAsia="lt-LT"/>
              </w:rPr>
              <w:tab/>
            </w:r>
            <w:r w:rsidRPr="00155C99">
              <w:rPr>
                <w:rStyle w:val="Hipersaitas"/>
                <w:rFonts w:ascii="Georgia" w:hAnsi="Georgia"/>
                <w:noProof/>
                <w:lang w:val="lt-LT"/>
              </w:rPr>
              <w:t>Priemonės įgyvendinimo vertinimo išvada</w:t>
            </w:r>
            <w:r>
              <w:rPr>
                <w:noProof/>
                <w:webHidden/>
              </w:rPr>
              <w:tab/>
            </w:r>
            <w:r>
              <w:rPr>
                <w:noProof/>
                <w:webHidden/>
              </w:rPr>
              <w:fldChar w:fldCharType="begin"/>
            </w:r>
            <w:r>
              <w:rPr>
                <w:noProof/>
                <w:webHidden/>
              </w:rPr>
              <w:instrText xml:space="preserve"> PAGEREF _Toc25594710 \h </w:instrText>
            </w:r>
            <w:r>
              <w:rPr>
                <w:noProof/>
                <w:webHidden/>
              </w:rPr>
            </w:r>
            <w:r>
              <w:rPr>
                <w:noProof/>
                <w:webHidden/>
              </w:rPr>
              <w:fldChar w:fldCharType="separate"/>
            </w:r>
            <w:r>
              <w:rPr>
                <w:noProof/>
                <w:webHidden/>
              </w:rPr>
              <w:t>137</w:t>
            </w:r>
            <w:r>
              <w:rPr>
                <w:noProof/>
                <w:webHidden/>
              </w:rPr>
              <w:fldChar w:fldCharType="end"/>
            </w:r>
          </w:hyperlink>
        </w:p>
        <w:p w14:paraId="63EEFB52" w14:textId="77777777" w:rsidR="00297BA8" w:rsidRDefault="00297BA8">
          <w:pPr>
            <w:pStyle w:val="Turinys2"/>
            <w:tabs>
              <w:tab w:val="left" w:pos="1100"/>
              <w:tab w:val="right" w:leader="dot" w:pos="9016"/>
            </w:tabs>
            <w:rPr>
              <w:rFonts w:eastAsiaTheme="minorEastAsia"/>
              <w:noProof/>
              <w:lang w:val="lt-LT" w:eastAsia="lt-LT"/>
            </w:rPr>
          </w:pPr>
          <w:hyperlink w:anchor="_Toc25594711" w:history="1">
            <w:r w:rsidRPr="00155C99">
              <w:rPr>
                <w:rStyle w:val="Hipersaitas"/>
                <w:rFonts w:ascii="Georgia" w:hAnsi="Georgia"/>
                <w:noProof/>
                <w:lang w:val="lt-LT"/>
              </w:rPr>
              <w:t>5.2.2.</w:t>
            </w:r>
            <w:r>
              <w:rPr>
                <w:rFonts w:eastAsiaTheme="minorEastAsia"/>
                <w:noProof/>
                <w:lang w:val="lt-LT" w:eastAsia="lt-LT"/>
              </w:rPr>
              <w:tab/>
            </w:r>
            <w:r w:rsidRPr="00155C99">
              <w:rPr>
                <w:rStyle w:val="Hipersaitas"/>
                <w:rFonts w:ascii="Georgia" w:hAnsi="Georgia"/>
                <w:noProof/>
                <w:lang w:val="lt-LT"/>
              </w:rPr>
              <w:t>Centrinės valdžios pastatų renovacijos finansinių priemonių vertinimas</w:t>
            </w:r>
            <w:r>
              <w:rPr>
                <w:noProof/>
                <w:webHidden/>
              </w:rPr>
              <w:tab/>
            </w:r>
            <w:r>
              <w:rPr>
                <w:noProof/>
                <w:webHidden/>
              </w:rPr>
              <w:fldChar w:fldCharType="begin"/>
            </w:r>
            <w:r>
              <w:rPr>
                <w:noProof/>
                <w:webHidden/>
              </w:rPr>
              <w:instrText xml:space="preserve"> PAGEREF _Toc25594711 \h </w:instrText>
            </w:r>
            <w:r>
              <w:rPr>
                <w:noProof/>
                <w:webHidden/>
              </w:rPr>
            </w:r>
            <w:r>
              <w:rPr>
                <w:noProof/>
                <w:webHidden/>
              </w:rPr>
              <w:fldChar w:fldCharType="separate"/>
            </w:r>
            <w:r>
              <w:rPr>
                <w:noProof/>
                <w:webHidden/>
              </w:rPr>
              <w:t>137</w:t>
            </w:r>
            <w:r>
              <w:rPr>
                <w:noProof/>
                <w:webHidden/>
              </w:rPr>
              <w:fldChar w:fldCharType="end"/>
            </w:r>
          </w:hyperlink>
        </w:p>
        <w:p w14:paraId="622C55C7" w14:textId="77777777" w:rsidR="00297BA8" w:rsidRDefault="00297BA8">
          <w:pPr>
            <w:pStyle w:val="Turinys2"/>
            <w:tabs>
              <w:tab w:val="left" w:pos="1100"/>
              <w:tab w:val="right" w:leader="dot" w:pos="9016"/>
            </w:tabs>
            <w:rPr>
              <w:rFonts w:eastAsiaTheme="minorEastAsia"/>
              <w:noProof/>
              <w:lang w:val="lt-LT" w:eastAsia="lt-LT"/>
            </w:rPr>
          </w:pPr>
          <w:hyperlink w:anchor="_Toc25594712" w:history="1">
            <w:r w:rsidRPr="00155C99">
              <w:rPr>
                <w:rStyle w:val="Hipersaitas"/>
                <w:rFonts w:ascii="Georgia" w:hAnsi="Georgia"/>
                <w:noProof/>
                <w:lang w:val="lt-LT"/>
              </w:rPr>
              <w:t>5.2.3.</w:t>
            </w:r>
            <w:r>
              <w:rPr>
                <w:rFonts w:eastAsiaTheme="minorEastAsia"/>
                <w:noProof/>
                <w:lang w:val="lt-LT" w:eastAsia="lt-LT"/>
              </w:rPr>
              <w:tab/>
            </w:r>
            <w:r w:rsidRPr="00155C99">
              <w:rPr>
                <w:rStyle w:val="Hipersaitas"/>
                <w:rFonts w:ascii="Georgia" w:hAnsi="Georgia"/>
                <w:noProof/>
                <w:lang w:val="lt-LT"/>
              </w:rPr>
              <w:t>Gatvių apšvietimo finansinių priemonių vertinimas</w:t>
            </w:r>
            <w:r>
              <w:rPr>
                <w:noProof/>
                <w:webHidden/>
              </w:rPr>
              <w:tab/>
            </w:r>
            <w:r>
              <w:rPr>
                <w:noProof/>
                <w:webHidden/>
              </w:rPr>
              <w:fldChar w:fldCharType="begin"/>
            </w:r>
            <w:r>
              <w:rPr>
                <w:noProof/>
                <w:webHidden/>
              </w:rPr>
              <w:instrText xml:space="preserve"> PAGEREF _Toc25594712 \h </w:instrText>
            </w:r>
            <w:r>
              <w:rPr>
                <w:noProof/>
                <w:webHidden/>
              </w:rPr>
            </w:r>
            <w:r>
              <w:rPr>
                <w:noProof/>
                <w:webHidden/>
              </w:rPr>
              <w:fldChar w:fldCharType="separate"/>
            </w:r>
            <w:r>
              <w:rPr>
                <w:noProof/>
                <w:webHidden/>
              </w:rPr>
              <w:t>137</w:t>
            </w:r>
            <w:r>
              <w:rPr>
                <w:noProof/>
                <w:webHidden/>
              </w:rPr>
              <w:fldChar w:fldCharType="end"/>
            </w:r>
          </w:hyperlink>
        </w:p>
        <w:p w14:paraId="59E38DBB" w14:textId="77777777" w:rsidR="00297BA8" w:rsidRDefault="00297BA8">
          <w:pPr>
            <w:pStyle w:val="Turinys2"/>
            <w:tabs>
              <w:tab w:val="left" w:pos="1100"/>
              <w:tab w:val="right" w:leader="dot" w:pos="9016"/>
            </w:tabs>
            <w:rPr>
              <w:rFonts w:eastAsiaTheme="minorEastAsia"/>
              <w:noProof/>
              <w:lang w:val="lt-LT" w:eastAsia="lt-LT"/>
            </w:rPr>
          </w:pPr>
          <w:hyperlink w:anchor="_Toc25594713" w:history="1">
            <w:r w:rsidRPr="00155C99">
              <w:rPr>
                <w:rStyle w:val="Hipersaitas"/>
                <w:rFonts w:ascii="Georgia" w:hAnsi="Georgia"/>
                <w:noProof/>
                <w:lang w:val="lt-LT"/>
              </w:rPr>
              <w:t>5.2.4.</w:t>
            </w:r>
            <w:r>
              <w:rPr>
                <w:rFonts w:eastAsiaTheme="minorEastAsia"/>
                <w:noProof/>
                <w:lang w:val="lt-LT" w:eastAsia="lt-LT"/>
              </w:rPr>
              <w:tab/>
            </w:r>
            <w:r w:rsidRPr="00155C99">
              <w:rPr>
                <w:rStyle w:val="Hipersaitas"/>
                <w:rFonts w:ascii="Georgia" w:hAnsi="Georgia"/>
                <w:noProof/>
                <w:lang w:val="lt-LT"/>
              </w:rPr>
              <w:t>Savivaldybių pastatų renovacijos finansinių priemonių vertinimas</w:t>
            </w:r>
            <w:r>
              <w:rPr>
                <w:noProof/>
                <w:webHidden/>
              </w:rPr>
              <w:tab/>
            </w:r>
            <w:r>
              <w:rPr>
                <w:noProof/>
                <w:webHidden/>
              </w:rPr>
              <w:fldChar w:fldCharType="begin"/>
            </w:r>
            <w:r>
              <w:rPr>
                <w:noProof/>
                <w:webHidden/>
              </w:rPr>
              <w:instrText xml:space="preserve"> PAGEREF _Toc25594713 \h </w:instrText>
            </w:r>
            <w:r>
              <w:rPr>
                <w:noProof/>
                <w:webHidden/>
              </w:rPr>
            </w:r>
            <w:r>
              <w:rPr>
                <w:noProof/>
                <w:webHidden/>
              </w:rPr>
              <w:fldChar w:fldCharType="separate"/>
            </w:r>
            <w:r>
              <w:rPr>
                <w:noProof/>
                <w:webHidden/>
              </w:rPr>
              <w:t>137</w:t>
            </w:r>
            <w:r>
              <w:rPr>
                <w:noProof/>
                <w:webHidden/>
              </w:rPr>
              <w:fldChar w:fldCharType="end"/>
            </w:r>
          </w:hyperlink>
        </w:p>
        <w:p w14:paraId="09C121FE" w14:textId="77777777" w:rsidR="00297BA8" w:rsidRDefault="00297BA8">
          <w:pPr>
            <w:pStyle w:val="Turinys2"/>
            <w:tabs>
              <w:tab w:val="right" w:leader="dot" w:pos="9016"/>
            </w:tabs>
            <w:rPr>
              <w:rFonts w:eastAsiaTheme="minorEastAsia"/>
              <w:noProof/>
              <w:lang w:val="lt-LT" w:eastAsia="lt-LT"/>
            </w:rPr>
          </w:pPr>
          <w:hyperlink w:anchor="_Toc25594714" w:history="1">
            <w:r w:rsidRPr="00155C99">
              <w:rPr>
                <w:rStyle w:val="Hipersaitas"/>
                <w:rFonts w:ascii="Georgia" w:hAnsi="Georgia"/>
                <w:noProof/>
                <w:lang w:val="lt-LT"/>
              </w:rPr>
              <w:t>5.2.4.1. Priemonės įgyvendinimo mechanizmo klasifikavimas</w:t>
            </w:r>
            <w:r>
              <w:rPr>
                <w:noProof/>
                <w:webHidden/>
              </w:rPr>
              <w:tab/>
            </w:r>
            <w:r>
              <w:rPr>
                <w:noProof/>
                <w:webHidden/>
              </w:rPr>
              <w:fldChar w:fldCharType="begin"/>
            </w:r>
            <w:r>
              <w:rPr>
                <w:noProof/>
                <w:webHidden/>
              </w:rPr>
              <w:instrText xml:space="preserve"> PAGEREF _Toc25594714 \h </w:instrText>
            </w:r>
            <w:r>
              <w:rPr>
                <w:noProof/>
                <w:webHidden/>
              </w:rPr>
            </w:r>
            <w:r>
              <w:rPr>
                <w:noProof/>
                <w:webHidden/>
              </w:rPr>
              <w:fldChar w:fldCharType="separate"/>
            </w:r>
            <w:r>
              <w:rPr>
                <w:noProof/>
                <w:webHidden/>
              </w:rPr>
              <w:t>137</w:t>
            </w:r>
            <w:r>
              <w:rPr>
                <w:noProof/>
                <w:webHidden/>
              </w:rPr>
              <w:fldChar w:fldCharType="end"/>
            </w:r>
          </w:hyperlink>
        </w:p>
        <w:p w14:paraId="5141C5B2" w14:textId="77777777" w:rsidR="00297BA8" w:rsidRDefault="00297BA8">
          <w:pPr>
            <w:pStyle w:val="Turinys2"/>
            <w:tabs>
              <w:tab w:val="right" w:leader="dot" w:pos="9016"/>
            </w:tabs>
            <w:rPr>
              <w:rFonts w:eastAsiaTheme="minorEastAsia"/>
              <w:noProof/>
              <w:lang w:val="lt-LT" w:eastAsia="lt-LT"/>
            </w:rPr>
          </w:pPr>
          <w:hyperlink w:anchor="_Toc25594715" w:history="1">
            <w:r w:rsidRPr="00155C99">
              <w:rPr>
                <w:rStyle w:val="Hipersaitas"/>
                <w:rFonts w:ascii="Georgia" w:hAnsi="Georgia"/>
                <w:noProof/>
                <w:lang w:val="lt-LT"/>
              </w:rPr>
              <w:t>5.2.4.2. Priemonės įgyvendinimo suderinamumo vertinimas</w:t>
            </w:r>
            <w:r>
              <w:rPr>
                <w:noProof/>
                <w:webHidden/>
              </w:rPr>
              <w:tab/>
            </w:r>
            <w:r>
              <w:rPr>
                <w:noProof/>
                <w:webHidden/>
              </w:rPr>
              <w:fldChar w:fldCharType="begin"/>
            </w:r>
            <w:r>
              <w:rPr>
                <w:noProof/>
                <w:webHidden/>
              </w:rPr>
              <w:instrText xml:space="preserve"> PAGEREF _Toc25594715 \h </w:instrText>
            </w:r>
            <w:r>
              <w:rPr>
                <w:noProof/>
                <w:webHidden/>
              </w:rPr>
            </w:r>
            <w:r>
              <w:rPr>
                <w:noProof/>
                <w:webHidden/>
              </w:rPr>
              <w:fldChar w:fldCharType="separate"/>
            </w:r>
            <w:r>
              <w:rPr>
                <w:noProof/>
                <w:webHidden/>
              </w:rPr>
              <w:t>141</w:t>
            </w:r>
            <w:r>
              <w:rPr>
                <w:noProof/>
                <w:webHidden/>
              </w:rPr>
              <w:fldChar w:fldCharType="end"/>
            </w:r>
          </w:hyperlink>
        </w:p>
        <w:p w14:paraId="634A0EE2" w14:textId="77777777" w:rsidR="00297BA8" w:rsidRDefault="00297BA8">
          <w:pPr>
            <w:pStyle w:val="Turinys2"/>
            <w:tabs>
              <w:tab w:val="right" w:leader="dot" w:pos="9016"/>
            </w:tabs>
            <w:rPr>
              <w:rFonts w:eastAsiaTheme="minorEastAsia"/>
              <w:noProof/>
              <w:lang w:val="lt-LT" w:eastAsia="lt-LT"/>
            </w:rPr>
          </w:pPr>
          <w:hyperlink w:anchor="_Toc25594716" w:history="1">
            <w:r w:rsidRPr="00155C99">
              <w:rPr>
                <w:rStyle w:val="Hipersaitas"/>
                <w:rFonts w:ascii="Georgia" w:hAnsi="Georgia"/>
                <w:noProof/>
                <w:lang w:val="lt-LT"/>
              </w:rPr>
              <w:t>5.2.4.3. Priemonės įgyvendinimo vertinimo išvada</w:t>
            </w:r>
            <w:r>
              <w:rPr>
                <w:noProof/>
                <w:webHidden/>
              </w:rPr>
              <w:tab/>
            </w:r>
            <w:r>
              <w:rPr>
                <w:noProof/>
                <w:webHidden/>
              </w:rPr>
              <w:fldChar w:fldCharType="begin"/>
            </w:r>
            <w:r>
              <w:rPr>
                <w:noProof/>
                <w:webHidden/>
              </w:rPr>
              <w:instrText xml:space="preserve"> PAGEREF _Toc25594716 \h </w:instrText>
            </w:r>
            <w:r>
              <w:rPr>
                <w:noProof/>
                <w:webHidden/>
              </w:rPr>
            </w:r>
            <w:r>
              <w:rPr>
                <w:noProof/>
                <w:webHidden/>
              </w:rPr>
              <w:fldChar w:fldCharType="separate"/>
            </w:r>
            <w:r>
              <w:rPr>
                <w:noProof/>
                <w:webHidden/>
              </w:rPr>
              <w:t>142</w:t>
            </w:r>
            <w:r>
              <w:rPr>
                <w:noProof/>
                <w:webHidden/>
              </w:rPr>
              <w:fldChar w:fldCharType="end"/>
            </w:r>
          </w:hyperlink>
        </w:p>
        <w:p w14:paraId="2B29F069" w14:textId="77777777" w:rsidR="00297BA8" w:rsidRDefault="00297BA8">
          <w:pPr>
            <w:pStyle w:val="Turinys1"/>
            <w:tabs>
              <w:tab w:val="left" w:pos="660"/>
              <w:tab w:val="right" w:leader="dot" w:pos="9016"/>
            </w:tabs>
            <w:rPr>
              <w:rFonts w:eastAsiaTheme="minorEastAsia"/>
              <w:noProof/>
              <w:lang w:val="lt-LT" w:eastAsia="lt-LT"/>
            </w:rPr>
          </w:pPr>
          <w:hyperlink w:anchor="_Toc25594717" w:history="1">
            <w:r w:rsidRPr="00155C99">
              <w:rPr>
                <w:rStyle w:val="Hipersaitas"/>
                <w:rFonts w:cs="Arial"/>
                <w:noProof/>
                <w:lang w:val="lt-LT"/>
              </w:rPr>
              <w:t>6.</w:t>
            </w:r>
            <w:r>
              <w:rPr>
                <w:rFonts w:eastAsiaTheme="minorEastAsia"/>
                <w:noProof/>
                <w:lang w:val="lt-LT" w:eastAsia="lt-LT"/>
              </w:rPr>
              <w:tab/>
            </w:r>
            <w:r w:rsidRPr="00155C99">
              <w:rPr>
                <w:rStyle w:val="Hipersaitas"/>
                <w:noProof/>
                <w:lang w:val="lt-LT"/>
              </w:rPr>
              <w:t>Finansinių priemonių patirtis Lietuvoje ir kitose šalyse</w:t>
            </w:r>
            <w:r>
              <w:rPr>
                <w:noProof/>
                <w:webHidden/>
              </w:rPr>
              <w:tab/>
            </w:r>
            <w:r>
              <w:rPr>
                <w:noProof/>
                <w:webHidden/>
              </w:rPr>
              <w:fldChar w:fldCharType="begin"/>
            </w:r>
            <w:r>
              <w:rPr>
                <w:noProof/>
                <w:webHidden/>
              </w:rPr>
              <w:instrText xml:space="preserve"> PAGEREF _Toc25594717 \h </w:instrText>
            </w:r>
            <w:r>
              <w:rPr>
                <w:noProof/>
                <w:webHidden/>
              </w:rPr>
            </w:r>
            <w:r>
              <w:rPr>
                <w:noProof/>
                <w:webHidden/>
              </w:rPr>
              <w:fldChar w:fldCharType="separate"/>
            </w:r>
            <w:r>
              <w:rPr>
                <w:noProof/>
                <w:webHidden/>
              </w:rPr>
              <w:t>143</w:t>
            </w:r>
            <w:r>
              <w:rPr>
                <w:noProof/>
                <w:webHidden/>
              </w:rPr>
              <w:fldChar w:fldCharType="end"/>
            </w:r>
          </w:hyperlink>
        </w:p>
        <w:p w14:paraId="02F8ACBD" w14:textId="77777777" w:rsidR="00297BA8" w:rsidRDefault="00297BA8">
          <w:pPr>
            <w:pStyle w:val="Turinys2"/>
            <w:tabs>
              <w:tab w:val="left" w:pos="880"/>
              <w:tab w:val="right" w:leader="dot" w:pos="9016"/>
            </w:tabs>
            <w:rPr>
              <w:rFonts w:eastAsiaTheme="minorEastAsia"/>
              <w:noProof/>
              <w:lang w:val="lt-LT" w:eastAsia="lt-LT"/>
            </w:rPr>
          </w:pPr>
          <w:hyperlink w:anchor="_Toc25594718" w:history="1">
            <w:r w:rsidRPr="00155C99">
              <w:rPr>
                <w:rStyle w:val="Hipersaitas"/>
                <w:rFonts w:ascii="Georgia" w:hAnsi="Georgia"/>
                <w:noProof/>
                <w:lang w:val="lt-LT"/>
              </w:rPr>
              <w:t>6.1.</w:t>
            </w:r>
            <w:r>
              <w:rPr>
                <w:rFonts w:eastAsiaTheme="minorEastAsia"/>
                <w:noProof/>
                <w:lang w:val="lt-LT" w:eastAsia="lt-LT"/>
              </w:rPr>
              <w:tab/>
            </w:r>
            <w:r w:rsidRPr="00155C99">
              <w:rPr>
                <w:rStyle w:val="Hipersaitas"/>
                <w:rFonts w:ascii="Georgia" w:hAnsi="Georgia"/>
                <w:noProof/>
                <w:lang w:val="lt-LT"/>
              </w:rPr>
              <w:t>Finansinių priemonių identifikavimas</w:t>
            </w:r>
            <w:r>
              <w:rPr>
                <w:noProof/>
                <w:webHidden/>
              </w:rPr>
              <w:tab/>
            </w:r>
            <w:r>
              <w:rPr>
                <w:noProof/>
                <w:webHidden/>
              </w:rPr>
              <w:fldChar w:fldCharType="begin"/>
            </w:r>
            <w:r>
              <w:rPr>
                <w:noProof/>
                <w:webHidden/>
              </w:rPr>
              <w:instrText xml:space="preserve"> PAGEREF _Toc25594718 \h </w:instrText>
            </w:r>
            <w:r>
              <w:rPr>
                <w:noProof/>
                <w:webHidden/>
              </w:rPr>
            </w:r>
            <w:r>
              <w:rPr>
                <w:noProof/>
                <w:webHidden/>
              </w:rPr>
              <w:fldChar w:fldCharType="separate"/>
            </w:r>
            <w:r>
              <w:rPr>
                <w:noProof/>
                <w:webHidden/>
              </w:rPr>
              <w:t>143</w:t>
            </w:r>
            <w:r>
              <w:rPr>
                <w:noProof/>
                <w:webHidden/>
              </w:rPr>
              <w:fldChar w:fldCharType="end"/>
            </w:r>
          </w:hyperlink>
        </w:p>
        <w:p w14:paraId="190771CE" w14:textId="77777777" w:rsidR="00297BA8" w:rsidRDefault="00297BA8">
          <w:pPr>
            <w:pStyle w:val="Turinys2"/>
            <w:tabs>
              <w:tab w:val="left" w:pos="880"/>
              <w:tab w:val="right" w:leader="dot" w:pos="9016"/>
            </w:tabs>
            <w:rPr>
              <w:rFonts w:eastAsiaTheme="minorEastAsia"/>
              <w:noProof/>
              <w:lang w:val="lt-LT" w:eastAsia="lt-LT"/>
            </w:rPr>
          </w:pPr>
          <w:hyperlink w:anchor="_Toc25594719" w:history="1">
            <w:r w:rsidRPr="00155C99">
              <w:rPr>
                <w:rStyle w:val="Hipersaitas"/>
                <w:rFonts w:ascii="Georgia" w:hAnsi="Georgia"/>
                <w:noProof/>
                <w:lang w:val="lt-LT"/>
              </w:rPr>
              <w:t>6.2.</w:t>
            </w:r>
            <w:r>
              <w:rPr>
                <w:rFonts w:eastAsiaTheme="minorEastAsia"/>
                <w:noProof/>
                <w:lang w:val="lt-LT" w:eastAsia="lt-LT"/>
              </w:rPr>
              <w:tab/>
            </w:r>
            <w:r w:rsidRPr="00155C99">
              <w:rPr>
                <w:rStyle w:val="Hipersaitas"/>
                <w:rFonts w:ascii="Georgia" w:hAnsi="Georgia"/>
                <w:noProof/>
                <w:lang w:val="lt-LT"/>
              </w:rPr>
              <w:t>Įgyta patirtis bei atvejų studijos</w:t>
            </w:r>
            <w:r>
              <w:rPr>
                <w:noProof/>
                <w:webHidden/>
              </w:rPr>
              <w:tab/>
            </w:r>
            <w:r>
              <w:rPr>
                <w:noProof/>
                <w:webHidden/>
              </w:rPr>
              <w:fldChar w:fldCharType="begin"/>
            </w:r>
            <w:r>
              <w:rPr>
                <w:noProof/>
                <w:webHidden/>
              </w:rPr>
              <w:instrText xml:space="preserve"> PAGEREF _Toc25594719 \h </w:instrText>
            </w:r>
            <w:r>
              <w:rPr>
                <w:noProof/>
                <w:webHidden/>
              </w:rPr>
            </w:r>
            <w:r>
              <w:rPr>
                <w:noProof/>
                <w:webHidden/>
              </w:rPr>
              <w:fldChar w:fldCharType="separate"/>
            </w:r>
            <w:r>
              <w:rPr>
                <w:noProof/>
                <w:webHidden/>
              </w:rPr>
              <w:t>146</w:t>
            </w:r>
            <w:r>
              <w:rPr>
                <w:noProof/>
                <w:webHidden/>
              </w:rPr>
              <w:fldChar w:fldCharType="end"/>
            </w:r>
          </w:hyperlink>
        </w:p>
        <w:p w14:paraId="4DA5A695" w14:textId="77777777" w:rsidR="00297BA8" w:rsidRDefault="00297BA8">
          <w:pPr>
            <w:pStyle w:val="Turinys2"/>
            <w:tabs>
              <w:tab w:val="left" w:pos="880"/>
              <w:tab w:val="right" w:leader="dot" w:pos="9016"/>
            </w:tabs>
            <w:rPr>
              <w:rFonts w:eastAsiaTheme="minorEastAsia"/>
              <w:noProof/>
              <w:lang w:val="lt-LT" w:eastAsia="lt-LT"/>
            </w:rPr>
          </w:pPr>
          <w:hyperlink w:anchor="_Toc25594720" w:history="1">
            <w:r w:rsidRPr="00155C99">
              <w:rPr>
                <w:rStyle w:val="Hipersaitas"/>
                <w:rFonts w:ascii="Georgia" w:hAnsi="Georgia"/>
                <w:noProof/>
                <w:lang w:val="lt-LT"/>
              </w:rPr>
              <w:t>6.3.</w:t>
            </w:r>
            <w:r>
              <w:rPr>
                <w:rFonts w:eastAsiaTheme="minorEastAsia"/>
                <w:noProof/>
                <w:lang w:val="lt-LT" w:eastAsia="lt-LT"/>
              </w:rPr>
              <w:tab/>
            </w:r>
            <w:r w:rsidRPr="00155C99">
              <w:rPr>
                <w:rStyle w:val="Hipersaitas"/>
                <w:rFonts w:ascii="Georgia" w:hAnsi="Georgia"/>
                <w:noProof/>
                <w:lang w:val="lt-LT"/>
              </w:rPr>
              <w:t>Patirties pritaikymas Lietuvoje – rizikos analizė</w:t>
            </w:r>
            <w:r>
              <w:rPr>
                <w:noProof/>
                <w:webHidden/>
              </w:rPr>
              <w:tab/>
            </w:r>
            <w:r>
              <w:rPr>
                <w:noProof/>
                <w:webHidden/>
              </w:rPr>
              <w:fldChar w:fldCharType="begin"/>
            </w:r>
            <w:r>
              <w:rPr>
                <w:noProof/>
                <w:webHidden/>
              </w:rPr>
              <w:instrText xml:space="preserve"> PAGEREF _Toc25594720 \h </w:instrText>
            </w:r>
            <w:r>
              <w:rPr>
                <w:noProof/>
                <w:webHidden/>
              </w:rPr>
            </w:r>
            <w:r>
              <w:rPr>
                <w:noProof/>
                <w:webHidden/>
              </w:rPr>
              <w:fldChar w:fldCharType="separate"/>
            </w:r>
            <w:r>
              <w:rPr>
                <w:noProof/>
                <w:webHidden/>
              </w:rPr>
              <w:t>155</w:t>
            </w:r>
            <w:r>
              <w:rPr>
                <w:noProof/>
                <w:webHidden/>
              </w:rPr>
              <w:fldChar w:fldCharType="end"/>
            </w:r>
          </w:hyperlink>
        </w:p>
        <w:p w14:paraId="66F47C31" w14:textId="77777777" w:rsidR="00297BA8" w:rsidRDefault="00297BA8">
          <w:pPr>
            <w:pStyle w:val="Turinys1"/>
            <w:tabs>
              <w:tab w:val="left" w:pos="660"/>
              <w:tab w:val="right" w:leader="dot" w:pos="9016"/>
            </w:tabs>
            <w:rPr>
              <w:rFonts w:eastAsiaTheme="minorEastAsia"/>
              <w:noProof/>
              <w:lang w:val="lt-LT" w:eastAsia="lt-LT"/>
            </w:rPr>
          </w:pPr>
          <w:hyperlink w:anchor="_Toc25594721" w:history="1">
            <w:r w:rsidRPr="00155C99">
              <w:rPr>
                <w:rStyle w:val="Hipersaitas"/>
                <w:rFonts w:cs="Arial"/>
                <w:noProof/>
                <w:lang w:val="lt-LT"/>
              </w:rPr>
              <w:t>7.</w:t>
            </w:r>
            <w:r>
              <w:rPr>
                <w:rFonts w:eastAsiaTheme="minorEastAsia"/>
                <w:noProof/>
                <w:lang w:val="lt-LT" w:eastAsia="lt-LT"/>
              </w:rPr>
              <w:tab/>
            </w:r>
            <w:r w:rsidRPr="00155C99">
              <w:rPr>
                <w:rStyle w:val="Hipersaitas"/>
                <w:noProof/>
                <w:lang w:val="lt-LT"/>
              </w:rPr>
              <w:t>Investavimo strategija</w:t>
            </w:r>
            <w:r>
              <w:rPr>
                <w:noProof/>
                <w:webHidden/>
              </w:rPr>
              <w:tab/>
            </w:r>
            <w:r>
              <w:rPr>
                <w:noProof/>
                <w:webHidden/>
              </w:rPr>
              <w:fldChar w:fldCharType="begin"/>
            </w:r>
            <w:r>
              <w:rPr>
                <w:noProof/>
                <w:webHidden/>
              </w:rPr>
              <w:instrText xml:space="preserve"> PAGEREF _Toc25594721 \h </w:instrText>
            </w:r>
            <w:r>
              <w:rPr>
                <w:noProof/>
                <w:webHidden/>
              </w:rPr>
            </w:r>
            <w:r>
              <w:rPr>
                <w:noProof/>
                <w:webHidden/>
              </w:rPr>
              <w:fldChar w:fldCharType="separate"/>
            </w:r>
            <w:r>
              <w:rPr>
                <w:noProof/>
                <w:webHidden/>
              </w:rPr>
              <w:t>156</w:t>
            </w:r>
            <w:r>
              <w:rPr>
                <w:noProof/>
                <w:webHidden/>
              </w:rPr>
              <w:fldChar w:fldCharType="end"/>
            </w:r>
          </w:hyperlink>
        </w:p>
        <w:p w14:paraId="4C4D4A61" w14:textId="77777777" w:rsidR="00297BA8" w:rsidRDefault="00297BA8">
          <w:pPr>
            <w:pStyle w:val="Turinys2"/>
            <w:tabs>
              <w:tab w:val="left" w:pos="880"/>
              <w:tab w:val="right" w:leader="dot" w:pos="9016"/>
            </w:tabs>
            <w:rPr>
              <w:rFonts w:eastAsiaTheme="minorEastAsia"/>
              <w:noProof/>
              <w:lang w:val="lt-LT" w:eastAsia="lt-LT"/>
            </w:rPr>
          </w:pPr>
          <w:hyperlink w:anchor="_Toc25594722" w:history="1">
            <w:r w:rsidRPr="00155C99">
              <w:rPr>
                <w:rStyle w:val="Hipersaitas"/>
                <w:rFonts w:ascii="Georgia" w:hAnsi="Georgia"/>
                <w:noProof/>
                <w:lang w:val="lt-LT"/>
              </w:rPr>
              <w:t>7.1.</w:t>
            </w:r>
            <w:r>
              <w:rPr>
                <w:rFonts w:eastAsiaTheme="minorEastAsia"/>
                <w:noProof/>
                <w:lang w:val="lt-LT" w:eastAsia="lt-LT"/>
              </w:rPr>
              <w:tab/>
            </w:r>
            <w:r w:rsidRPr="00155C99">
              <w:rPr>
                <w:rStyle w:val="Hipersaitas"/>
                <w:rFonts w:ascii="Georgia" w:hAnsi="Georgia"/>
                <w:noProof/>
                <w:lang w:val="lt-LT"/>
              </w:rPr>
              <w:t>Daugiabučių namų modernizavimo investavimo strategija</w:t>
            </w:r>
            <w:r>
              <w:rPr>
                <w:noProof/>
                <w:webHidden/>
              </w:rPr>
              <w:tab/>
            </w:r>
            <w:r>
              <w:rPr>
                <w:noProof/>
                <w:webHidden/>
              </w:rPr>
              <w:fldChar w:fldCharType="begin"/>
            </w:r>
            <w:r>
              <w:rPr>
                <w:noProof/>
                <w:webHidden/>
              </w:rPr>
              <w:instrText xml:space="preserve"> PAGEREF _Toc25594722 \h </w:instrText>
            </w:r>
            <w:r>
              <w:rPr>
                <w:noProof/>
                <w:webHidden/>
              </w:rPr>
            </w:r>
            <w:r>
              <w:rPr>
                <w:noProof/>
                <w:webHidden/>
              </w:rPr>
              <w:fldChar w:fldCharType="separate"/>
            </w:r>
            <w:r>
              <w:rPr>
                <w:noProof/>
                <w:webHidden/>
              </w:rPr>
              <w:t>156</w:t>
            </w:r>
            <w:r>
              <w:rPr>
                <w:noProof/>
                <w:webHidden/>
              </w:rPr>
              <w:fldChar w:fldCharType="end"/>
            </w:r>
          </w:hyperlink>
        </w:p>
        <w:p w14:paraId="4C2B3844" w14:textId="77777777" w:rsidR="00297BA8" w:rsidRDefault="00297BA8">
          <w:pPr>
            <w:pStyle w:val="Turinys2"/>
            <w:tabs>
              <w:tab w:val="left" w:pos="1100"/>
              <w:tab w:val="right" w:leader="dot" w:pos="9016"/>
            </w:tabs>
            <w:rPr>
              <w:rFonts w:eastAsiaTheme="minorEastAsia"/>
              <w:noProof/>
              <w:lang w:val="lt-LT" w:eastAsia="lt-LT"/>
            </w:rPr>
          </w:pPr>
          <w:hyperlink w:anchor="_Toc25594723" w:history="1">
            <w:r w:rsidRPr="00155C99">
              <w:rPr>
                <w:rStyle w:val="Hipersaitas"/>
                <w:rFonts w:ascii="Georgia" w:hAnsi="Georgia"/>
                <w:noProof/>
                <w:lang w:val="lt-LT"/>
              </w:rPr>
              <w:t>7.1.1.</w:t>
            </w:r>
            <w:r>
              <w:rPr>
                <w:rFonts w:eastAsiaTheme="minorEastAsia"/>
                <w:noProof/>
                <w:lang w:val="lt-LT" w:eastAsia="lt-LT"/>
              </w:rPr>
              <w:tab/>
            </w:r>
            <w:r w:rsidRPr="00155C99">
              <w:rPr>
                <w:rStyle w:val="Hipersaitas"/>
                <w:rFonts w:ascii="Georgia" w:hAnsi="Georgia"/>
                <w:noProof/>
                <w:lang w:val="lt-LT"/>
              </w:rPr>
              <w:t>Finansinės priemonės apimtis ir tiksliniai galutiniai naudos gavėjai</w:t>
            </w:r>
            <w:r>
              <w:rPr>
                <w:noProof/>
                <w:webHidden/>
              </w:rPr>
              <w:tab/>
            </w:r>
            <w:r>
              <w:rPr>
                <w:noProof/>
                <w:webHidden/>
              </w:rPr>
              <w:fldChar w:fldCharType="begin"/>
            </w:r>
            <w:r>
              <w:rPr>
                <w:noProof/>
                <w:webHidden/>
              </w:rPr>
              <w:instrText xml:space="preserve"> PAGEREF _Toc25594723 \h </w:instrText>
            </w:r>
            <w:r>
              <w:rPr>
                <w:noProof/>
                <w:webHidden/>
              </w:rPr>
            </w:r>
            <w:r>
              <w:rPr>
                <w:noProof/>
                <w:webHidden/>
              </w:rPr>
              <w:fldChar w:fldCharType="separate"/>
            </w:r>
            <w:r>
              <w:rPr>
                <w:noProof/>
                <w:webHidden/>
              </w:rPr>
              <w:t>156</w:t>
            </w:r>
            <w:r>
              <w:rPr>
                <w:noProof/>
                <w:webHidden/>
              </w:rPr>
              <w:fldChar w:fldCharType="end"/>
            </w:r>
          </w:hyperlink>
        </w:p>
        <w:p w14:paraId="311A580E" w14:textId="77777777" w:rsidR="00297BA8" w:rsidRDefault="00297BA8">
          <w:pPr>
            <w:pStyle w:val="Turinys2"/>
            <w:tabs>
              <w:tab w:val="left" w:pos="1100"/>
              <w:tab w:val="right" w:leader="dot" w:pos="9016"/>
            </w:tabs>
            <w:rPr>
              <w:rFonts w:eastAsiaTheme="minorEastAsia"/>
              <w:noProof/>
              <w:lang w:val="lt-LT" w:eastAsia="lt-LT"/>
            </w:rPr>
          </w:pPr>
          <w:hyperlink w:anchor="_Toc25594724" w:history="1">
            <w:r w:rsidRPr="00155C99">
              <w:rPr>
                <w:rStyle w:val="Hipersaitas"/>
                <w:rFonts w:ascii="Georgia" w:hAnsi="Georgia"/>
                <w:noProof/>
                <w:lang w:val="lt-LT"/>
              </w:rPr>
              <w:t>7.1.2.</w:t>
            </w:r>
            <w:r>
              <w:rPr>
                <w:rFonts w:eastAsiaTheme="minorEastAsia"/>
                <w:noProof/>
                <w:lang w:val="lt-LT" w:eastAsia="lt-LT"/>
              </w:rPr>
              <w:tab/>
            </w:r>
            <w:r w:rsidRPr="00155C99">
              <w:rPr>
                <w:rStyle w:val="Hipersaitas"/>
                <w:rFonts w:ascii="Georgia" w:hAnsi="Georgia"/>
                <w:noProof/>
                <w:lang w:val="lt-LT"/>
              </w:rPr>
              <w:t>Finansinio produkto parinkimas</w:t>
            </w:r>
            <w:r>
              <w:rPr>
                <w:noProof/>
                <w:webHidden/>
              </w:rPr>
              <w:tab/>
            </w:r>
            <w:r>
              <w:rPr>
                <w:noProof/>
                <w:webHidden/>
              </w:rPr>
              <w:fldChar w:fldCharType="begin"/>
            </w:r>
            <w:r>
              <w:rPr>
                <w:noProof/>
                <w:webHidden/>
              </w:rPr>
              <w:instrText xml:space="preserve"> PAGEREF _Toc25594724 \h </w:instrText>
            </w:r>
            <w:r>
              <w:rPr>
                <w:noProof/>
                <w:webHidden/>
              </w:rPr>
            </w:r>
            <w:r>
              <w:rPr>
                <w:noProof/>
                <w:webHidden/>
              </w:rPr>
              <w:fldChar w:fldCharType="separate"/>
            </w:r>
            <w:r>
              <w:rPr>
                <w:noProof/>
                <w:webHidden/>
              </w:rPr>
              <w:t>156</w:t>
            </w:r>
            <w:r>
              <w:rPr>
                <w:noProof/>
                <w:webHidden/>
              </w:rPr>
              <w:fldChar w:fldCharType="end"/>
            </w:r>
          </w:hyperlink>
        </w:p>
        <w:p w14:paraId="5AB0D246" w14:textId="77777777" w:rsidR="00297BA8" w:rsidRDefault="00297BA8">
          <w:pPr>
            <w:pStyle w:val="Turinys2"/>
            <w:tabs>
              <w:tab w:val="left" w:pos="1100"/>
              <w:tab w:val="right" w:leader="dot" w:pos="9016"/>
            </w:tabs>
            <w:rPr>
              <w:rFonts w:eastAsiaTheme="minorEastAsia"/>
              <w:noProof/>
              <w:lang w:val="lt-LT" w:eastAsia="lt-LT"/>
            </w:rPr>
          </w:pPr>
          <w:hyperlink w:anchor="_Toc25594725" w:history="1">
            <w:r w:rsidRPr="00155C99">
              <w:rPr>
                <w:rStyle w:val="Hipersaitas"/>
                <w:rFonts w:ascii="Georgia" w:hAnsi="Georgia"/>
                <w:noProof/>
                <w:lang w:val="lt-LT"/>
              </w:rPr>
              <w:t>7.1.3.</w:t>
            </w:r>
            <w:r>
              <w:rPr>
                <w:rFonts w:eastAsiaTheme="minorEastAsia"/>
                <w:noProof/>
                <w:lang w:val="lt-LT" w:eastAsia="lt-LT"/>
              </w:rPr>
              <w:tab/>
            </w:r>
            <w:r w:rsidRPr="00155C99">
              <w:rPr>
                <w:rStyle w:val="Hipersaitas"/>
                <w:rFonts w:ascii="Georgia" w:hAnsi="Georgia"/>
                <w:noProof/>
                <w:lang w:val="lt-LT"/>
              </w:rPr>
              <w:t>Finansinės priemonės derinimas su parama</w:t>
            </w:r>
            <w:r>
              <w:rPr>
                <w:noProof/>
                <w:webHidden/>
              </w:rPr>
              <w:tab/>
            </w:r>
            <w:r>
              <w:rPr>
                <w:noProof/>
                <w:webHidden/>
              </w:rPr>
              <w:fldChar w:fldCharType="begin"/>
            </w:r>
            <w:r>
              <w:rPr>
                <w:noProof/>
                <w:webHidden/>
              </w:rPr>
              <w:instrText xml:space="preserve"> PAGEREF _Toc25594725 \h </w:instrText>
            </w:r>
            <w:r>
              <w:rPr>
                <w:noProof/>
                <w:webHidden/>
              </w:rPr>
            </w:r>
            <w:r>
              <w:rPr>
                <w:noProof/>
                <w:webHidden/>
              </w:rPr>
              <w:fldChar w:fldCharType="separate"/>
            </w:r>
            <w:r>
              <w:rPr>
                <w:noProof/>
                <w:webHidden/>
              </w:rPr>
              <w:t>157</w:t>
            </w:r>
            <w:r>
              <w:rPr>
                <w:noProof/>
                <w:webHidden/>
              </w:rPr>
              <w:fldChar w:fldCharType="end"/>
            </w:r>
          </w:hyperlink>
        </w:p>
        <w:p w14:paraId="4C7FA251" w14:textId="77777777" w:rsidR="00297BA8" w:rsidRDefault="00297BA8">
          <w:pPr>
            <w:pStyle w:val="Turinys2"/>
            <w:tabs>
              <w:tab w:val="left" w:pos="1100"/>
              <w:tab w:val="right" w:leader="dot" w:pos="9016"/>
            </w:tabs>
            <w:rPr>
              <w:rFonts w:eastAsiaTheme="minorEastAsia"/>
              <w:noProof/>
              <w:lang w:val="lt-LT" w:eastAsia="lt-LT"/>
            </w:rPr>
          </w:pPr>
          <w:hyperlink w:anchor="_Toc25594726" w:history="1">
            <w:r w:rsidRPr="00155C99">
              <w:rPr>
                <w:rStyle w:val="Hipersaitas"/>
                <w:rFonts w:ascii="Georgia" w:hAnsi="Georgia"/>
                <w:noProof/>
                <w:lang w:val="lt-LT"/>
              </w:rPr>
              <w:t>7.1.4.</w:t>
            </w:r>
            <w:r>
              <w:rPr>
                <w:rFonts w:eastAsiaTheme="minorEastAsia"/>
                <w:noProof/>
                <w:lang w:val="lt-LT" w:eastAsia="lt-LT"/>
              </w:rPr>
              <w:tab/>
            </w:r>
            <w:r w:rsidRPr="00155C99">
              <w:rPr>
                <w:rStyle w:val="Hipersaitas"/>
                <w:rFonts w:ascii="Georgia" w:hAnsi="Georgia"/>
                <w:noProof/>
                <w:lang w:val="lt-LT"/>
              </w:rPr>
              <w:t>Finansinės priemonės įgyvendinimo struktūra</w:t>
            </w:r>
            <w:r>
              <w:rPr>
                <w:noProof/>
                <w:webHidden/>
              </w:rPr>
              <w:tab/>
            </w:r>
            <w:r>
              <w:rPr>
                <w:noProof/>
                <w:webHidden/>
              </w:rPr>
              <w:fldChar w:fldCharType="begin"/>
            </w:r>
            <w:r>
              <w:rPr>
                <w:noProof/>
                <w:webHidden/>
              </w:rPr>
              <w:instrText xml:space="preserve"> PAGEREF _Toc25594726 \h </w:instrText>
            </w:r>
            <w:r>
              <w:rPr>
                <w:noProof/>
                <w:webHidden/>
              </w:rPr>
            </w:r>
            <w:r>
              <w:rPr>
                <w:noProof/>
                <w:webHidden/>
              </w:rPr>
              <w:fldChar w:fldCharType="separate"/>
            </w:r>
            <w:r>
              <w:rPr>
                <w:noProof/>
                <w:webHidden/>
              </w:rPr>
              <w:t>158</w:t>
            </w:r>
            <w:r>
              <w:rPr>
                <w:noProof/>
                <w:webHidden/>
              </w:rPr>
              <w:fldChar w:fldCharType="end"/>
            </w:r>
          </w:hyperlink>
        </w:p>
        <w:p w14:paraId="5782E3ED" w14:textId="77777777" w:rsidR="00297BA8" w:rsidRDefault="00297BA8">
          <w:pPr>
            <w:pStyle w:val="Turinys2"/>
            <w:tabs>
              <w:tab w:val="left" w:pos="1100"/>
              <w:tab w:val="right" w:leader="dot" w:pos="9016"/>
            </w:tabs>
            <w:rPr>
              <w:rFonts w:eastAsiaTheme="minorEastAsia"/>
              <w:noProof/>
              <w:lang w:val="lt-LT" w:eastAsia="lt-LT"/>
            </w:rPr>
          </w:pPr>
          <w:hyperlink w:anchor="_Toc25594727" w:history="1">
            <w:r w:rsidRPr="00155C99">
              <w:rPr>
                <w:rStyle w:val="Hipersaitas"/>
                <w:rFonts w:ascii="Georgia" w:hAnsi="Georgia"/>
                <w:noProof/>
                <w:lang w:val="lt-LT"/>
              </w:rPr>
              <w:t>7.1.5.</w:t>
            </w:r>
            <w:r>
              <w:rPr>
                <w:rFonts w:eastAsiaTheme="minorEastAsia"/>
                <w:noProof/>
                <w:lang w:val="lt-LT" w:eastAsia="lt-LT"/>
              </w:rPr>
              <w:tab/>
            </w:r>
            <w:r w:rsidRPr="00155C99">
              <w:rPr>
                <w:rStyle w:val="Hipersaitas"/>
                <w:rFonts w:ascii="Georgia" w:hAnsi="Georgia"/>
                <w:noProof/>
                <w:lang w:val="lt-LT"/>
              </w:rPr>
              <w:t>Stebėsenos sistemos apibrėžimas</w:t>
            </w:r>
            <w:r>
              <w:rPr>
                <w:noProof/>
                <w:webHidden/>
              </w:rPr>
              <w:tab/>
            </w:r>
            <w:r>
              <w:rPr>
                <w:noProof/>
                <w:webHidden/>
              </w:rPr>
              <w:fldChar w:fldCharType="begin"/>
            </w:r>
            <w:r>
              <w:rPr>
                <w:noProof/>
                <w:webHidden/>
              </w:rPr>
              <w:instrText xml:space="preserve"> PAGEREF _Toc25594727 \h </w:instrText>
            </w:r>
            <w:r>
              <w:rPr>
                <w:noProof/>
                <w:webHidden/>
              </w:rPr>
            </w:r>
            <w:r>
              <w:rPr>
                <w:noProof/>
                <w:webHidden/>
              </w:rPr>
              <w:fldChar w:fldCharType="separate"/>
            </w:r>
            <w:r>
              <w:rPr>
                <w:noProof/>
                <w:webHidden/>
              </w:rPr>
              <w:t>159</w:t>
            </w:r>
            <w:r>
              <w:rPr>
                <w:noProof/>
                <w:webHidden/>
              </w:rPr>
              <w:fldChar w:fldCharType="end"/>
            </w:r>
          </w:hyperlink>
        </w:p>
        <w:p w14:paraId="536EE785" w14:textId="77777777" w:rsidR="00297BA8" w:rsidRDefault="00297BA8">
          <w:pPr>
            <w:pStyle w:val="Turinys2"/>
            <w:tabs>
              <w:tab w:val="left" w:pos="880"/>
              <w:tab w:val="right" w:leader="dot" w:pos="9016"/>
            </w:tabs>
            <w:rPr>
              <w:rFonts w:eastAsiaTheme="minorEastAsia"/>
              <w:noProof/>
              <w:lang w:val="lt-LT" w:eastAsia="lt-LT"/>
            </w:rPr>
          </w:pPr>
          <w:hyperlink w:anchor="_Toc25594728" w:history="1">
            <w:r w:rsidRPr="00155C99">
              <w:rPr>
                <w:rStyle w:val="Hipersaitas"/>
                <w:rFonts w:ascii="Georgia" w:hAnsi="Georgia"/>
                <w:noProof/>
                <w:lang w:val="lt-LT"/>
              </w:rPr>
              <w:t>7.2.</w:t>
            </w:r>
            <w:r>
              <w:rPr>
                <w:rFonts w:eastAsiaTheme="minorEastAsia"/>
                <w:noProof/>
                <w:lang w:val="lt-LT" w:eastAsia="lt-LT"/>
              </w:rPr>
              <w:tab/>
            </w:r>
            <w:r w:rsidRPr="00155C99">
              <w:rPr>
                <w:rStyle w:val="Hipersaitas"/>
                <w:rFonts w:ascii="Georgia" w:hAnsi="Georgia"/>
                <w:noProof/>
                <w:lang w:val="lt-LT"/>
              </w:rPr>
              <w:t>Centrinės valdžios viešųjų pastatų ir gatvių apšvietimo modernizavimo investavimo strategija</w:t>
            </w:r>
            <w:r>
              <w:rPr>
                <w:noProof/>
                <w:webHidden/>
              </w:rPr>
              <w:tab/>
            </w:r>
            <w:r>
              <w:rPr>
                <w:noProof/>
                <w:webHidden/>
              </w:rPr>
              <w:fldChar w:fldCharType="begin"/>
            </w:r>
            <w:r>
              <w:rPr>
                <w:noProof/>
                <w:webHidden/>
              </w:rPr>
              <w:instrText xml:space="preserve"> PAGEREF _Toc25594728 \h </w:instrText>
            </w:r>
            <w:r>
              <w:rPr>
                <w:noProof/>
                <w:webHidden/>
              </w:rPr>
            </w:r>
            <w:r>
              <w:rPr>
                <w:noProof/>
                <w:webHidden/>
              </w:rPr>
              <w:fldChar w:fldCharType="separate"/>
            </w:r>
            <w:r>
              <w:rPr>
                <w:noProof/>
                <w:webHidden/>
              </w:rPr>
              <w:t>161</w:t>
            </w:r>
            <w:r>
              <w:rPr>
                <w:noProof/>
                <w:webHidden/>
              </w:rPr>
              <w:fldChar w:fldCharType="end"/>
            </w:r>
          </w:hyperlink>
        </w:p>
        <w:p w14:paraId="60B4ACC9" w14:textId="77777777" w:rsidR="00297BA8" w:rsidRDefault="00297BA8">
          <w:pPr>
            <w:pStyle w:val="Turinys2"/>
            <w:tabs>
              <w:tab w:val="left" w:pos="880"/>
              <w:tab w:val="right" w:leader="dot" w:pos="9016"/>
            </w:tabs>
            <w:rPr>
              <w:rFonts w:eastAsiaTheme="minorEastAsia"/>
              <w:noProof/>
              <w:lang w:val="lt-LT" w:eastAsia="lt-LT"/>
            </w:rPr>
          </w:pPr>
          <w:hyperlink w:anchor="_Toc25594729" w:history="1">
            <w:r w:rsidRPr="00155C99">
              <w:rPr>
                <w:rStyle w:val="Hipersaitas"/>
                <w:rFonts w:ascii="Georgia" w:hAnsi="Georgia"/>
                <w:noProof/>
                <w:lang w:val="lt-LT"/>
              </w:rPr>
              <w:t>7.3.</w:t>
            </w:r>
            <w:r>
              <w:rPr>
                <w:rFonts w:eastAsiaTheme="minorEastAsia"/>
                <w:noProof/>
                <w:lang w:val="lt-LT" w:eastAsia="lt-LT"/>
              </w:rPr>
              <w:tab/>
            </w:r>
            <w:r w:rsidRPr="00155C99">
              <w:rPr>
                <w:rStyle w:val="Hipersaitas"/>
                <w:rFonts w:ascii="Georgia" w:hAnsi="Georgia"/>
                <w:noProof/>
                <w:lang w:val="lt-LT"/>
              </w:rPr>
              <w:t>Savivaldybių viešųjų pastatų modernizavimo investavimo strategija</w:t>
            </w:r>
            <w:r>
              <w:rPr>
                <w:noProof/>
                <w:webHidden/>
              </w:rPr>
              <w:tab/>
            </w:r>
            <w:r>
              <w:rPr>
                <w:noProof/>
                <w:webHidden/>
              </w:rPr>
              <w:fldChar w:fldCharType="begin"/>
            </w:r>
            <w:r>
              <w:rPr>
                <w:noProof/>
                <w:webHidden/>
              </w:rPr>
              <w:instrText xml:space="preserve"> PAGEREF _Toc25594729 \h </w:instrText>
            </w:r>
            <w:r>
              <w:rPr>
                <w:noProof/>
                <w:webHidden/>
              </w:rPr>
            </w:r>
            <w:r>
              <w:rPr>
                <w:noProof/>
                <w:webHidden/>
              </w:rPr>
              <w:fldChar w:fldCharType="separate"/>
            </w:r>
            <w:r>
              <w:rPr>
                <w:noProof/>
                <w:webHidden/>
              </w:rPr>
              <w:t>161</w:t>
            </w:r>
            <w:r>
              <w:rPr>
                <w:noProof/>
                <w:webHidden/>
              </w:rPr>
              <w:fldChar w:fldCharType="end"/>
            </w:r>
          </w:hyperlink>
        </w:p>
        <w:p w14:paraId="0E558233" w14:textId="77777777" w:rsidR="00297BA8" w:rsidRDefault="00297BA8">
          <w:pPr>
            <w:pStyle w:val="Turinys1"/>
            <w:tabs>
              <w:tab w:val="left" w:pos="660"/>
              <w:tab w:val="right" w:leader="dot" w:pos="9016"/>
            </w:tabs>
            <w:rPr>
              <w:rFonts w:eastAsiaTheme="minorEastAsia"/>
              <w:noProof/>
              <w:lang w:val="lt-LT" w:eastAsia="lt-LT"/>
            </w:rPr>
          </w:pPr>
          <w:hyperlink w:anchor="_Toc25594730" w:history="1">
            <w:r w:rsidRPr="00155C99">
              <w:rPr>
                <w:rStyle w:val="Hipersaitas"/>
                <w:rFonts w:cs="Arial"/>
                <w:noProof/>
                <w:lang w:val="lt-LT"/>
              </w:rPr>
              <w:t>8.</w:t>
            </w:r>
            <w:r>
              <w:rPr>
                <w:rFonts w:eastAsiaTheme="minorEastAsia"/>
                <w:noProof/>
                <w:lang w:val="lt-LT" w:eastAsia="lt-LT"/>
              </w:rPr>
              <w:tab/>
            </w:r>
            <w:r w:rsidRPr="00155C99">
              <w:rPr>
                <w:rStyle w:val="Hipersaitas"/>
                <w:noProof/>
                <w:lang w:val="lt-LT"/>
              </w:rPr>
              <w:t>Ataskaitos pabaiga</w:t>
            </w:r>
            <w:r>
              <w:rPr>
                <w:noProof/>
                <w:webHidden/>
              </w:rPr>
              <w:tab/>
            </w:r>
            <w:r>
              <w:rPr>
                <w:noProof/>
                <w:webHidden/>
              </w:rPr>
              <w:fldChar w:fldCharType="begin"/>
            </w:r>
            <w:r>
              <w:rPr>
                <w:noProof/>
                <w:webHidden/>
              </w:rPr>
              <w:instrText xml:space="preserve"> PAGEREF _Toc25594730 \h </w:instrText>
            </w:r>
            <w:r>
              <w:rPr>
                <w:noProof/>
                <w:webHidden/>
              </w:rPr>
            </w:r>
            <w:r>
              <w:rPr>
                <w:noProof/>
                <w:webHidden/>
              </w:rPr>
              <w:fldChar w:fldCharType="separate"/>
            </w:r>
            <w:r>
              <w:rPr>
                <w:noProof/>
                <w:webHidden/>
              </w:rPr>
              <w:t>162</w:t>
            </w:r>
            <w:r>
              <w:rPr>
                <w:noProof/>
                <w:webHidden/>
              </w:rPr>
              <w:fldChar w:fldCharType="end"/>
            </w:r>
          </w:hyperlink>
        </w:p>
        <w:p w14:paraId="01709694" w14:textId="77777777" w:rsidR="00297BA8" w:rsidRDefault="00297BA8">
          <w:pPr>
            <w:pStyle w:val="Turinys1"/>
            <w:tabs>
              <w:tab w:val="left" w:pos="660"/>
              <w:tab w:val="right" w:leader="dot" w:pos="9016"/>
            </w:tabs>
            <w:rPr>
              <w:rFonts w:eastAsiaTheme="minorEastAsia"/>
              <w:noProof/>
              <w:lang w:val="lt-LT" w:eastAsia="lt-LT"/>
            </w:rPr>
          </w:pPr>
          <w:hyperlink w:anchor="_Toc25594731" w:history="1">
            <w:r w:rsidRPr="00155C99">
              <w:rPr>
                <w:rStyle w:val="Hipersaitas"/>
                <w:noProof/>
                <w:lang w:val="lt-LT"/>
              </w:rPr>
              <w:t>8.1.</w:t>
            </w:r>
            <w:r>
              <w:rPr>
                <w:rFonts w:eastAsiaTheme="minorEastAsia"/>
                <w:noProof/>
                <w:lang w:val="lt-LT" w:eastAsia="lt-LT"/>
              </w:rPr>
              <w:tab/>
            </w:r>
            <w:r w:rsidRPr="00155C99">
              <w:rPr>
                <w:rStyle w:val="Hipersaitas"/>
                <w:noProof/>
                <w:lang w:val="lt-LT"/>
              </w:rPr>
              <w:t>Nuostatos ex-ante vertinimo peržiūrėjimui</w:t>
            </w:r>
            <w:r>
              <w:rPr>
                <w:noProof/>
                <w:webHidden/>
              </w:rPr>
              <w:tab/>
            </w:r>
            <w:r>
              <w:rPr>
                <w:noProof/>
                <w:webHidden/>
              </w:rPr>
              <w:fldChar w:fldCharType="begin"/>
            </w:r>
            <w:r>
              <w:rPr>
                <w:noProof/>
                <w:webHidden/>
              </w:rPr>
              <w:instrText xml:space="preserve"> PAGEREF _Toc25594731 \h </w:instrText>
            </w:r>
            <w:r>
              <w:rPr>
                <w:noProof/>
                <w:webHidden/>
              </w:rPr>
            </w:r>
            <w:r>
              <w:rPr>
                <w:noProof/>
                <w:webHidden/>
              </w:rPr>
              <w:fldChar w:fldCharType="separate"/>
            </w:r>
            <w:r>
              <w:rPr>
                <w:noProof/>
                <w:webHidden/>
              </w:rPr>
              <w:t>162</w:t>
            </w:r>
            <w:r>
              <w:rPr>
                <w:noProof/>
                <w:webHidden/>
              </w:rPr>
              <w:fldChar w:fldCharType="end"/>
            </w:r>
          </w:hyperlink>
        </w:p>
        <w:p w14:paraId="574D5A25" w14:textId="77777777" w:rsidR="00297BA8" w:rsidRDefault="00297BA8">
          <w:pPr>
            <w:pStyle w:val="Turinys1"/>
            <w:tabs>
              <w:tab w:val="left" w:pos="660"/>
              <w:tab w:val="right" w:leader="dot" w:pos="9016"/>
            </w:tabs>
            <w:rPr>
              <w:rFonts w:eastAsiaTheme="minorEastAsia"/>
              <w:noProof/>
              <w:lang w:val="lt-LT" w:eastAsia="lt-LT"/>
            </w:rPr>
          </w:pPr>
          <w:hyperlink w:anchor="_Toc25594732" w:history="1">
            <w:r w:rsidRPr="00155C99">
              <w:rPr>
                <w:rStyle w:val="Hipersaitas"/>
                <w:rFonts w:ascii="Georgia" w:hAnsi="Georgia"/>
                <w:b/>
                <w:noProof/>
                <w:lang w:val="lt-LT"/>
              </w:rPr>
              <w:t>8.2.</w:t>
            </w:r>
            <w:r>
              <w:rPr>
                <w:rFonts w:eastAsiaTheme="minorEastAsia"/>
                <w:noProof/>
                <w:lang w:val="lt-LT" w:eastAsia="lt-LT"/>
              </w:rPr>
              <w:tab/>
            </w:r>
            <w:r w:rsidRPr="00155C99">
              <w:rPr>
                <w:rStyle w:val="Hipersaitas"/>
                <w:rFonts w:ascii="Georgia" w:hAnsi="Georgia"/>
                <w:b/>
                <w:noProof/>
                <w:lang w:val="lt-LT"/>
              </w:rPr>
              <w:t>Ex ante santrauka ir išvados</w:t>
            </w:r>
            <w:r>
              <w:rPr>
                <w:noProof/>
                <w:webHidden/>
              </w:rPr>
              <w:tab/>
            </w:r>
            <w:r>
              <w:rPr>
                <w:noProof/>
                <w:webHidden/>
              </w:rPr>
              <w:fldChar w:fldCharType="begin"/>
            </w:r>
            <w:r>
              <w:rPr>
                <w:noProof/>
                <w:webHidden/>
              </w:rPr>
              <w:instrText xml:space="preserve"> PAGEREF _Toc25594732 \h </w:instrText>
            </w:r>
            <w:r>
              <w:rPr>
                <w:noProof/>
                <w:webHidden/>
              </w:rPr>
            </w:r>
            <w:r>
              <w:rPr>
                <w:noProof/>
                <w:webHidden/>
              </w:rPr>
              <w:fldChar w:fldCharType="separate"/>
            </w:r>
            <w:r>
              <w:rPr>
                <w:noProof/>
                <w:webHidden/>
              </w:rPr>
              <w:t>163</w:t>
            </w:r>
            <w:r>
              <w:rPr>
                <w:noProof/>
                <w:webHidden/>
              </w:rPr>
              <w:fldChar w:fldCharType="end"/>
            </w:r>
          </w:hyperlink>
        </w:p>
        <w:p w14:paraId="496B9EC8" w14:textId="03865B63" w:rsidR="00EE14AD" w:rsidRPr="00C97275" w:rsidRDefault="00EE14AD">
          <w:pPr>
            <w:rPr>
              <w:rFonts w:ascii="Georgia" w:hAnsi="Georgia"/>
              <w:lang w:val="lt-LT"/>
            </w:rPr>
          </w:pPr>
          <w:r w:rsidRPr="00C97275">
            <w:rPr>
              <w:rFonts w:ascii="Georgia" w:hAnsi="Georgia"/>
              <w:bCs/>
              <w:sz w:val="18"/>
              <w:szCs w:val="18"/>
              <w:lang w:val="lt-LT"/>
            </w:rPr>
            <w:fldChar w:fldCharType="end"/>
          </w:r>
        </w:p>
        <w:bookmarkStart w:id="2" w:name="_GoBack" w:displacedByCustomXml="next"/>
        <w:bookmarkEnd w:id="2" w:displacedByCustomXml="next"/>
      </w:sdtContent>
    </w:sdt>
    <w:p w14:paraId="40B74B4D" w14:textId="77777777" w:rsidR="00EE14AD" w:rsidRPr="00C97275" w:rsidRDefault="00EE14AD">
      <w:pPr>
        <w:rPr>
          <w:rFonts w:ascii="Georgia" w:eastAsiaTheme="majorEastAsia" w:hAnsi="Georgia" w:cstheme="majorBidi"/>
          <w:b/>
          <w:bCs/>
          <w:color w:val="365F91" w:themeColor="accent1" w:themeShade="BF"/>
          <w:lang w:val="lt-LT"/>
        </w:rPr>
      </w:pPr>
      <w:r w:rsidRPr="00C97275">
        <w:rPr>
          <w:rFonts w:ascii="Georgia" w:hAnsi="Georgia"/>
          <w:lang w:val="lt-LT"/>
        </w:rPr>
        <w:br w:type="page"/>
      </w:r>
    </w:p>
    <w:p w14:paraId="52D0B159" w14:textId="77777777" w:rsidR="00FC2E80" w:rsidRPr="00C97275" w:rsidRDefault="00FC2E80" w:rsidP="006977C2">
      <w:pPr>
        <w:pStyle w:val="Non-numberedHeading1"/>
        <w:rPr>
          <w:lang w:val="lt-LT"/>
        </w:rPr>
      </w:pPr>
      <w:bookmarkStart w:id="3" w:name="_Toc25594633"/>
      <w:r w:rsidRPr="00C97275">
        <w:rPr>
          <w:lang w:val="lt-LT"/>
        </w:rPr>
        <w:lastRenderedPageBreak/>
        <w:t>Lentelių sąrašas</w:t>
      </w:r>
      <w:bookmarkEnd w:id="3"/>
    </w:p>
    <w:p w14:paraId="2B307E26" w14:textId="77777777" w:rsidR="00FC2E80" w:rsidRPr="00C97275" w:rsidRDefault="00FC2E80" w:rsidP="00FC2E80">
      <w:pPr>
        <w:rPr>
          <w:rFonts w:ascii="Georgia" w:hAnsi="Georgia"/>
          <w:lang w:val="lt-LT"/>
        </w:rPr>
      </w:pPr>
    </w:p>
    <w:p w14:paraId="70D47C90" w14:textId="2E8F9D1D" w:rsidR="001028BC" w:rsidRPr="002D313B" w:rsidRDefault="00FC2E80">
      <w:pPr>
        <w:pStyle w:val="Iliustracijsraas"/>
        <w:tabs>
          <w:tab w:val="right" w:leader="dot" w:pos="9016"/>
        </w:tabs>
        <w:rPr>
          <w:rFonts w:ascii="Georgia" w:eastAsiaTheme="minorEastAsia" w:hAnsi="Georgia"/>
          <w:noProof/>
          <w:lang w:val="lt-LT" w:eastAsia="lt-LT"/>
        </w:rPr>
      </w:pPr>
      <w:r w:rsidRPr="00C97275">
        <w:rPr>
          <w:rFonts w:ascii="Georgia" w:hAnsi="Georgia"/>
          <w:b/>
          <w:lang w:val="lt-LT"/>
        </w:rPr>
        <w:fldChar w:fldCharType="begin"/>
      </w:r>
      <w:r w:rsidRPr="00C97275">
        <w:rPr>
          <w:rFonts w:ascii="Georgia" w:hAnsi="Georgia"/>
          <w:b/>
          <w:lang w:val="lt-LT"/>
        </w:rPr>
        <w:instrText xml:space="preserve"> TOC \h \z \c "Lentelė" </w:instrText>
      </w:r>
      <w:r w:rsidRPr="00C97275">
        <w:rPr>
          <w:rFonts w:ascii="Georgia" w:hAnsi="Georgia"/>
          <w:b/>
          <w:lang w:val="lt-LT"/>
        </w:rPr>
        <w:fldChar w:fldCharType="separate"/>
      </w:r>
      <w:hyperlink w:anchor="_Toc19105214" w:history="1">
        <w:r w:rsidR="001028BC" w:rsidRPr="002D313B">
          <w:rPr>
            <w:rStyle w:val="Hipersaitas"/>
            <w:rFonts w:ascii="Georgia" w:hAnsi="Georgia"/>
            <w:noProof/>
            <w:lang w:val="lt-LT"/>
          </w:rPr>
          <w:t xml:space="preserve">Lentelė 1. </w:t>
        </w:r>
        <w:r w:rsidR="001028BC" w:rsidRPr="002D313B">
          <w:rPr>
            <w:rStyle w:val="Hipersaitas"/>
            <w:rFonts w:ascii="Georgia" w:hAnsi="Georgia" w:cs="Georgia"/>
            <w:noProof/>
            <w:lang w:val="lt-LT"/>
          </w:rPr>
          <w:t>Energijos efektyvumo veiklų tipų suderinamumas su ES ir nacionaliniais strateginiais dokumentais.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_Toc19105214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18</w:t>
        </w:r>
        <w:r w:rsidR="001028BC" w:rsidRPr="002D313B">
          <w:rPr>
            <w:rFonts w:ascii="Georgia" w:hAnsi="Georgia"/>
            <w:noProof/>
            <w:webHidden/>
          </w:rPr>
          <w:fldChar w:fldCharType="end"/>
        </w:r>
      </w:hyperlink>
    </w:p>
    <w:p w14:paraId="22BB8551" w14:textId="00752AC3"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15" w:history="1">
        <w:r w:rsidR="001028BC" w:rsidRPr="002D313B">
          <w:rPr>
            <w:rStyle w:val="Hipersaitas"/>
            <w:rFonts w:ascii="Georgia" w:hAnsi="Georgia"/>
            <w:noProof/>
            <w:lang w:val="lt-LT"/>
          </w:rPr>
          <w:t xml:space="preserve">Lentelė 2. </w:t>
        </w:r>
        <w:r w:rsidR="001028BC" w:rsidRPr="002D313B">
          <w:rPr>
            <w:rStyle w:val="Hipersaitas"/>
            <w:rFonts w:ascii="Georgia" w:hAnsi="Georgia" w:cs="Georgia"/>
            <w:noProof/>
            <w:lang w:val="lt-LT"/>
          </w:rPr>
          <w:t>Finansinių priemonių ir paramos intensyvumo sumažinimo privalumai ir trūkumai.</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_Toc19105215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20</w:t>
        </w:r>
        <w:r w:rsidR="001028BC" w:rsidRPr="002D313B">
          <w:rPr>
            <w:rFonts w:ascii="Georgia" w:hAnsi="Georgia"/>
            <w:noProof/>
            <w:webHidden/>
          </w:rPr>
          <w:fldChar w:fldCharType="end"/>
        </w:r>
      </w:hyperlink>
    </w:p>
    <w:p w14:paraId="0EF64893" w14:textId="28DBF87E"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16" w:history="1">
        <w:r w:rsidR="001028BC" w:rsidRPr="002D313B">
          <w:rPr>
            <w:rStyle w:val="Hipersaitas"/>
            <w:rFonts w:ascii="Georgia" w:hAnsi="Georgia"/>
            <w:noProof/>
            <w:lang w:val="lt-LT"/>
          </w:rPr>
          <w:t xml:space="preserve">Lentelė 3. </w:t>
        </w:r>
        <w:r w:rsidR="001028BC" w:rsidRPr="002D313B">
          <w:rPr>
            <w:rStyle w:val="Hipersaitas"/>
            <w:rFonts w:ascii="Georgia" w:hAnsi="Georgia" w:cs="Georgia"/>
            <w:noProof/>
            <w:lang w:val="lt-LT"/>
          </w:rPr>
          <w:t>2007-2013 m. periodu įgyvendintų finansinių priemonių tipai ir skaičius.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_Toc19105216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21</w:t>
        </w:r>
        <w:r w:rsidR="001028BC" w:rsidRPr="002D313B">
          <w:rPr>
            <w:rFonts w:ascii="Georgia" w:hAnsi="Georgia"/>
            <w:noProof/>
            <w:webHidden/>
          </w:rPr>
          <w:fldChar w:fldCharType="end"/>
        </w:r>
      </w:hyperlink>
    </w:p>
    <w:p w14:paraId="194AE235" w14:textId="2F30DE2A"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17" w:history="1">
        <w:r w:rsidR="001028BC" w:rsidRPr="002D313B">
          <w:rPr>
            <w:rStyle w:val="Hipersaitas"/>
            <w:rFonts w:ascii="Georgia" w:hAnsi="Georgia"/>
            <w:noProof/>
            <w:lang w:val="lt-LT"/>
          </w:rPr>
          <w:t xml:space="preserve">Lentelė 4. </w:t>
        </w:r>
        <w:r w:rsidR="001028BC" w:rsidRPr="002D313B">
          <w:rPr>
            <w:rStyle w:val="Hipersaitas"/>
            <w:rFonts w:ascii="Georgia" w:hAnsi="Georgia" w:cs="Georgia"/>
            <w:noProof/>
            <w:lang w:val="lt-LT"/>
          </w:rPr>
          <w:t>2007–2013 m. ir 2014–2020 m. periodų finansinių priemonių panaudojimo skirtumai.</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_Toc19105217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22</w:t>
        </w:r>
        <w:r w:rsidR="001028BC" w:rsidRPr="002D313B">
          <w:rPr>
            <w:rFonts w:ascii="Georgia" w:hAnsi="Georgia"/>
            <w:noProof/>
            <w:webHidden/>
          </w:rPr>
          <w:fldChar w:fldCharType="end"/>
        </w:r>
      </w:hyperlink>
    </w:p>
    <w:p w14:paraId="68D4C492" w14:textId="1FF750C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18" w:history="1">
        <w:r w:rsidR="001028BC" w:rsidRPr="002D313B">
          <w:rPr>
            <w:rStyle w:val="Hipersaitas"/>
            <w:rFonts w:ascii="Georgia" w:eastAsia="PMingLiU" w:hAnsi="Georgia" w:cs="Georgia"/>
            <w:b/>
            <w:bCs/>
            <w:noProof/>
            <w:lang w:val="lt-LT"/>
          </w:rPr>
          <w:t>Lentelė 5. Viešųjų pastatų skaičius ir tipai</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_Toc19105218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30</w:t>
        </w:r>
        <w:r w:rsidR="001028BC" w:rsidRPr="002D313B">
          <w:rPr>
            <w:rFonts w:ascii="Georgia" w:hAnsi="Georgia"/>
            <w:noProof/>
            <w:webHidden/>
          </w:rPr>
          <w:fldChar w:fldCharType="end"/>
        </w:r>
      </w:hyperlink>
    </w:p>
    <w:p w14:paraId="45861385" w14:textId="4886D86F"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19" w:history="1">
        <w:r w:rsidR="001028BC" w:rsidRPr="002D313B">
          <w:rPr>
            <w:rStyle w:val="Hipersaitas"/>
            <w:rFonts w:ascii="Georgia" w:eastAsia="PMingLiU" w:hAnsi="Georgia" w:cs="Georgia"/>
            <w:b/>
            <w:bCs/>
            <w:noProof/>
            <w:lang w:val="lt-LT"/>
          </w:rPr>
          <w:t>Lentelė 6. Viešosios paskirties pastatų pasiskirstymas pagal statybos metus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_Toc19105219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30</w:t>
        </w:r>
        <w:r w:rsidR="001028BC" w:rsidRPr="002D313B">
          <w:rPr>
            <w:rFonts w:ascii="Georgia" w:hAnsi="Georgia"/>
            <w:noProof/>
            <w:webHidden/>
          </w:rPr>
          <w:fldChar w:fldCharType="end"/>
        </w:r>
      </w:hyperlink>
    </w:p>
    <w:p w14:paraId="43A7A02B" w14:textId="6F1697EC"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0" w:history="1">
        <w:r w:rsidR="001028BC" w:rsidRPr="002D313B">
          <w:rPr>
            <w:rStyle w:val="Hipersaitas"/>
            <w:rFonts w:ascii="Georgia" w:eastAsia="Georgia" w:hAnsi="Georgia" w:cs="Arial Unicode MS"/>
            <w:noProof/>
            <w:lang w:val="lt-LT"/>
          </w:rPr>
          <w:t xml:space="preserve">Lentelė 7. </w:t>
        </w:r>
        <w:r w:rsidR="001028BC" w:rsidRPr="002D313B">
          <w:rPr>
            <w:rStyle w:val="Hipersaitas"/>
            <w:rFonts w:ascii="Georgia" w:eastAsia="Georgia" w:hAnsi="Georgia" w:cs="Georgia"/>
            <w:noProof/>
            <w:lang w:val="lt-LT"/>
          </w:rPr>
          <w:t>Viešųjų pastatų teritorinis pasiskirstymas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_Toc19105220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31</w:t>
        </w:r>
        <w:r w:rsidR="001028BC" w:rsidRPr="002D313B">
          <w:rPr>
            <w:rFonts w:ascii="Georgia" w:hAnsi="Georgia"/>
            <w:noProof/>
            <w:webHidden/>
          </w:rPr>
          <w:fldChar w:fldCharType="end"/>
        </w:r>
      </w:hyperlink>
    </w:p>
    <w:p w14:paraId="10B87D12" w14:textId="23A7963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1" w:history="1">
        <w:r w:rsidR="001028BC" w:rsidRPr="002D313B">
          <w:rPr>
            <w:rStyle w:val="Hipersaitas"/>
            <w:rFonts w:ascii="Georgia" w:eastAsia="Georgia" w:hAnsi="Georgia" w:cs="Arial Unicode MS"/>
            <w:noProof/>
            <w:lang w:val="lt-LT"/>
          </w:rPr>
          <w:t xml:space="preserve">Lentelė 8. </w:t>
        </w:r>
        <w:r w:rsidR="001028BC" w:rsidRPr="002D313B">
          <w:rPr>
            <w:rStyle w:val="Hipersaitas"/>
            <w:rFonts w:ascii="Georgia" w:eastAsia="Georgia" w:hAnsi="Georgia" w:cs="Georgia"/>
            <w:noProof/>
            <w:lang w:val="lt-LT"/>
          </w:rPr>
          <w:t>Daugiabučiai namai pagal statybos metus.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_Toc19105221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32</w:t>
        </w:r>
        <w:r w:rsidR="001028BC" w:rsidRPr="002D313B">
          <w:rPr>
            <w:rFonts w:ascii="Georgia" w:hAnsi="Georgia"/>
            <w:noProof/>
            <w:webHidden/>
          </w:rPr>
          <w:fldChar w:fldCharType="end"/>
        </w:r>
      </w:hyperlink>
    </w:p>
    <w:p w14:paraId="10A2E127" w14:textId="67C01FC4"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2" w:history="1">
        <w:r w:rsidR="001028BC" w:rsidRPr="002D313B">
          <w:rPr>
            <w:rStyle w:val="Hipersaitas"/>
            <w:rFonts w:ascii="Georgia" w:eastAsia="Georgia" w:hAnsi="Georgia" w:cs="Arial Unicode MS"/>
            <w:noProof/>
            <w:lang w:val="lt-LT"/>
          </w:rPr>
          <w:t xml:space="preserve">Lentelė 9. </w:t>
        </w:r>
        <w:r w:rsidR="001028BC" w:rsidRPr="002D313B">
          <w:rPr>
            <w:rStyle w:val="Hipersaitas"/>
            <w:rFonts w:ascii="Georgia" w:eastAsia="Georgia" w:hAnsi="Georgia" w:cs="Georgia"/>
            <w:noProof/>
            <w:lang w:val="lt-LT"/>
          </w:rPr>
          <w:t>Numatomi energijos vartojimo sutaupymai 2017-2023 metais.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_Toc19105222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34</w:t>
        </w:r>
        <w:r w:rsidR="001028BC" w:rsidRPr="002D313B">
          <w:rPr>
            <w:rFonts w:ascii="Georgia" w:hAnsi="Georgia"/>
            <w:noProof/>
            <w:webHidden/>
          </w:rPr>
          <w:fldChar w:fldCharType="end"/>
        </w:r>
      </w:hyperlink>
    </w:p>
    <w:p w14:paraId="53A43ED4" w14:textId="545C5C23"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3" w:history="1">
        <w:r w:rsidR="001028BC" w:rsidRPr="002D313B">
          <w:rPr>
            <w:rStyle w:val="Hipersaitas"/>
            <w:rFonts w:ascii="Georgia" w:eastAsia="Georgia" w:hAnsi="Georgia" w:cs="Arial Unicode MS"/>
            <w:noProof/>
            <w:lang w:val="lt-LT"/>
          </w:rPr>
          <w:t>Lentelė 10. Viešųjų pastatų p</w:t>
        </w:r>
        <w:r w:rsidR="001028BC" w:rsidRPr="002D313B">
          <w:rPr>
            <w:rStyle w:val="Hipersaitas"/>
            <w:rFonts w:ascii="Georgia" w:eastAsia="Georgia" w:hAnsi="Georgia" w:cs="Georgia"/>
            <w:noProof/>
            <w:lang w:val="lt-LT"/>
          </w:rPr>
          <w:t>aklausos skaičiavimo prielaidos ir paklausos rodiklių skaičiavimas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_Toc19105223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35</w:t>
        </w:r>
        <w:r w:rsidR="001028BC" w:rsidRPr="002D313B">
          <w:rPr>
            <w:rFonts w:ascii="Georgia" w:hAnsi="Georgia"/>
            <w:noProof/>
            <w:webHidden/>
          </w:rPr>
          <w:fldChar w:fldCharType="end"/>
        </w:r>
      </w:hyperlink>
    </w:p>
    <w:p w14:paraId="5F0B248E" w14:textId="57075C96"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4" w:history="1">
        <w:r w:rsidR="001028BC" w:rsidRPr="002D313B">
          <w:rPr>
            <w:rStyle w:val="Hipersaitas"/>
            <w:rFonts w:ascii="Georgia" w:eastAsia="Georgia" w:hAnsi="Georgia" w:cs="Arial Unicode MS"/>
            <w:noProof/>
            <w:lang w:val="lt-LT"/>
          </w:rPr>
          <w:t>Lentelė 11. Daugiabučių pastatų p</w:t>
        </w:r>
        <w:r w:rsidR="001028BC" w:rsidRPr="002D313B">
          <w:rPr>
            <w:rStyle w:val="Hipersaitas"/>
            <w:rFonts w:ascii="Georgia" w:eastAsia="Georgia" w:hAnsi="Georgia" w:cs="Georgia"/>
            <w:noProof/>
            <w:lang w:val="lt-LT"/>
          </w:rPr>
          <w:t>aklausos skaičiavimo prielaidos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_Toc19105224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36</w:t>
        </w:r>
        <w:r w:rsidR="001028BC" w:rsidRPr="002D313B">
          <w:rPr>
            <w:rFonts w:ascii="Georgia" w:hAnsi="Georgia"/>
            <w:noProof/>
            <w:webHidden/>
          </w:rPr>
          <w:fldChar w:fldCharType="end"/>
        </w:r>
      </w:hyperlink>
    </w:p>
    <w:p w14:paraId="498637BF" w14:textId="5E3463AF"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5" w:history="1">
        <w:r w:rsidR="001028BC" w:rsidRPr="002D313B">
          <w:rPr>
            <w:rStyle w:val="Hipersaitas"/>
            <w:rFonts w:ascii="Georgia" w:eastAsia="Georgia" w:hAnsi="Georgia" w:cs="Arial Unicode MS"/>
            <w:noProof/>
            <w:lang w:val="lt-LT"/>
          </w:rPr>
          <w:t>Lentelė 12. Daugiabučių pastatų p</w:t>
        </w:r>
        <w:r w:rsidR="001028BC" w:rsidRPr="002D313B">
          <w:rPr>
            <w:rStyle w:val="Hipersaitas"/>
            <w:rFonts w:ascii="Georgia" w:eastAsia="Georgia" w:hAnsi="Georgia" w:cs="Georgia"/>
            <w:noProof/>
            <w:lang w:val="lt-LT"/>
          </w:rPr>
          <w:t>aklausos skaičiavimo prielaidos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_Toc19105225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38</w:t>
        </w:r>
        <w:r w:rsidR="001028BC" w:rsidRPr="002D313B">
          <w:rPr>
            <w:rFonts w:ascii="Georgia" w:hAnsi="Georgia"/>
            <w:noProof/>
            <w:webHidden/>
          </w:rPr>
          <w:fldChar w:fldCharType="end"/>
        </w:r>
      </w:hyperlink>
    </w:p>
    <w:p w14:paraId="3D158443" w14:textId="1D30EF61"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6" w:history="1">
        <w:r w:rsidR="001028BC" w:rsidRPr="002D313B">
          <w:rPr>
            <w:rStyle w:val="Hipersaitas"/>
            <w:rFonts w:ascii="Georgia" w:eastAsia="Georgia" w:hAnsi="Georgia" w:cs="Arial Unicode MS"/>
            <w:noProof/>
            <w:lang w:val="lt-LT"/>
          </w:rPr>
          <w:t>Lentelė 13. Daugiabučių namų, prijungtų prie centralizuotos šilumos sistemos, modernizavimo tikslai Nacionalinėje energetikos strategijoje</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_Toc19105226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39</w:t>
        </w:r>
        <w:r w:rsidR="001028BC" w:rsidRPr="002D313B">
          <w:rPr>
            <w:rFonts w:ascii="Georgia" w:hAnsi="Georgia"/>
            <w:noProof/>
            <w:webHidden/>
          </w:rPr>
          <w:fldChar w:fldCharType="end"/>
        </w:r>
      </w:hyperlink>
    </w:p>
    <w:p w14:paraId="7D7FCB10" w14:textId="12EEF21D"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7" w:history="1">
        <w:r w:rsidR="001028BC" w:rsidRPr="002D313B">
          <w:rPr>
            <w:rStyle w:val="Hipersaitas"/>
            <w:rFonts w:ascii="Georgia" w:eastAsia="Georgia" w:hAnsi="Georgia" w:cs="Arial Unicode MS"/>
            <w:noProof/>
            <w:lang w:val="lt-LT"/>
          </w:rPr>
          <w:t>Lentelė 14. Daugiabučių namų renovacijos tvarkaraštis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_Toc19105227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39</w:t>
        </w:r>
        <w:r w:rsidR="001028BC" w:rsidRPr="002D313B">
          <w:rPr>
            <w:rFonts w:ascii="Georgia" w:hAnsi="Georgia"/>
            <w:noProof/>
            <w:webHidden/>
          </w:rPr>
          <w:fldChar w:fldCharType="end"/>
        </w:r>
      </w:hyperlink>
    </w:p>
    <w:p w14:paraId="2A9E2504" w14:textId="04EEC18F"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8" w:history="1">
        <w:r w:rsidR="001028BC" w:rsidRPr="002D313B">
          <w:rPr>
            <w:rStyle w:val="Hipersaitas"/>
            <w:rFonts w:ascii="Georgia" w:eastAsia="Georgia" w:hAnsi="Georgia" w:cs="Arial Unicode MS"/>
            <w:noProof/>
            <w:lang w:val="lt-LT"/>
          </w:rPr>
          <w:t>Lentelė 15. Daugiabučių namų paklausos skaičiavimas remiantis Nacionalinės energetikos strategijos tikslais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_Toc19105228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39</w:t>
        </w:r>
        <w:r w:rsidR="001028BC" w:rsidRPr="002D313B">
          <w:rPr>
            <w:rFonts w:ascii="Georgia" w:hAnsi="Georgia"/>
            <w:noProof/>
            <w:webHidden/>
          </w:rPr>
          <w:fldChar w:fldCharType="end"/>
        </w:r>
      </w:hyperlink>
    </w:p>
    <w:p w14:paraId="0FFEDC34" w14:textId="47DC7232"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29" w:history="1">
        <w:r w:rsidR="001028BC" w:rsidRPr="002D313B">
          <w:rPr>
            <w:rStyle w:val="Hipersaitas"/>
            <w:rFonts w:ascii="Georgia" w:eastAsia="Georgia" w:hAnsi="Georgia" w:cs="Arial Unicode MS"/>
            <w:noProof/>
            <w:lang w:val="lt-LT"/>
          </w:rPr>
          <w:t>Lentelė 16. Daugiabučių paklausos skaičiavimo metodų ir jų rezultatų  apibendrinimas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_Toc19105229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40</w:t>
        </w:r>
        <w:r w:rsidR="001028BC" w:rsidRPr="002D313B">
          <w:rPr>
            <w:rFonts w:ascii="Georgia" w:hAnsi="Georgia"/>
            <w:noProof/>
            <w:webHidden/>
          </w:rPr>
          <w:fldChar w:fldCharType="end"/>
        </w:r>
      </w:hyperlink>
    </w:p>
    <w:p w14:paraId="3F5270E3" w14:textId="1F1D14AF"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0" w:history="1">
        <w:r w:rsidR="001028BC" w:rsidRPr="002D313B">
          <w:rPr>
            <w:rStyle w:val="Hipersaitas"/>
            <w:rFonts w:ascii="Georgia" w:eastAsia="Georgia" w:hAnsi="Georgia" w:cs="Arial Unicode MS"/>
            <w:noProof/>
            <w:lang w:val="lt-LT"/>
          </w:rPr>
          <w:t>Lentelė 17. Gatvių apšvietimo tinklo modernizavimo p</w:t>
        </w:r>
        <w:r w:rsidR="001028BC" w:rsidRPr="002D313B">
          <w:rPr>
            <w:rStyle w:val="Hipersaitas"/>
            <w:rFonts w:ascii="Georgia" w:eastAsia="Georgia" w:hAnsi="Georgia" w:cs="Georgia"/>
            <w:noProof/>
            <w:lang w:val="lt-LT"/>
          </w:rPr>
          <w:t>aklausos skaičiavimo prielaidos ir paklausos rodiklių skaičiavimas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_Toc19105230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40</w:t>
        </w:r>
        <w:r w:rsidR="001028BC" w:rsidRPr="002D313B">
          <w:rPr>
            <w:rFonts w:ascii="Georgia" w:hAnsi="Georgia"/>
            <w:noProof/>
            <w:webHidden/>
          </w:rPr>
          <w:fldChar w:fldCharType="end"/>
        </w:r>
      </w:hyperlink>
    </w:p>
    <w:p w14:paraId="58C17E91" w14:textId="05E5E297"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1" w:history="1">
        <w:r w:rsidR="001028BC" w:rsidRPr="002D313B">
          <w:rPr>
            <w:rStyle w:val="Hipersaitas"/>
            <w:rFonts w:ascii="Georgia" w:eastAsia="Georgia" w:hAnsi="Georgia" w:cs="Arial Unicode MS"/>
            <w:noProof/>
            <w:lang w:val="lt-LT"/>
          </w:rPr>
          <w:t>Lentelė 17. Paklausos apibendrinimas visiems infrastruktūros tipams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_Toc19105231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41</w:t>
        </w:r>
        <w:r w:rsidR="001028BC" w:rsidRPr="002D313B">
          <w:rPr>
            <w:rFonts w:ascii="Georgia" w:hAnsi="Georgia"/>
            <w:noProof/>
            <w:webHidden/>
          </w:rPr>
          <w:fldChar w:fldCharType="end"/>
        </w:r>
      </w:hyperlink>
    </w:p>
    <w:p w14:paraId="1221732B" w14:textId="09B0941C"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2" w:history="1">
        <w:r w:rsidR="001028BC" w:rsidRPr="002D313B">
          <w:rPr>
            <w:rStyle w:val="Hipersaitas"/>
            <w:rFonts w:ascii="Georgia" w:eastAsia="Georgia" w:hAnsi="Georgia" w:cs="Arial Unicode MS"/>
            <w:noProof/>
            <w:lang w:val="lt-LT"/>
          </w:rPr>
          <w:t xml:space="preserve">Lentelė 19. </w:t>
        </w:r>
        <w:r w:rsidR="001028BC" w:rsidRPr="002D313B">
          <w:rPr>
            <w:rStyle w:val="Hipersaitas"/>
            <w:rFonts w:ascii="Georgia" w:eastAsia="Georgia" w:hAnsi="Georgia" w:cs="Georgia"/>
            <w:noProof/>
            <w:lang w:val="lt-LT"/>
          </w:rPr>
          <w:t>JESSICA KF 2009-2013 m. paskelbtų kvietimų charakteristikos.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_Toc19105232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42</w:t>
        </w:r>
        <w:r w:rsidR="001028BC" w:rsidRPr="002D313B">
          <w:rPr>
            <w:rFonts w:ascii="Georgia" w:hAnsi="Georgia"/>
            <w:noProof/>
            <w:webHidden/>
          </w:rPr>
          <w:fldChar w:fldCharType="end"/>
        </w:r>
      </w:hyperlink>
    </w:p>
    <w:p w14:paraId="284C0114" w14:textId="394A6461"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3" w:history="1">
        <w:r w:rsidR="001028BC" w:rsidRPr="002D313B">
          <w:rPr>
            <w:rStyle w:val="Hipersaitas"/>
            <w:rFonts w:ascii="Georgia" w:eastAsia="Georgia" w:hAnsi="Georgia" w:cs="Arial Unicode MS"/>
            <w:noProof/>
            <w:lang w:val="lt-LT"/>
          </w:rPr>
          <w:t>Lentelė 20. Viešųjų pastatų renovacijos Ūkio ministerijos 2007-2013 m. priemonių palyginimas.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_Toc19105233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43</w:t>
        </w:r>
        <w:r w:rsidR="001028BC" w:rsidRPr="002D313B">
          <w:rPr>
            <w:rFonts w:ascii="Georgia" w:hAnsi="Georgia"/>
            <w:noProof/>
            <w:webHidden/>
          </w:rPr>
          <w:fldChar w:fldCharType="end"/>
        </w:r>
      </w:hyperlink>
    </w:p>
    <w:p w14:paraId="06D2288C" w14:textId="40F8BC5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4" w:history="1">
        <w:r w:rsidR="001028BC" w:rsidRPr="002D313B">
          <w:rPr>
            <w:rStyle w:val="Hipersaitas"/>
            <w:rFonts w:ascii="Georgia" w:eastAsia="Georgia" w:hAnsi="Georgia" w:cs="Arial Unicode MS"/>
            <w:noProof/>
            <w:lang w:val="lt-LT"/>
          </w:rPr>
          <w:t>Lentelė 21. Priemonės ir įsteigti fondai siekiant veiksmų programos 4 prioriteto „Energijos efektyvumo ir atsinaujinančių išteklių energijos gamybos ir naudojimo skatinimas“ 2014-2020 metais.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_Toc19105234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45</w:t>
        </w:r>
        <w:r w:rsidR="001028BC" w:rsidRPr="002D313B">
          <w:rPr>
            <w:rFonts w:ascii="Georgia" w:hAnsi="Georgia"/>
            <w:noProof/>
            <w:webHidden/>
          </w:rPr>
          <w:fldChar w:fldCharType="end"/>
        </w:r>
      </w:hyperlink>
    </w:p>
    <w:p w14:paraId="476A32E3" w14:textId="378A3CF3"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5" w:history="1">
        <w:r w:rsidR="001028BC" w:rsidRPr="002D313B">
          <w:rPr>
            <w:rStyle w:val="Hipersaitas"/>
            <w:rFonts w:ascii="Georgia" w:eastAsia="Georgia" w:hAnsi="Georgia" w:cs="Arial Unicode MS"/>
            <w:noProof/>
            <w:lang w:val="lt-LT"/>
          </w:rPr>
          <w:t>Lentelė 22. EIB kvietimai finansiniams tarpininkams atrinkti ir priemonės pilnas finansavimas 2017-2023 m.</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_Toc19105235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48</w:t>
        </w:r>
        <w:r w:rsidR="001028BC" w:rsidRPr="002D313B">
          <w:rPr>
            <w:rFonts w:ascii="Georgia" w:hAnsi="Georgia"/>
            <w:noProof/>
            <w:webHidden/>
          </w:rPr>
          <w:fldChar w:fldCharType="end"/>
        </w:r>
      </w:hyperlink>
    </w:p>
    <w:p w14:paraId="502F18DD" w14:textId="5ED2BA0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6" w:history="1">
        <w:r w:rsidR="001028BC" w:rsidRPr="002D313B">
          <w:rPr>
            <w:rStyle w:val="Hipersaitas"/>
            <w:rFonts w:ascii="Georgia" w:eastAsia="Georgia" w:hAnsi="Georgia" w:cs="Arial Unicode MS"/>
            <w:noProof/>
            <w:lang w:val="lt-LT"/>
          </w:rPr>
          <w:t>Lentelė 23. Komercinių bankų portfelio prognozė (mln. EUR)</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_Toc19105236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50</w:t>
        </w:r>
        <w:r w:rsidR="001028BC" w:rsidRPr="002D313B">
          <w:rPr>
            <w:rFonts w:ascii="Georgia" w:hAnsi="Georgia"/>
            <w:noProof/>
            <w:webHidden/>
          </w:rPr>
          <w:fldChar w:fldCharType="end"/>
        </w:r>
      </w:hyperlink>
    </w:p>
    <w:p w14:paraId="39D9AD6D" w14:textId="62AA2EB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7" w:history="1">
        <w:r w:rsidR="001028BC" w:rsidRPr="002D313B">
          <w:rPr>
            <w:rStyle w:val="Hipersaitas"/>
            <w:rFonts w:ascii="Georgia" w:hAnsi="Georgia"/>
            <w:noProof/>
            <w:lang w:val="lt-LT"/>
          </w:rPr>
          <w:t>Lentelė 24. Savivaldybių skolinimosi padėtis 2017 m.</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_Toc19105237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54</w:t>
        </w:r>
        <w:r w:rsidR="001028BC" w:rsidRPr="002D313B">
          <w:rPr>
            <w:rFonts w:ascii="Georgia" w:hAnsi="Georgia"/>
            <w:noProof/>
            <w:webHidden/>
          </w:rPr>
          <w:fldChar w:fldCharType="end"/>
        </w:r>
      </w:hyperlink>
    </w:p>
    <w:p w14:paraId="6EDF11F3" w14:textId="12E392F0"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8" w:history="1">
        <w:r w:rsidR="001028BC" w:rsidRPr="002D313B">
          <w:rPr>
            <w:rStyle w:val="Hipersaitas"/>
            <w:rFonts w:ascii="Georgia" w:hAnsi="Georgia"/>
            <w:noProof/>
            <w:lang w:val="lt-LT"/>
          </w:rPr>
          <w:t>Lentelė 25. Finansavimo pasiūla</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_Toc19105238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54</w:t>
        </w:r>
        <w:r w:rsidR="001028BC" w:rsidRPr="002D313B">
          <w:rPr>
            <w:rFonts w:ascii="Georgia" w:hAnsi="Georgia"/>
            <w:noProof/>
            <w:webHidden/>
          </w:rPr>
          <w:fldChar w:fldCharType="end"/>
        </w:r>
      </w:hyperlink>
    </w:p>
    <w:p w14:paraId="7EC091EE" w14:textId="0638F308"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39" w:history="1">
        <w:r w:rsidR="001028BC" w:rsidRPr="002D313B">
          <w:rPr>
            <w:rStyle w:val="Hipersaitas"/>
            <w:rFonts w:ascii="Georgia" w:eastAsia="Georgia" w:hAnsi="Georgia" w:cs="Arial Unicode MS"/>
            <w:noProof/>
            <w:lang w:val="lt-LT"/>
          </w:rPr>
          <w:t>Lentelė 26. Rinkos investicijų trūkumo įvertinimo duomenys.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_Toc19105239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56</w:t>
        </w:r>
        <w:r w:rsidR="001028BC" w:rsidRPr="002D313B">
          <w:rPr>
            <w:rFonts w:ascii="Georgia" w:hAnsi="Georgia"/>
            <w:noProof/>
            <w:webHidden/>
          </w:rPr>
          <w:fldChar w:fldCharType="end"/>
        </w:r>
      </w:hyperlink>
    </w:p>
    <w:p w14:paraId="3CAB6500" w14:textId="63BF432E"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0" w:history="1">
        <w:r w:rsidR="001028BC" w:rsidRPr="002D313B">
          <w:rPr>
            <w:rStyle w:val="Hipersaitas"/>
            <w:rFonts w:ascii="Georgia" w:eastAsia="Georgia" w:hAnsi="Georgia" w:cs="Arial Unicode MS"/>
            <w:noProof/>
            <w:lang w:val="lt-LT"/>
          </w:rPr>
          <w:t>Lentelė 27. Rinkos gyvybingumo ir investicijų trūkumo priežastys ir jų aprašymas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_Toc19105240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56</w:t>
        </w:r>
        <w:r w:rsidR="001028BC" w:rsidRPr="002D313B">
          <w:rPr>
            <w:rFonts w:ascii="Georgia" w:hAnsi="Georgia"/>
            <w:noProof/>
            <w:webHidden/>
          </w:rPr>
          <w:fldChar w:fldCharType="end"/>
        </w:r>
      </w:hyperlink>
    </w:p>
    <w:p w14:paraId="164E8F7D" w14:textId="4110E71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1" w:history="1">
        <w:r w:rsidR="001028BC" w:rsidRPr="002D313B">
          <w:rPr>
            <w:rStyle w:val="Hipersaitas"/>
            <w:rFonts w:ascii="Georgia" w:eastAsia="PMingLiU" w:hAnsi="Georgia" w:cs="Times New Roman"/>
            <w:b/>
            <w:bCs/>
            <w:noProof/>
            <w:lang w:val="lt-LT"/>
          </w:rPr>
          <w:t>Lentelė 28</w:t>
        </w:r>
        <w:r w:rsidR="001028BC" w:rsidRPr="002D313B">
          <w:rPr>
            <w:rStyle w:val="Hipersaitas"/>
            <w:rFonts w:ascii="Georgia" w:eastAsia="PMingLiU" w:hAnsi="Georgia" w:cs="Arial"/>
            <w:bCs/>
            <w:noProof/>
            <w:lang w:val="lt-LT"/>
          </w:rPr>
          <w:t xml:space="preserve">. </w:t>
        </w:r>
        <w:r w:rsidR="001028BC" w:rsidRPr="002D313B">
          <w:rPr>
            <w:rStyle w:val="Hipersaitas"/>
            <w:rFonts w:ascii="Georgia" w:eastAsia="PMingLiU" w:hAnsi="Georgia" w:cs="Times New Roman"/>
            <w:b/>
            <w:bCs/>
            <w:noProof/>
            <w:lang w:val="lt-LT"/>
          </w:rPr>
          <w:t>ERPB veiklos rodikliai Lietuvoje.</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_Toc19105241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67</w:t>
        </w:r>
        <w:r w:rsidR="001028BC" w:rsidRPr="002D313B">
          <w:rPr>
            <w:rFonts w:ascii="Georgia" w:hAnsi="Georgia"/>
            <w:noProof/>
            <w:webHidden/>
          </w:rPr>
          <w:fldChar w:fldCharType="end"/>
        </w:r>
      </w:hyperlink>
    </w:p>
    <w:p w14:paraId="5EE363C2" w14:textId="1E3B2F69"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2" w:history="1">
        <w:r w:rsidR="001028BC" w:rsidRPr="002D313B">
          <w:rPr>
            <w:rStyle w:val="Hipersaitas"/>
            <w:rFonts w:ascii="Georgia" w:eastAsia="PMingLiU" w:hAnsi="Georgia" w:cs="Times New Roman"/>
            <w:b/>
            <w:bCs/>
            <w:noProof/>
            <w:lang w:val="lt-LT"/>
          </w:rPr>
          <w:t>Lentelė 29. ERPB siūlomų produktų sąlygos.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_Toc19105242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68</w:t>
        </w:r>
        <w:r w:rsidR="001028BC" w:rsidRPr="002D313B">
          <w:rPr>
            <w:rFonts w:ascii="Georgia" w:hAnsi="Georgia"/>
            <w:noProof/>
            <w:webHidden/>
          </w:rPr>
          <w:fldChar w:fldCharType="end"/>
        </w:r>
      </w:hyperlink>
    </w:p>
    <w:p w14:paraId="5476EFE7" w14:textId="2A344E87"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3" w:history="1">
        <w:r w:rsidR="001028BC" w:rsidRPr="002D313B">
          <w:rPr>
            <w:rStyle w:val="Hipersaitas"/>
            <w:rFonts w:ascii="Georgia" w:eastAsia="PMingLiU" w:hAnsi="Georgia" w:cs="Times New Roman"/>
            <w:b/>
            <w:bCs/>
            <w:noProof/>
            <w:lang w:val="lt-LT"/>
          </w:rPr>
          <w:t>Lentelė 30. ŠIB siūlomų finansinių produktų sąlygos.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_Toc19105243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72</w:t>
        </w:r>
        <w:r w:rsidR="001028BC" w:rsidRPr="002D313B">
          <w:rPr>
            <w:rFonts w:ascii="Georgia" w:hAnsi="Georgia"/>
            <w:noProof/>
            <w:webHidden/>
          </w:rPr>
          <w:fldChar w:fldCharType="end"/>
        </w:r>
      </w:hyperlink>
    </w:p>
    <w:p w14:paraId="71DE565E" w14:textId="5450B7C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4" w:history="1">
        <w:r w:rsidR="001028BC" w:rsidRPr="002D313B">
          <w:rPr>
            <w:rStyle w:val="Hipersaitas"/>
            <w:rFonts w:ascii="Georgia" w:eastAsia="PMingLiU" w:hAnsi="Georgia" w:cs="Times New Roman"/>
            <w:b/>
            <w:bCs/>
            <w:noProof/>
            <w:lang w:val="lt-LT"/>
          </w:rPr>
          <w:t>Lentelė 31. EIB siūlomų finansinių produktų sąlygos.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_Toc19105244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77</w:t>
        </w:r>
        <w:r w:rsidR="001028BC" w:rsidRPr="002D313B">
          <w:rPr>
            <w:rFonts w:ascii="Georgia" w:hAnsi="Georgia"/>
            <w:noProof/>
            <w:webHidden/>
          </w:rPr>
          <w:fldChar w:fldCharType="end"/>
        </w:r>
      </w:hyperlink>
    </w:p>
    <w:p w14:paraId="79A4521A" w14:textId="6F43346B"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5" w:history="1">
        <w:r w:rsidR="001028BC" w:rsidRPr="002D313B">
          <w:rPr>
            <w:rStyle w:val="Hipersaitas"/>
            <w:rFonts w:ascii="Georgia" w:eastAsia="PMingLiU" w:hAnsi="Georgia" w:cs="Times New Roman"/>
            <w:b/>
            <w:bCs/>
            <w:noProof/>
            <w:lang w:val="lt-LT"/>
          </w:rPr>
          <w:t xml:space="preserve">Lentelė 32. </w:t>
        </w:r>
        <w:r w:rsidR="001028BC" w:rsidRPr="002D313B">
          <w:rPr>
            <w:rStyle w:val="Hipersaitas"/>
            <w:rFonts w:ascii="Georgia" w:eastAsia="PMingLiU" w:hAnsi="Georgia" w:cs="Arial"/>
            <w:b/>
            <w:bCs/>
            <w:noProof/>
            <w:lang w:val="lt-LT"/>
          </w:rPr>
          <w:t>ETVB</w:t>
        </w:r>
        <w:r w:rsidR="001028BC" w:rsidRPr="002D313B">
          <w:rPr>
            <w:rStyle w:val="Hipersaitas"/>
            <w:rFonts w:ascii="Georgia" w:eastAsia="PMingLiU" w:hAnsi="Georgia" w:cs="Times New Roman"/>
            <w:b/>
            <w:bCs/>
            <w:noProof/>
            <w:lang w:val="lt-LT"/>
          </w:rPr>
          <w:t xml:space="preserve"> siūlomų finansinių produktų sąlygos.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_Toc19105245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79</w:t>
        </w:r>
        <w:r w:rsidR="001028BC" w:rsidRPr="002D313B">
          <w:rPr>
            <w:rFonts w:ascii="Georgia" w:hAnsi="Georgia"/>
            <w:noProof/>
            <w:webHidden/>
          </w:rPr>
          <w:fldChar w:fldCharType="end"/>
        </w:r>
      </w:hyperlink>
    </w:p>
    <w:p w14:paraId="2FEE9653" w14:textId="4CC26020"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6" w:history="1">
        <w:r w:rsidR="001028BC" w:rsidRPr="002D313B">
          <w:rPr>
            <w:rStyle w:val="Hipersaitas"/>
            <w:rFonts w:ascii="Georgia" w:eastAsia="Georgia" w:hAnsi="Georgia" w:cs="Arial Unicode MS"/>
            <w:noProof/>
            <w:lang w:val="lt-LT"/>
          </w:rPr>
          <w:t>Lentelė 33. ESCO modelio rizikos.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_Toc19105246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80</w:t>
        </w:r>
        <w:r w:rsidR="001028BC" w:rsidRPr="002D313B">
          <w:rPr>
            <w:rFonts w:ascii="Georgia" w:hAnsi="Georgia"/>
            <w:noProof/>
            <w:webHidden/>
          </w:rPr>
          <w:fldChar w:fldCharType="end"/>
        </w:r>
      </w:hyperlink>
    </w:p>
    <w:p w14:paraId="6F09B0C3" w14:textId="5080018F"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7" w:history="1">
        <w:r w:rsidR="001028BC" w:rsidRPr="002D313B">
          <w:rPr>
            <w:rStyle w:val="Hipersaitas"/>
            <w:rFonts w:ascii="Georgia" w:hAnsi="Georgia"/>
            <w:noProof/>
            <w:lang w:val="lt-LT"/>
          </w:rPr>
          <w:t>Lentelė 34. Privačių investuotojų lėšų pritraukimas į fondų fondo lygmenį.</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_Toc19105247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83</w:t>
        </w:r>
        <w:r w:rsidR="001028BC" w:rsidRPr="002D313B">
          <w:rPr>
            <w:rFonts w:ascii="Georgia" w:hAnsi="Georgia"/>
            <w:noProof/>
            <w:webHidden/>
          </w:rPr>
          <w:fldChar w:fldCharType="end"/>
        </w:r>
      </w:hyperlink>
    </w:p>
    <w:p w14:paraId="61CF1509" w14:textId="2AE505ED"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8" w:history="1">
        <w:r w:rsidR="001028BC" w:rsidRPr="002D313B">
          <w:rPr>
            <w:rStyle w:val="Hipersaitas"/>
            <w:rFonts w:ascii="Georgia" w:hAnsi="Georgia"/>
            <w:noProof/>
            <w:lang w:val="lt-LT"/>
          </w:rPr>
          <w:t>Lentelė 35. Privačių investuotojų lėšų pritraukimas į finansinės priemonės lygmenį</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_Toc19105248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84</w:t>
        </w:r>
        <w:r w:rsidR="001028BC" w:rsidRPr="002D313B">
          <w:rPr>
            <w:rFonts w:ascii="Georgia" w:hAnsi="Georgia"/>
            <w:noProof/>
            <w:webHidden/>
          </w:rPr>
          <w:fldChar w:fldCharType="end"/>
        </w:r>
      </w:hyperlink>
    </w:p>
    <w:p w14:paraId="6066DF32" w14:textId="18151B76"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49" w:history="1">
        <w:r w:rsidR="001028BC" w:rsidRPr="002D313B">
          <w:rPr>
            <w:rStyle w:val="Hipersaitas"/>
            <w:rFonts w:ascii="Georgia" w:hAnsi="Georgia"/>
            <w:noProof/>
            <w:lang w:val="lt-LT"/>
          </w:rPr>
          <w:t>Lentelė 36. Daugiabučių namų renovacijos jautrumo analizės prielaidos</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_Toc19105249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88</w:t>
        </w:r>
        <w:r w:rsidR="001028BC" w:rsidRPr="002D313B">
          <w:rPr>
            <w:rFonts w:ascii="Georgia" w:hAnsi="Georgia"/>
            <w:noProof/>
            <w:webHidden/>
          </w:rPr>
          <w:fldChar w:fldCharType="end"/>
        </w:r>
      </w:hyperlink>
    </w:p>
    <w:p w14:paraId="658D74B4" w14:textId="2AE3712A"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50" w:history="1">
        <w:r w:rsidR="001028BC" w:rsidRPr="002D313B">
          <w:rPr>
            <w:rStyle w:val="Hipersaitas"/>
            <w:rFonts w:ascii="Georgia" w:hAnsi="Georgia"/>
            <w:noProof/>
            <w:lang w:val="lt-LT"/>
          </w:rPr>
          <w:t>Lentelė 37. Sutaupytos energijos ir subsidijos poreikio santykio jautrumo analizė</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_Toc19105250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88</w:t>
        </w:r>
        <w:r w:rsidR="001028BC" w:rsidRPr="002D313B">
          <w:rPr>
            <w:rFonts w:ascii="Georgia" w:hAnsi="Georgia"/>
            <w:noProof/>
            <w:webHidden/>
          </w:rPr>
          <w:fldChar w:fldCharType="end"/>
        </w:r>
      </w:hyperlink>
    </w:p>
    <w:p w14:paraId="7EC2FAAC" w14:textId="1545DBCE"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51" w:history="1">
        <w:r w:rsidR="001028BC" w:rsidRPr="002D313B">
          <w:rPr>
            <w:rStyle w:val="Hipersaitas"/>
            <w:rFonts w:ascii="Georgia" w:hAnsi="Georgia"/>
            <w:noProof/>
            <w:lang w:val="lt-LT"/>
          </w:rPr>
          <w:t>Lentelė 38. Investicijų ir subsidijos poreikio santykio jautrumo analizė</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_Toc19105251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89</w:t>
        </w:r>
        <w:r w:rsidR="001028BC" w:rsidRPr="002D313B">
          <w:rPr>
            <w:rFonts w:ascii="Georgia" w:hAnsi="Georgia"/>
            <w:noProof/>
            <w:webHidden/>
          </w:rPr>
          <w:fldChar w:fldCharType="end"/>
        </w:r>
      </w:hyperlink>
    </w:p>
    <w:p w14:paraId="19179E29" w14:textId="1EC3E19F" w:rsidR="001028BC" w:rsidRPr="002D313B" w:rsidRDefault="00D1128E">
      <w:pPr>
        <w:pStyle w:val="Iliustracijsraas"/>
        <w:tabs>
          <w:tab w:val="right" w:leader="dot" w:pos="9016"/>
        </w:tabs>
        <w:rPr>
          <w:rFonts w:ascii="Georgia" w:eastAsiaTheme="minorEastAsia" w:hAnsi="Georgia"/>
          <w:noProof/>
          <w:lang w:val="lt-LT" w:eastAsia="lt-LT"/>
        </w:rPr>
      </w:pPr>
      <w:hyperlink w:anchor="_Toc19105252" w:history="1">
        <w:r w:rsidR="001028BC" w:rsidRPr="002D313B">
          <w:rPr>
            <w:rStyle w:val="Hipersaitas"/>
            <w:rFonts w:ascii="Georgia" w:hAnsi="Georgia"/>
            <w:noProof/>
            <w:lang w:val="lt-LT"/>
          </w:rPr>
          <w:t>Lentelė 39. Šilumos kainos ir galimo sutaupymo santykio jautrumo analizės rezultatai (su subsidija)</w:t>
        </w:r>
        <w:r w:rsidR="001028BC" w:rsidRPr="002D313B">
          <w:rPr>
            <w:rFonts w:ascii="Georgia" w:hAnsi="Georgia"/>
            <w:noProof/>
            <w:webHidden/>
          </w:rPr>
          <w:tab/>
        </w:r>
        <w:r w:rsidR="001028BC" w:rsidRPr="002D313B">
          <w:rPr>
            <w:rFonts w:ascii="Georgia" w:hAnsi="Georgia"/>
            <w:noProof/>
            <w:webHidden/>
          </w:rPr>
          <w:fldChar w:fldCharType="begin"/>
        </w:r>
        <w:r w:rsidR="001028BC" w:rsidRPr="002D313B">
          <w:rPr>
            <w:rFonts w:ascii="Georgia" w:hAnsi="Georgia"/>
            <w:noProof/>
            <w:webHidden/>
          </w:rPr>
          <w:instrText xml:space="preserve"> PAGEREF _Toc19105252 \h </w:instrText>
        </w:r>
        <w:r w:rsidR="001028BC" w:rsidRPr="002D313B">
          <w:rPr>
            <w:rFonts w:ascii="Georgia" w:hAnsi="Georgia"/>
            <w:noProof/>
            <w:webHidden/>
          </w:rPr>
        </w:r>
        <w:r w:rsidR="001028BC" w:rsidRPr="002D313B">
          <w:rPr>
            <w:rFonts w:ascii="Georgia" w:hAnsi="Georgia"/>
            <w:noProof/>
            <w:webHidden/>
          </w:rPr>
          <w:fldChar w:fldCharType="separate"/>
        </w:r>
        <w:r w:rsidR="001028BC" w:rsidRPr="002D313B">
          <w:rPr>
            <w:rFonts w:ascii="Georgia" w:hAnsi="Georgia"/>
            <w:noProof/>
            <w:webHidden/>
          </w:rPr>
          <w:t>89</w:t>
        </w:r>
        <w:r w:rsidR="001028BC" w:rsidRPr="002D313B">
          <w:rPr>
            <w:rFonts w:ascii="Georgia" w:hAnsi="Georgia"/>
            <w:noProof/>
            <w:webHidden/>
          </w:rPr>
          <w:fldChar w:fldCharType="end"/>
        </w:r>
      </w:hyperlink>
    </w:p>
    <w:p w14:paraId="3A1B402B" w14:textId="40BFF233"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53" w:history="1">
        <w:r w:rsidR="001028BC" w:rsidRPr="00C97275">
          <w:rPr>
            <w:rStyle w:val="Hipersaitas"/>
            <w:rFonts w:ascii="Georgia" w:hAnsi="Georgia"/>
            <w:noProof/>
            <w:lang w:val="lt-LT"/>
          </w:rPr>
          <w:t>Lentelė 40. Šilumos kainos ir galimo sutaupymo santykio jautrumo analizės rezultatai (be subsidijos)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_Toc19105253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90</w:t>
        </w:r>
        <w:r w:rsidR="001028BC" w:rsidRPr="00C97275">
          <w:rPr>
            <w:rFonts w:ascii="Georgia" w:hAnsi="Georgia"/>
            <w:noProof/>
            <w:webHidden/>
          </w:rPr>
          <w:fldChar w:fldCharType="end"/>
        </w:r>
      </w:hyperlink>
    </w:p>
    <w:p w14:paraId="42799114" w14:textId="1C1D7D16"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54" w:history="1">
        <w:r w:rsidR="001028BC" w:rsidRPr="00C97275">
          <w:rPr>
            <w:rStyle w:val="Hipersaitas"/>
            <w:rFonts w:ascii="Georgia" w:hAnsi="Georgia"/>
            <w:noProof/>
            <w:lang w:val="lt-LT"/>
          </w:rPr>
          <w:t>Lentelė 41. Energijos kainos ir subsidijos elemento santykio analizė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_Toc19105254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90</w:t>
        </w:r>
        <w:r w:rsidR="001028BC" w:rsidRPr="00C97275">
          <w:rPr>
            <w:rFonts w:ascii="Georgia" w:hAnsi="Georgia"/>
            <w:noProof/>
            <w:webHidden/>
          </w:rPr>
          <w:fldChar w:fldCharType="end"/>
        </w:r>
      </w:hyperlink>
    </w:p>
    <w:p w14:paraId="4CBF95D7" w14:textId="35EBE62B"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55" w:history="1">
        <w:r w:rsidR="001028BC" w:rsidRPr="00C97275">
          <w:rPr>
            <w:rStyle w:val="Hipersaitas"/>
            <w:rFonts w:ascii="Georgia" w:hAnsi="Georgia"/>
            <w:noProof/>
            <w:lang w:val="lt-LT"/>
          </w:rPr>
          <w:t>Lentelė 42. Energijos kainos augimo ir subsidijos elemento santykio jautrumo analizė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_Toc19105255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90</w:t>
        </w:r>
        <w:r w:rsidR="001028BC" w:rsidRPr="00C97275">
          <w:rPr>
            <w:rFonts w:ascii="Georgia" w:hAnsi="Georgia"/>
            <w:noProof/>
            <w:webHidden/>
          </w:rPr>
          <w:fldChar w:fldCharType="end"/>
        </w:r>
      </w:hyperlink>
    </w:p>
    <w:p w14:paraId="6CE43052" w14:textId="48ACAE86"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56" w:history="1">
        <w:r w:rsidR="001028BC" w:rsidRPr="00C97275">
          <w:rPr>
            <w:rStyle w:val="Hipersaitas"/>
            <w:rFonts w:ascii="Georgia" w:hAnsi="Georgia"/>
            <w:noProof/>
            <w:lang w:val="lt-LT"/>
          </w:rPr>
          <w:t>Lentelė 43. Energijos suvartojimo prieš renovaciją ir subsidijos elemento santykio jautrumo analizė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_Toc19105256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91</w:t>
        </w:r>
        <w:r w:rsidR="001028BC" w:rsidRPr="00C97275">
          <w:rPr>
            <w:rFonts w:ascii="Georgia" w:hAnsi="Georgia"/>
            <w:noProof/>
            <w:webHidden/>
          </w:rPr>
          <w:fldChar w:fldCharType="end"/>
        </w:r>
      </w:hyperlink>
    </w:p>
    <w:p w14:paraId="091EA41E" w14:textId="540F7D64"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57" w:history="1">
        <w:r w:rsidR="001028BC" w:rsidRPr="00C97275">
          <w:rPr>
            <w:rStyle w:val="Hipersaitas"/>
            <w:rFonts w:ascii="Georgia" w:hAnsi="Georgia"/>
            <w:noProof/>
            <w:lang w:val="lt-LT"/>
          </w:rPr>
          <w:t>Lentelė 44. Scenarijaus Nr. 1 prielaidos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_Toc19105257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93</w:t>
        </w:r>
        <w:r w:rsidR="001028BC" w:rsidRPr="00C97275">
          <w:rPr>
            <w:rFonts w:ascii="Georgia" w:hAnsi="Georgia"/>
            <w:noProof/>
            <w:webHidden/>
          </w:rPr>
          <w:fldChar w:fldCharType="end"/>
        </w:r>
      </w:hyperlink>
    </w:p>
    <w:p w14:paraId="778ABCC8" w14:textId="5488F1A1"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58" w:history="1">
        <w:r w:rsidR="001028BC" w:rsidRPr="00C97275">
          <w:rPr>
            <w:rStyle w:val="Hipersaitas"/>
            <w:rFonts w:ascii="Georgia" w:hAnsi="Georgia"/>
            <w:noProof/>
            <w:lang w:val="lt-LT"/>
          </w:rPr>
          <w:t>Lentelė 45. Scenarijaus Nr. 1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_Toc19105258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95</w:t>
        </w:r>
        <w:r w:rsidR="001028BC" w:rsidRPr="00C97275">
          <w:rPr>
            <w:rFonts w:ascii="Georgia" w:hAnsi="Georgia"/>
            <w:noProof/>
            <w:webHidden/>
          </w:rPr>
          <w:fldChar w:fldCharType="end"/>
        </w:r>
      </w:hyperlink>
    </w:p>
    <w:p w14:paraId="2079331A" w14:textId="7A59C2A5"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59" w:history="1">
        <w:r w:rsidR="001028BC" w:rsidRPr="00C97275">
          <w:rPr>
            <w:rStyle w:val="Hipersaitas"/>
            <w:rFonts w:ascii="Georgia" w:hAnsi="Georgia"/>
            <w:noProof/>
            <w:lang w:val="lt-LT"/>
          </w:rPr>
          <w:t>Lentelė 46. Scenarijaus Nr. 1 rezultatai</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_Toc19105259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96</w:t>
        </w:r>
        <w:r w:rsidR="001028BC" w:rsidRPr="00C97275">
          <w:rPr>
            <w:rFonts w:ascii="Georgia" w:hAnsi="Georgia"/>
            <w:noProof/>
            <w:webHidden/>
          </w:rPr>
          <w:fldChar w:fldCharType="end"/>
        </w:r>
      </w:hyperlink>
    </w:p>
    <w:p w14:paraId="64AA3C64" w14:textId="3C614D70"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0" w:history="1">
        <w:r w:rsidR="001028BC" w:rsidRPr="00C97275">
          <w:rPr>
            <w:rStyle w:val="Hipersaitas"/>
            <w:rFonts w:ascii="Georgia" w:hAnsi="Georgia"/>
            <w:noProof/>
            <w:lang w:val="lt-LT"/>
          </w:rPr>
          <w:t>Lentelė 47. Pagrindinės pirmo nuostolio portfelinės garantijos sąlygos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_Toc19105260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96</w:t>
        </w:r>
        <w:r w:rsidR="001028BC" w:rsidRPr="00C97275">
          <w:rPr>
            <w:rFonts w:ascii="Georgia" w:hAnsi="Georgia"/>
            <w:noProof/>
            <w:webHidden/>
          </w:rPr>
          <w:fldChar w:fldCharType="end"/>
        </w:r>
      </w:hyperlink>
    </w:p>
    <w:p w14:paraId="71DBC142" w14:textId="6570F191"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1" w:history="1">
        <w:r w:rsidR="001028BC" w:rsidRPr="00C97275">
          <w:rPr>
            <w:rStyle w:val="Hipersaitas"/>
            <w:rFonts w:ascii="Georgia" w:hAnsi="Georgia"/>
            <w:noProof/>
            <w:lang w:val="lt-LT"/>
          </w:rPr>
          <w:t>Lentelė 48. Scenarijaus Nr. 2 prielaidos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_Toc19105261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97</w:t>
        </w:r>
        <w:r w:rsidR="001028BC" w:rsidRPr="00C97275">
          <w:rPr>
            <w:rFonts w:ascii="Georgia" w:hAnsi="Georgia"/>
            <w:noProof/>
            <w:webHidden/>
          </w:rPr>
          <w:fldChar w:fldCharType="end"/>
        </w:r>
      </w:hyperlink>
    </w:p>
    <w:p w14:paraId="169207A0" w14:textId="2E6752DB"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2" w:history="1">
        <w:r w:rsidR="001028BC" w:rsidRPr="00C97275">
          <w:rPr>
            <w:rStyle w:val="Hipersaitas"/>
            <w:rFonts w:ascii="Georgia" w:hAnsi="Georgia"/>
            <w:noProof/>
            <w:lang w:val="lt-LT"/>
          </w:rPr>
          <w:t>Lentelė 49. Scenarijaus Nr. 2 paskolų finansinės priemonės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_Toc19105262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99</w:t>
        </w:r>
        <w:r w:rsidR="001028BC" w:rsidRPr="00C97275">
          <w:rPr>
            <w:rFonts w:ascii="Georgia" w:hAnsi="Georgia"/>
            <w:noProof/>
            <w:webHidden/>
          </w:rPr>
          <w:fldChar w:fldCharType="end"/>
        </w:r>
      </w:hyperlink>
    </w:p>
    <w:p w14:paraId="7B3B4855" w14:textId="7D3FE6B2"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3" w:history="1">
        <w:r w:rsidR="001028BC" w:rsidRPr="00C97275">
          <w:rPr>
            <w:rStyle w:val="Hipersaitas"/>
            <w:rFonts w:ascii="Georgia" w:hAnsi="Georgia"/>
            <w:noProof/>
            <w:lang w:val="lt-LT"/>
          </w:rPr>
          <w:t>Lentelė 50. Scenarijaus Nr. 2 garantijų finansinės priemonės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_Toc19105263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99</w:t>
        </w:r>
        <w:r w:rsidR="001028BC" w:rsidRPr="00C97275">
          <w:rPr>
            <w:rFonts w:ascii="Georgia" w:hAnsi="Georgia"/>
            <w:noProof/>
            <w:webHidden/>
          </w:rPr>
          <w:fldChar w:fldCharType="end"/>
        </w:r>
      </w:hyperlink>
    </w:p>
    <w:p w14:paraId="2C52E276" w14:textId="2BA08EB6"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4" w:history="1">
        <w:r w:rsidR="001028BC" w:rsidRPr="00C97275">
          <w:rPr>
            <w:rStyle w:val="Hipersaitas"/>
            <w:rFonts w:ascii="Georgia" w:hAnsi="Georgia"/>
            <w:noProof/>
            <w:lang w:val="lt-LT"/>
          </w:rPr>
          <w:t>Lentelė 51. Scenarijaus Nr. 2 rezultatai</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_Toc19105264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99</w:t>
        </w:r>
        <w:r w:rsidR="001028BC" w:rsidRPr="00C97275">
          <w:rPr>
            <w:rFonts w:ascii="Georgia" w:hAnsi="Georgia"/>
            <w:noProof/>
            <w:webHidden/>
          </w:rPr>
          <w:fldChar w:fldCharType="end"/>
        </w:r>
      </w:hyperlink>
    </w:p>
    <w:p w14:paraId="02C68CD5" w14:textId="303A411D"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5" w:history="1">
        <w:r w:rsidR="001028BC" w:rsidRPr="00C97275">
          <w:rPr>
            <w:rStyle w:val="Hipersaitas"/>
            <w:rFonts w:ascii="Georgia" w:hAnsi="Georgia"/>
            <w:noProof/>
            <w:lang w:val="lt-LT"/>
          </w:rPr>
          <w:t xml:space="preserve">Lentelė 52. Scenarijaus Nr. </w:t>
        </w:r>
        <w:r w:rsidR="001028BC" w:rsidRPr="00C97275">
          <w:rPr>
            <w:rStyle w:val="Hipersaitas"/>
            <w:rFonts w:ascii="Georgia" w:hAnsi="Georgia"/>
            <w:noProof/>
          </w:rPr>
          <w:t>2</w:t>
        </w:r>
        <w:r w:rsidR="001028BC" w:rsidRPr="00C97275">
          <w:rPr>
            <w:rStyle w:val="Hipersaitas"/>
            <w:rFonts w:ascii="Georgia" w:hAnsi="Georgia"/>
            <w:noProof/>
            <w:lang w:val="lt-LT"/>
          </w:rPr>
          <w:t xml:space="preserve"> rezultatai, esant Pradinės ataskaitos prielaidoms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_Toc19105265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100</w:t>
        </w:r>
        <w:r w:rsidR="001028BC" w:rsidRPr="00C97275">
          <w:rPr>
            <w:rFonts w:ascii="Georgia" w:hAnsi="Georgia"/>
            <w:noProof/>
            <w:webHidden/>
          </w:rPr>
          <w:fldChar w:fldCharType="end"/>
        </w:r>
      </w:hyperlink>
    </w:p>
    <w:p w14:paraId="16157131" w14:textId="44695716"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6" w:history="1">
        <w:r w:rsidR="001028BC" w:rsidRPr="00C97275">
          <w:rPr>
            <w:rStyle w:val="Hipersaitas"/>
            <w:rFonts w:ascii="Georgia" w:hAnsi="Georgia"/>
            <w:noProof/>
            <w:lang w:val="lt-LT"/>
          </w:rPr>
          <w:t>Lentelė 53. Scenarijaus Nr. 3 prielaidos: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_Toc19105266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100</w:t>
        </w:r>
        <w:r w:rsidR="001028BC" w:rsidRPr="00C97275">
          <w:rPr>
            <w:rFonts w:ascii="Georgia" w:hAnsi="Georgia"/>
            <w:noProof/>
            <w:webHidden/>
          </w:rPr>
          <w:fldChar w:fldCharType="end"/>
        </w:r>
      </w:hyperlink>
    </w:p>
    <w:p w14:paraId="4FA425EA" w14:textId="73FC566C"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7" w:history="1">
        <w:r w:rsidR="001028BC" w:rsidRPr="00C97275">
          <w:rPr>
            <w:rStyle w:val="Hipersaitas"/>
            <w:rFonts w:ascii="Georgia" w:hAnsi="Georgia"/>
            <w:noProof/>
            <w:lang w:val="lt-LT"/>
          </w:rPr>
          <w:t>Lentelė 54. Scenarijaus Nr. 3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_Toc19105267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102</w:t>
        </w:r>
        <w:r w:rsidR="001028BC" w:rsidRPr="00C97275">
          <w:rPr>
            <w:rFonts w:ascii="Georgia" w:hAnsi="Georgia"/>
            <w:noProof/>
            <w:webHidden/>
          </w:rPr>
          <w:fldChar w:fldCharType="end"/>
        </w:r>
      </w:hyperlink>
    </w:p>
    <w:p w14:paraId="674F6CEE" w14:textId="78E0B952"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8" w:history="1">
        <w:r w:rsidR="001028BC" w:rsidRPr="00C97275">
          <w:rPr>
            <w:rStyle w:val="Hipersaitas"/>
            <w:rFonts w:ascii="Georgia" w:hAnsi="Georgia"/>
            <w:noProof/>
            <w:lang w:val="lt-LT"/>
          </w:rPr>
          <w:t>Lentelė 55. Scenarijaus Nr. 3 rezultatai</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_Toc19105268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102</w:t>
        </w:r>
        <w:r w:rsidR="001028BC" w:rsidRPr="00C97275">
          <w:rPr>
            <w:rFonts w:ascii="Georgia" w:hAnsi="Georgia"/>
            <w:noProof/>
            <w:webHidden/>
          </w:rPr>
          <w:fldChar w:fldCharType="end"/>
        </w:r>
      </w:hyperlink>
    </w:p>
    <w:p w14:paraId="6D12C804" w14:textId="3644F06E"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69" w:history="1">
        <w:r w:rsidR="001028BC" w:rsidRPr="00C97275">
          <w:rPr>
            <w:rStyle w:val="Hipersaitas"/>
            <w:rFonts w:ascii="Georgia" w:hAnsi="Georgia"/>
            <w:noProof/>
            <w:lang w:val="lt-LT"/>
          </w:rPr>
          <w:t>Lentelė 56. Scenarijaus Nr. 4 prielaidos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_Toc19105269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104</w:t>
        </w:r>
        <w:r w:rsidR="001028BC" w:rsidRPr="00C97275">
          <w:rPr>
            <w:rFonts w:ascii="Georgia" w:hAnsi="Georgia"/>
            <w:noProof/>
            <w:webHidden/>
          </w:rPr>
          <w:fldChar w:fldCharType="end"/>
        </w:r>
      </w:hyperlink>
    </w:p>
    <w:p w14:paraId="04902E54" w14:textId="435A01D3"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0" w:history="1">
        <w:r w:rsidR="001028BC" w:rsidRPr="00C97275">
          <w:rPr>
            <w:rStyle w:val="Hipersaitas"/>
            <w:rFonts w:ascii="Georgia" w:hAnsi="Georgia"/>
            <w:noProof/>
            <w:lang w:val="lt-LT"/>
          </w:rPr>
          <w:t xml:space="preserve">Lentelė 57. Scenarijaus Nr. </w:t>
        </w:r>
        <w:r w:rsidR="001028BC" w:rsidRPr="00C97275">
          <w:rPr>
            <w:rStyle w:val="Hipersaitas"/>
            <w:rFonts w:ascii="Georgia" w:hAnsi="Georgia"/>
            <w:noProof/>
          </w:rPr>
          <w:t>4</w:t>
        </w:r>
        <w:r w:rsidR="001028BC" w:rsidRPr="00C97275">
          <w:rPr>
            <w:rStyle w:val="Hipersaitas"/>
            <w:rFonts w:ascii="Georgia" w:hAnsi="Georgia"/>
            <w:noProof/>
            <w:lang w:val="lt-LT"/>
          </w:rPr>
          <w:t xml:space="preserve">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_Toc19105270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105</w:t>
        </w:r>
        <w:r w:rsidR="001028BC" w:rsidRPr="00C97275">
          <w:rPr>
            <w:rFonts w:ascii="Georgia" w:hAnsi="Georgia"/>
            <w:noProof/>
            <w:webHidden/>
          </w:rPr>
          <w:fldChar w:fldCharType="end"/>
        </w:r>
      </w:hyperlink>
    </w:p>
    <w:p w14:paraId="2A4DFD25" w14:textId="7B87A6BE"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1" w:history="1">
        <w:r w:rsidR="001028BC" w:rsidRPr="00C97275">
          <w:rPr>
            <w:rStyle w:val="Hipersaitas"/>
            <w:rFonts w:ascii="Georgia" w:hAnsi="Georgia"/>
            <w:noProof/>
            <w:lang w:val="lt-LT"/>
          </w:rPr>
          <w:t>Lentelė 58. Scenarijaus Nr. 4 rezultatai</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_Toc19105271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105</w:t>
        </w:r>
        <w:r w:rsidR="001028BC" w:rsidRPr="00C97275">
          <w:rPr>
            <w:rFonts w:ascii="Georgia" w:hAnsi="Georgia"/>
            <w:noProof/>
            <w:webHidden/>
          </w:rPr>
          <w:fldChar w:fldCharType="end"/>
        </w:r>
      </w:hyperlink>
    </w:p>
    <w:p w14:paraId="0CF549DD" w14:textId="687C3DC6"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2" w:history="1">
        <w:r w:rsidR="001028BC" w:rsidRPr="00C97275">
          <w:rPr>
            <w:rStyle w:val="Hipersaitas"/>
            <w:rFonts w:ascii="Georgia" w:hAnsi="Georgia"/>
            <w:noProof/>
            <w:lang w:val="lt-LT"/>
          </w:rPr>
          <w:t>Lentelė 59. Scenarijaus Nr. 5 prielaidos: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_Toc19105272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106</w:t>
        </w:r>
        <w:r w:rsidR="001028BC" w:rsidRPr="00C97275">
          <w:rPr>
            <w:rFonts w:ascii="Georgia" w:hAnsi="Georgia"/>
            <w:noProof/>
            <w:webHidden/>
          </w:rPr>
          <w:fldChar w:fldCharType="end"/>
        </w:r>
      </w:hyperlink>
    </w:p>
    <w:p w14:paraId="391F5976" w14:textId="2432FC15"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3" w:history="1">
        <w:r w:rsidR="001028BC" w:rsidRPr="00C97275">
          <w:rPr>
            <w:rStyle w:val="Hipersaitas"/>
            <w:rFonts w:ascii="Georgia" w:hAnsi="Georgia"/>
            <w:noProof/>
            <w:lang w:val="lt-LT"/>
          </w:rPr>
          <w:t>Lentelė 60. Scenarijaus Nr. 5 paskolų finansinės priemonės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_Toc19105273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107</w:t>
        </w:r>
        <w:r w:rsidR="001028BC" w:rsidRPr="00C97275">
          <w:rPr>
            <w:rFonts w:ascii="Georgia" w:hAnsi="Georgia"/>
            <w:noProof/>
            <w:webHidden/>
          </w:rPr>
          <w:fldChar w:fldCharType="end"/>
        </w:r>
      </w:hyperlink>
    </w:p>
    <w:p w14:paraId="02B7C3DC" w14:textId="712E5559"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4" w:history="1">
        <w:r w:rsidR="001028BC" w:rsidRPr="00C97275">
          <w:rPr>
            <w:rStyle w:val="Hipersaitas"/>
            <w:rFonts w:ascii="Georgia" w:hAnsi="Georgia"/>
            <w:noProof/>
            <w:lang w:val="lt-LT"/>
          </w:rPr>
          <w:t>Lentelė 61. Scenarijaus Nr. 5 garantijų finansinės priemonės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_Toc19105274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107</w:t>
        </w:r>
        <w:r w:rsidR="001028BC" w:rsidRPr="00C97275">
          <w:rPr>
            <w:rFonts w:ascii="Georgia" w:hAnsi="Georgia"/>
            <w:noProof/>
            <w:webHidden/>
          </w:rPr>
          <w:fldChar w:fldCharType="end"/>
        </w:r>
      </w:hyperlink>
    </w:p>
    <w:p w14:paraId="5EE1870B" w14:textId="4029994E"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5" w:history="1">
        <w:r w:rsidR="001028BC" w:rsidRPr="00C97275">
          <w:rPr>
            <w:rStyle w:val="Hipersaitas"/>
            <w:rFonts w:ascii="Georgia" w:hAnsi="Georgia"/>
            <w:noProof/>
            <w:lang w:val="lt-LT"/>
          </w:rPr>
          <w:t>Lentelė 62. Scenarijaus Nr. 5 rezultatai</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_Toc19105275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108</w:t>
        </w:r>
        <w:r w:rsidR="001028BC" w:rsidRPr="00C97275">
          <w:rPr>
            <w:rFonts w:ascii="Georgia" w:hAnsi="Georgia"/>
            <w:noProof/>
            <w:webHidden/>
          </w:rPr>
          <w:fldChar w:fldCharType="end"/>
        </w:r>
      </w:hyperlink>
    </w:p>
    <w:p w14:paraId="0D068CB7" w14:textId="4984F0A4"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6" w:history="1">
        <w:r w:rsidR="001028BC" w:rsidRPr="00C97275">
          <w:rPr>
            <w:rStyle w:val="Hipersaitas"/>
            <w:rFonts w:ascii="Georgia" w:hAnsi="Georgia"/>
            <w:noProof/>
            <w:lang w:val="lt-LT"/>
          </w:rPr>
          <w:t>Lentelė 56. Scenarijaus Nr. 6 prielaidos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_Toc19105276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110</w:t>
        </w:r>
        <w:r w:rsidR="001028BC" w:rsidRPr="00C97275">
          <w:rPr>
            <w:rFonts w:ascii="Georgia" w:hAnsi="Georgia"/>
            <w:noProof/>
            <w:webHidden/>
          </w:rPr>
          <w:fldChar w:fldCharType="end"/>
        </w:r>
      </w:hyperlink>
    </w:p>
    <w:p w14:paraId="4F50F92F" w14:textId="6F476EA1"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7" w:history="1">
        <w:r w:rsidR="001028BC" w:rsidRPr="00C97275">
          <w:rPr>
            <w:rStyle w:val="Hipersaitas"/>
            <w:rFonts w:ascii="Georgia" w:hAnsi="Georgia"/>
            <w:noProof/>
            <w:lang w:val="lt-LT"/>
          </w:rPr>
          <w:t xml:space="preserve">Lentelė 57. Scenarijaus Nr. </w:t>
        </w:r>
        <w:r w:rsidR="001028BC" w:rsidRPr="00C97275">
          <w:rPr>
            <w:rStyle w:val="Hipersaitas"/>
            <w:rFonts w:ascii="Georgia" w:hAnsi="Georgia"/>
            <w:noProof/>
            <w:lang w:val="nl-NL"/>
          </w:rPr>
          <w:t>6</w:t>
        </w:r>
        <w:r w:rsidR="001028BC" w:rsidRPr="00C97275">
          <w:rPr>
            <w:rStyle w:val="Hipersaitas"/>
            <w:rFonts w:ascii="Georgia" w:hAnsi="Georgia"/>
            <w:noProof/>
            <w:lang w:val="lt-LT"/>
          </w:rPr>
          <w:t xml:space="preserve"> įgyvendinimo prognozė</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_Toc19105277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111</w:t>
        </w:r>
        <w:r w:rsidR="001028BC" w:rsidRPr="00C97275">
          <w:rPr>
            <w:rFonts w:ascii="Georgia" w:hAnsi="Georgia"/>
            <w:noProof/>
            <w:webHidden/>
          </w:rPr>
          <w:fldChar w:fldCharType="end"/>
        </w:r>
      </w:hyperlink>
    </w:p>
    <w:p w14:paraId="70745C75" w14:textId="663B681F"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8" w:history="1">
        <w:r w:rsidR="001028BC" w:rsidRPr="00C97275">
          <w:rPr>
            <w:rStyle w:val="Hipersaitas"/>
            <w:rFonts w:ascii="Georgia" w:hAnsi="Georgia"/>
            <w:noProof/>
            <w:lang w:val="lt-LT"/>
          </w:rPr>
          <w:t>Lentelė 58. Scenarijaus Nr. 6 rezultatai</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_Toc19105278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111</w:t>
        </w:r>
        <w:r w:rsidR="001028BC" w:rsidRPr="00C97275">
          <w:rPr>
            <w:rFonts w:ascii="Georgia" w:hAnsi="Georgia"/>
            <w:noProof/>
            <w:webHidden/>
          </w:rPr>
          <w:fldChar w:fldCharType="end"/>
        </w:r>
      </w:hyperlink>
    </w:p>
    <w:p w14:paraId="3B0BF348" w14:textId="5B0E8DD9"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79" w:history="1">
        <w:r w:rsidR="001028BC" w:rsidRPr="00C97275">
          <w:rPr>
            <w:rStyle w:val="Hipersaitas"/>
            <w:rFonts w:ascii="Georgia" w:hAnsi="Georgia"/>
            <w:noProof/>
            <w:lang w:val="lt-LT"/>
          </w:rPr>
          <w:t>Lentelė 63. Daugiabučių modernizavimo</w:t>
        </w:r>
        <w:r w:rsidR="001028BC" w:rsidRPr="00C97275">
          <w:rPr>
            <w:rStyle w:val="Hipersaitas"/>
            <w:rFonts w:ascii="Georgia" w:hAnsi="Georgia" w:cs="Georgia"/>
            <w:noProof/>
            <w:lang w:val="lt-LT"/>
          </w:rPr>
          <w:t xml:space="preserve"> finansavimo sverto efekto rodikliai pagal atskirus scenarijus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_Toc19105279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114</w:t>
        </w:r>
        <w:r w:rsidR="001028BC" w:rsidRPr="00C97275">
          <w:rPr>
            <w:rFonts w:ascii="Georgia" w:hAnsi="Georgia"/>
            <w:noProof/>
            <w:webHidden/>
          </w:rPr>
          <w:fldChar w:fldCharType="end"/>
        </w:r>
      </w:hyperlink>
    </w:p>
    <w:p w14:paraId="5480F7E2" w14:textId="2D0E4727"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0" w:history="1">
        <w:r w:rsidR="001028BC" w:rsidRPr="00C97275">
          <w:rPr>
            <w:rStyle w:val="Hipersaitas"/>
            <w:rFonts w:ascii="Georgia" w:hAnsi="Georgia"/>
            <w:noProof/>
            <w:lang w:val="lt-LT"/>
          </w:rPr>
          <w:t xml:space="preserve">Lentelė 64. </w:t>
        </w:r>
        <w:r w:rsidR="001028BC" w:rsidRPr="00C97275">
          <w:rPr>
            <w:rStyle w:val="Hipersaitas"/>
            <w:rFonts w:ascii="Georgia" w:hAnsi="Georgia" w:cs="Georgia"/>
            <w:noProof/>
            <w:lang w:val="lt-LT"/>
          </w:rPr>
          <w:t>Centrinės valdžios pastatų ir gatvių apšvietimo renovacijos finansavimo sverto efekto rodikliai pagal atskirus scenarijus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_Toc19105280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114</w:t>
        </w:r>
        <w:r w:rsidR="001028BC" w:rsidRPr="00C97275">
          <w:rPr>
            <w:rFonts w:ascii="Georgia" w:hAnsi="Georgia"/>
            <w:noProof/>
            <w:webHidden/>
          </w:rPr>
          <w:fldChar w:fldCharType="end"/>
        </w:r>
      </w:hyperlink>
    </w:p>
    <w:p w14:paraId="72B27410" w14:textId="1AED56F7"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1" w:history="1">
        <w:r w:rsidR="001028BC" w:rsidRPr="00C97275">
          <w:rPr>
            <w:rStyle w:val="Hipersaitas"/>
            <w:rFonts w:ascii="Georgia" w:hAnsi="Georgia"/>
            <w:noProof/>
            <w:lang w:val="lt-LT"/>
          </w:rPr>
          <w:t xml:space="preserve">Lentelė 65. </w:t>
        </w:r>
        <w:r w:rsidR="001028BC" w:rsidRPr="00C97275">
          <w:rPr>
            <w:rStyle w:val="Hipersaitas"/>
            <w:rFonts w:ascii="Georgia" w:hAnsi="Georgia" w:cs="Georgia"/>
            <w:noProof/>
            <w:lang w:val="lt-LT"/>
          </w:rPr>
          <w:t>Savivaldybių viešųjų pastatų modernizavimo finansinio sverto efekto rodikliai pagal atskirus scenarijus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_Toc19105281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114</w:t>
        </w:r>
        <w:r w:rsidR="001028BC" w:rsidRPr="00C97275">
          <w:rPr>
            <w:rFonts w:ascii="Georgia" w:hAnsi="Georgia"/>
            <w:noProof/>
            <w:webHidden/>
          </w:rPr>
          <w:fldChar w:fldCharType="end"/>
        </w:r>
      </w:hyperlink>
    </w:p>
    <w:p w14:paraId="431B7748" w14:textId="303D4D6B"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2" w:history="1">
        <w:r w:rsidR="001028BC" w:rsidRPr="00C97275">
          <w:rPr>
            <w:rStyle w:val="Hipersaitas"/>
            <w:rFonts w:ascii="Georgia" w:hAnsi="Georgia"/>
            <w:noProof/>
            <w:lang w:val="lt-LT"/>
          </w:rPr>
          <w:t>Lentelė 67. Finansinių priemonių įgyvendinimo finansinė pažanga.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_Toc19105282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141</w:t>
        </w:r>
        <w:r w:rsidR="001028BC" w:rsidRPr="00C97275">
          <w:rPr>
            <w:rFonts w:ascii="Georgia" w:hAnsi="Georgia"/>
            <w:noProof/>
            <w:webHidden/>
          </w:rPr>
          <w:fldChar w:fldCharType="end"/>
        </w:r>
      </w:hyperlink>
    </w:p>
    <w:p w14:paraId="0FBBED89" w14:textId="418C50BE"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3" w:history="1">
        <w:r w:rsidR="001028BC" w:rsidRPr="00C97275">
          <w:rPr>
            <w:rStyle w:val="Hipersaitas"/>
            <w:rFonts w:ascii="Georgia" w:hAnsi="Georgia"/>
            <w:noProof/>
            <w:lang w:val="lt-LT"/>
          </w:rPr>
          <w:t>Lentelė 68</w:t>
        </w:r>
        <w:r w:rsidR="001028BC" w:rsidRPr="00C97275">
          <w:rPr>
            <w:rStyle w:val="Hipersaitas"/>
            <w:rFonts w:ascii="Georgia" w:hAnsi="Georgia"/>
            <w:iCs/>
            <w:noProof/>
            <w:lang w:val="lt-LT"/>
          </w:rPr>
          <w:t xml:space="preserve">. </w:t>
        </w:r>
        <w:r w:rsidR="001028BC" w:rsidRPr="00C97275">
          <w:rPr>
            <w:rStyle w:val="Hipersaitas"/>
            <w:rFonts w:ascii="Georgia" w:hAnsi="Georgia"/>
            <w:noProof/>
            <w:lang w:val="lt-LT"/>
          </w:rPr>
          <w:t>Energijos efektyvumo/atsinaujinančių energijos išteklių projektus finansuojančios finansinės priemonės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_Toc19105283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142</w:t>
        </w:r>
        <w:r w:rsidR="001028BC" w:rsidRPr="00C97275">
          <w:rPr>
            <w:rFonts w:ascii="Georgia" w:hAnsi="Georgia"/>
            <w:noProof/>
            <w:webHidden/>
          </w:rPr>
          <w:fldChar w:fldCharType="end"/>
        </w:r>
      </w:hyperlink>
    </w:p>
    <w:p w14:paraId="37945538" w14:textId="56840F8B"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4" w:history="1">
        <w:r w:rsidR="001028BC" w:rsidRPr="00C97275">
          <w:rPr>
            <w:rStyle w:val="Hipersaitas"/>
            <w:rFonts w:ascii="Georgia" w:hAnsi="Georgia"/>
            <w:noProof/>
            <w:lang w:val="lt-LT"/>
          </w:rPr>
          <w:t>Lentelė 69</w:t>
        </w:r>
        <w:r w:rsidR="001028BC" w:rsidRPr="00C97275">
          <w:rPr>
            <w:rStyle w:val="Hipersaitas"/>
            <w:rFonts w:ascii="Georgia" w:hAnsi="Georgia"/>
            <w:iCs/>
            <w:noProof/>
            <w:lang w:val="lt-LT"/>
          </w:rPr>
          <w:t xml:space="preserve">. </w:t>
        </w:r>
        <w:r w:rsidR="001028BC" w:rsidRPr="00C97275">
          <w:rPr>
            <w:rStyle w:val="Hipersaitas"/>
            <w:rFonts w:ascii="Georgia" w:hAnsi="Georgia"/>
            <w:noProof/>
            <w:lang w:val="lt-LT"/>
          </w:rPr>
          <w:t>Energijos efektyvumo ir atsinaujinančių energijos išteklių projektų finansavimas pagal siūlomų produktų tipus ir išmokėtas lėšas.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_Toc19105284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143</w:t>
        </w:r>
        <w:r w:rsidR="001028BC" w:rsidRPr="00C97275">
          <w:rPr>
            <w:rFonts w:ascii="Georgia" w:hAnsi="Georgia"/>
            <w:noProof/>
            <w:webHidden/>
          </w:rPr>
          <w:fldChar w:fldCharType="end"/>
        </w:r>
      </w:hyperlink>
    </w:p>
    <w:p w14:paraId="4F6F3220" w14:textId="75362D2D" w:rsidR="00FC2E80" w:rsidRPr="00C97275" w:rsidRDefault="00FC2E80" w:rsidP="00E91778">
      <w:pPr>
        <w:jc w:val="both"/>
        <w:rPr>
          <w:rFonts w:ascii="Georgia" w:hAnsi="Georgia"/>
          <w:b/>
          <w:lang w:val="lt-LT"/>
        </w:rPr>
      </w:pPr>
      <w:r w:rsidRPr="00C97275">
        <w:rPr>
          <w:rFonts w:ascii="Georgia" w:hAnsi="Georgia"/>
          <w:b/>
          <w:lang w:val="lt-LT"/>
        </w:rPr>
        <w:fldChar w:fldCharType="end"/>
      </w:r>
    </w:p>
    <w:p w14:paraId="77E2E172" w14:textId="77777777" w:rsidR="00FC2E80" w:rsidRPr="00C97275" w:rsidRDefault="00FC2E80" w:rsidP="009F55BB">
      <w:pPr>
        <w:jc w:val="both"/>
        <w:rPr>
          <w:rFonts w:ascii="Georgia" w:hAnsi="Georgia"/>
          <w:b/>
          <w:lang w:val="lt-LT"/>
        </w:rPr>
      </w:pPr>
      <w:r w:rsidRPr="00C97275">
        <w:rPr>
          <w:rFonts w:ascii="Georgia" w:hAnsi="Georgia"/>
          <w:b/>
          <w:lang w:val="lt-LT"/>
        </w:rPr>
        <w:lastRenderedPageBreak/>
        <w:br w:type="page"/>
      </w:r>
    </w:p>
    <w:p w14:paraId="55EFBADD" w14:textId="77777777" w:rsidR="0010799D" w:rsidRPr="00C97275" w:rsidRDefault="0010799D" w:rsidP="006977C2">
      <w:pPr>
        <w:pStyle w:val="Non-numberedHeading1"/>
        <w:rPr>
          <w:lang w:val="lt-LT"/>
        </w:rPr>
      </w:pPr>
      <w:bookmarkStart w:id="4" w:name="_Toc25594634"/>
      <w:r w:rsidRPr="00C97275">
        <w:rPr>
          <w:lang w:val="lt-LT"/>
        </w:rPr>
        <w:lastRenderedPageBreak/>
        <w:t>Paveikslų sąrašas</w:t>
      </w:r>
      <w:bookmarkEnd w:id="4"/>
    </w:p>
    <w:p w14:paraId="68E09237" w14:textId="77777777" w:rsidR="0010799D" w:rsidRPr="00C97275" w:rsidRDefault="0010799D" w:rsidP="009F55BB">
      <w:pPr>
        <w:jc w:val="both"/>
        <w:rPr>
          <w:rFonts w:ascii="Georgia" w:hAnsi="Georgia"/>
          <w:lang w:val="lt-LT"/>
        </w:rPr>
      </w:pPr>
    </w:p>
    <w:p w14:paraId="3FD5D320" w14:textId="4912D235" w:rsidR="001028BC" w:rsidRPr="00C97275" w:rsidRDefault="0010799D">
      <w:pPr>
        <w:pStyle w:val="Iliustracijsraas"/>
        <w:tabs>
          <w:tab w:val="right" w:leader="dot" w:pos="9016"/>
        </w:tabs>
        <w:rPr>
          <w:rFonts w:ascii="Georgia" w:eastAsiaTheme="minorEastAsia" w:hAnsi="Georgia"/>
          <w:noProof/>
          <w:lang w:val="lt-LT" w:eastAsia="lt-LT"/>
        </w:rPr>
      </w:pPr>
      <w:r w:rsidRPr="00C97275">
        <w:rPr>
          <w:rFonts w:ascii="Georgia" w:hAnsi="Georgia"/>
          <w:sz w:val="18"/>
          <w:szCs w:val="18"/>
          <w:lang w:val="lt-LT"/>
        </w:rPr>
        <w:fldChar w:fldCharType="begin"/>
      </w:r>
      <w:r w:rsidRPr="00C97275">
        <w:rPr>
          <w:rFonts w:ascii="Georgia" w:hAnsi="Georgia"/>
          <w:sz w:val="18"/>
          <w:szCs w:val="18"/>
          <w:lang w:val="lt-LT"/>
        </w:rPr>
        <w:instrText xml:space="preserve"> TOC \h \z \c "Paveikslas" </w:instrText>
      </w:r>
      <w:r w:rsidRPr="00C97275">
        <w:rPr>
          <w:rFonts w:ascii="Georgia" w:hAnsi="Georgia"/>
          <w:sz w:val="18"/>
          <w:szCs w:val="18"/>
          <w:lang w:val="lt-LT"/>
        </w:rPr>
        <w:fldChar w:fldCharType="separate"/>
      </w:r>
      <w:hyperlink w:anchor="_Toc19105285" w:history="1">
        <w:r w:rsidR="001028BC" w:rsidRPr="00C97275">
          <w:rPr>
            <w:rStyle w:val="Hipersaitas"/>
            <w:rFonts w:ascii="Georgia" w:hAnsi="Georgia"/>
            <w:noProof/>
            <w:lang w:val="lt-LT"/>
          </w:rPr>
          <w:t>Paveikslas 1.</w:t>
        </w:r>
        <w:r w:rsidR="001028BC" w:rsidRPr="00C97275">
          <w:rPr>
            <w:rStyle w:val="Hipersaitas"/>
            <w:rFonts w:ascii="Georgia" w:hAnsi="Georgia" w:cs="Georgia"/>
            <w:noProof/>
            <w:lang w:val="lt-LT"/>
          </w:rPr>
          <w:t xml:space="preserve"> Finansinių priemonių įgyvendinimo 2014-2020 m. periodu alternatyvos.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_Toc19105285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24</w:t>
        </w:r>
        <w:r w:rsidR="001028BC" w:rsidRPr="00C97275">
          <w:rPr>
            <w:rFonts w:ascii="Georgia" w:hAnsi="Georgia"/>
            <w:noProof/>
            <w:webHidden/>
          </w:rPr>
          <w:fldChar w:fldCharType="end"/>
        </w:r>
      </w:hyperlink>
    </w:p>
    <w:p w14:paraId="09114A5F" w14:textId="07E124BF"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6" w:history="1">
        <w:r w:rsidR="001028BC" w:rsidRPr="00C97275">
          <w:rPr>
            <w:rStyle w:val="Hipersaitas"/>
            <w:rFonts w:ascii="Georgia" w:hAnsi="Georgia"/>
            <w:noProof/>
            <w:lang w:val="lt-LT"/>
          </w:rPr>
          <w:t xml:space="preserve">Paveikslas 2. </w:t>
        </w:r>
        <w:r w:rsidR="001028BC" w:rsidRPr="00C97275">
          <w:rPr>
            <w:rStyle w:val="Hipersaitas"/>
            <w:rFonts w:ascii="Georgia" w:hAnsi="Georgia" w:cs="Georgia"/>
            <w:noProof/>
            <w:lang w:val="lt-LT"/>
          </w:rPr>
          <w:t>Finansinių priemonių valdymo ir įgyvendinimo alternatyvos.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_Toc19105286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27</w:t>
        </w:r>
        <w:r w:rsidR="001028BC" w:rsidRPr="00C97275">
          <w:rPr>
            <w:rFonts w:ascii="Georgia" w:hAnsi="Georgia"/>
            <w:noProof/>
            <w:webHidden/>
          </w:rPr>
          <w:fldChar w:fldCharType="end"/>
        </w:r>
      </w:hyperlink>
    </w:p>
    <w:p w14:paraId="775EC685" w14:textId="3EDDBAA1"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7" w:history="1">
        <w:r w:rsidR="001028BC" w:rsidRPr="00C97275">
          <w:rPr>
            <w:rStyle w:val="Hipersaitas"/>
            <w:rFonts w:ascii="Georgia" w:hAnsi="Georgia"/>
            <w:noProof/>
            <w:lang w:val="lt-LT"/>
          </w:rPr>
          <w:t>Paveikslas 3. Galimos finansinės priemonės įgyvendinimo struktūros.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_Toc19105287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28</w:t>
        </w:r>
        <w:r w:rsidR="001028BC" w:rsidRPr="00C97275">
          <w:rPr>
            <w:rFonts w:ascii="Georgia" w:hAnsi="Georgia"/>
            <w:noProof/>
            <w:webHidden/>
          </w:rPr>
          <w:fldChar w:fldCharType="end"/>
        </w:r>
      </w:hyperlink>
    </w:p>
    <w:p w14:paraId="09F2DC5F" w14:textId="04B903DB"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8" w:history="1">
        <w:r w:rsidR="001028BC" w:rsidRPr="00C97275">
          <w:rPr>
            <w:rStyle w:val="Hipersaitas"/>
            <w:rFonts w:ascii="Georgia" w:eastAsia="Georgia" w:hAnsi="Georgia" w:cs="Arial Unicode MS"/>
            <w:i/>
            <w:iCs/>
            <w:noProof/>
            <w:lang w:val="lt-LT"/>
          </w:rPr>
          <w:t>Paveikslas 4. Ne finansų korporacijoms išduotos naujos paskolos 2011 – 2017 m. Šaltinis: sudaryta autorių</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_Toc19105288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50</w:t>
        </w:r>
        <w:r w:rsidR="001028BC" w:rsidRPr="00C97275">
          <w:rPr>
            <w:rFonts w:ascii="Georgia" w:hAnsi="Georgia"/>
            <w:noProof/>
            <w:webHidden/>
          </w:rPr>
          <w:fldChar w:fldCharType="end"/>
        </w:r>
      </w:hyperlink>
    </w:p>
    <w:p w14:paraId="44FCEC52" w14:textId="7DB213BA"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89" w:history="1">
        <w:r w:rsidR="001028BC" w:rsidRPr="00C97275">
          <w:rPr>
            <w:rStyle w:val="Hipersaitas"/>
            <w:rFonts w:ascii="Georgia" w:eastAsia="Georgia" w:hAnsi="Georgia" w:cs="Arial Unicode MS"/>
            <w:i/>
            <w:iCs/>
            <w:noProof/>
            <w:lang w:val="lt-LT"/>
          </w:rPr>
          <w:t>Paveikslas 5. Pinigų finansų įstaigų paskolos euro zonos ne finansų bendrovėms, pradinis terminas nuo 5 metų – likučių palūkanų normos.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_Toc19105289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51</w:t>
        </w:r>
        <w:r w:rsidR="001028BC" w:rsidRPr="00C97275">
          <w:rPr>
            <w:rFonts w:ascii="Georgia" w:hAnsi="Georgia"/>
            <w:noProof/>
            <w:webHidden/>
          </w:rPr>
          <w:fldChar w:fldCharType="end"/>
        </w:r>
      </w:hyperlink>
    </w:p>
    <w:p w14:paraId="3602EE64" w14:textId="58E893CC"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0" w:history="1">
        <w:r w:rsidR="001028BC" w:rsidRPr="00C97275">
          <w:rPr>
            <w:rStyle w:val="Hipersaitas"/>
            <w:rFonts w:ascii="Georgia" w:hAnsi="Georgia"/>
            <w:noProof/>
            <w:lang w:val="lt-LT"/>
          </w:rPr>
          <w:t xml:space="preserve">Paveikslas 6. </w:t>
        </w:r>
        <w:r w:rsidR="001028BC" w:rsidRPr="00C97275">
          <w:rPr>
            <w:rStyle w:val="Hipersaitas"/>
            <w:rFonts w:ascii="Georgia" w:eastAsia="Times New Roman" w:hAnsi="Georgia"/>
            <w:noProof/>
            <w:lang w:val="lt-LT" w:eastAsia="lt-LT"/>
          </w:rPr>
          <w:t>ESCO modelio schema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_Toc19105290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61</w:t>
        </w:r>
        <w:r w:rsidR="001028BC" w:rsidRPr="00C97275">
          <w:rPr>
            <w:rFonts w:ascii="Georgia" w:hAnsi="Georgia"/>
            <w:noProof/>
            <w:webHidden/>
          </w:rPr>
          <w:fldChar w:fldCharType="end"/>
        </w:r>
      </w:hyperlink>
    </w:p>
    <w:p w14:paraId="29803BAF" w14:textId="6E598A0C"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1" w:history="1">
        <w:r w:rsidR="001028BC" w:rsidRPr="00C97275">
          <w:rPr>
            <w:rStyle w:val="Hipersaitas"/>
            <w:rFonts w:ascii="Georgia" w:hAnsi="Georgia"/>
            <w:noProof/>
            <w:lang w:val="lt-LT"/>
          </w:rPr>
          <w:t xml:space="preserve">Paveikslas 7. </w:t>
        </w:r>
        <w:r w:rsidR="001028BC" w:rsidRPr="00C97275">
          <w:rPr>
            <w:rStyle w:val="Hipersaitas"/>
            <w:rFonts w:ascii="Georgia" w:eastAsia="Times New Roman" w:hAnsi="Georgia"/>
            <w:noProof/>
            <w:lang w:val="lt-LT" w:eastAsia="lt-LT"/>
          </w:rPr>
          <w:t>ESCO modelio naudos pasiskirstymas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_Toc19105291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62</w:t>
        </w:r>
        <w:r w:rsidR="001028BC" w:rsidRPr="00C97275">
          <w:rPr>
            <w:rFonts w:ascii="Georgia" w:hAnsi="Georgia"/>
            <w:noProof/>
            <w:webHidden/>
          </w:rPr>
          <w:fldChar w:fldCharType="end"/>
        </w:r>
      </w:hyperlink>
    </w:p>
    <w:p w14:paraId="377E7BBF" w14:textId="0D20294C"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2" w:history="1">
        <w:r w:rsidR="001028BC" w:rsidRPr="00C97275">
          <w:rPr>
            <w:rStyle w:val="Hipersaitas"/>
            <w:rFonts w:ascii="Georgia" w:hAnsi="Georgia"/>
            <w:noProof/>
            <w:lang w:val="lt-LT"/>
          </w:rPr>
          <w:t>Paveikslas 8. Finansinės priemonės lygiai, kuriuose galimas papildomų lėšų pritraukimas.</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_Toc19105292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83</w:t>
        </w:r>
        <w:r w:rsidR="001028BC" w:rsidRPr="00C97275">
          <w:rPr>
            <w:rFonts w:ascii="Georgia" w:hAnsi="Georgia"/>
            <w:noProof/>
            <w:webHidden/>
          </w:rPr>
          <w:fldChar w:fldCharType="end"/>
        </w:r>
      </w:hyperlink>
    </w:p>
    <w:p w14:paraId="0A5E19B1" w14:textId="2891761B"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3" w:history="1">
        <w:r w:rsidR="001028BC" w:rsidRPr="00C97275">
          <w:rPr>
            <w:rStyle w:val="Hipersaitas"/>
            <w:rFonts w:ascii="Georgia" w:hAnsi="Georgia"/>
            <w:noProof/>
            <w:lang w:val="lt-LT"/>
          </w:rPr>
          <w:t>Paveikslas 9. Daugiabučių scenarijaus Nr. 1 veikimo schema.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_Toc19105293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93</w:t>
        </w:r>
        <w:r w:rsidR="001028BC" w:rsidRPr="00C97275">
          <w:rPr>
            <w:rFonts w:ascii="Georgia" w:hAnsi="Georgia"/>
            <w:noProof/>
            <w:webHidden/>
          </w:rPr>
          <w:fldChar w:fldCharType="end"/>
        </w:r>
      </w:hyperlink>
    </w:p>
    <w:p w14:paraId="570C63D5" w14:textId="4388BE89"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4" w:history="1">
        <w:r w:rsidR="001028BC" w:rsidRPr="00C97275">
          <w:rPr>
            <w:rStyle w:val="Hipersaitas"/>
            <w:rFonts w:ascii="Georgia" w:hAnsi="Georgia"/>
            <w:noProof/>
            <w:lang w:val="lt-LT"/>
          </w:rPr>
          <w:t>Paveikslas 10. Daugiabučių scenarijaus Nr. 2 schema.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_Toc19105294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97</w:t>
        </w:r>
        <w:r w:rsidR="001028BC" w:rsidRPr="00C97275">
          <w:rPr>
            <w:rFonts w:ascii="Georgia" w:hAnsi="Georgia"/>
            <w:noProof/>
            <w:webHidden/>
          </w:rPr>
          <w:fldChar w:fldCharType="end"/>
        </w:r>
      </w:hyperlink>
    </w:p>
    <w:p w14:paraId="115EB5A1" w14:textId="0897C1F0"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5" w:history="1">
        <w:r w:rsidR="001028BC" w:rsidRPr="00C97275">
          <w:rPr>
            <w:rStyle w:val="Hipersaitas"/>
            <w:rFonts w:ascii="Georgia" w:hAnsi="Georgia"/>
            <w:noProof/>
            <w:lang w:val="lt-LT"/>
          </w:rPr>
          <w:t xml:space="preserve">Paveikslas 11. Daugiabučių scenarijaus Nr. </w:t>
        </w:r>
        <w:r w:rsidR="001028BC" w:rsidRPr="00C97275">
          <w:rPr>
            <w:rStyle w:val="Hipersaitas"/>
            <w:rFonts w:ascii="Georgia" w:hAnsi="Georgia"/>
            <w:noProof/>
            <w:lang w:val="nl-NL"/>
          </w:rPr>
          <w:t>3</w:t>
        </w:r>
        <w:r w:rsidR="001028BC" w:rsidRPr="00C97275">
          <w:rPr>
            <w:rStyle w:val="Hipersaitas"/>
            <w:rFonts w:ascii="Georgia" w:hAnsi="Georgia"/>
            <w:noProof/>
            <w:lang w:val="lt-LT"/>
          </w:rPr>
          <w:t xml:space="preserve"> schema.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_Toc19105295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100</w:t>
        </w:r>
        <w:r w:rsidR="001028BC" w:rsidRPr="00C97275">
          <w:rPr>
            <w:rFonts w:ascii="Georgia" w:hAnsi="Georgia"/>
            <w:noProof/>
            <w:webHidden/>
          </w:rPr>
          <w:fldChar w:fldCharType="end"/>
        </w:r>
      </w:hyperlink>
    </w:p>
    <w:p w14:paraId="796A8D65" w14:textId="1E05DAEA"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6" w:history="1">
        <w:r w:rsidR="001028BC" w:rsidRPr="00C97275">
          <w:rPr>
            <w:rStyle w:val="Hipersaitas"/>
            <w:rFonts w:ascii="Georgia" w:hAnsi="Georgia"/>
            <w:noProof/>
            <w:lang w:val="lt-LT"/>
          </w:rPr>
          <w:t>Paveikslas 12. Daugiabučių scenarijaus Nr. 4 schema.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_Toc19105296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103</w:t>
        </w:r>
        <w:r w:rsidR="001028BC" w:rsidRPr="00C97275">
          <w:rPr>
            <w:rFonts w:ascii="Georgia" w:hAnsi="Georgia"/>
            <w:noProof/>
            <w:webHidden/>
          </w:rPr>
          <w:fldChar w:fldCharType="end"/>
        </w:r>
      </w:hyperlink>
    </w:p>
    <w:p w14:paraId="07BF4678" w14:textId="76BF29DE"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7" w:history="1">
        <w:r w:rsidR="001028BC" w:rsidRPr="00C97275">
          <w:rPr>
            <w:rStyle w:val="Hipersaitas"/>
            <w:rFonts w:ascii="Georgia" w:hAnsi="Georgia"/>
            <w:noProof/>
            <w:lang w:val="lt-LT"/>
          </w:rPr>
          <w:t>Paveikslas 12. Daugiabučių scenarijaus Nr. 6 schema.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_Toc19105297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109</w:t>
        </w:r>
        <w:r w:rsidR="001028BC" w:rsidRPr="00C97275">
          <w:rPr>
            <w:rFonts w:ascii="Georgia" w:hAnsi="Georgia"/>
            <w:noProof/>
            <w:webHidden/>
          </w:rPr>
          <w:fldChar w:fldCharType="end"/>
        </w:r>
      </w:hyperlink>
    </w:p>
    <w:p w14:paraId="4FFF16ED" w14:textId="7B979B3B"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8" w:history="1">
        <w:r w:rsidR="001028BC" w:rsidRPr="00C97275">
          <w:rPr>
            <w:rStyle w:val="Hipersaitas"/>
            <w:rFonts w:ascii="Georgia" w:hAnsi="Georgia"/>
            <w:noProof/>
            <w:lang w:val="lt-LT"/>
          </w:rPr>
          <w:t>Paveikslas 13. Siūloma paskolinės finansinės priemonės įgyvendinimo struktūra.</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_Toc19105298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157</w:t>
        </w:r>
        <w:r w:rsidR="001028BC" w:rsidRPr="00C97275">
          <w:rPr>
            <w:rFonts w:ascii="Georgia" w:hAnsi="Georgia"/>
            <w:noProof/>
            <w:webHidden/>
          </w:rPr>
          <w:fldChar w:fldCharType="end"/>
        </w:r>
      </w:hyperlink>
    </w:p>
    <w:p w14:paraId="081F57D2" w14:textId="13F5C9D8" w:rsidR="001028BC" w:rsidRPr="00C97275" w:rsidRDefault="00D1128E">
      <w:pPr>
        <w:pStyle w:val="Iliustracijsraas"/>
        <w:tabs>
          <w:tab w:val="right" w:leader="dot" w:pos="9016"/>
        </w:tabs>
        <w:rPr>
          <w:rFonts w:ascii="Georgia" w:eastAsiaTheme="minorEastAsia" w:hAnsi="Georgia"/>
          <w:noProof/>
          <w:lang w:val="lt-LT" w:eastAsia="lt-LT"/>
        </w:rPr>
      </w:pPr>
      <w:hyperlink w:anchor="_Toc19105299" w:history="1">
        <w:r w:rsidR="001028BC" w:rsidRPr="00C97275">
          <w:rPr>
            <w:rStyle w:val="Hipersaitas"/>
            <w:rFonts w:ascii="Georgia" w:hAnsi="Georgia"/>
            <w:noProof/>
            <w:lang w:val="lt-LT"/>
          </w:rPr>
          <w:t>Paveikslas 16. Pagrindiniai stebėsenos elementai</w:t>
        </w:r>
        <w:r w:rsidR="001028BC" w:rsidRPr="00C97275">
          <w:rPr>
            <w:rFonts w:ascii="Georgia" w:hAnsi="Georgia"/>
            <w:noProof/>
            <w:webHidden/>
          </w:rPr>
          <w:tab/>
        </w:r>
        <w:r w:rsidR="001028BC" w:rsidRPr="00C97275">
          <w:rPr>
            <w:rFonts w:ascii="Georgia" w:hAnsi="Georgia"/>
            <w:noProof/>
            <w:webHidden/>
          </w:rPr>
          <w:fldChar w:fldCharType="begin"/>
        </w:r>
        <w:r w:rsidR="001028BC" w:rsidRPr="00C97275">
          <w:rPr>
            <w:rFonts w:ascii="Georgia" w:hAnsi="Georgia"/>
            <w:noProof/>
            <w:webHidden/>
          </w:rPr>
          <w:instrText xml:space="preserve"> PAGEREF _Toc19105299 \h </w:instrText>
        </w:r>
        <w:r w:rsidR="001028BC" w:rsidRPr="00C97275">
          <w:rPr>
            <w:rFonts w:ascii="Georgia" w:hAnsi="Georgia"/>
            <w:noProof/>
            <w:webHidden/>
          </w:rPr>
        </w:r>
        <w:r w:rsidR="001028BC" w:rsidRPr="00C97275">
          <w:rPr>
            <w:rFonts w:ascii="Georgia" w:hAnsi="Georgia"/>
            <w:noProof/>
            <w:webHidden/>
          </w:rPr>
          <w:fldChar w:fldCharType="separate"/>
        </w:r>
        <w:r w:rsidR="001028BC" w:rsidRPr="00C97275">
          <w:rPr>
            <w:rFonts w:ascii="Georgia" w:hAnsi="Georgia"/>
            <w:noProof/>
            <w:webHidden/>
          </w:rPr>
          <w:t>158</w:t>
        </w:r>
        <w:r w:rsidR="001028BC" w:rsidRPr="00C97275">
          <w:rPr>
            <w:rFonts w:ascii="Georgia" w:hAnsi="Georgia"/>
            <w:noProof/>
            <w:webHidden/>
          </w:rPr>
          <w:fldChar w:fldCharType="end"/>
        </w:r>
      </w:hyperlink>
    </w:p>
    <w:p w14:paraId="2929A5A7" w14:textId="33D043CF" w:rsidR="00FC2E80" w:rsidRPr="00C97275" w:rsidRDefault="0010799D" w:rsidP="009F55BB">
      <w:pPr>
        <w:pStyle w:val="Antrat"/>
        <w:spacing w:line="276" w:lineRule="auto"/>
        <w:jc w:val="both"/>
        <w:rPr>
          <w:rFonts w:eastAsiaTheme="majorEastAsia" w:cstheme="majorBidi"/>
          <w:b w:val="0"/>
          <w:bCs w:val="0"/>
          <w:color w:val="365F91" w:themeColor="accent1" w:themeShade="BF"/>
          <w:sz w:val="18"/>
          <w:lang w:val="lt-LT"/>
        </w:rPr>
      </w:pPr>
      <w:r w:rsidRPr="00C97275">
        <w:rPr>
          <w:b w:val="0"/>
          <w:sz w:val="18"/>
          <w:lang w:val="lt-LT"/>
        </w:rPr>
        <w:fldChar w:fldCharType="end"/>
      </w:r>
    </w:p>
    <w:p w14:paraId="3DC4C080" w14:textId="69A1EA17" w:rsidR="008278D4" w:rsidRPr="00C97275" w:rsidRDefault="004838BF" w:rsidP="006977C2">
      <w:pPr>
        <w:pStyle w:val="Non-numberedHeading1"/>
        <w:rPr>
          <w:lang w:val="lt-LT"/>
        </w:rPr>
      </w:pPr>
      <w:bookmarkStart w:id="5" w:name="_Toc25594635"/>
      <w:r w:rsidRPr="00C97275">
        <w:rPr>
          <w:lang w:val="lt-LT"/>
        </w:rPr>
        <w:lastRenderedPageBreak/>
        <w:t>Žodynas</w:t>
      </w:r>
      <w:bookmarkEnd w:id="5"/>
    </w:p>
    <w:tbl>
      <w:tblPr>
        <w:tblStyle w:val="Lentelstinklelis"/>
        <w:tblW w:w="5000" w:type="pct"/>
        <w:tblLayout w:type="fixed"/>
        <w:tblLook w:val="04A0" w:firstRow="1" w:lastRow="0" w:firstColumn="1" w:lastColumn="0" w:noHBand="0" w:noVBand="1"/>
      </w:tblPr>
      <w:tblGrid>
        <w:gridCol w:w="1527"/>
        <w:gridCol w:w="7715"/>
      </w:tblGrid>
      <w:tr w:rsidR="00E91778" w:rsidRPr="00C97275" w14:paraId="282DC51D" w14:textId="77777777" w:rsidTr="005B31C6">
        <w:tc>
          <w:tcPr>
            <w:tcW w:w="826" w:type="pct"/>
          </w:tcPr>
          <w:p w14:paraId="4019B741"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 xml:space="preserve">2014-2020 m. ES lėšos </w:t>
            </w:r>
          </w:p>
        </w:tc>
        <w:tc>
          <w:tcPr>
            <w:tcW w:w="4174" w:type="pct"/>
          </w:tcPr>
          <w:p w14:paraId="359820C4"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Pagal 2014-2020 metų Europos Sąjungos fondų investicijų veiksmų programą projektų finansavimui skiriamos lėšos</w:t>
            </w:r>
          </w:p>
        </w:tc>
      </w:tr>
      <w:tr w:rsidR="00E91778" w:rsidRPr="00C97275" w14:paraId="6B68BAF4" w14:textId="77777777" w:rsidTr="005B31C6">
        <w:tc>
          <w:tcPr>
            <w:tcW w:w="826" w:type="pct"/>
          </w:tcPr>
          <w:p w14:paraId="7EEFAF11"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2014-2020 m. veiksmų programa</w:t>
            </w:r>
          </w:p>
        </w:tc>
        <w:tc>
          <w:tcPr>
            <w:tcW w:w="4174" w:type="pct"/>
          </w:tcPr>
          <w:p w14:paraId="4C1C0E98"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2014 m. rugsėjo 8 d. Europos Komisijos patvirtinta 2014-2020 metų Europos Sąjungos fondų investicijų veiksmų programa</w:t>
            </w:r>
          </w:p>
        </w:tc>
      </w:tr>
      <w:tr w:rsidR="00E91778" w:rsidRPr="00C97275" w14:paraId="7F1F912D" w14:textId="77777777" w:rsidTr="005B31C6">
        <w:tc>
          <w:tcPr>
            <w:tcW w:w="826" w:type="pct"/>
          </w:tcPr>
          <w:p w14:paraId="2BD90566"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2014-2020 m. periodas</w:t>
            </w:r>
          </w:p>
        </w:tc>
        <w:tc>
          <w:tcPr>
            <w:tcW w:w="4174" w:type="pct"/>
          </w:tcPr>
          <w:p w14:paraId="3FB0DD1E"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2014-2020 m. laikotarpis, kuriam skiriamos ESI fondų lėšos įgyvendinti 2014-2020 m. veiksmų programą</w:t>
            </w:r>
          </w:p>
        </w:tc>
      </w:tr>
      <w:tr w:rsidR="00E91778" w:rsidRPr="00C97275" w14:paraId="5A0FAF6D" w14:textId="77777777" w:rsidTr="005B31C6">
        <w:tc>
          <w:tcPr>
            <w:tcW w:w="826" w:type="pct"/>
          </w:tcPr>
          <w:p w14:paraId="79115DE9"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2007-2013 m. periodas</w:t>
            </w:r>
          </w:p>
        </w:tc>
        <w:tc>
          <w:tcPr>
            <w:tcW w:w="4174" w:type="pct"/>
          </w:tcPr>
          <w:p w14:paraId="2A4CA982"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2007-2013 m. laikotarpis, kuriam buvo skirtos ESI fondų lėšos įgyvendinti 2007-2013 m. Sanglaudos skatinimo veiksmų programą, 2007-2013 m. Ekonomikos augimo veiksmų programą ir 2007-2013 m. Žmogiškųjų išteklių plėtros veiksmų programą</w:t>
            </w:r>
          </w:p>
        </w:tc>
      </w:tr>
      <w:tr w:rsidR="00BA7CAB" w:rsidRPr="00C97275" w14:paraId="4BCF6931" w14:textId="77777777" w:rsidTr="005B31C6">
        <w:tc>
          <w:tcPr>
            <w:tcW w:w="826" w:type="pct"/>
          </w:tcPr>
          <w:p w14:paraId="1E73ADF9" w14:textId="717B1C94" w:rsidR="00BA7CAB" w:rsidRPr="00C97275" w:rsidRDefault="00BA7CAB" w:rsidP="001D54C7">
            <w:pPr>
              <w:jc w:val="both"/>
              <w:rPr>
                <w:rFonts w:ascii="Georgia" w:hAnsi="Georgia" w:cs="Times New Roman"/>
                <w:sz w:val="20"/>
                <w:lang w:val="lt-LT"/>
              </w:rPr>
            </w:pPr>
            <w:r w:rsidRPr="00C97275">
              <w:rPr>
                <w:rFonts w:ascii="Georgia" w:hAnsi="Georgia" w:cs="Times New Roman"/>
                <w:sz w:val="20"/>
                <w:lang w:val="lt-LT"/>
              </w:rPr>
              <w:t>AIE</w:t>
            </w:r>
          </w:p>
        </w:tc>
        <w:tc>
          <w:tcPr>
            <w:tcW w:w="4174" w:type="pct"/>
          </w:tcPr>
          <w:p w14:paraId="56E5E001" w14:textId="103E9961" w:rsidR="00BA7CAB" w:rsidRPr="00C97275" w:rsidRDefault="00BA7CAB" w:rsidP="001D54C7">
            <w:pPr>
              <w:jc w:val="both"/>
              <w:rPr>
                <w:rFonts w:ascii="Georgia" w:hAnsi="Georgia" w:cs="Times New Roman"/>
                <w:sz w:val="20"/>
                <w:lang w:val="lt-LT"/>
              </w:rPr>
            </w:pPr>
            <w:r w:rsidRPr="00C97275">
              <w:rPr>
                <w:rFonts w:ascii="Georgia" w:hAnsi="Georgia" w:cs="Times New Roman"/>
                <w:sz w:val="20"/>
                <w:lang w:val="lt-LT"/>
              </w:rPr>
              <w:t>Atsinaujinančių išteklių energija</w:t>
            </w:r>
          </w:p>
        </w:tc>
      </w:tr>
      <w:tr w:rsidR="00E91778" w:rsidRPr="00C97275" w14:paraId="3587A924" w14:textId="77777777" w:rsidTr="005B31C6">
        <w:tc>
          <w:tcPr>
            <w:tcW w:w="826" w:type="pct"/>
          </w:tcPr>
          <w:p w14:paraId="26C9C237"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Bendrųjų nuostatų reglamentas</w:t>
            </w:r>
          </w:p>
        </w:tc>
        <w:tc>
          <w:tcPr>
            <w:tcW w:w="4174" w:type="pct"/>
          </w:tcPr>
          <w:p w14:paraId="252C74C0"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 xml:space="preserve"> 2013 m. gruodžio 17 d. Europos Parlamento ir Tarybos reglamentas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w:t>
            </w:r>
          </w:p>
        </w:tc>
      </w:tr>
      <w:tr w:rsidR="00E91778" w:rsidRPr="00C97275" w14:paraId="2FDC6DF9" w14:textId="77777777" w:rsidTr="005B31C6">
        <w:tc>
          <w:tcPr>
            <w:tcW w:w="826" w:type="pct"/>
          </w:tcPr>
          <w:p w14:paraId="3070972E"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BETA</w:t>
            </w:r>
          </w:p>
        </w:tc>
        <w:tc>
          <w:tcPr>
            <w:tcW w:w="4174" w:type="pct"/>
          </w:tcPr>
          <w:p w14:paraId="6A649607"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VšĮ „Būsto energijos taupymo agentūra“</w:t>
            </w:r>
          </w:p>
        </w:tc>
      </w:tr>
      <w:tr w:rsidR="00E91778" w:rsidRPr="00C97275" w14:paraId="33356975" w14:textId="77777777" w:rsidTr="005B31C6">
        <w:tc>
          <w:tcPr>
            <w:tcW w:w="826" w:type="pct"/>
          </w:tcPr>
          <w:p w14:paraId="1D515FF1"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Centrinės valdžios pastatai</w:t>
            </w:r>
          </w:p>
        </w:tc>
        <w:tc>
          <w:tcPr>
            <w:tcW w:w="4174" w:type="pct"/>
          </w:tcPr>
          <w:p w14:paraId="55DA4FD4"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Centrinės valdžios subjektams priklausantys ir jų naudojami šildomi ir (arba) vėsinami pastatai</w:t>
            </w:r>
          </w:p>
        </w:tc>
      </w:tr>
      <w:tr w:rsidR="00E91778" w:rsidRPr="00C97275" w14:paraId="48929CC0" w14:textId="77777777" w:rsidTr="005B31C6">
        <w:tc>
          <w:tcPr>
            <w:tcW w:w="826" w:type="pct"/>
          </w:tcPr>
          <w:p w14:paraId="231B877F"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CLEERE</w:t>
            </w:r>
          </w:p>
        </w:tc>
        <w:tc>
          <w:tcPr>
            <w:tcW w:w="4174" w:type="pct"/>
          </w:tcPr>
          <w:p w14:paraId="7229CC61"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Klimato kaitos, energijos efektyvumo ir atsinaujinančių energijos išteklių (</w:t>
            </w:r>
            <w:r w:rsidRPr="00C97275">
              <w:rPr>
                <w:rFonts w:ascii="Georgia" w:hAnsi="Georgia" w:cs="Arial"/>
                <w:i/>
                <w:sz w:val="20"/>
                <w:szCs w:val="20"/>
                <w:lang w:val="lt-LT"/>
              </w:rPr>
              <w:t>angl. The Climate Change, Energy Efficiency and Renewable Energy</w:t>
            </w:r>
            <w:r w:rsidRPr="00C97275">
              <w:rPr>
                <w:rFonts w:ascii="Georgia" w:hAnsi="Georgia" w:cs="Arial"/>
                <w:sz w:val="20"/>
                <w:szCs w:val="20"/>
                <w:lang w:val="lt-LT"/>
              </w:rPr>
              <w:t>)</w:t>
            </w:r>
          </w:p>
        </w:tc>
      </w:tr>
      <w:tr w:rsidR="00E91778" w:rsidRPr="00C97275" w14:paraId="6A1FD12D" w14:textId="77777777" w:rsidTr="005B31C6">
        <w:tc>
          <w:tcPr>
            <w:tcW w:w="826" w:type="pct"/>
          </w:tcPr>
          <w:p w14:paraId="3B9440CD"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Deleguotas reglamentas</w:t>
            </w:r>
          </w:p>
        </w:tc>
        <w:tc>
          <w:tcPr>
            <w:tcW w:w="4174" w:type="pct"/>
          </w:tcPr>
          <w:p w14:paraId="4186C427"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 xml:space="preserve"> 2014 m. kovo 3 d. Komisijos deleguotasis reglamentas (ES) Nr. 480/2014, kuriuo papildomas Europos Parlamento ir Tarybos reglamentas (ES) Nr. 1303/2013, kuriuo nustatomos Europos regioninės plėtros fondui, Europos socialiniam fondui, Sanglaudos fondui, Europos žemės ūkio fondui kaimo plėtrai ir Europos jūrų reikalų ir žuvininkystės fondui bendros nuostatos ir Europos regioninės plėtros fondui, Europos socialiniam fondui, Sanglaudos fondui ir Europos jūrų reikalų ir žuvininkystės fondui taikytinos bendrosios nuostatos</w:t>
            </w:r>
          </w:p>
        </w:tc>
      </w:tr>
      <w:tr w:rsidR="00E91778" w:rsidRPr="00C97275" w14:paraId="6B453145" w14:textId="77777777" w:rsidTr="005B31C6">
        <w:tc>
          <w:tcPr>
            <w:tcW w:w="826" w:type="pct"/>
          </w:tcPr>
          <w:p w14:paraId="61A89059"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DSCR</w:t>
            </w:r>
          </w:p>
        </w:tc>
        <w:tc>
          <w:tcPr>
            <w:tcW w:w="4174" w:type="pct"/>
          </w:tcPr>
          <w:p w14:paraId="1AB6A0D8"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Finansinių skolų aptarnavimo rodiklis, parodantis gebėjimą apmokėti finansines skolas. Angliškas trumpinys, angl. Debt-Service Coverage Ratio.</w:t>
            </w:r>
          </w:p>
        </w:tc>
      </w:tr>
      <w:tr w:rsidR="00E91778" w:rsidRPr="00C97275" w14:paraId="6256535F" w14:textId="77777777" w:rsidTr="005B31C6">
        <w:tc>
          <w:tcPr>
            <w:tcW w:w="826" w:type="pct"/>
          </w:tcPr>
          <w:p w14:paraId="588003C0"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DSRA</w:t>
            </w:r>
          </w:p>
        </w:tc>
        <w:tc>
          <w:tcPr>
            <w:tcW w:w="4174" w:type="pct"/>
          </w:tcPr>
          <w:p w14:paraId="421CB4F1"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Paskolų aptarnavimo rezervo rodiklis (angl. debt service reserve account)</w:t>
            </w:r>
          </w:p>
        </w:tc>
      </w:tr>
      <w:tr w:rsidR="00E91778" w:rsidRPr="00C97275" w14:paraId="5BC99EDB" w14:textId="77777777" w:rsidTr="005B31C6">
        <w:tc>
          <w:tcPr>
            <w:tcW w:w="826" w:type="pct"/>
          </w:tcPr>
          <w:p w14:paraId="24C94AD7"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EEEF</w:t>
            </w:r>
          </w:p>
        </w:tc>
        <w:tc>
          <w:tcPr>
            <w:tcW w:w="4174" w:type="pct"/>
          </w:tcPr>
          <w:p w14:paraId="5948E016"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Europos energetinio efektyvumo fondas (</w:t>
            </w:r>
            <w:r w:rsidRPr="00C97275">
              <w:rPr>
                <w:rFonts w:ascii="Georgia" w:hAnsi="Georgia" w:cs="Arial"/>
                <w:i/>
                <w:sz w:val="20"/>
                <w:szCs w:val="20"/>
                <w:lang w:val="lt-LT"/>
              </w:rPr>
              <w:t>angl. European Energy Efficiency Fund</w:t>
            </w:r>
            <w:r w:rsidRPr="00C97275">
              <w:rPr>
                <w:rFonts w:ascii="Georgia" w:hAnsi="Georgia" w:cs="Arial"/>
                <w:sz w:val="20"/>
                <w:szCs w:val="20"/>
                <w:lang w:val="lt-LT"/>
              </w:rPr>
              <w:t xml:space="preserve">) </w:t>
            </w:r>
          </w:p>
        </w:tc>
      </w:tr>
      <w:tr w:rsidR="00E91778" w:rsidRPr="00C97275" w14:paraId="29CAE47C" w14:textId="77777777" w:rsidTr="005B31C6">
        <w:tc>
          <w:tcPr>
            <w:tcW w:w="826" w:type="pct"/>
          </w:tcPr>
          <w:p w14:paraId="60E022DB" w14:textId="77777777" w:rsidR="00E91778" w:rsidRPr="00C97275" w:rsidRDefault="00E91778" w:rsidP="001D54C7">
            <w:pPr>
              <w:jc w:val="both"/>
              <w:rPr>
                <w:rFonts w:ascii="Georgia" w:hAnsi="Georgia" w:cs="Arial"/>
                <w:sz w:val="20"/>
                <w:szCs w:val="20"/>
                <w:lang w:val="lt-LT"/>
              </w:rPr>
            </w:pPr>
            <w:r w:rsidRPr="00C97275">
              <w:rPr>
                <w:rFonts w:ascii="Georgia" w:hAnsi="Georgia"/>
                <w:sz w:val="20"/>
                <w:szCs w:val="20"/>
                <w:lang w:val="lt-LT"/>
              </w:rPr>
              <w:t>EERSF</w:t>
            </w:r>
          </w:p>
        </w:tc>
        <w:tc>
          <w:tcPr>
            <w:tcW w:w="4174" w:type="pct"/>
          </w:tcPr>
          <w:p w14:paraId="11A60999" w14:textId="77777777" w:rsidR="00E91778" w:rsidRPr="00C97275" w:rsidRDefault="00E91778" w:rsidP="001D54C7">
            <w:pPr>
              <w:jc w:val="both"/>
              <w:rPr>
                <w:rFonts w:ascii="Georgia" w:hAnsi="Georgia" w:cs="Arial"/>
                <w:sz w:val="20"/>
                <w:szCs w:val="20"/>
                <w:lang w:val="lt-LT"/>
              </w:rPr>
            </w:pPr>
            <w:r w:rsidRPr="00C97275">
              <w:rPr>
                <w:rFonts w:ascii="Georgia" w:hAnsi="Georgia"/>
                <w:bCs/>
                <w:sz w:val="20"/>
                <w:szCs w:val="20"/>
                <w:lang w:val="lt-LT"/>
              </w:rPr>
              <w:t xml:space="preserve">Energijos efektyvumo ir atsinaujinančių išteklių fondas Bulgarijoje </w:t>
            </w:r>
          </w:p>
        </w:tc>
      </w:tr>
      <w:tr w:rsidR="00E91778" w:rsidRPr="00C97275" w14:paraId="37F9DDA3" w14:textId="77777777" w:rsidTr="005B31C6">
        <w:tc>
          <w:tcPr>
            <w:tcW w:w="826" w:type="pct"/>
          </w:tcPr>
          <w:p w14:paraId="67AC41D6"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EIB</w:t>
            </w:r>
          </w:p>
        </w:tc>
        <w:tc>
          <w:tcPr>
            <w:tcW w:w="4174" w:type="pct"/>
          </w:tcPr>
          <w:p w14:paraId="566691F2"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Europos investicijų bankas</w:t>
            </w:r>
          </w:p>
        </w:tc>
      </w:tr>
      <w:tr w:rsidR="00E91778" w:rsidRPr="00C97275" w14:paraId="7CA6EC77" w14:textId="77777777" w:rsidTr="005B31C6">
        <w:tc>
          <w:tcPr>
            <w:tcW w:w="826" w:type="pct"/>
          </w:tcPr>
          <w:p w14:paraId="07B87F33"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EIF</w:t>
            </w:r>
          </w:p>
        </w:tc>
        <w:tc>
          <w:tcPr>
            <w:tcW w:w="4174" w:type="pct"/>
          </w:tcPr>
          <w:p w14:paraId="4BF477DB"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Europos investicijų fondas (</w:t>
            </w:r>
            <w:r w:rsidRPr="00C97275">
              <w:rPr>
                <w:rFonts w:ascii="Georgia" w:hAnsi="Georgia" w:cs="Arial"/>
                <w:i/>
                <w:sz w:val="20"/>
                <w:szCs w:val="20"/>
                <w:lang w:val="lt-LT"/>
              </w:rPr>
              <w:t>angl. European Investment Fund</w:t>
            </w:r>
            <w:r w:rsidRPr="00C97275">
              <w:rPr>
                <w:rFonts w:ascii="Georgia" w:hAnsi="Georgia" w:cs="Arial"/>
                <w:sz w:val="20"/>
                <w:szCs w:val="20"/>
                <w:lang w:val="lt-LT"/>
              </w:rPr>
              <w:t>)</w:t>
            </w:r>
          </w:p>
        </w:tc>
      </w:tr>
      <w:tr w:rsidR="00E91778" w:rsidRPr="00C97275" w14:paraId="62A9ABE3" w14:textId="77777777" w:rsidTr="005B31C6">
        <w:tc>
          <w:tcPr>
            <w:tcW w:w="826" w:type="pct"/>
          </w:tcPr>
          <w:p w14:paraId="2ACA7E41"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Energijos efektyvumo direktyva</w:t>
            </w:r>
          </w:p>
        </w:tc>
        <w:tc>
          <w:tcPr>
            <w:tcW w:w="4174" w:type="pct"/>
          </w:tcPr>
          <w:p w14:paraId="355A422E"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2012 m. spalio 25 d. Europos Parlamento ir Tarybos direktyva 2012/27/ES dėl energijos vartojimo efektyvumo, kuria iš dalies keičiamos direktyvos 2009/125/EB ir 2010/30/ES bei kuria panaikinamos direktyvos 2004/8/EB ir 2006/32/EB</w:t>
            </w:r>
          </w:p>
        </w:tc>
      </w:tr>
      <w:tr w:rsidR="00E91778" w:rsidRPr="00C97275" w14:paraId="66820C16" w14:textId="77777777" w:rsidTr="005B31C6">
        <w:tc>
          <w:tcPr>
            <w:tcW w:w="826" w:type="pct"/>
          </w:tcPr>
          <w:p w14:paraId="223400C1" w14:textId="77777777" w:rsidR="00E91778" w:rsidRPr="00C97275" w:rsidRDefault="00E91778" w:rsidP="001D54C7">
            <w:pPr>
              <w:jc w:val="both"/>
              <w:rPr>
                <w:rFonts w:ascii="Georgia" w:hAnsi="Georgia" w:cs="Arial"/>
                <w:sz w:val="20"/>
                <w:szCs w:val="20"/>
                <w:lang w:val="lt-LT"/>
              </w:rPr>
            </w:pPr>
            <w:r w:rsidRPr="00C97275">
              <w:rPr>
                <w:rFonts w:ascii="Georgia" w:hAnsi="Georgia"/>
                <w:sz w:val="20"/>
                <w:szCs w:val="20"/>
                <w:lang w:val="lt-LT"/>
              </w:rPr>
              <w:t>ERPF</w:t>
            </w:r>
          </w:p>
        </w:tc>
        <w:tc>
          <w:tcPr>
            <w:tcW w:w="4174" w:type="pct"/>
          </w:tcPr>
          <w:p w14:paraId="400DA50F"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Europos regioninės plėtros fondas</w:t>
            </w:r>
          </w:p>
        </w:tc>
      </w:tr>
      <w:tr w:rsidR="00E91778" w:rsidRPr="00C97275" w14:paraId="30E6C3EA" w14:textId="77777777" w:rsidTr="005B31C6">
        <w:tc>
          <w:tcPr>
            <w:tcW w:w="826" w:type="pct"/>
          </w:tcPr>
          <w:p w14:paraId="26168774"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ERPB</w:t>
            </w:r>
          </w:p>
        </w:tc>
        <w:tc>
          <w:tcPr>
            <w:tcW w:w="4174" w:type="pct"/>
          </w:tcPr>
          <w:p w14:paraId="4957305A"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Europos rekonstrukcijos ir plėtros bankas (</w:t>
            </w:r>
            <w:r w:rsidRPr="00C97275">
              <w:rPr>
                <w:rFonts w:ascii="Georgia" w:hAnsi="Georgia" w:cs="Arial"/>
                <w:i/>
                <w:sz w:val="20"/>
                <w:szCs w:val="20"/>
                <w:lang w:val="lt-LT"/>
              </w:rPr>
              <w:t xml:space="preserve">angl. European Bank for Restructuring </w:t>
            </w:r>
            <w:r w:rsidRPr="00C97275">
              <w:rPr>
                <w:rFonts w:ascii="Georgia" w:hAnsi="Georgia" w:cs="Arial"/>
                <w:i/>
                <w:sz w:val="20"/>
                <w:szCs w:val="20"/>
                <w:lang w:val="lt-LT"/>
              </w:rPr>
              <w:lastRenderedPageBreak/>
              <w:t>and Development</w:t>
            </w:r>
            <w:r w:rsidRPr="00C97275">
              <w:rPr>
                <w:rFonts w:ascii="Georgia" w:hAnsi="Georgia" w:cs="Arial"/>
                <w:sz w:val="20"/>
                <w:szCs w:val="20"/>
                <w:lang w:val="lt-LT"/>
              </w:rPr>
              <w:t>)</w:t>
            </w:r>
          </w:p>
        </w:tc>
      </w:tr>
      <w:tr w:rsidR="00E91778" w:rsidRPr="00C97275" w14:paraId="31462D2E" w14:textId="77777777" w:rsidTr="005B31C6">
        <w:tc>
          <w:tcPr>
            <w:tcW w:w="826" w:type="pct"/>
          </w:tcPr>
          <w:p w14:paraId="1FF6ABF8"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lastRenderedPageBreak/>
              <w:t>ES</w:t>
            </w:r>
          </w:p>
        </w:tc>
        <w:tc>
          <w:tcPr>
            <w:tcW w:w="4174" w:type="pct"/>
          </w:tcPr>
          <w:p w14:paraId="55301944"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Europos Sąjunga</w:t>
            </w:r>
          </w:p>
        </w:tc>
      </w:tr>
      <w:tr w:rsidR="00E91778" w:rsidRPr="00C97275" w14:paraId="7102764A" w14:textId="77777777" w:rsidTr="005B31C6">
        <w:tc>
          <w:tcPr>
            <w:tcW w:w="826" w:type="pct"/>
          </w:tcPr>
          <w:p w14:paraId="6C4011A1"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ESI fondų lėšos</w:t>
            </w:r>
          </w:p>
        </w:tc>
        <w:tc>
          <w:tcPr>
            <w:tcW w:w="4174" w:type="pct"/>
          </w:tcPr>
          <w:p w14:paraId="70F1381C"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ES struktūrinių ir investicinių fondų lėšos</w:t>
            </w:r>
          </w:p>
        </w:tc>
      </w:tr>
      <w:tr w:rsidR="00E91778" w:rsidRPr="00C97275" w14:paraId="0EDA42E6" w14:textId="77777777" w:rsidTr="005B31C6">
        <w:tc>
          <w:tcPr>
            <w:tcW w:w="826" w:type="pct"/>
          </w:tcPr>
          <w:p w14:paraId="0680F949"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ESCO</w:t>
            </w:r>
          </w:p>
        </w:tc>
        <w:tc>
          <w:tcPr>
            <w:tcW w:w="4174" w:type="pct"/>
          </w:tcPr>
          <w:p w14:paraId="1CE81780" w14:textId="77777777" w:rsidR="00E91778" w:rsidRPr="00C97275" w:rsidRDefault="00E91778" w:rsidP="001D54C7">
            <w:pPr>
              <w:jc w:val="both"/>
              <w:rPr>
                <w:rFonts w:ascii="Georgia" w:hAnsi="Georgia" w:cs="Arial"/>
                <w:sz w:val="20"/>
                <w:szCs w:val="20"/>
                <w:lang w:val="lt-LT"/>
              </w:rPr>
            </w:pPr>
            <w:r w:rsidRPr="00C97275">
              <w:rPr>
                <w:rFonts w:ascii="Georgia" w:hAnsi="Georgia" w:cs="Georgia"/>
                <w:sz w:val="20"/>
                <w:szCs w:val="20"/>
                <w:lang w:val="lt-LT"/>
              </w:rPr>
              <w:t xml:space="preserve">Energetinių paslaugų bendrovė (angl. </w:t>
            </w:r>
            <w:r w:rsidRPr="00C97275">
              <w:rPr>
                <w:rFonts w:ascii="Georgia" w:hAnsi="Georgia" w:cs="Georgia"/>
                <w:i/>
                <w:sz w:val="20"/>
                <w:szCs w:val="20"/>
                <w:lang w:val="lt-LT"/>
              </w:rPr>
              <w:t>energy service companies)</w:t>
            </w:r>
          </w:p>
        </w:tc>
      </w:tr>
      <w:tr w:rsidR="00BA7CAB" w:rsidRPr="00C97275" w14:paraId="5E03B130" w14:textId="77777777" w:rsidTr="005B31C6">
        <w:tc>
          <w:tcPr>
            <w:tcW w:w="826" w:type="pct"/>
          </w:tcPr>
          <w:p w14:paraId="3E1941FB" w14:textId="08AD9E44" w:rsidR="00BA7CAB" w:rsidRPr="00C97275" w:rsidRDefault="00BA7CAB" w:rsidP="001D54C7">
            <w:pPr>
              <w:jc w:val="both"/>
              <w:rPr>
                <w:rFonts w:ascii="Georgia" w:hAnsi="Georgia" w:cs="Times New Roman"/>
                <w:sz w:val="20"/>
                <w:lang w:val="lt-LT"/>
              </w:rPr>
            </w:pPr>
            <w:r w:rsidRPr="00C97275">
              <w:rPr>
                <w:rFonts w:ascii="Georgia" w:hAnsi="Georgia" w:cs="Times New Roman"/>
                <w:sz w:val="20"/>
                <w:lang w:val="lt-LT"/>
              </w:rPr>
              <w:t>ETVB</w:t>
            </w:r>
          </w:p>
        </w:tc>
        <w:tc>
          <w:tcPr>
            <w:tcW w:w="4174" w:type="pct"/>
          </w:tcPr>
          <w:p w14:paraId="6A0507A8" w14:textId="4EB173A0" w:rsidR="00BA7CAB" w:rsidRPr="00C97275" w:rsidRDefault="00BA7CAB" w:rsidP="001D54C7">
            <w:pPr>
              <w:jc w:val="both"/>
              <w:rPr>
                <w:rFonts w:ascii="Georgia" w:hAnsi="Georgia" w:cs="Times New Roman"/>
                <w:sz w:val="20"/>
                <w:lang w:val="lt-LT"/>
              </w:rPr>
            </w:pPr>
            <w:r w:rsidRPr="00C97275">
              <w:rPr>
                <w:rFonts w:ascii="Georgia" w:hAnsi="Georgia" w:cs="Arial"/>
                <w:sz w:val="20"/>
                <w:szCs w:val="20"/>
                <w:lang w:val="lt-LT"/>
              </w:rPr>
              <w:t>Europos Tarybos vystymo bankas (</w:t>
            </w:r>
            <w:r w:rsidRPr="00C97275">
              <w:rPr>
                <w:rFonts w:ascii="Georgia" w:hAnsi="Georgia" w:cs="Arial"/>
                <w:i/>
                <w:sz w:val="20"/>
                <w:szCs w:val="20"/>
                <w:lang w:val="lt-LT"/>
              </w:rPr>
              <w:t>angl. Council of Europe Development Bank</w:t>
            </w:r>
            <w:r w:rsidRPr="00C97275">
              <w:rPr>
                <w:rFonts w:ascii="Georgia" w:hAnsi="Georgia" w:cs="Arial"/>
                <w:sz w:val="20"/>
                <w:szCs w:val="20"/>
                <w:lang w:val="lt-LT"/>
              </w:rPr>
              <w:t>)</w:t>
            </w:r>
          </w:p>
        </w:tc>
      </w:tr>
      <w:tr w:rsidR="00E91778" w:rsidRPr="00C97275" w14:paraId="26EB22F4" w14:textId="77777777" w:rsidTr="005B31C6">
        <w:tc>
          <w:tcPr>
            <w:tcW w:w="826" w:type="pct"/>
          </w:tcPr>
          <w:p w14:paraId="66452A46" w14:textId="48D107F0"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E</w:t>
            </w:r>
            <w:r w:rsidR="00300FF4" w:rsidRPr="00C97275">
              <w:rPr>
                <w:rFonts w:ascii="Georgia" w:hAnsi="Georgia" w:cs="Times New Roman"/>
                <w:sz w:val="20"/>
                <w:lang w:val="lt-LT"/>
              </w:rPr>
              <w:t>x-ante</w:t>
            </w:r>
            <w:r w:rsidRPr="00C97275">
              <w:rPr>
                <w:rFonts w:ascii="Georgia" w:hAnsi="Georgia" w:cs="Times New Roman"/>
                <w:sz w:val="20"/>
                <w:lang w:val="lt-LT"/>
              </w:rPr>
              <w:t xml:space="preserve"> vertinimo metodologija</w:t>
            </w:r>
          </w:p>
        </w:tc>
        <w:tc>
          <w:tcPr>
            <w:tcW w:w="4174" w:type="pct"/>
          </w:tcPr>
          <w:p w14:paraId="0673AC87" w14:textId="68B53CD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Europos Komisijos bendradarbiaujant su EIB parengta e</w:t>
            </w:r>
            <w:r w:rsidR="00300FF4" w:rsidRPr="00C97275">
              <w:rPr>
                <w:rFonts w:ascii="Georgia" w:hAnsi="Georgia" w:cs="Times New Roman"/>
                <w:sz w:val="20"/>
                <w:lang w:val="lt-LT"/>
              </w:rPr>
              <w:t>x-ante</w:t>
            </w:r>
            <w:r w:rsidRPr="00C97275">
              <w:rPr>
                <w:rFonts w:ascii="Georgia" w:hAnsi="Georgia" w:cs="Times New Roman"/>
                <w:sz w:val="20"/>
                <w:lang w:val="lt-LT"/>
              </w:rPr>
              <w:t xml:space="preserve"> vertinimo metodologija „Ex-ante assessment methodology for financial instruments in the 2014-2020 programming period“, susidedanti iš penkių atskirų dalių. Šiame e</w:t>
            </w:r>
            <w:r w:rsidR="00300FF4" w:rsidRPr="00C97275">
              <w:rPr>
                <w:rFonts w:ascii="Georgia" w:hAnsi="Georgia" w:cs="Times New Roman"/>
                <w:sz w:val="20"/>
                <w:lang w:val="lt-LT"/>
              </w:rPr>
              <w:t>x-ante</w:t>
            </w:r>
            <w:r w:rsidRPr="00C97275">
              <w:rPr>
                <w:rFonts w:ascii="Georgia" w:hAnsi="Georgia" w:cs="Times New Roman"/>
                <w:sz w:val="20"/>
                <w:lang w:val="lt-LT"/>
              </w:rPr>
              <w:t xml:space="preserve"> vertinime referuojama į I-ąją ir IV-ąją e</w:t>
            </w:r>
            <w:r w:rsidR="00300FF4" w:rsidRPr="00C97275">
              <w:rPr>
                <w:rFonts w:ascii="Georgia" w:hAnsi="Georgia" w:cs="Times New Roman"/>
                <w:sz w:val="20"/>
                <w:lang w:val="lt-LT"/>
              </w:rPr>
              <w:t>x-ante</w:t>
            </w:r>
            <w:r w:rsidRPr="00C97275">
              <w:rPr>
                <w:rFonts w:ascii="Georgia" w:hAnsi="Georgia" w:cs="Times New Roman"/>
                <w:sz w:val="20"/>
                <w:lang w:val="lt-LT"/>
              </w:rPr>
              <w:t xml:space="preserve"> metodologijos dalis.</w:t>
            </w:r>
          </w:p>
          <w:p w14:paraId="1EAE7C81"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(http://ec.europa.eu/regional_policy/information/guidelines/index_en.cfm#4)</w:t>
            </w:r>
          </w:p>
        </w:tc>
      </w:tr>
      <w:tr w:rsidR="00E91778" w:rsidRPr="00C97275" w14:paraId="1B7EB0D7" w14:textId="77777777" w:rsidTr="005B31C6">
        <w:tc>
          <w:tcPr>
            <w:tcW w:w="826" w:type="pct"/>
          </w:tcPr>
          <w:p w14:paraId="25A8A610" w14:textId="0B2E1F77" w:rsidR="00E91778" w:rsidRPr="00C97275" w:rsidRDefault="00E91778">
            <w:pPr>
              <w:jc w:val="both"/>
              <w:rPr>
                <w:rFonts w:ascii="Georgia" w:hAnsi="Georgia" w:cs="Arial"/>
                <w:sz w:val="20"/>
                <w:szCs w:val="20"/>
                <w:lang w:val="lt-LT"/>
              </w:rPr>
            </w:pPr>
            <w:r w:rsidRPr="00C97275">
              <w:rPr>
                <w:rFonts w:ascii="Georgia" w:hAnsi="Georgia" w:cs="Arial"/>
                <w:sz w:val="20"/>
                <w:szCs w:val="20"/>
                <w:lang w:val="lt-LT"/>
              </w:rPr>
              <w:t>Finansinė priemonė</w:t>
            </w:r>
            <w:r w:rsidR="00A65A0A" w:rsidRPr="00C97275">
              <w:rPr>
                <w:rFonts w:ascii="Georgia" w:hAnsi="Georgia" w:cs="Arial"/>
                <w:sz w:val="20"/>
                <w:szCs w:val="20"/>
                <w:lang w:val="lt-LT"/>
              </w:rPr>
              <w:t xml:space="preserve"> (FP)</w:t>
            </w:r>
          </w:p>
        </w:tc>
        <w:tc>
          <w:tcPr>
            <w:tcW w:w="4174" w:type="pct"/>
          </w:tcPr>
          <w:p w14:paraId="51F768DC"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Europos Sąjungos finansinės paramos priemonės, papildomumo pagrindu teikiamos iš biudžeto siekiant vieno ar kelių konkrečių Sąjungos politikos tikslų. Tokios priemonės gali būti investicijos į nuosavą kapitalą ar kvazinuosavą kapitalą, paskolos ar garantijos, arba kitos rizikos pasidalijimo priemonės, kurios prireikus gali būti derinamos su dotacijomis. Sąvoka apibrėžta Europos Parlamento ir Tarybos reglamente (ES) Nr. 966/2012 dėl Sąjungos bendrajam biudžetui taikomų finansinių taisyklių ir kuriuo panaikinamas Tarybos reglamentas (EB) Nr. 1605/2002.</w:t>
            </w:r>
          </w:p>
        </w:tc>
      </w:tr>
      <w:tr w:rsidR="00E91778" w:rsidRPr="00C97275" w14:paraId="1F5012DD" w14:textId="77777777" w:rsidTr="005B31C6">
        <w:tc>
          <w:tcPr>
            <w:tcW w:w="826" w:type="pct"/>
          </w:tcPr>
          <w:p w14:paraId="6652F7AD"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JESSICA</w:t>
            </w:r>
          </w:p>
        </w:tc>
        <w:tc>
          <w:tcPr>
            <w:tcW w:w="4174" w:type="pct"/>
          </w:tcPr>
          <w:p w14:paraId="17F4A44E" w14:textId="77777777" w:rsidR="00E91778" w:rsidRPr="00C97275" w:rsidRDefault="00E91778" w:rsidP="001D54C7">
            <w:pPr>
              <w:jc w:val="both"/>
              <w:rPr>
                <w:rFonts w:ascii="Georgia" w:hAnsi="Georgia"/>
                <w:lang w:val="lt-LT"/>
              </w:rPr>
            </w:pPr>
            <w:r w:rsidRPr="00C97275">
              <w:rPr>
                <w:rFonts w:ascii="Georgia" w:hAnsi="Georgia" w:cs="Arial"/>
                <w:sz w:val="20"/>
                <w:szCs w:val="20"/>
                <w:lang w:val="lt-LT"/>
              </w:rPr>
              <w:t>Bendra Europos parama tvarioms investicijoms į miestų teritorijas (</w:t>
            </w:r>
            <w:r w:rsidRPr="00C97275">
              <w:rPr>
                <w:rFonts w:ascii="Georgia" w:hAnsi="Georgia" w:cs="Arial"/>
                <w:i/>
                <w:sz w:val="20"/>
                <w:szCs w:val="20"/>
                <w:lang w:val="lt-LT"/>
              </w:rPr>
              <w:t>angl. Joint European Support for Sustainable Investment in City Areas</w:t>
            </w:r>
            <w:r w:rsidRPr="00C97275">
              <w:rPr>
                <w:rFonts w:ascii="Georgia" w:hAnsi="Georgia" w:cs="Arial"/>
                <w:sz w:val="20"/>
                <w:szCs w:val="20"/>
                <w:lang w:val="lt-LT"/>
              </w:rPr>
              <w:t>)</w:t>
            </w:r>
          </w:p>
        </w:tc>
      </w:tr>
      <w:tr w:rsidR="00E91778" w:rsidRPr="00C97275" w14:paraId="1364ABDD" w14:textId="77777777" w:rsidTr="005B31C6">
        <w:tc>
          <w:tcPr>
            <w:tcW w:w="826" w:type="pct"/>
          </w:tcPr>
          <w:p w14:paraId="5DF0698C"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JEREMIE</w:t>
            </w:r>
          </w:p>
        </w:tc>
        <w:tc>
          <w:tcPr>
            <w:tcW w:w="4174" w:type="pct"/>
          </w:tcPr>
          <w:p w14:paraId="6B0E01B7"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Bendrieji Europos ištekliai labai mažoms, mažoms ir vidutinėms įmonėms (</w:t>
            </w:r>
            <w:r w:rsidRPr="00C97275">
              <w:rPr>
                <w:rFonts w:ascii="Georgia" w:hAnsi="Georgia" w:cs="Arial"/>
                <w:i/>
                <w:sz w:val="20"/>
                <w:szCs w:val="20"/>
                <w:lang w:val="lt-LT"/>
              </w:rPr>
              <w:t>angl. Joint European Resources for Micro to Medium Enterprises</w:t>
            </w:r>
            <w:r w:rsidRPr="00C97275">
              <w:rPr>
                <w:rFonts w:ascii="Georgia" w:hAnsi="Georgia" w:cs="Arial"/>
                <w:sz w:val="20"/>
                <w:szCs w:val="20"/>
                <w:lang w:val="lt-LT"/>
              </w:rPr>
              <w:t>)</w:t>
            </w:r>
          </w:p>
        </w:tc>
      </w:tr>
      <w:tr w:rsidR="00E91778" w:rsidRPr="00C97275" w14:paraId="31949D35" w14:textId="77777777" w:rsidTr="005B31C6">
        <w:tc>
          <w:tcPr>
            <w:tcW w:w="826" w:type="pct"/>
          </w:tcPr>
          <w:p w14:paraId="182203CC"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JESSICA KF</w:t>
            </w:r>
          </w:p>
        </w:tc>
        <w:tc>
          <w:tcPr>
            <w:tcW w:w="4174" w:type="pct"/>
          </w:tcPr>
          <w:p w14:paraId="6BF859A9"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JESSICA kontroliuojantis fondas</w:t>
            </w:r>
          </w:p>
        </w:tc>
      </w:tr>
      <w:tr w:rsidR="00E91778" w:rsidRPr="00C97275" w14:paraId="35F3F2B9" w14:textId="77777777" w:rsidTr="005B31C6">
        <w:tc>
          <w:tcPr>
            <w:tcW w:w="826" w:type="pct"/>
          </w:tcPr>
          <w:p w14:paraId="2D5FDAFD"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KPMG studija</w:t>
            </w:r>
          </w:p>
        </w:tc>
        <w:tc>
          <w:tcPr>
            <w:tcW w:w="4174" w:type="pct"/>
          </w:tcPr>
          <w:p w14:paraId="5160E27E"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Europos rekonstrukcijos ir plėtros banko užsakymu UAB „KPMG Baltics“, „Glimstedt“ advokatų kontoros ir UAB „Ekotermija“ atlikta „Energijos vartojimo efektyvumo projektų Lietuvos viešajame sektoriuje rinkos paklausos studija“</w:t>
            </w:r>
          </w:p>
          <w:p w14:paraId="0CDDD9A9" w14:textId="574D130C"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w:t>
            </w:r>
            <w:hyperlink r:id="rId15" w:history="1">
              <w:r w:rsidRPr="00C97275">
                <w:rPr>
                  <w:rFonts w:ascii="Georgia" w:hAnsi="Georgia" w:cs="Times New Roman"/>
                  <w:sz w:val="20"/>
                  <w:lang w:val="lt-LT"/>
                </w:rPr>
                <w:t>http://www.enmin.lt/lt/activity/veiklos_kryptys/strateginis_planavimas_ir_ES/ESCO_studija.pdf</w:t>
              </w:r>
            </w:hyperlink>
            <w:r w:rsidRPr="00C97275">
              <w:rPr>
                <w:rFonts w:ascii="Georgia" w:hAnsi="Georgia" w:cs="Times New Roman"/>
                <w:sz w:val="20"/>
                <w:lang w:val="lt-LT"/>
              </w:rPr>
              <w:t xml:space="preserve">) </w:t>
            </w:r>
          </w:p>
        </w:tc>
      </w:tr>
      <w:tr w:rsidR="00E91778" w:rsidRPr="00C97275" w14:paraId="026F4CCE" w14:textId="77777777" w:rsidTr="005B31C6">
        <w:tc>
          <w:tcPr>
            <w:tcW w:w="826" w:type="pct"/>
          </w:tcPr>
          <w:p w14:paraId="6AB3843D"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LCR</w:t>
            </w:r>
          </w:p>
        </w:tc>
        <w:tc>
          <w:tcPr>
            <w:tcW w:w="4174" w:type="pct"/>
          </w:tcPr>
          <w:p w14:paraId="03E4FA9F"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 xml:space="preserve">Padengimo likvidžiuoju turtu rodiklis (angl. liquidity coverage ratio) </w:t>
            </w:r>
          </w:p>
        </w:tc>
      </w:tr>
      <w:tr w:rsidR="00E91778" w:rsidRPr="00C97275" w14:paraId="25DCB722" w14:textId="77777777" w:rsidTr="005B31C6">
        <w:tc>
          <w:tcPr>
            <w:tcW w:w="826" w:type="pct"/>
          </w:tcPr>
          <w:p w14:paraId="02E2204E" w14:textId="77777777" w:rsidR="00E91778" w:rsidRPr="00C97275" w:rsidRDefault="00E91778" w:rsidP="001D54C7">
            <w:pPr>
              <w:jc w:val="both"/>
              <w:rPr>
                <w:rFonts w:ascii="Georgia" w:hAnsi="Georgia" w:cs="Arial"/>
                <w:sz w:val="20"/>
                <w:szCs w:val="20"/>
                <w:lang w:val="lt-LT"/>
              </w:rPr>
            </w:pPr>
            <w:r w:rsidRPr="00C97275">
              <w:rPr>
                <w:rFonts w:ascii="Georgia" w:hAnsi="Georgia"/>
                <w:bCs/>
                <w:sz w:val="20"/>
                <w:szCs w:val="20"/>
                <w:lang w:val="lt-LT"/>
              </w:rPr>
              <w:t>LEEF</w:t>
            </w:r>
          </w:p>
        </w:tc>
        <w:tc>
          <w:tcPr>
            <w:tcW w:w="4174" w:type="pct"/>
          </w:tcPr>
          <w:p w14:paraId="37FDFCEC" w14:textId="77777777" w:rsidR="00E91778" w:rsidRPr="00C97275" w:rsidRDefault="00E91778" w:rsidP="001D54C7">
            <w:pPr>
              <w:jc w:val="both"/>
              <w:rPr>
                <w:rFonts w:ascii="Georgia" w:hAnsi="Georgia" w:cs="Arial"/>
                <w:sz w:val="20"/>
                <w:szCs w:val="20"/>
                <w:lang w:val="lt-LT"/>
              </w:rPr>
            </w:pPr>
            <w:r w:rsidRPr="00C97275">
              <w:rPr>
                <w:rFonts w:ascii="Georgia" w:hAnsi="Georgia"/>
                <w:bCs/>
                <w:sz w:val="20"/>
                <w:szCs w:val="20"/>
                <w:lang w:val="lt-LT"/>
              </w:rPr>
              <w:t xml:space="preserve">Londono energetinio efektyvumo fondas Jungtinėje Karalystėje </w:t>
            </w:r>
          </w:p>
        </w:tc>
      </w:tr>
      <w:tr w:rsidR="00E91778" w:rsidRPr="00C97275" w14:paraId="0212EAF3" w14:textId="77777777" w:rsidTr="005B31C6">
        <w:tc>
          <w:tcPr>
            <w:tcW w:w="826" w:type="pct"/>
          </w:tcPr>
          <w:p w14:paraId="1F6A578A" w14:textId="77777777" w:rsidR="00E91778" w:rsidRPr="00C97275" w:rsidRDefault="00E91778" w:rsidP="001D54C7">
            <w:pPr>
              <w:jc w:val="both"/>
              <w:rPr>
                <w:rFonts w:ascii="Georgia" w:hAnsi="Georgia" w:cs="Arial"/>
                <w:sz w:val="20"/>
                <w:szCs w:val="20"/>
                <w:lang w:val="lt-LT"/>
              </w:rPr>
            </w:pPr>
            <w:r w:rsidRPr="00C97275">
              <w:rPr>
                <w:rFonts w:ascii="Georgia" w:hAnsi="Georgia"/>
                <w:sz w:val="20"/>
                <w:szCs w:val="20"/>
                <w:lang w:val="lt-LT"/>
              </w:rPr>
              <w:t>LGF</w:t>
            </w:r>
          </w:p>
        </w:tc>
        <w:tc>
          <w:tcPr>
            <w:tcW w:w="4174" w:type="pct"/>
          </w:tcPr>
          <w:p w14:paraId="4DAD07D9" w14:textId="77777777" w:rsidR="00E91778" w:rsidRPr="00C97275" w:rsidRDefault="00E91778" w:rsidP="001D54C7">
            <w:pPr>
              <w:jc w:val="both"/>
              <w:rPr>
                <w:rFonts w:ascii="Georgia" w:hAnsi="Georgia" w:cs="Arial"/>
                <w:sz w:val="20"/>
                <w:szCs w:val="20"/>
                <w:lang w:val="lt-LT"/>
              </w:rPr>
            </w:pPr>
            <w:r w:rsidRPr="00C97275">
              <w:rPr>
                <w:rFonts w:ascii="Georgia" w:hAnsi="Georgia"/>
                <w:sz w:val="20"/>
                <w:szCs w:val="20"/>
                <w:lang w:val="lt-LT"/>
              </w:rPr>
              <w:t>Londono žaliasis fondas</w:t>
            </w:r>
          </w:p>
        </w:tc>
      </w:tr>
      <w:tr w:rsidR="00E91778" w:rsidRPr="00C97275" w14:paraId="07EF966A" w14:textId="77777777" w:rsidTr="005B31C6">
        <w:tc>
          <w:tcPr>
            <w:tcW w:w="826" w:type="pct"/>
          </w:tcPr>
          <w:p w14:paraId="2ACC1AF6"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MRA</w:t>
            </w:r>
          </w:p>
        </w:tc>
        <w:tc>
          <w:tcPr>
            <w:tcW w:w="4174" w:type="pct"/>
          </w:tcPr>
          <w:p w14:paraId="73330910"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Gamybos paskolų pakartotinių investicijų rezervo rodiklis (angl. Manufacturing Reinvestment Account)</w:t>
            </w:r>
          </w:p>
        </w:tc>
      </w:tr>
      <w:tr w:rsidR="00E91778" w:rsidRPr="00C97275" w14:paraId="54C88AEB" w14:textId="77777777" w:rsidTr="005B31C6">
        <w:tc>
          <w:tcPr>
            <w:tcW w:w="826" w:type="pct"/>
          </w:tcPr>
          <w:p w14:paraId="0D6A0DB1"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MTEP</w:t>
            </w:r>
          </w:p>
        </w:tc>
        <w:tc>
          <w:tcPr>
            <w:tcW w:w="4174" w:type="pct"/>
          </w:tcPr>
          <w:p w14:paraId="389C0715"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Moksliniai tyrimai ir eksperimentinė plėtra</w:t>
            </w:r>
          </w:p>
        </w:tc>
      </w:tr>
      <w:tr w:rsidR="00E91778" w:rsidRPr="00C97275" w14:paraId="7EF79128" w14:textId="77777777" w:rsidTr="005B31C6">
        <w:tc>
          <w:tcPr>
            <w:tcW w:w="826" w:type="pct"/>
          </w:tcPr>
          <w:p w14:paraId="2C862E7E"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MVĮ</w:t>
            </w:r>
          </w:p>
        </w:tc>
        <w:tc>
          <w:tcPr>
            <w:tcW w:w="4174" w:type="pct"/>
          </w:tcPr>
          <w:p w14:paraId="32B25870"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Mažos ir vidutinės įmonės</w:t>
            </w:r>
          </w:p>
        </w:tc>
      </w:tr>
      <w:tr w:rsidR="00E91778" w:rsidRPr="00C97275" w14:paraId="56C16ED6" w14:textId="77777777" w:rsidTr="005B31C6">
        <w:tc>
          <w:tcPr>
            <w:tcW w:w="826" w:type="pct"/>
          </w:tcPr>
          <w:p w14:paraId="7A88AEE1" w14:textId="0BEBEFA2" w:rsidR="00E91778" w:rsidRPr="00C97275" w:rsidRDefault="00EA4DE9" w:rsidP="001D54C7">
            <w:pPr>
              <w:jc w:val="both"/>
              <w:rPr>
                <w:rFonts w:ascii="Georgia" w:hAnsi="Georgia" w:cs="Times New Roman"/>
                <w:sz w:val="20"/>
                <w:lang w:val="lt-LT"/>
              </w:rPr>
            </w:pPr>
            <w:r w:rsidRPr="00C97275">
              <w:rPr>
                <w:rFonts w:ascii="Georgia" w:hAnsi="Georgia" w:cs="Arial"/>
                <w:sz w:val="20"/>
                <w:szCs w:val="20"/>
                <w:lang w:val="lt-LT"/>
              </w:rPr>
              <w:t>Pradinė ataskaita</w:t>
            </w:r>
          </w:p>
        </w:tc>
        <w:tc>
          <w:tcPr>
            <w:tcW w:w="4174" w:type="pct"/>
          </w:tcPr>
          <w:p w14:paraId="68A9D79C" w14:textId="27FD9142" w:rsidR="00E91778" w:rsidRPr="00C97275" w:rsidRDefault="00EA4DE9" w:rsidP="00EA4DE9">
            <w:pPr>
              <w:jc w:val="both"/>
              <w:rPr>
                <w:rFonts w:ascii="Georgia" w:hAnsi="Georgia" w:cs="Times New Roman"/>
                <w:sz w:val="20"/>
                <w:lang w:val="lt-LT"/>
              </w:rPr>
            </w:pPr>
            <w:r w:rsidRPr="00C97275">
              <w:rPr>
                <w:rFonts w:ascii="Georgia" w:hAnsi="Georgia" w:cs="Arial"/>
                <w:sz w:val="20"/>
                <w:szCs w:val="20"/>
                <w:lang w:val="lt-LT"/>
              </w:rPr>
              <w:t>2015-09-07 d. Energijos efektyvumo išankstinio (ex-ante) vertinimo ataskaita</w:t>
            </w:r>
          </w:p>
        </w:tc>
      </w:tr>
      <w:tr w:rsidR="00E91778" w:rsidRPr="00C97275" w14:paraId="0C7D23B2" w14:textId="77777777" w:rsidTr="005B31C6">
        <w:tc>
          <w:tcPr>
            <w:tcW w:w="826" w:type="pct"/>
          </w:tcPr>
          <w:p w14:paraId="55C5E88C"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PVM</w:t>
            </w:r>
          </w:p>
        </w:tc>
        <w:tc>
          <w:tcPr>
            <w:tcW w:w="4174" w:type="pct"/>
          </w:tcPr>
          <w:p w14:paraId="247736C7"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Pridėtinės vertės mokestis</w:t>
            </w:r>
          </w:p>
        </w:tc>
      </w:tr>
      <w:tr w:rsidR="00E91778" w:rsidRPr="00C97275" w14:paraId="0CA38640" w14:textId="77777777" w:rsidTr="005B31C6">
        <w:tc>
          <w:tcPr>
            <w:tcW w:w="826" w:type="pct"/>
          </w:tcPr>
          <w:p w14:paraId="37CF2E5E"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PwC studija</w:t>
            </w:r>
          </w:p>
        </w:tc>
        <w:tc>
          <w:tcPr>
            <w:tcW w:w="4174" w:type="pct"/>
          </w:tcPr>
          <w:p w14:paraId="2232A9A9"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Europos investicijų banko užsakymu PricewaterhouseCoopers atlikta studija „JESSICA 2014-2020 evaluation study for Lithuania“.</w:t>
            </w:r>
          </w:p>
        </w:tc>
      </w:tr>
      <w:tr w:rsidR="00E91778" w:rsidRPr="00C97275" w14:paraId="275FD668" w14:textId="77777777" w:rsidTr="005B31C6">
        <w:tc>
          <w:tcPr>
            <w:tcW w:w="826" w:type="pct"/>
          </w:tcPr>
          <w:p w14:paraId="7861EE28"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ROE (angl. return on equity)</w:t>
            </w:r>
          </w:p>
        </w:tc>
        <w:tc>
          <w:tcPr>
            <w:tcW w:w="4174" w:type="pct"/>
          </w:tcPr>
          <w:p w14:paraId="5FFA7B7A"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Nuosavo kapitalo pelningumo rodiklis, skaičiuojamas kaip grynojo pelno ir nuosavo kapitalo santykis</w:t>
            </w:r>
          </w:p>
        </w:tc>
      </w:tr>
      <w:tr w:rsidR="00E91778" w:rsidRPr="00C97275" w14:paraId="2E1D4799" w14:textId="77777777" w:rsidTr="005B31C6">
        <w:tc>
          <w:tcPr>
            <w:tcW w:w="826" w:type="pct"/>
          </w:tcPr>
          <w:p w14:paraId="22B11A84"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Savivaldybių (viešieji) pastatai</w:t>
            </w:r>
          </w:p>
        </w:tc>
        <w:tc>
          <w:tcPr>
            <w:tcW w:w="4174" w:type="pct"/>
          </w:tcPr>
          <w:p w14:paraId="7F52FF68"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 xml:space="preserve">Savivaldybių nuosavybės teise valdomi pastatai </w:t>
            </w:r>
          </w:p>
        </w:tc>
      </w:tr>
      <w:tr w:rsidR="00E91778" w:rsidRPr="00C97275" w14:paraId="38A623D8" w14:textId="77777777" w:rsidTr="005B31C6">
        <w:tc>
          <w:tcPr>
            <w:tcW w:w="826" w:type="pct"/>
          </w:tcPr>
          <w:p w14:paraId="34507427" w14:textId="77777777" w:rsidR="00E91778" w:rsidRPr="00C97275" w:rsidRDefault="00E91778" w:rsidP="001D54C7">
            <w:pPr>
              <w:jc w:val="both"/>
              <w:rPr>
                <w:rFonts w:ascii="Georgia" w:hAnsi="Georgia" w:cs="Arial"/>
                <w:sz w:val="20"/>
                <w:szCs w:val="20"/>
                <w:lang w:val="lt-LT"/>
              </w:rPr>
            </w:pPr>
            <w:r w:rsidRPr="00C97275">
              <w:rPr>
                <w:rStyle w:val="hps"/>
                <w:rFonts w:ascii="Georgia" w:hAnsi="Georgia" w:cs="Arial"/>
                <w:sz w:val="20"/>
                <w:szCs w:val="20"/>
                <w:lang w:val="lt-LT"/>
              </w:rPr>
              <w:t>SEFF</w:t>
            </w:r>
          </w:p>
        </w:tc>
        <w:tc>
          <w:tcPr>
            <w:tcW w:w="4174" w:type="pct"/>
          </w:tcPr>
          <w:p w14:paraId="0D84BF28" w14:textId="77777777" w:rsidR="00E91778" w:rsidRPr="00C97275" w:rsidRDefault="00E91778" w:rsidP="001D54C7">
            <w:pPr>
              <w:jc w:val="both"/>
              <w:rPr>
                <w:rFonts w:ascii="Georgia" w:hAnsi="Georgia" w:cs="Arial"/>
                <w:sz w:val="20"/>
                <w:szCs w:val="20"/>
                <w:lang w:val="lt-LT"/>
              </w:rPr>
            </w:pPr>
            <w:r w:rsidRPr="00C97275">
              <w:rPr>
                <w:rStyle w:val="hps"/>
                <w:rFonts w:ascii="Georgia" w:hAnsi="Georgia" w:cs="Arial"/>
                <w:sz w:val="20"/>
                <w:szCs w:val="20"/>
                <w:lang w:val="lt-LT"/>
              </w:rPr>
              <w:t>Tvarios energijos finansavimo priemonės (</w:t>
            </w:r>
            <w:r w:rsidRPr="00C97275">
              <w:rPr>
                <w:rStyle w:val="hps"/>
                <w:rFonts w:ascii="Georgia" w:hAnsi="Georgia" w:cs="Arial"/>
                <w:i/>
                <w:sz w:val="20"/>
                <w:szCs w:val="20"/>
                <w:lang w:val="lt-LT"/>
              </w:rPr>
              <w:t>angl. Sustainable Energy Financing Facilities</w:t>
            </w:r>
            <w:r w:rsidRPr="00C97275">
              <w:rPr>
                <w:rStyle w:val="hps"/>
                <w:rFonts w:ascii="Georgia" w:hAnsi="Georgia" w:cs="Arial"/>
                <w:sz w:val="20"/>
                <w:szCs w:val="20"/>
                <w:lang w:val="lt-LT"/>
              </w:rPr>
              <w:t>)</w:t>
            </w:r>
          </w:p>
        </w:tc>
      </w:tr>
      <w:tr w:rsidR="00E91778" w:rsidRPr="00C97275" w14:paraId="27813CCA" w14:textId="77777777" w:rsidTr="005B31C6">
        <w:tc>
          <w:tcPr>
            <w:tcW w:w="826" w:type="pct"/>
          </w:tcPr>
          <w:p w14:paraId="58B9E5CA"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SEI</w:t>
            </w:r>
          </w:p>
        </w:tc>
        <w:tc>
          <w:tcPr>
            <w:tcW w:w="4174" w:type="pct"/>
          </w:tcPr>
          <w:p w14:paraId="6EB16BCB"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Tvarios energetikos iniciatyva (</w:t>
            </w:r>
            <w:r w:rsidRPr="00C97275">
              <w:rPr>
                <w:rFonts w:ascii="Georgia" w:hAnsi="Georgia" w:cs="Arial"/>
                <w:i/>
                <w:sz w:val="20"/>
                <w:szCs w:val="20"/>
                <w:lang w:val="lt-LT"/>
              </w:rPr>
              <w:t>angl. Sustainable Energy Initiative</w:t>
            </w:r>
            <w:r w:rsidRPr="00C97275">
              <w:rPr>
                <w:rFonts w:ascii="Georgia" w:hAnsi="Georgia" w:cs="Arial"/>
                <w:sz w:val="20"/>
                <w:szCs w:val="20"/>
                <w:lang w:val="lt-LT"/>
              </w:rPr>
              <w:t>)</w:t>
            </w:r>
          </w:p>
        </w:tc>
      </w:tr>
      <w:tr w:rsidR="00E91778" w:rsidRPr="00C97275" w14:paraId="35C027CE" w14:textId="77777777" w:rsidTr="005B31C6">
        <w:tc>
          <w:tcPr>
            <w:tcW w:w="826" w:type="pct"/>
          </w:tcPr>
          <w:p w14:paraId="2405D68B"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SRI</w:t>
            </w:r>
          </w:p>
        </w:tc>
        <w:tc>
          <w:tcPr>
            <w:tcW w:w="4174" w:type="pct"/>
          </w:tcPr>
          <w:p w14:paraId="0F045F13" w14:textId="77777777" w:rsidR="00E91778" w:rsidRPr="00C97275" w:rsidRDefault="00E91778" w:rsidP="001D54C7">
            <w:pPr>
              <w:jc w:val="both"/>
              <w:rPr>
                <w:rFonts w:ascii="Georgia" w:hAnsi="Georgia" w:cs="Times New Roman"/>
                <w:sz w:val="20"/>
                <w:lang w:val="lt-LT"/>
              </w:rPr>
            </w:pPr>
            <w:r w:rsidRPr="00C97275">
              <w:rPr>
                <w:rFonts w:ascii="Georgia" w:hAnsi="Georgia" w:cs="Arial"/>
                <w:sz w:val="20"/>
                <w:szCs w:val="20"/>
                <w:lang w:val="lt-LT"/>
              </w:rPr>
              <w:t>Tvarių išteklių iniciatyva (</w:t>
            </w:r>
            <w:r w:rsidRPr="00C97275">
              <w:rPr>
                <w:rFonts w:ascii="Georgia" w:hAnsi="Georgia" w:cs="Arial"/>
                <w:i/>
                <w:sz w:val="20"/>
                <w:szCs w:val="20"/>
                <w:lang w:val="lt-LT"/>
              </w:rPr>
              <w:t>angl.</w:t>
            </w:r>
            <w:r w:rsidRPr="00C97275">
              <w:rPr>
                <w:rFonts w:ascii="Georgia" w:hAnsi="Georgia" w:cs="Arial"/>
                <w:sz w:val="20"/>
                <w:szCs w:val="20"/>
                <w:lang w:val="lt-LT"/>
              </w:rPr>
              <w:t xml:space="preserve"> </w:t>
            </w:r>
            <w:r w:rsidRPr="00C97275">
              <w:rPr>
                <w:rFonts w:ascii="Georgia" w:hAnsi="Georgia" w:cs="Arial"/>
                <w:i/>
                <w:sz w:val="20"/>
                <w:szCs w:val="20"/>
                <w:lang w:val="lt-LT"/>
              </w:rPr>
              <w:t>Sustainable Resource Initiative</w:t>
            </w:r>
            <w:r w:rsidRPr="00C97275">
              <w:rPr>
                <w:rFonts w:ascii="Georgia" w:hAnsi="Georgia" w:cs="Arial"/>
                <w:sz w:val="20"/>
                <w:szCs w:val="20"/>
                <w:lang w:val="lt-LT"/>
              </w:rPr>
              <w:t>)</w:t>
            </w:r>
          </w:p>
        </w:tc>
      </w:tr>
      <w:tr w:rsidR="00E91778" w:rsidRPr="00C97275" w14:paraId="5B127298" w14:textId="77777777" w:rsidTr="005B31C6">
        <w:tc>
          <w:tcPr>
            <w:tcW w:w="826" w:type="pct"/>
          </w:tcPr>
          <w:p w14:paraId="27C3E3C0"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 xml:space="preserve">Statybos </w:t>
            </w:r>
            <w:r w:rsidRPr="00C97275">
              <w:rPr>
                <w:rFonts w:ascii="Georgia" w:hAnsi="Georgia" w:cs="Times New Roman"/>
                <w:sz w:val="20"/>
                <w:lang w:val="lt-LT"/>
              </w:rPr>
              <w:lastRenderedPageBreak/>
              <w:t>techninis reglamentas</w:t>
            </w:r>
          </w:p>
        </w:tc>
        <w:tc>
          <w:tcPr>
            <w:tcW w:w="4174" w:type="pct"/>
          </w:tcPr>
          <w:p w14:paraId="21051564"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lastRenderedPageBreak/>
              <w:t xml:space="preserve">Statybos techninis reglamentas STR 2.01.09:2005 pastatų energinis naudingumas, </w:t>
            </w:r>
            <w:r w:rsidRPr="00C97275">
              <w:rPr>
                <w:rFonts w:ascii="Georgia" w:hAnsi="Georgia" w:cs="Times New Roman"/>
                <w:sz w:val="20"/>
                <w:lang w:val="lt-LT"/>
              </w:rPr>
              <w:lastRenderedPageBreak/>
              <w:t>energinio naudingumo sertifikavimas, patvirtintas Lietuvos Respublikos aplinkos ministro 2005 m. gruodžio 20 d. įsakymu Nr. D1-624</w:t>
            </w:r>
          </w:p>
        </w:tc>
      </w:tr>
      <w:tr w:rsidR="00BA7CAB" w:rsidRPr="00C97275" w14:paraId="76B3F1B4" w14:textId="77777777" w:rsidTr="005B31C6">
        <w:tc>
          <w:tcPr>
            <w:tcW w:w="826" w:type="pct"/>
          </w:tcPr>
          <w:p w14:paraId="3857E3CF" w14:textId="405063EF" w:rsidR="00BA7CAB" w:rsidRPr="00C97275" w:rsidRDefault="00BA7CAB" w:rsidP="001D54C7">
            <w:pPr>
              <w:jc w:val="both"/>
              <w:rPr>
                <w:rFonts w:ascii="Georgia" w:hAnsi="Georgia" w:cs="Arial"/>
                <w:sz w:val="20"/>
                <w:szCs w:val="20"/>
                <w:lang w:val="lt-LT"/>
              </w:rPr>
            </w:pPr>
            <w:r w:rsidRPr="00C97275">
              <w:rPr>
                <w:rFonts w:ascii="Georgia" w:hAnsi="Georgia" w:cs="Arial"/>
                <w:sz w:val="20"/>
                <w:szCs w:val="20"/>
                <w:lang w:val="lt-LT"/>
              </w:rPr>
              <w:lastRenderedPageBreak/>
              <w:t>ŠIB</w:t>
            </w:r>
          </w:p>
        </w:tc>
        <w:tc>
          <w:tcPr>
            <w:tcW w:w="4174" w:type="pct"/>
          </w:tcPr>
          <w:p w14:paraId="1ECB421C" w14:textId="704C75CE" w:rsidR="00BA7CAB" w:rsidRPr="00C97275" w:rsidRDefault="00BA7CAB" w:rsidP="001D54C7">
            <w:pPr>
              <w:jc w:val="both"/>
              <w:rPr>
                <w:rFonts w:ascii="Georgia" w:hAnsi="Georgia" w:cs="Arial"/>
                <w:sz w:val="20"/>
                <w:szCs w:val="20"/>
                <w:lang w:val="lt-LT"/>
              </w:rPr>
            </w:pPr>
            <w:r w:rsidRPr="00C97275">
              <w:rPr>
                <w:rFonts w:ascii="Georgia" w:hAnsi="Georgia" w:cs="Arial"/>
                <w:sz w:val="20"/>
                <w:szCs w:val="20"/>
                <w:lang w:val="lt-LT"/>
              </w:rPr>
              <w:t>Šiaurės investicijų bankas (</w:t>
            </w:r>
            <w:r w:rsidRPr="00C97275">
              <w:rPr>
                <w:rFonts w:ascii="Georgia" w:hAnsi="Georgia" w:cs="Arial"/>
                <w:i/>
                <w:sz w:val="20"/>
                <w:szCs w:val="20"/>
                <w:lang w:val="lt-LT"/>
              </w:rPr>
              <w:t>angl. Nordic Investment Bank</w:t>
            </w:r>
            <w:r w:rsidRPr="00C97275">
              <w:rPr>
                <w:rFonts w:ascii="Georgia" w:hAnsi="Georgia" w:cs="Arial"/>
                <w:sz w:val="20"/>
                <w:szCs w:val="20"/>
                <w:lang w:val="lt-LT"/>
              </w:rPr>
              <w:t>)</w:t>
            </w:r>
          </w:p>
        </w:tc>
      </w:tr>
      <w:tr w:rsidR="00BA7CAB" w:rsidRPr="00C97275" w14:paraId="7A8184A2" w14:textId="77777777" w:rsidTr="005B31C6">
        <w:tc>
          <w:tcPr>
            <w:tcW w:w="826" w:type="pct"/>
          </w:tcPr>
          <w:p w14:paraId="1CCBA03C" w14:textId="55CA3E0D" w:rsidR="00BA7CAB" w:rsidRPr="00C97275" w:rsidRDefault="00BA7CAB" w:rsidP="001D54C7">
            <w:pPr>
              <w:jc w:val="both"/>
              <w:rPr>
                <w:rFonts w:ascii="Georgia" w:hAnsi="Georgia" w:cs="Arial"/>
                <w:sz w:val="20"/>
                <w:szCs w:val="20"/>
                <w:lang w:val="lt-LT"/>
              </w:rPr>
            </w:pPr>
            <w:r w:rsidRPr="00C97275">
              <w:rPr>
                <w:rFonts w:ascii="Georgia" w:hAnsi="Georgia" w:cs="Arial"/>
                <w:sz w:val="20"/>
                <w:szCs w:val="20"/>
                <w:lang w:val="lt-LT"/>
              </w:rPr>
              <w:t>ŠESD</w:t>
            </w:r>
          </w:p>
        </w:tc>
        <w:tc>
          <w:tcPr>
            <w:tcW w:w="4174" w:type="pct"/>
          </w:tcPr>
          <w:p w14:paraId="4ACECC54" w14:textId="4ABB54A9" w:rsidR="00BA7CAB" w:rsidRPr="00C97275" w:rsidRDefault="00BA7CAB" w:rsidP="001D54C7">
            <w:pPr>
              <w:jc w:val="both"/>
              <w:rPr>
                <w:rFonts w:ascii="Georgia" w:hAnsi="Georgia" w:cs="Arial"/>
                <w:sz w:val="20"/>
                <w:szCs w:val="20"/>
                <w:lang w:val="lt-LT"/>
              </w:rPr>
            </w:pPr>
            <w:r w:rsidRPr="00C97275">
              <w:rPr>
                <w:rFonts w:ascii="Georgia" w:hAnsi="Georgia" w:cs="Arial"/>
                <w:sz w:val="20"/>
                <w:szCs w:val="20"/>
                <w:lang w:val="lt-LT"/>
              </w:rPr>
              <w:t>Šiltnamio efektą sukeliančios dujos</w:t>
            </w:r>
          </w:p>
        </w:tc>
      </w:tr>
      <w:tr w:rsidR="00E91778" w:rsidRPr="00C97275" w14:paraId="7DE50B11" w14:textId="77777777" w:rsidTr="005B31C6">
        <w:tc>
          <w:tcPr>
            <w:tcW w:w="826" w:type="pct"/>
          </w:tcPr>
          <w:p w14:paraId="6DC3262E"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TEN-E</w:t>
            </w:r>
          </w:p>
        </w:tc>
        <w:tc>
          <w:tcPr>
            <w:tcW w:w="4174" w:type="pct"/>
          </w:tcPr>
          <w:p w14:paraId="729CA14D"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Europos Sąjungos transeuropinis energetikos tinklas</w:t>
            </w:r>
          </w:p>
        </w:tc>
      </w:tr>
      <w:tr w:rsidR="00E91778" w:rsidRPr="00C97275" w14:paraId="59221BC8" w14:textId="77777777" w:rsidTr="005B31C6">
        <w:tc>
          <w:tcPr>
            <w:tcW w:w="826" w:type="pct"/>
          </w:tcPr>
          <w:p w14:paraId="56E6945E"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TEN-T</w:t>
            </w:r>
          </w:p>
        </w:tc>
        <w:tc>
          <w:tcPr>
            <w:tcW w:w="4174" w:type="pct"/>
          </w:tcPr>
          <w:p w14:paraId="66D6CA77"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Europos Sąjungos transeuropinis transporto tinklas</w:t>
            </w:r>
          </w:p>
        </w:tc>
      </w:tr>
      <w:tr w:rsidR="00E91778" w:rsidRPr="00C97275" w14:paraId="72A46DF2" w14:textId="77777777" w:rsidTr="005B31C6">
        <w:tc>
          <w:tcPr>
            <w:tcW w:w="826" w:type="pct"/>
          </w:tcPr>
          <w:p w14:paraId="0C90BEB9"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Viešieji pastatai</w:t>
            </w:r>
          </w:p>
        </w:tc>
        <w:tc>
          <w:tcPr>
            <w:tcW w:w="4174" w:type="pct"/>
          </w:tcPr>
          <w:p w14:paraId="27F16460"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Centrinės valdžios ir savivaldybių viešieji pastatai bendrai</w:t>
            </w:r>
          </w:p>
        </w:tc>
      </w:tr>
      <w:tr w:rsidR="00503B8D" w:rsidRPr="00C97275" w14:paraId="7F32EA7F" w14:textId="77777777" w:rsidTr="005B31C6">
        <w:tc>
          <w:tcPr>
            <w:tcW w:w="826" w:type="pct"/>
          </w:tcPr>
          <w:p w14:paraId="1937D442" w14:textId="009704E3" w:rsidR="00503B8D" w:rsidRPr="00C97275" w:rsidRDefault="00503B8D" w:rsidP="001D54C7">
            <w:pPr>
              <w:jc w:val="both"/>
              <w:rPr>
                <w:rFonts w:ascii="Georgia" w:hAnsi="Georgia" w:cs="Times New Roman"/>
                <w:sz w:val="20"/>
                <w:lang w:val="lt-LT"/>
              </w:rPr>
            </w:pPr>
            <w:r w:rsidRPr="00C97275">
              <w:rPr>
                <w:rFonts w:ascii="Georgia" w:hAnsi="Georgia" w:cs="Times New Roman"/>
                <w:sz w:val="20"/>
                <w:lang w:val="lt-LT"/>
              </w:rPr>
              <w:t>VKKEK</w:t>
            </w:r>
          </w:p>
        </w:tc>
        <w:tc>
          <w:tcPr>
            <w:tcW w:w="4174" w:type="pct"/>
          </w:tcPr>
          <w:p w14:paraId="0DD6A98B" w14:textId="1CF5F0E9" w:rsidR="00503B8D" w:rsidRPr="00C97275" w:rsidRDefault="00503B8D" w:rsidP="001D54C7">
            <w:pPr>
              <w:jc w:val="both"/>
              <w:rPr>
                <w:rFonts w:ascii="Georgia" w:hAnsi="Georgia" w:cs="Times New Roman"/>
                <w:sz w:val="20"/>
                <w:lang w:val="lt-LT"/>
              </w:rPr>
            </w:pPr>
            <w:r w:rsidRPr="00C97275">
              <w:rPr>
                <w:rFonts w:ascii="Georgia" w:hAnsi="Georgia" w:cs="Times New Roman"/>
                <w:sz w:val="20"/>
                <w:lang w:val="lt-LT"/>
              </w:rPr>
              <w:t>Valstybinė kainų ir energetikos kontrolės komisija</w:t>
            </w:r>
          </w:p>
        </w:tc>
      </w:tr>
      <w:tr w:rsidR="00E91778" w:rsidRPr="00C97275" w14:paraId="04FC68D6" w14:textId="77777777" w:rsidTr="005B31C6">
        <w:tc>
          <w:tcPr>
            <w:tcW w:w="826" w:type="pct"/>
          </w:tcPr>
          <w:p w14:paraId="291ACA29" w14:textId="77777777" w:rsidR="00E91778" w:rsidRPr="00C97275" w:rsidRDefault="00E91778" w:rsidP="001D54C7">
            <w:pPr>
              <w:jc w:val="both"/>
              <w:rPr>
                <w:rFonts w:ascii="Georgia" w:hAnsi="Georgia" w:cs="Times New Roman"/>
                <w:sz w:val="20"/>
                <w:lang w:val="lt-LT"/>
              </w:rPr>
            </w:pPr>
            <w:r w:rsidRPr="00C97275">
              <w:rPr>
                <w:rFonts w:ascii="Georgia" w:hAnsi="Georgia" w:cs="Times New Roman"/>
                <w:sz w:val="20"/>
                <w:lang w:val="lt-LT"/>
              </w:rPr>
              <w:t>VIPA</w:t>
            </w:r>
          </w:p>
        </w:tc>
        <w:tc>
          <w:tcPr>
            <w:tcW w:w="4174" w:type="pct"/>
          </w:tcPr>
          <w:p w14:paraId="03CA5A72" w14:textId="77777777" w:rsidR="00E91778" w:rsidRPr="00C97275" w:rsidRDefault="00E91778" w:rsidP="001D54C7">
            <w:pPr>
              <w:spacing w:after="200" w:line="276" w:lineRule="auto"/>
              <w:jc w:val="both"/>
              <w:rPr>
                <w:rFonts w:ascii="Georgia" w:hAnsi="Georgia" w:cs="Times New Roman"/>
                <w:sz w:val="20"/>
                <w:lang w:val="lt-LT"/>
              </w:rPr>
            </w:pPr>
            <w:r w:rsidRPr="00C97275">
              <w:rPr>
                <w:rFonts w:ascii="Georgia" w:hAnsi="Georgia" w:cs="Times New Roman"/>
                <w:sz w:val="20"/>
                <w:lang w:val="lt-LT"/>
              </w:rPr>
              <w:t>UAB „Viešųjų investicijų plėtros agentūra“</w:t>
            </w:r>
          </w:p>
        </w:tc>
      </w:tr>
      <w:tr w:rsidR="00E91778" w:rsidRPr="00C97275" w14:paraId="0E324131" w14:textId="77777777" w:rsidTr="005B31C6">
        <w:tc>
          <w:tcPr>
            <w:tcW w:w="826" w:type="pct"/>
          </w:tcPr>
          <w:p w14:paraId="624E8DAA"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VPSP</w:t>
            </w:r>
          </w:p>
        </w:tc>
        <w:tc>
          <w:tcPr>
            <w:tcW w:w="4174" w:type="pct"/>
          </w:tcPr>
          <w:p w14:paraId="7A9DAE3D" w14:textId="77777777" w:rsidR="00E91778" w:rsidRPr="00C97275" w:rsidRDefault="00E91778" w:rsidP="001D54C7">
            <w:pPr>
              <w:jc w:val="both"/>
              <w:rPr>
                <w:rFonts w:ascii="Georgia" w:hAnsi="Georgia" w:cs="Arial"/>
                <w:sz w:val="20"/>
                <w:szCs w:val="20"/>
                <w:lang w:val="lt-LT"/>
              </w:rPr>
            </w:pPr>
            <w:r w:rsidRPr="00C97275">
              <w:rPr>
                <w:rFonts w:ascii="Georgia" w:hAnsi="Georgia" w:cs="Arial"/>
                <w:sz w:val="20"/>
                <w:szCs w:val="20"/>
                <w:lang w:val="lt-LT"/>
              </w:rPr>
              <w:t>Viešojo ir privataus sektorių partnerystė</w:t>
            </w:r>
          </w:p>
        </w:tc>
      </w:tr>
    </w:tbl>
    <w:p w14:paraId="38FB9EFC" w14:textId="77777777" w:rsidR="00332C26" w:rsidRPr="00C97275" w:rsidRDefault="00332C26">
      <w:pPr>
        <w:rPr>
          <w:rFonts w:ascii="Georgia" w:eastAsiaTheme="majorEastAsia" w:hAnsi="Georgia" w:cstheme="majorBidi"/>
          <w:b/>
          <w:bCs/>
          <w:color w:val="365F91" w:themeColor="accent1" w:themeShade="BF"/>
          <w:sz w:val="28"/>
          <w:szCs w:val="28"/>
          <w:lang w:val="lt-LT"/>
        </w:rPr>
      </w:pPr>
    </w:p>
    <w:p w14:paraId="280F0D81" w14:textId="77777777" w:rsidR="00747655" w:rsidRPr="00C97275" w:rsidRDefault="00747655">
      <w:pPr>
        <w:rPr>
          <w:rFonts w:ascii="Georgia" w:eastAsiaTheme="majorEastAsia" w:hAnsi="Georgia" w:cstheme="majorBidi"/>
          <w:b/>
          <w:bCs/>
          <w:color w:val="365F91" w:themeColor="accent1" w:themeShade="BF"/>
          <w:sz w:val="28"/>
          <w:szCs w:val="28"/>
          <w:lang w:val="lt-LT"/>
        </w:rPr>
      </w:pPr>
      <w:r w:rsidRPr="00C97275">
        <w:rPr>
          <w:rFonts w:ascii="Georgia" w:hAnsi="Georgia"/>
          <w:lang w:val="lt-LT"/>
        </w:rPr>
        <w:br w:type="page"/>
      </w:r>
    </w:p>
    <w:p w14:paraId="6485CD2D" w14:textId="76ACA430" w:rsidR="00EE14AD" w:rsidRPr="00C97275" w:rsidRDefault="00EE14AD" w:rsidP="006977C2">
      <w:pPr>
        <w:pStyle w:val="Antrat1"/>
        <w:numPr>
          <w:ilvl w:val="0"/>
          <w:numId w:val="1"/>
        </w:numPr>
        <w:ind w:hanging="720"/>
        <w:rPr>
          <w:lang w:val="lt-LT"/>
        </w:rPr>
      </w:pPr>
      <w:bookmarkStart w:id="6" w:name="_Toc25594636"/>
      <w:r w:rsidRPr="00C97275">
        <w:rPr>
          <w:lang w:val="lt-LT"/>
        </w:rPr>
        <w:lastRenderedPageBreak/>
        <w:t>Įžanga – e</w:t>
      </w:r>
      <w:r w:rsidR="00300FF4" w:rsidRPr="00C97275">
        <w:rPr>
          <w:lang w:val="lt-LT"/>
        </w:rPr>
        <w:t>x-ante</w:t>
      </w:r>
      <w:r w:rsidRPr="00C97275">
        <w:rPr>
          <w:lang w:val="lt-LT"/>
        </w:rPr>
        <w:t xml:space="preserve"> </w:t>
      </w:r>
      <w:r w:rsidR="004527AD" w:rsidRPr="00C97275">
        <w:rPr>
          <w:lang w:val="lt-LT"/>
        </w:rPr>
        <w:t xml:space="preserve">vertinimo </w:t>
      </w:r>
      <w:r w:rsidRPr="00C97275">
        <w:rPr>
          <w:lang w:val="lt-LT"/>
        </w:rPr>
        <w:t>pagrindimas</w:t>
      </w:r>
      <w:bookmarkEnd w:id="0"/>
      <w:bookmarkEnd w:id="1"/>
      <w:bookmarkEnd w:id="6"/>
    </w:p>
    <w:p w14:paraId="7C1D23D7" w14:textId="77777777" w:rsidR="00EE14AD" w:rsidRPr="00C97275" w:rsidRDefault="00EE14AD" w:rsidP="00EE14AD">
      <w:pPr>
        <w:jc w:val="both"/>
        <w:rPr>
          <w:rFonts w:ascii="Georgia" w:hAnsi="Georgia" w:cs="Times New Roman"/>
          <w:sz w:val="20"/>
          <w:lang w:val="lt-LT"/>
        </w:rPr>
      </w:pPr>
    </w:p>
    <w:p w14:paraId="04F4EFE9" w14:textId="6F0E99FF" w:rsidR="004527AD" w:rsidRPr="00C97275" w:rsidRDefault="00214DC9" w:rsidP="00336C16">
      <w:pPr>
        <w:jc w:val="both"/>
        <w:rPr>
          <w:rFonts w:ascii="Georgia" w:hAnsi="Georgia" w:cs="Times New Roman"/>
          <w:sz w:val="20"/>
          <w:lang w:val="lt-LT"/>
        </w:rPr>
      </w:pPr>
      <w:r w:rsidRPr="00C97275">
        <w:rPr>
          <w:rFonts w:ascii="Georgia" w:hAnsi="Georgia" w:cs="Times New Roman"/>
          <w:sz w:val="20"/>
          <w:lang w:val="lt-LT"/>
        </w:rPr>
        <w:t xml:space="preserve">Vienas iš projektų finansavimo būdų ESI fondų lėšomis yra finansinės priemonės, kurios gali būti įgyvendinamos per teikiamas paskolas, garantijas ar kitas rizikos pasidalijimo priemones. </w:t>
      </w:r>
      <w:r w:rsidR="00A90CB3" w:rsidRPr="00C97275">
        <w:rPr>
          <w:rFonts w:ascii="Georgia" w:hAnsi="Georgia" w:cs="Times New Roman"/>
          <w:sz w:val="20"/>
          <w:lang w:val="lt-LT"/>
        </w:rPr>
        <w:t>Finansinės priemonės yra tvarus finansavimo būdas ilguoju laikotarpiu ir finansinės priemonės tampa vis svarbesnės panaudojant ESI fondų lėšas</w:t>
      </w:r>
      <w:r w:rsidRPr="00C97275">
        <w:rPr>
          <w:rFonts w:ascii="Georgia" w:hAnsi="Georgia" w:cs="Times New Roman"/>
          <w:sz w:val="20"/>
          <w:lang w:val="lt-LT"/>
        </w:rPr>
        <w:t>,</w:t>
      </w:r>
      <w:r w:rsidR="00A90CB3" w:rsidRPr="00C97275">
        <w:rPr>
          <w:rFonts w:ascii="Georgia" w:hAnsi="Georgia" w:cs="Times New Roman"/>
          <w:sz w:val="20"/>
          <w:lang w:val="lt-LT"/>
        </w:rPr>
        <w:t xml:space="preserve"> </w:t>
      </w:r>
      <w:r w:rsidRPr="00C97275">
        <w:rPr>
          <w:rFonts w:ascii="Georgia" w:hAnsi="Georgia" w:cs="Times New Roman"/>
          <w:sz w:val="20"/>
          <w:lang w:val="lt-LT"/>
        </w:rPr>
        <w:t>k</w:t>
      </w:r>
      <w:r w:rsidR="00D002D8" w:rsidRPr="00C97275">
        <w:rPr>
          <w:rFonts w:ascii="Georgia" w:hAnsi="Georgia" w:cs="Times New Roman"/>
          <w:sz w:val="20"/>
          <w:lang w:val="lt-LT"/>
        </w:rPr>
        <w:t>aip tai pažymėta Bendrųjų nuostatų reglamento preambulės (34)-(35) punktuose.</w:t>
      </w:r>
      <w:r w:rsidR="004527AD" w:rsidRPr="00C97275">
        <w:rPr>
          <w:rFonts w:ascii="Georgia" w:hAnsi="Georgia" w:cs="Times New Roman"/>
          <w:sz w:val="20"/>
          <w:lang w:val="lt-LT"/>
        </w:rPr>
        <w:t xml:space="preserve"> Vadovaujantis Bendrųjų nuostatų reglamento 37.2 punktu, finansinių priemonių parama grindžiama e</w:t>
      </w:r>
      <w:r w:rsidR="00300FF4" w:rsidRPr="00C97275">
        <w:rPr>
          <w:rFonts w:ascii="Georgia" w:hAnsi="Georgia" w:cs="Times New Roman"/>
          <w:sz w:val="20"/>
          <w:lang w:val="lt-LT"/>
        </w:rPr>
        <w:t>x-ante</w:t>
      </w:r>
      <w:r w:rsidR="004527AD" w:rsidRPr="00C97275">
        <w:rPr>
          <w:rFonts w:ascii="Georgia" w:hAnsi="Georgia" w:cs="Times New Roman"/>
          <w:sz w:val="20"/>
          <w:lang w:val="lt-LT"/>
        </w:rPr>
        <w:t xml:space="preserve"> vertinimu, kurį atliekant turi būti nustatyti rinkos trūkumai arba </w:t>
      </w:r>
      <w:r w:rsidR="008330A3" w:rsidRPr="00C97275">
        <w:rPr>
          <w:rFonts w:ascii="Georgia" w:hAnsi="Georgia" w:cs="Times New Roman"/>
          <w:sz w:val="20"/>
          <w:lang w:val="lt-LT"/>
        </w:rPr>
        <w:t>ne</w:t>
      </w:r>
      <w:r w:rsidR="004527AD" w:rsidRPr="00C97275">
        <w:rPr>
          <w:rFonts w:ascii="Georgia" w:hAnsi="Georgia" w:cs="Times New Roman"/>
          <w:sz w:val="20"/>
          <w:lang w:val="lt-LT"/>
        </w:rPr>
        <w:t>optimalios investavimo situacijos, apskaičiuotas investicijų poreiki</w:t>
      </w:r>
      <w:r w:rsidR="008330A3" w:rsidRPr="00C97275">
        <w:rPr>
          <w:rFonts w:ascii="Georgia" w:hAnsi="Georgia" w:cs="Times New Roman"/>
          <w:sz w:val="20"/>
          <w:lang w:val="lt-LT"/>
        </w:rPr>
        <w:t>o mastas</w:t>
      </w:r>
      <w:r w:rsidR="004527AD" w:rsidRPr="00C97275">
        <w:rPr>
          <w:rFonts w:ascii="Georgia" w:hAnsi="Georgia" w:cs="Times New Roman"/>
          <w:sz w:val="20"/>
          <w:lang w:val="lt-LT"/>
        </w:rPr>
        <w:t xml:space="preserve">, </w:t>
      </w:r>
      <w:r w:rsidR="0084246B" w:rsidRPr="00C97275">
        <w:rPr>
          <w:rFonts w:ascii="Georgia" w:hAnsi="Georgia" w:cs="Times New Roman"/>
          <w:sz w:val="20"/>
          <w:lang w:val="lt-LT"/>
        </w:rPr>
        <w:t>įvertintas poreikis reikiamas investicijas finansuoti finansinių priemonių pagalba</w:t>
      </w:r>
      <w:r w:rsidR="004527AD" w:rsidRPr="00C97275">
        <w:rPr>
          <w:rFonts w:ascii="Georgia" w:hAnsi="Georgia" w:cs="Times New Roman"/>
          <w:sz w:val="20"/>
          <w:lang w:val="lt-LT"/>
        </w:rPr>
        <w:t xml:space="preserve">. Nustačius poreikį steigti finansines priemones, turi būti pasiūlyti </w:t>
      </w:r>
      <w:r w:rsidR="008330A3" w:rsidRPr="00C97275">
        <w:rPr>
          <w:rFonts w:ascii="Georgia" w:hAnsi="Georgia" w:cs="Times New Roman"/>
          <w:sz w:val="20"/>
          <w:lang w:val="lt-LT"/>
        </w:rPr>
        <w:t>efektyviausi</w:t>
      </w:r>
      <w:r w:rsidR="004527AD" w:rsidRPr="00C97275">
        <w:rPr>
          <w:rFonts w:ascii="Georgia" w:hAnsi="Georgia" w:cs="Times New Roman"/>
          <w:sz w:val="20"/>
          <w:lang w:val="lt-LT"/>
        </w:rPr>
        <w:t xml:space="preserve"> finansinių priemonių tipai, jų valdymo struktūra, investavimo strategija. E</w:t>
      </w:r>
      <w:r w:rsidR="00300FF4" w:rsidRPr="00C97275">
        <w:rPr>
          <w:rFonts w:ascii="Georgia" w:hAnsi="Georgia" w:cs="Times New Roman"/>
          <w:sz w:val="20"/>
          <w:lang w:val="lt-LT"/>
        </w:rPr>
        <w:t>x-ante</w:t>
      </w:r>
      <w:r w:rsidR="004527AD" w:rsidRPr="00C97275">
        <w:rPr>
          <w:rFonts w:ascii="Georgia" w:hAnsi="Georgia" w:cs="Times New Roman"/>
          <w:sz w:val="20"/>
          <w:lang w:val="lt-LT"/>
        </w:rPr>
        <w:t xml:space="preserve"> vertinimas turi būti baigtas iki vadovaujančiajai institucijai priimant sprendimą dėl įnaš</w:t>
      </w:r>
      <w:r w:rsidR="008330A3" w:rsidRPr="00C97275">
        <w:rPr>
          <w:rFonts w:ascii="Georgia" w:hAnsi="Georgia" w:cs="Times New Roman"/>
          <w:sz w:val="20"/>
          <w:lang w:val="lt-LT"/>
        </w:rPr>
        <w:t>o</w:t>
      </w:r>
      <w:r w:rsidR="004527AD" w:rsidRPr="00C97275">
        <w:rPr>
          <w:rFonts w:ascii="Georgia" w:hAnsi="Georgia" w:cs="Times New Roman"/>
          <w:sz w:val="20"/>
          <w:lang w:val="lt-LT"/>
        </w:rPr>
        <w:t xml:space="preserve"> </w:t>
      </w:r>
      <w:r w:rsidR="008330A3" w:rsidRPr="00C97275">
        <w:rPr>
          <w:rFonts w:ascii="Georgia" w:hAnsi="Georgia" w:cs="Times New Roman"/>
          <w:sz w:val="20"/>
          <w:lang w:val="lt-LT"/>
        </w:rPr>
        <w:t xml:space="preserve">skyrimo finansinei priemonei </w:t>
      </w:r>
      <w:r w:rsidR="004527AD" w:rsidRPr="00C97275">
        <w:rPr>
          <w:rFonts w:ascii="Georgia" w:hAnsi="Georgia" w:cs="Times New Roman"/>
          <w:sz w:val="20"/>
          <w:lang w:val="lt-LT"/>
        </w:rPr>
        <w:t xml:space="preserve">pagal </w:t>
      </w:r>
      <w:r w:rsidR="008330A3" w:rsidRPr="00C97275">
        <w:rPr>
          <w:rFonts w:ascii="Georgia" w:hAnsi="Georgia" w:cs="Times New Roman"/>
          <w:sz w:val="20"/>
          <w:lang w:val="lt-LT"/>
        </w:rPr>
        <w:t xml:space="preserve">2014-2020 m. veiksmų </w:t>
      </w:r>
      <w:r w:rsidR="004527AD" w:rsidRPr="00C97275">
        <w:rPr>
          <w:rFonts w:ascii="Georgia" w:hAnsi="Georgia" w:cs="Times New Roman"/>
          <w:sz w:val="20"/>
          <w:lang w:val="lt-LT"/>
        </w:rPr>
        <w:t>programą.</w:t>
      </w:r>
    </w:p>
    <w:p w14:paraId="43A47A69" w14:textId="20553FE4" w:rsidR="004527AD" w:rsidRPr="00C97275" w:rsidRDefault="006D7DCC" w:rsidP="00336C16">
      <w:pPr>
        <w:jc w:val="both"/>
        <w:rPr>
          <w:rFonts w:ascii="Georgia" w:hAnsi="Georgia" w:cs="Times New Roman"/>
          <w:sz w:val="20"/>
          <w:lang w:val="lt-LT"/>
        </w:rPr>
      </w:pPr>
      <w:r w:rsidRPr="00C97275">
        <w:rPr>
          <w:rFonts w:ascii="Georgia" w:hAnsi="Georgia" w:cs="Times New Roman"/>
          <w:sz w:val="20"/>
          <w:lang w:val="lt-LT"/>
        </w:rPr>
        <w:t>EIB</w:t>
      </w:r>
      <w:r w:rsidR="004527AD" w:rsidRPr="00C97275">
        <w:rPr>
          <w:rFonts w:ascii="Georgia" w:hAnsi="Georgia" w:cs="Times New Roman"/>
          <w:sz w:val="20"/>
          <w:lang w:val="lt-LT"/>
        </w:rPr>
        <w:t xml:space="preserve"> užsakymu 2013-2014 m. buvo atliekama PwC studija, kuria buvo siekiama įvertinti JESSICA KF tęstinumą </w:t>
      </w:r>
      <w:r w:rsidR="005606CE" w:rsidRPr="00C97275">
        <w:rPr>
          <w:rFonts w:ascii="Georgia" w:hAnsi="Georgia" w:cs="Times New Roman"/>
          <w:sz w:val="20"/>
          <w:lang w:val="lt-LT"/>
        </w:rPr>
        <w:t>2014-2020 m. periodu,</w:t>
      </w:r>
      <w:r w:rsidR="004527AD" w:rsidRPr="00C97275">
        <w:rPr>
          <w:rFonts w:ascii="Georgia" w:hAnsi="Georgia" w:cs="Times New Roman"/>
          <w:sz w:val="20"/>
          <w:lang w:val="lt-LT"/>
        </w:rPr>
        <w:t xml:space="preserve"> išanalizuoti potencialius ūkio sektorius finansinių priemonių taikymui</w:t>
      </w:r>
      <w:r w:rsidR="005606CE" w:rsidRPr="00C97275">
        <w:rPr>
          <w:rFonts w:ascii="Georgia" w:hAnsi="Georgia" w:cs="Times New Roman"/>
          <w:sz w:val="20"/>
          <w:lang w:val="lt-LT"/>
        </w:rPr>
        <w:t xml:space="preserve"> bei atlikti pilotinį e</w:t>
      </w:r>
      <w:r w:rsidR="00300FF4" w:rsidRPr="00C97275">
        <w:rPr>
          <w:rFonts w:ascii="Georgia" w:hAnsi="Georgia" w:cs="Times New Roman"/>
          <w:sz w:val="20"/>
          <w:lang w:val="lt-LT"/>
        </w:rPr>
        <w:t>x-ante</w:t>
      </w:r>
      <w:r w:rsidR="005606CE" w:rsidRPr="00C97275">
        <w:rPr>
          <w:rFonts w:ascii="Georgia" w:hAnsi="Georgia" w:cs="Times New Roman"/>
          <w:sz w:val="20"/>
          <w:lang w:val="lt-LT"/>
        </w:rPr>
        <w:t xml:space="preserve"> vertinimą daugiabučių, viešųjų pastatų ir gatvių apšvietimo modernizavimo sritims</w:t>
      </w:r>
      <w:r w:rsidR="004527AD" w:rsidRPr="00C97275">
        <w:rPr>
          <w:rFonts w:ascii="Georgia" w:hAnsi="Georgia" w:cs="Times New Roman"/>
          <w:sz w:val="20"/>
          <w:lang w:val="lt-LT"/>
        </w:rPr>
        <w:t>. Atsižvelgiant į tai, kad PwC studija buvo atlikta iki Bendrųjų nuostatų reglamento patvirtinimo, kuris apibrėžia e</w:t>
      </w:r>
      <w:r w:rsidR="00300FF4" w:rsidRPr="00C97275">
        <w:rPr>
          <w:rFonts w:ascii="Georgia" w:hAnsi="Georgia" w:cs="Times New Roman"/>
          <w:sz w:val="20"/>
          <w:lang w:val="lt-LT"/>
        </w:rPr>
        <w:t>x-ante</w:t>
      </w:r>
      <w:r w:rsidR="004527AD" w:rsidRPr="00C97275">
        <w:rPr>
          <w:rFonts w:ascii="Georgia" w:hAnsi="Georgia" w:cs="Times New Roman"/>
          <w:sz w:val="20"/>
          <w:lang w:val="lt-LT"/>
        </w:rPr>
        <w:t xml:space="preserve"> vertinimo turinį, </w:t>
      </w:r>
      <w:r w:rsidR="005606CE" w:rsidRPr="00C97275">
        <w:rPr>
          <w:rFonts w:ascii="Georgia" w:hAnsi="Georgia" w:cs="Times New Roman"/>
          <w:sz w:val="20"/>
          <w:lang w:val="lt-LT"/>
        </w:rPr>
        <w:t>PwC studijoje atliktas pilotinis e</w:t>
      </w:r>
      <w:r w:rsidR="00300FF4" w:rsidRPr="00C97275">
        <w:rPr>
          <w:rFonts w:ascii="Georgia" w:hAnsi="Georgia" w:cs="Times New Roman"/>
          <w:sz w:val="20"/>
          <w:lang w:val="lt-LT"/>
        </w:rPr>
        <w:t>x-ante</w:t>
      </w:r>
      <w:r w:rsidR="005606CE" w:rsidRPr="00C97275">
        <w:rPr>
          <w:rFonts w:ascii="Georgia" w:hAnsi="Georgia" w:cs="Times New Roman"/>
          <w:sz w:val="20"/>
          <w:lang w:val="lt-LT"/>
        </w:rPr>
        <w:t xml:space="preserve"> vertinimas </w:t>
      </w:r>
      <w:r w:rsidR="004B5E13" w:rsidRPr="00C97275">
        <w:rPr>
          <w:rFonts w:ascii="Georgia" w:hAnsi="Georgia" w:cs="Times New Roman"/>
          <w:sz w:val="20"/>
          <w:lang w:val="lt-LT"/>
        </w:rPr>
        <w:t>apėmė ne vis</w:t>
      </w:r>
      <w:r w:rsidR="008330A3" w:rsidRPr="00C97275">
        <w:rPr>
          <w:rFonts w:ascii="Georgia" w:hAnsi="Georgia" w:cs="Times New Roman"/>
          <w:sz w:val="20"/>
          <w:lang w:val="lt-LT"/>
        </w:rPr>
        <w:t>us būtinu</w:t>
      </w:r>
      <w:r w:rsidR="004B5E13" w:rsidRPr="00C97275">
        <w:rPr>
          <w:rFonts w:ascii="Georgia" w:hAnsi="Georgia" w:cs="Times New Roman"/>
          <w:sz w:val="20"/>
          <w:lang w:val="lt-LT"/>
        </w:rPr>
        <w:t xml:space="preserve">s </w:t>
      </w:r>
      <w:r w:rsidR="008330A3" w:rsidRPr="00C97275">
        <w:rPr>
          <w:rFonts w:ascii="Georgia" w:hAnsi="Georgia" w:cs="Times New Roman"/>
          <w:sz w:val="20"/>
          <w:lang w:val="lt-LT"/>
        </w:rPr>
        <w:t>aspektus</w:t>
      </w:r>
      <w:r w:rsidR="005606CE" w:rsidRPr="00C97275">
        <w:rPr>
          <w:rFonts w:ascii="Georgia" w:hAnsi="Georgia" w:cs="Times New Roman"/>
          <w:sz w:val="20"/>
          <w:lang w:val="lt-LT"/>
        </w:rPr>
        <w:t xml:space="preserve">. </w:t>
      </w:r>
    </w:p>
    <w:p w14:paraId="17F8F3E6" w14:textId="0C363A77" w:rsidR="008330A3" w:rsidRPr="00C97275" w:rsidRDefault="004527AD" w:rsidP="00C86588">
      <w:pPr>
        <w:jc w:val="both"/>
        <w:rPr>
          <w:rFonts w:ascii="Georgia" w:hAnsi="Georgia" w:cs="Times New Roman"/>
          <w:sz w:val="20"/>
          <w:lang w:val="lt-LT"/>
        </w:rPr>
      </w:pPr>
      <w:r w:rsidRPr="00C97275">
        <w:rPr>
          <w:rFonts w:ascii="Georgia" w:hAnsi="Georgia" w:cs="Times New Roman"/>
          <w:sz w:val="20"/>
          <w:lang w:val="lt-LT"/>
        </w:rPr>
        <w:t>Atsižvelg</w:t>
      </w:r>
      <w:r w:rsidR="005606CE" w:rsidRPr="00C97275">
        <w:rPr>
          <w:rFonts w:ascii="Georgia" w:hAnsi="Georgia" w:cs="Times New Roman"/>
          <w:sz w:val="20"/>
          <w:lang w:val="lt-LT"/>
        </w:rPr>
        <w:t>dama</w:t>
      </w:r>
      <w:r w:rsidRPr="00C97275">
        <w:rPr>
          <w:rFonts w:ascii="Georgia" w:hAnsi="Georgia" w:cs="Times New Roman"/>
          <w:sz w:val="20"/>
          <w:lang w:val="lt-LT"/>
        </w:rPr>
        <w:t xml:space="preserve"> į teisinį reglamentavimą</w:t>
      </w:r>
      <w:r w:rsidR="005606CE" w:rsidRPr="00C97275">
        <w:rPr>
          <w:rFonts w:ascii="Georgia" w:hAnsi="Georgia" w:cs="Times New Roman"/>
          <w:sz w:val="20"/>
          <w:lang w:val="lt-LT"/>
        </w:rPr>
        <w:t xml:space="preserve"> bei poreikį papildyti PwC studijoje atliktą pilotinį e</w:t>
      </w:r>
      <w:r w:rsidR="00300FF4" w:rsidRPr="00C97275">
        <w:rPr>
          <w:rFonts w:ascii="Georgia" w:hAnsi="Georgia" w:cs="Times New Roman"/>
          <w:sz w:val="20"/>
          <w:lang w:val="lt-LT"/>
        </w:rPr>
        <w:t>x-ante</w:t>
      </w:r>
      <w:r w:rsidR="005606CE" w:rsidRPr="00C97275">
        <w:rPr>
          <w:rFonts w:ascii="Georgia" w:hAnsi="Georgia" w:cs="Times New Roman"/>
          <w:sz w:val="20"/>
          <w:lang w:val="lt-LT"/>
        </w:rPr>
        <w:t xml:space="preserve"> vertinimą</w:t>
      </w:r>
      <w:r w:rsidRPr="00C97275">
        <w:rPr>
          <w:rFonts w:ascii="Georgia" w:hAnsi="Georgia" w:cs="Times New Roman"/>
          <w:sz w:val="20"/>
          <w:lang w:val="lt-LT"/>
        </w:rPr>
        <w:t xml:space="preserve">, </w:t>
      </w:r>
      <w:r w:rsidR="005606CE" w:rsidRPr="00C97275">
        <w:rPr>
          <w:rFonts w:ascii="Georgia" w:hAnsi="Georgia" w:cs="Times New Roman"/>
          <w:sz w:val="20"/>
          <w:lang w:val="lt-LT"/>
        </w:rPr>
        <w:t xml:space="preserve">taip pat </w:t>
      </w:r>
      <w:r w:rsidRPr="00C97275">
        <w:rPr>
          <w:rFonts w:ascii="Georgia" w:hAnsi="Georgia" w:cs="Times New Roman"/>
          <w:sz w:val="20"/>
          <w:lang w:val="lt-LT"/>
        </w:rPr>
        <w:t>vykdydama ES</w:t>
      </w:r>
      <w:r w:rsidR="005606CE" w:rsidRPr="00C97275">
        <w:rPr>
          <w:rFonts w:ascii="Georgia" w:hAnsi="Georgia" w:cs="Times New Roman"/>
          <w:sz w:val="20"/>
          <w:lang w:val="lt-LT"/>
        </w:rPr>
        <w:t>I</w:t>
      </w:r>
      <w:r w:rsidRPr="00C97275">
        <w:rPr>
          <w:rFonts w:ascii="Georgia" w:hAnsi="Georgia" w:cs="Times New Roman"/>
          <w:sz w:val="20"/>
          <w:lang w:val="lt-LT"/>
        </w:rPr>
        <w:t xml:space="preserve"> fondų vadovaujančiosios institucijos funkcijas bei siekdama užtikrinti efektyvų </w:t>
      </w:r>
      <w:r w:rsidR="005606CE" w:rsidRPr="00C97275">
        <w:rPr>
          <w:rFonts w:ascii="Georgia" w:hAnsi="Georgia" w:cs="Times New Roman"/>
          <w:sz w:val="20"/>
          <w:lang w:val="lt-LT"/>
        </w:rPr>
        <w:t>ESI fondų</w:t>
      </w:r>
      <w:r w:rsidRPr="00C97275">
        <w:rPr>
          <w:rFonts w:ascii="Georgia" w:hAnsi="Georgia" w:cs="Times New Roman"/>
          <w:sz w:val="20"/>
          <w:lang w:val="lt-LT"/>
        </w:rPr>
        <w:t xml:space="preserve"> p</w:t>
      </w:r>
      <w:r w:rsidR="00214DC9" w:rsidRPr="00C97275">
        <w:rPr>
          <w:rFonts w:ascii="Georgia" w:hAnsi="Georgia" w:cs="Times New Roman"/>
          <w:sz w:val="20"/>
          <w:lang w:val="lt-LT"/>
        </w:rPr>
        <w:t>anaudojimą, Finansų ministerija</w:t>
      </w:r>
      <w:r w:rsidRPr="00C97275">
        <w:rPr>
          <w:rFonts w:ascii="Georgia" w:hAnsi="Georgia" w:cs="Times New Roman"/>
          <w:sz w:val="20"/>
          <w:lang w:val="lt-LT"/>
        </w:rPr>
        <w:t xml:space="preserve"> inicijavo Viešosios infrastruktūros</w:t>
      </w:r>
      <w:r w:rsidR="005606CE" w:rsidRPr="00C97275">
        <w:rPr>
          <w:rFonts w:ascii="Georgia" w:hAnsi="Georgia" w:cs="Times New Roman"/>
          <w:sz w:val="20"/>
          <w:lang w:val="lt-LT"/>
        </w:rPr>
        <w:t xml:space="preserve"> ir Energijos efektyvumo e</w:t>
      </w:r>
      <w:r w:rsidR="00300FF4" w:rsidRPr="00C97275">
        <w:rPr>
          <w:rFonts w:ascii="Georgia" w:hAnsi="Georgia" w:cs="Times New Roman"/>
          <w:sz w:val="20"/>
          <w:lang w:val="lt-LT"/>
        </w:rPr>
        <w:t>x-ante</w:t>
      </w:r>
      <w:r w:rsidR="005606CE" w:rsidRPr="00C97275">
        <w:rPr>
          <w:rFonts w:ascii="Georgia" w:hAnsi="Georgia" w:cs="Times New Roman"/>
          <w:sz w:val="20"/>
          <w:lang w:val="lt-LT"/>
        </w:rPr>
        <w:t xml:space="preserve"> vertinimus</w:t>
      </w:r>
      <w:r w:rsidR="00214DC9" w:rsidRPr="00C97275">
        <w:rPr>
          <w:rStyle w:val="Puslapioinaosnuoroda"/>
          <w:rFonts w:ascii="Georgia" w:hAnsi="Georgia" w:cs="Times New Roman"/>
          <w:sz w:val="20"/>
          <w:lang w:val="lt-LT"/>
        </w:rPr>
        <w:footnoteReference w:id="2"/>
      </w:r>
      <w:r w:rsidR="005606CE" w:rsidRPr="00C97275">
        <w:rPr>
          <w:rFonts w:ascii="Georgia" w:hAnsi="Georgia" w:cs="Times New Roman"/>
          <w:sz w:val="20"/>
          <w:lang w:val="lt-LT"/>
        </w:rPr>
        <w:t>. Viešosios infrastruktūros e</w:t>
      </w:r>
      <w:r w:rsidR="00300FF4" w:rsidRPr="00C97275">
        <w:rPr>
          <w:rFonts w:ascii="Georgia" w:hAnsi="Georgia" w:cs="Times New Roman"/>
          <w:sz w:val="20"/>
          <w:lang w:val="lt-LT"/>
        </w:rPr>
        <w:t>x-ante</w:t>
      </w:r>
      <w:r w:rsidR="005606CE" w:rsidRPr="00C97275">
        <w:rPr>
          <w:rFonts w:ascii="Georgia" w:hAnsi="Georgia" w:cs="Times New Roman"/>
          <w:sz w:val="20"/>
          <w:lang w:val="lt-LT"/>
        </w:rPr>
        <w:t xml:space="preserve"> vertinimas apima įvairius viešosios infrastruktūros sektorius, tokius kaip aplinkosaugos, vandentvarkos, energetikos, transporto, švietimo, kultūros bei socialinius sektorius. Viešosios infrastruktūros e</w:t>
      </w:r>
      <w:r w:rsidR="00300FF4" w:rsidRPr="00C97275">
        <w:rPr>
          <w:rFonts w:ascii="Georgia" w:hAnsi="Georgia" w:cs="Times New Roman"/>
          <w:sz w:val="20"/>
          <w:lang w:val="lt-LT"/>
        </w:rPr>
        <w:t>x-ante</w:t>
      </w:r>
      <w:r w:rsidR="005606CE" w:rsidRPr="00C97275">
        <w:rPr>
          <w:rFonts w:ascii="Georgia" w:hAnsi="Georgia" w:cs="Times New Roman"/>
          <w:sz w:val="20"/>
          <w:lang w:val="lt-LT"/>
        </w:rPr>
        <w:t xml:space="preserve"> vertinime energetikos srityje nagrinėjamos </w:t>
      </w:r>
      <w:r w:rsidR="00BC232B" w:rsidRPr="00C97275">
        <w:rPr>
          <w:rFonts w:ascii="Georgia" w:hAnsi="Georgia" w:cs="Times New Roman"/>
          <w:sz w:val="20"/>
          <w:lang w:val="lt-LT"/>
        </w:rPr>
        <w:t xml:space="preserve">šilumos tinklų, elektros tinklų, dujų tinklų ir atsinaujinančių energijos išteklių </w:t>
      </w:r>
      <w:r w:rsidR="005606CE" w:rsidRPr="00C97275">
        <w:rPr>
          <w:rFonts w:ascii="Georgia" w:hAnsi="Georgia" w:cs="Times New Roman"/>
          <w:sz w:val="20"/>
          <w:lang w:val="lt-LT"/>
        </w:rPr>
        <w:t>sritys</w:t>
      </w:r>
      <w:r w:rsidR="00342BFB" w:rsidRPr="00C97275">
        <w:rPr>
          <w:rFonts w:ascii="Georgia" w:hAnsi="Georgia" w:cs="Times New Roman"/>
          <w:sz w:val="20"/>
          <w:lang w:val="lt-LT"/>
        </w:rPr>
        <w:t>.</w:t>
      </w:r>
      <w:r w:rsidR="00BC232B" w:rsidRPr="00C97275">
        <w:rPr>
          <w:rFonts w:ascii="Georgia" w:hAnsi="Georgia" w:cs="Times New Roman"/>
          <w:sz w:val="20"/>
          <w:lang w:val="lt-LT"/>
        </w:rPr>
        <w:t xml:space="preserve"> </w:t>
      </w:r>
    </w:p>
    <w:p w14:paraId="44B18BA8" w14:textId="176D947D" w:rsidR="00336C16" w:rsidRPr="00C97275" w:rsidRDefault="00342BFB" w:rsidP="00C86588">
      <w:pPr>
        <w:jc w:val="both"/>
        <w:rPr>
          <w:rFonts w:ascii="Georgia" w:hAnsi="Georgia" w:cs="Times New Roman"/>
          <w:sz w:val="20"/>
          <w:lang w:val="lt-LT"/>
        </w:rPr>
      </w:pPr>
      <w:r w:rsidRPr="00C97275">
        <w:rPr>
          <w:rFonts w:ascii="Georgia" w:hAnsi="Georgia" w:cs="Times New Roman"/>
          <w:sz w:val="20"/>
          <w:lang w:val="lt-LT"/>
        </w:rPr>
        <w:t>Ši</w:t>
      </w:r>
      <w:r w:rsidR="008330A3" w:rsidRPr="00C97275">
        <w:rPr>
          <w:rFonts w:ascii="Georgia" w:hAnsi="Georgia" w:cs="Times New Roman"/>
          <w:sz w:val="20"/>
          <w:lang w:val="lt-LT"/>
        </w:rPr>
        <w:t>s</w:t>
      </w:r>
      <w:r w:rsidRPr="00C97275">
        <w:rPr>
          <w:rFonts w:ascii="Georgia" w:hAnsi="Georgia" w:cs="Times New Roman"/>
          <w:sz w:val="20"/>
          <w:lang w:val="lt-LT"/>
        </w:rPr>
        <w:t xml:space="preserve"> </w:t>
      </w:r>
      <w:r w:rsidR="00336C16" w:rsidRPr="00C97275">
        <w:rPr>
          <w:rFonts w:ascii="Georgia" w:hAnsi="Georgia" w:cs="Times New Roman"/>
          <w:sz w:val="20"/>
          <w:lang w:val="lt-LT"/>
        </w:rPr>
        <w:t>Energijos vartojimo efektyvumo e</w:t>
      </w:r>
      <w:r w:rsidR="00300FF4" w:rsidRPr="00C97275">
        <w:rPr>
          <w:rFonts w:ascii="Georgia" w:hAnsi="Georgia" w:cs="Times New Roman"/>
          <w:sz w:val="20"/>
          <w:lang w:val="lt-LT"/>
        </w:rPr>
        <w:t>x-ante</w:t>
      </w:r>
      <w:r w:rsidR="00336C16" w:rsidRPr="00C97275">
        <w:rPr>
          <w:rFonts w:ascii="Georgia" w:hAnsi="Georgia" w:cs="Times New Roman"/>
          <w:sz w:val="20"/>
          <w:lang w:val="lt-LT"/>
        </w:rPr>
        <w:t xml:space="preserve"> </w:t>
      </w:r>
      <w:r w:rsidR="008330A3" w:rsidRPr="00C97275">
        <w:rPr>
          <w:rFonts w:ascii="Georgia" w:hAnsi="Georgia" w:cs="Times New Roman"/>
          <w:sz w:val="20"/>
          <w:lang w:val="lt-LT"/>
        </w:rPr>
        <w:t>vertinimas</w:t>
      </w:r>
      <w:r w:rsidR="00336C16" w:rsidRPr="00C97275">
        <w:rPr>
          <w:rFonts w:ascii="Georgia" w:hAnsi="Georgia" w:cs="Times New Roman"/>
          <w:sz w:val="20"/>
          <w:lang w:val="lt-LT"/>
        </w:rPr>
        <w:t xml:space="preserve"> apima daugiabučių namų modernizavim</w:t>
      </w:r>
      <w:r w:rsidR="00A67DBD" w:rsidRPr="00C97275">
        <w:rPr>
          <w:rFonts w:ascii="Georgia" w:hAnsi="Georgia" w:cs="Times New Roman"/>
          <w:sz w:val="20"/>
          <w:lang w:val="lt-LT"/>
        </w:rPr>
        <w:t>ą</w:t>
      </w:r>
      <w:r w:rsidR="00336C16" w:rsidRPr="00C97275">
        <w:rPr>
          <w:rFonts w:ascii="Georgia" w:hAnsi="Georgia" w:cs="Times New Roman"/>
          <w:sz w:val="20"/>
          <w:lang w:val="lt-LT"/>
        </w:rPr>
        <w:t xml:space="preserve">, </w:t>
      </w:r>
      <w:r w:rsidR="006D41CA" w:rsidRPr="00C97275">
        <w:rPr>
          <w:rFonts w:ascii="Georgia" w:hAnsi="Georgia" w:cs="Times New Roman"/>
          <w:sz w:val="20"/>
          <w:lang w:val="lt-LT"/>
        </w:rPr>
        <w:t>centrinės valdžios</w:t>
      </w:r>
      <w:r w:rsidR="00A67DBD" w:rsidRPr="00C97275">
        <w:rPr>
          <w:rFonts w:ascii="Georgia" w:hAnsi="Georgia" w:cs="Times New Roman"/>
          <w:sz w:val="20"/>
          <w:lang w:val="lt-LT"/>
        </w:rPr>
        <w:t xml:space="preserve"> pastatų modernizavimą, gatvių apšvietimo modernizavimą</w:t>
      </w:r>
      <w:r w:rsidR="00336C16" w:rsidRPr="00C97275">
        <w:rPr>
          <w:rFonts w:ascii="Georgia" w:hAnsi="Georgia" w:cs="Times New Roman"/>
          <w:sz w:val="20"/>
          <w:lang w:val="lt-LT"/>
        </w:rPr>
        <w:t xml:space="preserve"> ir </w:t>
      </w:r>
      <w:r w:rsidR="006D41CA" w:rsidRPr="00C97275">
        <w:rPr>
          <w:rFonts w:ascii="Georgia" w:hAnsi="Georgia" w:cs="Times New Roman"/>
          <w:sz w:val="20"/>
          <w:lang w:val="lt-LT"/>
        </w:rPr>
        <w:t xml:space="preserve">savivaldybių </w:t>
      </w:r>
      <w:r w:rsidR="00336C16" w:rsidRPr="00C97275">
        <w:rPr>
          <w:rFonts w:ascii="Georgia" w:hAnsi="Georgia" w:cs="Times New Roman"/>
          <w:sz w:val="20"/>
          <w:lang w:val="lt-LT"/>
        </w:rPr>
        <w:t>viešųjų pastatų modernizavim</w:t>
      </w:r>
      <w:r w:rsidR="00A67DBD" w:rsidRPr="00C97275">
        <w:rPr>
          <w:rFonts w:ascii="Georgia" w:hAnsi="Georgia" w:cs="Times New Roman"/>
          <w:sz w:val="20"/>
          <w:lang w:val="lt-LT"/>
        </w:rPr>
        <w:t>ą</w:t>
      </w:r>
      <w:r w:rsidR="00336C16" w:rsidRPr="00C97275">
        <w:rPr>
          <w:rFonts w:ascii="Georgia" w:hAnsi="Georgia" w:cs="Times New Roman"/>
          <w:sz w:val="20"/>
          <w:lang w:val="lt-LT"/>
        </w:rPr>
        <w:t>. Analizės metu siekiama įvertinti įvairius finansavimo modelius ir finansavimo sąlygas, įvairių tipų finansines priemones</w:t>
      </w:r>
      <w:r w:rsidR="00A67DBD" w:rsidRPr="00C97275">
        <w:rPr>
          <w:rFonts w:ascii="Georgia" w:hAnsi="Georgia" w:cs="Times New Roman"/>
          <w:sz w:val="20"/>
          <w:lang w:val="lt-LT"/>
        </w:rPr>
        <w:t>,</w:t>
      </w:r>
      <w:r w:rsidR="00336C16" w:rsidRPr="00C97275">
        <w:rPr>
          <w:rFonts w:ascii="Georgia" w:hAnsi="Georgia" w:cs="Times New Roman"/>
          <w:sz w:val="20"/>
          <w:lang w:val="lt-LT"/>
        </w:rPr>
        <w:t xml:space="preserve"> jų administravimo tvark</w:t>
      </w:r>
      <w:r w:rsidR="00A67DBD" w:rsidRPr="00C97275">
        <w:rPr>
          <w:rFonts w:ascii="Georgia" w:hAnsi="Georgia" w:cs="Times New Roman"/>
          <w:sz w:val="20"/>
          <w:lang w:val="lt-LT"/>
        </w:rPr>
        <w:t xml:space="preserve">ą bei </w:t>
      </w:r>
      <w:r w:rsidR="00336C16" w:rsidRPr="00C97275">
        <w:rPr>
          <w:rFonts w:ascii="Georgia" w:hAnsi="Georgia" w:cs="Times New Roman"/>
          <w:sz w:val="20"/>
          <w:lang w:val="lt-LT"/>
        </w:rPr>
        <w:t>galimybes pritraukti privačius išteklius. Atsižvelgiant į visus šiuos aspektus siekia</w:t>
      </w:r>
      <w:r w:rsidR="001F5C99" w:rsidRPr="00C97275">
        <w:rPr>
          <w:rFonts w:ascii="Georgia" w:hAnsi="Georgia" w:cs="Times New Roman"/>
          <w:sz w:val="20"/>
          <w:lang w:val="lt-LT"/>
        </w:rPr>
        <w:t xml:space="preserve">ma pasiūlyti </w:t>
      </w:r>
      <w:r w:rsidR="006D41CA" w:rsidRPr="00C97275">
        <w:rPr>
          <w:rFonts w:ascii="Georgia" w:hAnsi="Georgia" w:cs="Times New Roman"/>
          <w:sz w:val="20"/>
          <w:lang w:val="lt-LT"/>
        </w:rPr>
        <w:t xml:space="preserve">optimaliausius </w:t>
      </w:r>
      <w:r w:rsidR="001F5C99" w:rsidRPr="00C97275">
        <w:rPr>
          <w:rFonts w:ascii="Georgia" w:hAnsi="Georgia" w:cs="Times New Roman"/>
          <w:sz w:val="20"/>
          <w:lang w:val="lt-LT"/>
        </w:rPr>
        <w:t>ESI</w:t>
      </w:r>
      <w:r w:rsidR="00336C16" w:rsidRPr="00C97275">
        <w:rPr>
          <w:rFonts w:ascii="Georgia" w:hAnsi="Georgia" w:cs="Times New Roman"/>
          <w:sz w:val="20"/>
          <w:lang w:val="lt-LT"/>
        </w:rPr>
        <w:t xml:space="preserve"> fondų </w:t>
      </w:r>
      <w:r w:rsidR="006D41CA" w:rsidRPr="00C97275">
        <w:rPr>
          <w:rFonts w:ascii="Georgia" w:hAnsi="Georgia" w:cs="Times New Roman"/>
          <w:sz w:val="20"/>
          <w:lang w:val="lt-LT"/>
        </w:rPr>
        <w:t>panaudojimo būdus</w:t>
      </w:r>
      <w:r w:rsidR="00A67DBD" w:rsidRPr="00C97275">
        <w:rPr>
          <w:rFonts w:ascii="Georgia" w:hAnsi="Georgia" w:cs="Times New Roman"/>
          <w:sz w:val="20"/>
          <w:lang w:val="lt-LT"/>
        </w:rPr>
        <w:t xml:space="preserve"> įgyvendinant finansines priemones</w:t>
      </w:r>
      <w:r w:rsidR="00336C16" w:rsidRPr="00C97275">
        <w:rPr>
          <w:rFonts w:ascii="Georgia" w:hAnsi="Georgia" w:cs="Times New Roman"/>
          <w:sz w:val="20"/>
          <w:lang w:val="lt-LT"/>
        </w:rPr>
        <w:t xml:space="preserve">. </w:t>
      </w:r>
    </w:p>
    <w:p w14:paraId="6A478259" w14:textId="599FA84E" w:rsidR="00A67DBD" w:rsidRPr="00C97275" w:rsidRDefault="008330A3" w:rsidP="008330A3">
      <w:pPr>
        <w:jc w:val="both"/>
        <w:rPr>
          <w:rFonts w:ascii="Georgia" w:hAnsi="Georgia" w:cs="Times New Roman"/>
          <w:sz w:val="20"/>
          <w:lang w:val="lt-LT"/>
        </w:rPr>
      </w:pPr>
      <w:bookmarkStart w:id="7" w:name="_Toc393381197"/>
      <w:r w:rsidRPr="00C97275">
        <w:rPr>
          <w:rFonts w:ascii="Georgia" w:hAnsi="Georgia" w:cs="Times New Roman"/>
          <w:sz w:val="20"/>
          <w:lang w:val="lt-LT"/>
        </w:rPr>
        <w:t>Šis</w:t>
      </w:r>
      <w:r w:rsidR="00DA40CC" w:rsidRPr="00C97275">
        <w:rPr>
          <w:rFonts w:ascii="Georgia" w:hAnsi="Georgia" w:cs="Times New Roman"/>
          <w:sz w:val="20"/>
          <w:lang w:val="lt-LT"/>
        </w:rPr>
        <w:t xml:space="preserve"> e</w:t>
      </w:r>
      <w:r w:rsidR="00300FF4" w:rsidRPr="00C97275">
        <w:rPr>
          <w:rFonts w:ascii="Georgia" w:hAnsi="Georgia" w:cs="Times New Roman"/>
          <w:sz w:val="20"/>
          <w:lang w:val="lt-LT"/>
        </w:rPr>
        <w:t>x-ante</w:t>
      </w:r>
      <w:r w:rsidR="00DA40CC" w:rsidRPr="00C97275">
        <w:rPr>
          <w:rFonts w:ascii="Georgia" w:hAnsi="Georgia" w:cs="Times New Roman"/>
          <w:sz w:val="20"/>
          <w:lang w:val="lt-LT"/>
        </w:rPr>
        <w:t xml:space="preserve"> vertinimas parengtas vadovaujantis Bendrųjų nuostatų reglamento </w:t>
      </w:r>
      <w:r w:rsidR="00D002D8" w:rsidRPr="00C97275">
        <w:rPr>
          <w:rFonts w:ascii="Georgia" w:hAnsi="Georgia" w:cs="Times New Roman"/>
          <w:sz w:val="20"/>
          <w:lang w:val="lt-LT"/>
        </w:rPr>
        <w:t>37.2 dalyje</w:t>
      </w:r>
      <w:r w:rsidRPr="00C97275">
        <w:rPr>
          <w:rFonts w:ascii="Georgia" w:hAnsi="Georgia" w:cs="Times New Roman"/>
          <w:sz w:val="20"/>
          <w:lang w:val="lt-LT"/>
        </w:rPr>
        <w:t xml:space="preserve"> apibrėžtais reikalavimais e</w:t>
      </w:r>
      <w:r w:rsidR="00300FF4" w:rsidRPr="00C97275">
        <w:rPr>
          <w:rFonts w:ascii="Georgia" w:hAnsi="Georgia" w:cs="Times New Roman"/>
          <w:sz w:val="20"/>
          <w:lang w:val="lt-LT"/>
        </w:rPr>
        <w:t>x-ante</w:t>
      </w:r>
      <w:r w:rsidRPr="00C97275">
        <w:rPr>
          <w:rFonts w:ascii="Georgia" w:hAnsi="Georgia" w:cs="Times New Roman"/>
          <w:sz w:val="20"/>
          <w:lang w:val="lt-LT"/>
        </w:rPr>
        <w:t xml:space="preserve"> vertinimui, </w:t>
      </w:r>
      <w:r w:rsidR="00D002D8" w:rsidRPr="00C97275">
        <w:rPr>
          <w:rFonts w:ascii="Georgia" w:hAnsi="Georgia" w:cs="Times New Roman"/>
          <w:sz w:val="20"/>
          <w:lang w:val="lt-LT"/>
        </w:rPr>
        <w:t>bei vadovaujantis e</w:t>
      </w:r>
      <w:r w:rsidR="00300FF4" w:rsidRPr="00C97275">
        <w:rPr>
          <w:rFonts w:ascii="Georgia" w:hAnsi="Georgia" w:cs="Times New Roman"/>
          <w:sz w:val="20"/>
          <w:lang w:val="lt-LT"/>
        </w:rPr>
        <w:t>x-ante</w:t>
      </w:r>
      <w:r w:rsidR="00D002D8" w:rsidRPr="00C97275">
        <w:rPr>
          <w:rFonts w:ascii="Georgia" w:hAnsi="Georgia" w:cs="Times New Roman"/>
          <w:sz w:val="20"/>
          <w:lang w:val="lt-LT"/>
        </w:rPr>
        <w:t xml:space="preserve"> </w:t>
      </w:r>
      <w:r w:rsidRPr="00C97275">
        <w:rPr>
          <w:rFonts w:ascii="Georgia" w:hAnsi="Georgia" w:cs="Times New Roman"/>
          <w:sz w:val="20"/>
          <w:lang w:val="lt-LT"/>
        </w:rPr>
        <w:t>vertinimo</w:t>
      </w:r>
      <w:r w:rsidR="00D002D8" w:rsidRPr="00C97275">
        <w:rPr>
          <w:rFonts w:ascii="Georgia" w:hAnsi="Georgia" w:cs="Times New Roman"/>
          <w:sz w:val="20"/>
          <w:lang w:val="lt-LT"/>
        </w:rPr>
        <w:t xml:space="preserve"> metodo</w:t>
      </w:r>
      <w:r w:rsidR="0084246B" w:rsidRPr="00C97275">
        <w:rPr>
          <w:rFonts w:ascii="Georgia" w:hAnsi="Georgia" w:cs="Times New Roman"/>
          <w:sz w:val="20"/>
          <w:lang w:val="lt-LT"/>
        </w:rPr>
        <w:t>lo</w:t>
      </w:r>
      <w:r w:rsidR="00D002D8" w:rsidRPr="00C97275">
        <w:rPr>
          <w:rFonts w:ascii="Georgia" w:hAnsi="Georgia" w:cs="Times New Roman"/>
          <w:sz w:val="20"/>
          <w:lang w:val="lt-LT"/>
        </w:rPr>
        <w:t xml:space="preserve">gija. </w:t>
      </w:r>
    </w:p>
    <w:p w14:paraId="546073C3" w14:textId="77777777" w:rsidR="008330A3" w:rsidRPr="00C97275" w:rsidRDefault="008330A3" w:rsidP="008330A3">
      <w:pPr>
        <w:jc w:val="both"/>
        <w:rPr>
          <w:rFonts w:ascii="Georgia" w:hAnsi="Georgia" w:cs="Times New Roman"/>
          <w:sz w:val="20"/>
          <w:lang w:val="lt-LT"/>
        </w:rPr>
      </w:pPr>
    </w:p>
    <w:p w14:paraId="1345DB1B" w14:textId="77777777" w:rsidR="00485E21" w:rsidRPr="00C97275" w:rsidRDefault="00485E21">
      <w:pPr>
        <w:rPr>
          <w:rFonts w:ascii="Georgia" w:eastAsiaTheme="majorEastAsia" w:hAnsi="Georgia" w:cstheme="majorBidi"/>
          <w:b/>
          <w:bCs/>
          <w:color w:val="4F81BD" w:themeColor="accent1"/>
          <w:sz w:val="26"/>
          <w:szCs w:val="26"/>
          <w:lang w:val="lt-LT"/>
        </w:rPr>
      </w:pPr>
      <w:r w:rsidRPr="00C97275">
        <w:rPr>
          <w:rFonts w:ascii="Georgia" w:hAnsi="Georgia"/>
          <w:lang w:val="lt-LT"/>
        </w:rPr>
        <w:br w:type="page"/>
      </w:r>
    </w:p>
    <w:p w14:paraId="79F3576C" w14:textId="77777777" w:rsidR="00336C16" w:rsidRPr="00C97275" w:rsidRDefault="00336C16" w:rsidP="00162BF5">
      <w:pPr>
        <w:pStyle w:val="Antrat2"/>
        <w:numPr>
          <w:ilvl w:val="1"/>
          <w:numId w:val="21"/>
        </w:numPr>
        <w:rPr>
          <w:rFonts w:ascii="Georgia" w:hAnsi="Georgia"/>
          <w:lang w:val="lt-LT"/>
        </w:rPr>
      </w:pPr>
      <w:bookmarkStart w:id="8" w:name="_Toc25594637"/>
      <w:r w:rsidRPr="00C97275">
        <w:rPr>
          <w:rFonts w:ascii="Georgia" w:hAnsi="Georgia"/>
          <w:lang w:val="lt-LT"/>
        </w:rPr>
        <w:lastRenderedPageBreak/>
        <w:t xml:space="preserve">Energijos efektyvumo finansinių priemonių suderinamumas su </w:t>
      </w:r>
      <w:bookmarkEnd w:id="7"/>
      <w:r w:rsidR="00CC2E6F" w:rsidRPr="00C97275">
        <w:rPr>
          <w:rFonts w:ascii="Georgia" w:hAnsi="Georgia"/>
          <w:lang w:val="lt-LT"/>
        </w:rPr>
        <w:t>ES</w:t>
      </w:r>
      <w:r w:rsidR="00A67DBD" w:rsidRPr="00C97275">
        <w:rPr>
          <w:rFonts w:ascii="Georgia" w:hAnsi="Georgia"/>
          <w:lang w:val="lt-LT"/>
        </w:rPr>
        <w:t xml:space="preserve"> ir nacionaliniais </w:t>
      </w:r>
      <w:r w:rsidRPr="00C97275">
        <w:rPr>
          <w:rFonts w:ascii="Georgia" w:hAnsi="Georgia"/>
          <w:lang w:val="lt-LT"/>
        </w:rPr>
        <w:t>strateginiais tikslais energijos efektyvumo srityje</w:t>
      </w:r>
      <w:bookmarkEnd w:id="8"/>
    </w:p>
    <w:p w14:paraId="076DC86B" w14:textId="77777777" w:rsidR="0083461E" w:rsidRPr="00C97275" w:rsidRDefault="00CC2E6F" w:rsidP="00162BF5">
      <w:pPr>
        <w:pStyle w:val="Antrat2"/>
        <w:numPr>
          <w:ilvl w:val="2"/>
          <w:numId w:val="21"/>
        </w:numPr>
        <w:rPr>
          <w:rFonts w:ascii="Georgia" w:hAnsi="Georgia"/>
          <w:lang w:val="lt-LT"/>
        </w:rPr>
      </w:pPr>
      <w:bookmarkStart w:id="9" w:name="_Toc25594638"/>
      <w:r w:rsidRPr="00C97275">
        <w:rPr>
          <w:rFonts w:ascii="Georgia" w:hAnsi="Georgia"/>
          <w:lang w:val="lt-LT"/>
        </w:rPr>
        <w:t>ES</w:t>
      </w:r>
      <w:r w:rsidR="0083461E" w:rsidRPr="00C97275">
        <w:rPr>
          <w:rFonts w:ascii="Georgia" w:hAnsi="Georgia"/>
          <w:lang w:val="lt-LT"/>
        </w:rPr>
        <w:t xml:space="preserve"> ir nacionaliniai strateginiai dokumentai, aktualūs energijos efektyvumo srityje</w:t>
      </w:r>
      <w:bookmarkEnd w:id="9"/>
    </w:p>
    <w:p w14:paraId="19AE5FDB" w14:textId="77777777" w:rsidR="00336C16" w:rsidRPr="00C97275" w:rsidRDefault="00336C16" w:rsidP="00336C16">
      <w:pPr>
        <w:jc w:val="both"/>
        <w:rPr>
          <w:rFonts w:ascii="Georgia" w:hAnsi="Georgia" w:cs="Times New Roman"/>
          <w:sz w:val="20"/>
          <w:lang w:val="lt-LT"/>
        </w:rPr>
      </w:pPr>
    </w:p>
    <w:p w14:paraId="51A003C3" w14:textId="77777777" w:rsidR="00336C16" w:rsidRPr="00C97275" w:rsidRDefault="00336C16" w:rsidP="00336C16">
      <w:pPr>
        <w:jc w:val="both"/>
        <w:rPr>
          <w:rFonts w:ascii="Georgia" w:hAnsi="Georgia" w:cs="Times New Roman"/>
          <w:sz w:val="20"/>
          <w:lang w:val="lt-LT"/>
        </w:rPr>
      </w:pPr>
      <w:r w:rsidRPr="00C97275">
        <w:rPr>
          <w:rFonts w:ascii="Georgia" w:hAnsi="Georgia" w:cs="Times New Roman"/>
          <w:sz w:val="20"/>
          <w:lang w:val="lt-LT"/>
        </w:rPr>
        <w:t xml:space="preserve">Energijos efektyvumas yra viena iš </w:t>
      </w:r>
      <w:r w:rsidR="00CC2E6F" w:rsidRPr="00C97275">
        <w:rPr>
          <w:rFonts w:ascii="Georgia" w:hAnsi="Georgia" w:cs="Times New Roman"/>
          <w:sz w:val="20"/>
          <w:lang w:val="lt-LT"/>
        </w:rPr>
        <w:t>ES</w:t>
      </w:r>
      <w:r w:rsidR="00A67DBD" w:rsidRPr="00C97275">
        <w:rPr>
          <w:rFonts w:ascii="Georgia" w:hAnsi="Georgia" w:cs="Times New Roman"/>
          <w:sz w:val="20"/>
          <w:lang w:val="lt-LT"/>
        </w:rPr>
        <w:t xml:space="preserve"> bei Lietuvos</w:t>
      </w:r>
      <w:r w:rsidRPr="00C97275">
        <w:rPr>
          <w:rFonts w:ascii="Georgia" w:hAnsi="Georgia" w:cs="Times New Roman"/>
          <w:sz w:val="20"/>
          <w:lang w:val="lt-LT"/>
        </w:rPr>
        <w:t xml:space="preserve"> strateginių krypčių, kurioms skiriamas ypatingas dėmesys, dideli finansiniai ištekliai ir keliami ambicingi siekiai. Energijos efektyvumo srities strateginiai tikslai, keliami reikalavimai ir rezultatai yra įvardijami daugelyje strateginių dokumentų. Toliau trumpai </w:t>
      </w:r>
      <w:r w:rsidR="00A67DBD" w:rsidRPr="00C97275">
        <w:rPr>
          <w:rFonts w:ascii="Georgia" w:hAnsi="Georgia" w:cs="Times New Roman"/>
          <w:sz w:val="20"/>
          <w:lang w:val="lt-LT"/>
        </w:rPr>
        <w:t>aptariami pagrindiniai strateginiai dokumentai bei jų keliami tikslai.</w:t>
      </w:r>
      <w:r w:rsidRPr="00C97275">
        <w:rPr>
          <w:rFonts w:ascii="Georgia" w:hAnsi="Georgia" w:cs="Times New Roman"/>
          <w:sz w:val="20"/>
          <w:lang w:val="lt-LT"/>
        </w:rPr>
        <w:t xml:space="preserve"> </w:t>
      </w:r>
    </w:p>
    <w:p w14:paraId="02BD3A51" w14:textId="77777777" w:rsidR="00336C16" w:rsidRPr="00C97275" w:rsidRDefault="00336C16"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Europa 2020</w:t>
      </w:r>
    </w:p>
    <w:p w14:paraId="3072ED2C" w14:textId="77777777" w:rsidR="00336C16" w:rsidRPr="00C97275" w:rsidRDefault="00336C16" w:rsidP="00336C16">
      <w:pPr>
        <w:jc w:val="both"/>
        <w:rPr>
          <w:rFonts w:ascii="Georgia" w:hAnsi="Georgia" w:cs="Times New Roman"/>
          <w:sz w:val="20"/>
          <w:lang w:val="lt-LT"/>
        </w:rPr>
      </w:pPr>
      <w:r w:rsidRPr="00C97275">
        <w:rPr>
          <w:rFonts w:ascii="Georgia" w:hAnsi="Georgia" w:cs="Georgia"/>
          <w:sz w:val="20"/>
          <w:szCs w:val="20"/>
          <w:lang w:val="lt-LT"/>
        </w:rPr>
        <w:t>„</w:t>
      </w:r>
      <w:r w:rsidRPr="00C97275">
        <w:rPr>
          <w:rFonts w:ascii="Georgia" w:hAnsi="Georgia" w:cs="Times New Roman"/>
          <w:sz w:val="20"/>
          <w:lang w:val="lt-LT"/>
        </w:rPr>
        <w:t xml:space="preserve">Europa 2020“ – tai šio dešimtmečio ES ekonomikos augimo strategija. Šia strategija kryptingai siekiama, kad ES ekonomika taptų pažangi, tvari ir integracinė. ES užsibrėžė penkių sričių – užimtumo, inovacijų, švietimo, socialinės įtraukties ir klimato bei energetikos – tikslus, o kiekviena valstybė narė nusistatė nacionalinius šių sričių tikslus. Strategija grindžiama konkrečiais ES ir nacionalinio lygmenų veiksmais. Klimato kaitos ir energetikos </w:t>
      </w:r>
      <w:r w:rsidR="00A67DBD" w:rsidRPr="00C97275">
        <w:rPr>
          <w:rFonts w:ascii="Georgia" w:hAnsi="Georgia" w:cs="Times New Roman"/>
          <w:sz w:val="20"/>
          <w:lang w:val="lt-LT"/>
        </w:rPr>
        <w:t xml:space="preserve">sritims </w:t>
      </w:r>
      <w:r w:rsidRPr="00C97275">
        <w:rPr>
          <w:rFonts w:ascii="Georgia" w:hAnsi="Georgia" w:cs="Times New Roman"/>
          <w:sz w:val="20"/>
          <w:lang w:val="lt-LT"/>
        </w:rPr>
        <w:t>keliami tikslai, dar vadinami 20-20-20 tikslais</w:t>
      </w:r>
      <w:r w:rsidR="00A67DBD" w:rsidRPr="00C97275">
        <w:rPr>
          <w:rFonts w:ascii="Georgia" w:hAnsi="Georgia" w:cs="Times New Roman"/>
          <w:sz w:val="20"/>
          <w:lang w:val="lt-LT"/>
        </w:rPr>
        <w:t>, yra šie</w:t>
      </w:r>
      <w:r w:rsidRPr="00C97275">
        <w:rPr>
          <w:rFonts w:ascii="Georgia" w:hAnsi="Georgia" w:cs="Times New Roman"/>
          <w:sz w:val="20"/>
          <w:lang w:val="lt-LT"/>
        </w:rPr>
        <w:t>:</w:t>
      </w:r>
    </w:p>
    <w:p w14:paraId="44019038" w14:textId="77777777" w:rsidR="00336C16" w:rsidRPr="00C97275" w:rsidRDefault="00336C16" w:rsidP="00162BF5">
      <w:pPr>
        <w:pStyle w:val="Sraopastraipa"/>
        <w:numPr>
          <w:ilvl w:val="0"/>
          <w:numId w:val="22"/>
        </w:num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šiltnamio efektą sukeliančių dujų kiekis turėtų būti sumažintas 20 % (arba net 30 %, jei tam bus tinkamos sąlygos), palyginti su 1990 m. rodikliais;</w:t>
      </w:r>
    </w:p>
    <w:p w14:paraId="0B06A005" w14:textId="77777777" w:rsidR="00336C16" w:rsidRPr="00C97275" w:rsidRDefault="00336C16" w:rsidP="00162BF5">
      <w:pPr>
        <w:pStyle w:val="Sraopastraipa"/>
        <w:numPr>
          <w:ilvl w:val="0"/>
          <w:numId w:val="22"/>
        </w:num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20 % energijos turėtų būti gaminama iš atsinaujinančiųjų šaltinių;</w:t>
      </w:r>
    </w:p>
    <w:p w14:paraId="183593F8" w14:textId="77777777" w:rsidR="00336C16" w:rsidRPr="00C97275" w:rsidRDefault="00336C16" w:rsidP="00162BF5">
      <w:pPr>
        <w:pStyle w:val="Sraopastraipa"/>
        <w:numPr>
          <w:ilvl w:val="0"/>
          <w:numId w:val="22"/>
        </w:num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energijos vartojimo efektyvumas turėtų būti padidintas 20 %.</w:t>
      </w:r>
    </w:p>
    <w:p w14:paraId="5A7A54C1" w14:textId="77777777" w:rsidR="009E6616" w:rsidRPr="00C97275" w:rsidRDefault="00336C16"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 xml:space="preserve">Energijos efektyvumo direktyva </w:t>
      </w:r>
    </w:p>
    <w:p w14:paraId="22124AC7"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Energijos efektyvumo direktyva yra vykdomasis dokumentas, kuriame šalims narėms numatomi reikalavimai, kuriuos įvykdžius bus užtikrintas vieno iš </w:t>
      </w:r>
      <w:r w:rsidR="009E6616" w:rsidRPr="00C97275">
        <w:rPr>
          <w:rFonts w:ascii="Georgia" w:hAnsi="Georgia" w:cs="Georgia"/>
          <w:sz w:val="20"/>
          <w:szCs w:val="20"/>
          <w:lang w:val="lt-LT"/>
        </w:rPr>
        <w:t>strategijos „</w:t>
      </w:r>
      <w:r w:rsidRPr="00C97275">
        <w:rPr>
          <w:rFonts w:ascii="Georgia" w:hAnsi="Georgia" w:cs="Georgia"/>
          <w:sz w:val="20"/>
          <w:szCs w:val="20"/>
          <w:lang w:val="lt-LT"/>
        </w:rPr>
        <w:t>Europa 2020</w:t>
      </w:r>
      <w:r w:rsidR="009E6616" w:rsidRPr="00C97275">
        <w:rPr>
          <w:rFonts w:ascii="Georgia" w:hAnsi="Georgia" w:cs="Georgia"/>
          <w:sz w:val="20"/>
          <w:szCs w:val="20"/>
          <w:lang w:val="lt-LT"/>
        </w:rPr>
        <w:t>“</w:t>
      </w:r>
      <w:r w:rsidRPr="00C97275">
        <w:rPr>
          <w:rFonts w:ascii="Georgia" w:hAnsi="Georgia" w:cs="Georgia"/>
          <w:sz w:val="20"/>
          <w:szCs w:val="20"/>
          <w:lang w:val="lt-LT"/>
        </w:rPr>
        <w:t xml:space="preserve"> tikslų – energijos vartojimo efektyvumas padidintas 20% – pasiekimas. </w:t>
      </w:r>
    </w:p>
    <w:p w14:paraId="32CB85E4"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Viena iš </w:t>
      </w:r>
      <w:r w:rsidR="009E6616" w:rsidRPr="00C97275">
        <w:rPr>
          <w:rFonts w:ascii="Georgia" w:hAnsi="Georgia" w:cs="Georgia"/>
          <w:sz w:val="20"/>
          <w:szCs w:val="20"/>
          <w:lang w:val="lt-LT"/>
        </w:rPr>
        <w:t xml:space="preserve">reglamentuojamų </w:t>
      </w:r>
      <w:r w:rsidRPr="00C97275">
        <w:rPr>
          <w:rFonts w:ascii="Georgia" w:hAnsi="Georgia" w:cs="Georgia"/>
          <w:sz w:val="20"/>
          <w:szCs w:val="20"/>
          <w:lang w:val="lt-LT"/>
        </w:rPr>
        <w:t>sričių yra pastatų renovacija</w:t>
      </w:r>
      <w:r w:rsidR="009E6616" w:rsidRPr="00C97275">
        <w:rPr>
          <w:rFonts w:ascii="Georgia" w:hAnsi="Georgia" w:cs="Georgia"/>
          <w:sz w:val="20"/>
          <w:szCs w:val="20"/>
          <w:lang w:val="lt-LT"/>
        </w:rPr>
        <w:t>, kaip tai apibrėžta Energijos efektyvumo direktyvos 5.1 punkte</w:t>
      </w:r>
      <w:r w:rsidRPr="00C97275">
        <w:rPr>
          <w:rFonts w:ascii="Georgia" w:hAnsi="Georgia" w:cs="Georgia"/>
          <w:sz w:val="20"/>
          <w:szCs w:val="20"/>
          <w:lang w:val="lt-LT"/>
        </w:rPr>
        <w:t>: „V</w:t>
      </w:r>
      <w:r w:rsidRPr="00C97275">
        <w:rPr>
          <w:rFonts w:ascii="Georgia" w:hAnsi="Georgia" w:cs="Georgia"/>
          <w:i/>
          <w:sz w:val="20"/>
          <w:szCs w:val="20"/>
          <w:lang w:val="lt-LT"/>
        </w:rPr>
        <w:t>alstybė narė užtikrin</w:t>
      </w:r>
      <w:r w:rsidR="009E6616" w:rsidRPr="00C97275">
        <w:rPr>
          <w:rFonts w:ascii="Georgia" w:hAnsi="Georgia" w:cs="Georgia"/>
          <w:i/>
          <w:sz w:val="20"/>
          <w:szCs w:val="20"/>
          <w:lang w:val="lt-LT"/>
        </w:rPr>
        <w:t>a</w:t>
      </w:r>
      <w:r w:rsidRPr="00C97275">
        <w:rPr>
          <w:rFonts w:ascii="Georgia" w:hAnsi="Georgia" w:cs="Georgia"/>
          <w:i/>
          <w:sz w:val="20"/>
          <w:szCs w:val="20"/>
          <w:lang w:val="lt-LT"/>
        </w:rPr>
        <w:t>, kad nuo 2014 m. sausio 1 d. kasmet būtų renovuojama 3% bendro centrinės valdžios subjektams priklausančių ir jų naudojamų šildomų ir (arba) vėsinamų pastatų patalpų ploto, kad būtų įvykdyti bent minimalūs energinio naudingumo reikalavimai</w:t>
      </w:r>
      <w:r w:rsidR="009E6616" w:rsidRPr="00C97275">
        <w:rPr>
          <w:rFonts w:ascii="Georgia" w:hAnsi="Georgia" w:cs="Georgia"/>
          <w:i/>
          <w:sz w:val="20"/>
          <w:szCs w:val="20"/>
          <w:lang w:val="lt-LT"/>
        </w:rPr>
        <w:t>, kuriuos ji nustatė taikydama Direktyvos 2010/31/ES 4 straipsnį</w:t>
      </w:r>
      <w:r w:rsidRPr="00C97275">
        <w:rPr>
          <w:rFonts w:ascii="Georgia" w:hAnsi="Georgia" w:cs="Georgia"/>
          <w:i/>
          <w:sz w:val="20"/>
          <w:szCs w:val="20"/>
          <w:lang w:val="lt-LT"/>
        </w:rPr>
        <w:t xml:space="preserve">. 3% rodiklis apskaičiuojamas pagal atitinkamos valstybės narės centrinės valdžios subjektams priklausančių ir jų naudojamų pastatų, kurie kiekvienų metų sausio 1 d. neatitinka </w:t>
      </w:r>
      <w:r w:rsidR="009E6616" w:rsidRPr="00C97275">
        <w:rPr>
          <w:rFonts w:ascii="Georgia" w:hAnsi="Georgia" w:cs="Georgia"/>
          <w:i/>
          <w:sz w:val="20"/>
          <w:szCs w:val="20"/>
          <w:lang w:val="lt-LT"/>
        </w:rPr>
        <w:t xml:space="preserve">taikant Direktyvos 2010/31/ES 4 straipsnį </w:t>
      </w:r>
      <w:r w:rsidRPr="00C97275">
        <w:rPr>
          <w:rFonts w:ascii="Georgia" w:hAnsi="Georgia" w:cs="Georgia"/>
          <w:i/>
          <w:sz w:val="20"/>
          <w:szCs w:val="20"/>
          <w:lang w:val="lt-LT"/>
        </w:rPr>
        <w:t>nustatytų nacionalinių minimalių energinio naudingumo reikalavimų ir kurių bendras naudingasis patalpų plotas viršija 500 kv. m. Nuo 2015 m. liepos 9 d. ta ribinė vertė sumažinama iki 250 kv. m</w:t>
      </w:r>
      <w:r w:rsidRPr="00C97275">
        <w:rPr>
          <w:rFonts w:ascii="Georgia" w:hAnsi="Georgia" w:cs="Georgia"/>
          <w:sz w:val="20"/>
          <w:szCs w:val="20"/>
          <w:lang w:val="lt-LT"/>
        </w:rPr>
        <w:t>.“.</w:t>
      </w:r>
    </w:p>
    <w:p w14:paraId="44DC4E40"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sz w:val="20"/>
          <w:szCs w:val="20"/>
          <w:lang w:val="lt-LT"/>
        </w:rPr>
        <w:t>Daugiabučių modernizavimo srityje taip pat yra aktualių direktyvinių reikalavimų, kurie daro įtaką netgi konkrečių techninių priemonių diegimui daugiabučiuose, tokių kaip pavyzdžiui individualūs skaitikliai: „</w:t>
      </w:r>
      <w:r w:rsidRPr="00C97275">
        <w:rPr>
          <w:rFonts w:ascii="Georgia" w:hAnsi="Georgia" w:cs="Georgia"/>
          <w:i/>
          <w:sz w:val="20"/>
          <w:szCs w:val="20"/>
          <w:lang w:val="lt-LT"/>
        </w:rPr>
        <w:t xml:space="preserve">Daugiabučiuose ir daugeliui paskirčių naudojamuose pastatuose, kuriuose yra centrinis šilumos/vėsumos tiekimo šaltinis arba kuriuos patarnauja centralizuoto šilumos tiekimo tinklas ar centrinis daug pastatų aptarnaujantis šaltinis, ne vėliau kaip 2016 m. gruodžio 31 d. taip pat įrengiami individualaus suvartojimo skaitikliai, kuriais, jei tai techniškai įmanoma ir ekonomiškai </w:t>
      </w:r>
      <w:r w:rsidRPr="00C97275">
        <w:rPr>
          <w:rFonts w:ascii="Georgia" w:hAnsi="Georgia" w:cs="Georgia"/>
          <w:i/>
          <w:sz w:val="20"/>
          <w:szCs w:val="20"/>
          <w:lang w:val="lt-LT"/>
        </w:rPr>
        <w:lastRenderedPageBreak/>
        <w:t>veiksminga, būtų matuojamas kiekvienos patalpos šilumos, vėsumos ir karšto vandens suvartojimas.“</w:t>
      </w:r>
      <w:r w:rsidR="009E6616" w:rsidRPr="00C97275">
        <w:rPr>
          <w:rStyle w:val="Puslapioinaosnuoroda"/>
          <w:rFonts w:ascii="Georgia" w:hAnsi="Georgia" w:cs="Georgia"/>
          <w:i/>
          <w:sz w:val="20"/>
          <w:szCs w:val="20"/>
          <w:lang w:val="lt-LT"/>
        </w:rPr>
        <w:footnoteReference w:id="3"/>
      </w:r>
    </w:p>
    <w:p w14:paraId="52B2BF98"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Energijos efektyvumo direktyva taip pat reglamentuoja įpareigojimų sistemos sukūrimą, įmonių energetinių auditų atlikimą, skatina viešąsias organizacijas vietiniu ar regioniniu lygmeniu pasitvirtinti energijos vartojimo efektyvumo planus, skatina siekti kuo aukštesnės energetinių auditų kokybės bei didinti visuomenės informuotumą apie energetinių auditų teikiamą naudą, skatina užtikrinti kuo tikslesnę sąskaitose už suvartotą energiją pateikiamą informaciją ir kt. </w:t>
      </w:r>
    </w:p>
    <w:p w14:paraId="2E6D1BF6"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sz w:val="20"/>
          <w:szCs w:val="20"/>
          <w:lang w:val="lt-LT"/>
        </w:rPr>
        <w:t xml:space="preserve">Energijos efektyvumo direktyva skatina valstybes nares remti energetinių paslaugų rinką (angl. </w:t>
      </w:r>
      <w:r w:rsidRPr="00C97275">
        <w:rPr>
          <w:rFonts w:ascii="Georgia" w:hAnsi="Georgia" w:cs="Georgia"/>
          <w:i/>
          <w:sz w:val="20"/>
          <w:szCs w:val="20"/>
          <w:lang w:val="lt-LT"/>
        </w:rPr>
        <w:t>ESCO market</w:t>
      </w:r>
      <w:r w:rsidRPr="00C97275">
        <w:rPr>
          <w:rFonts w:ascii="Georgia" w:hAnsi="Georgia" w:cs="Georgia"/>
          <w:sz w:val="20"/>
          <w:szCs w:val="20"/>
          <w:lang w:val="lt-LT"/>
        </w:rPr>
        <w:t>) platinant reikiamą informaciją, skatina kokybės ženklų kūrimą ir kt. Šios analizės apimtyje itin svarbi Energijos efektyvumo direktyvos 18</w:t>
      </w:r>
      <w:r w:rsidR="009E6616" w:rsidRPr="00C97275">
        <w:rPr>
          <w:rFonts w:ascii="Georgia" w:hAnsi="Georgia" w:cs="Georgia"/>
          <w:sz w:val="20"/>
          <w:szCs w:val="20"/>
          <w:lang w:val="lt-LT"/>
        </w:rPr>
        <w:t>.</w:t>
      </w:r>
      <w:r w:rsidRPr="00C97275">
        <w:rPr>
          <w:rFonts w:ascii="Georgia" w:hAnsi="Georgia" w:cs="Georgia"/>
          <w:sz w:val="20"/>
          <w:szCs w:val="20"/>
          <w:lang w:val="lt-LT"/>
        </w:rPr>
        <w:t>1</w:t>
      </w:r>
      <w:r w:rsidR="009E6616" w:rsidRPr="00C97275">
        <w:rPr>
          <w:rFonts w:ascii="Georgia" w:hAnsi="Georgia" w:cs="Georgia"/>
          <w:sz w:val="20"/>
          <w:szCs w:val="20"/>
          <w:lang w:val="lt-LT"/>
        </w:rPr>
        <w:t>(d) punkto</w:t>
      </w:r>
      <w:r w:rsidRPr="00C97275">
        <w:rPr>
          <w:rFonts w:ascii="Georgia" w:hAnsi="Georgia" w:cs="Georgia"/>
          <w:sz w:val="20"/>
          <w:szCs w:val="20"/>
          <w:lang w:val="lt-LT"/>
        </w:rPr>
        <w:t xml:space="preserve"> nuostata: „</w:t>
      </w:r>
      <w:r w:rsidRPr="00C97275">
        <w:rPr>
          <w:rFonts w:ascii="Georgia" w:hAnsi="Georgia" w:cs="Georgia"/>
          <w:i/>
          <w:sz w:val="20"/>
          <w:szCs w:val="20"/>
          <w:lang w:val="lt-LT"/>
        </w:rPr>
        <w:t>valstybės narės [...]</w:t>
      </w:r>
      <w:r w:rsidR="009E6616" w:rsidRPr="00C97275">
        <w:rPr>
          <w:rFonts w:ascii="Georgia" w:hAnsi="Georgia" w:cs="Georgia"/>
          <w:i/>
          <w:sz w:val="20"/>
          <w:szCs w:val="20"/>
          <w:lang w:val="lt-LT"/>
        </w:rPr>
        <w:t xml:space="preserve"> </w:t>
      </w:r>
      <w:r w:rsidRPr="00C97275">
        <w:rPr>
          <w:rFonts w:ascii="Georgia" w:hAnsi="Georgia" w:cs="Georgia"/>
          <w:i/>
          <w:sz w:val="20"/>
          <w:szCs w:val="20"/>
          <w:lang w:val="lt-LT"/>
        </w:rPr>
        <w:t>remia viešąjį sektorių jam priimant pasiūlymus dėl energetinių paslaugų, visų pirma dėl pastatų atnaujinimo; tai daroma: i) rengiant pavyzdines sutartis dėl energijos vartojimo efektyvumo [...]; teikiant informaciją apie sutarčių dėl energijos vartojimo efektyvumo geriausios praktikos pavyzdžius, įskaitant, prireikus, kaštų ir naudos analizę, paremtą gyvavimo ciklo metodu“.</w:t>
      </w:r>
    </w:p>
    <w:p w14:paraId="2AD67BDE" w14:textId="5D089BD7" w:rsidR="00336C16" w:rsidRPr="00C97275" w:rsidRDefault="009E66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Kaip numatyta Energijos efektyvumo direktyvos 24.2 punkte, v</w:t>
      </w:r>
      <w:r w:rsidR="00336C16" w:rsidRPr="00C97275">
        <w:rPr>
          <w:rFonts w:ascii="Georgia" w:hAnsi="Georgia" w:cs="Georgia"/>
          <w:sz w:val="20"/>
          <w:szCs w:val="20"/>
          <w:lang w:val="lt-LT"/>
        </w:rPr>
        <w:t xml:space="preserve">isos šalys narės turi pasirengti </w:t>
      </w:r>
      <w:r w:rsidRPr="00C97275">
        <w:rPr>
          <w:rFonts w:ascii="Georgia" w:hAnsi="Georgia" w:cs="Georgia"/>
          <w:sz w:val="20"/>
          <w:szCs w:val="20"/>
          <w:lang w:val="lt-LT"/>
        </w:rPr>
        <w:t>nacionalinius e</w:t>
      </w:r>
      <w:r w:rsidR="00336C16" w:rsidRPr="00C97275">
        <w:rPr>
          <w:rFonts w:ascii="Georgia" w:hAnsi="Georgia" w:cs="Georgia"/>
          <w:sz w:val="20"/>
          <w:szCs w:val="20"/>
          <w:lang w:val="lt-LT"/>
        </w:rPr>
        <w:t>nergijos efektyvumo veiksmų planus, kuriais vadovaujantis bus įgyvendinami Energijos efektyvumo direktyvos keliami 20-20-20 reikalavimai.</w:t>
      </w:r>
      <w:r w:rsidR="00A57A16" w:rsidRPr="00C97275">
        <w:rPr>
          <w:rFonts w:ascii="Georgia" w:hAnsi="Georgia" w:cs="Georgia"/>
          <w:sz w:val="20"/>
          <w:szCs w:val="20"/>
          <w:lang w:val="lt-LT"/>
        </w:rPr>
        <w:t xml:space="preserve"> Lietuvos nacionalinis energijos efektyvumo veiksmų planas buvo patvirtintas LR energetikos ministro 2014 m. gegužės 30 d. įsakymu Nr. 1-149. Nacionalinis energijos efektyvumo veiksmų planas yra vykdomojo pobūdžio dokumentas, todėl šiame e</w:t>
      </w:r>
      <w:r w:rsidR="00300FF4" w:rsidRPr="00C97275">
        <w:rPr>
          <w:rFonts w:ascii="Georgia" w:hAnsi="Georgia" w:cs="Georgia"/>
          <w:sz w:val="20"/>
          <w:szCs w:val="20"/>
          <w:lang w:val="lt-LT"/>
        </w:rPr>
        <w:t>x-ante</w:t>
      </w:r>
      <w:r w:rsidR="00A57A16" w:rsidRPr="00C97275">
        <w:rPr>
          <w:rFonts w:ascii="Georgia" w:hAnsi="Georgia" w:cs="Georgia"/>
          <w:sz w:val="20"/>
          <w:szCs w:val="20"/>
          <w:lang w:val="lt-LT"/>
        </w:rPr>
        <w:t xml:space="preserve"> vertinimo skyriuje detaliau nėra aprašomas.</w:t>
      </w:r>
    </w:p>
    <w:p w14:paraId="015AC2C7" w14:textId="77777777" w:rsidR="00336C16" w:rsidRPr="00C97275" w:rsidRDefault="00336C16"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Pastatų energinio naudingumo direktyva Nr. 2010/31/ES</w:t>
      </w:r>
    </w:p>
    <w:p w14:paraId="11EEF894"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Pastatų energinio naudingumo direktyva yra Energinio efektyvumo direktyvą papildantis dokumentas, kurioje reglamentuojamas pastatų energinio naudingumo didinimas </w:t>
      </w:r>
      <w:r w:rsidR="00CC2E6F" w:rsidRPr="00C97275">
        <w:rPr>
          <w:rFonts w:ascii="Georgia" w:hAnsi="Georgia" w:cs="Georgia"/>
          <w:sz w:val="20"/>
          <w:szCs w:val="20"/>
          <w:lang w:val="lt-LT"/>
        </w:rPr>
        <w:t>ES</w:t>
      </w:r>
      <w:r w:rsidRPr="00C97275">
        <w:rPr>
          <w:rFonts w:ascii="Georgia" w:hAnsi="Georgia" w:cs="Georgia"/>
          <w:sz w:val="20"/>
          <w:szCs w:val="20"/>
          <w:lang w:val="lt-LT"/>
        </w:rPr>
        <w:t xml:space="preserve"> atsižvelgiant į išorės klimato sąlygas ir vietos ypatybes, taip pat į patalpų mikroklimato reikalavimus ir ekonominį efektyvumą. </w:t>
      </w:r>
    </w:p>
    <w:p w14:paraId="17C306A8" w14:textId="77777777" w:rsidR="00336C16" w:rsidRPr="00C97275" w:rsidRDefault="00E22181"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Bendrųjų</w:t>
      </w:r>
      <w:r w:rsidR="00336C16" w:rsidRPr="00C97275">
        <w:rPr>
          <w:rFonts w:ascii="Georgia" w:hAnsi="Georgia" w:cs="Georgia"/>
          <w:b/>
          <w:i/>
          <w:sz w:val="20"/>
          <w:szCs w:val="20"/>
          <w:lang w:val="lt-LT"/>
        </w:rPr>
        <w:t xml:space="preserve"> nuostatų reglamentas</w:t>
      </w:r>
    </w:p>
    <w:p w14:paraId="2FE3258C" w14:textId="2E4F6956" w:rsidR="00336C16" w:rsidRPr="00C97275" w:rsidRDefault="00E22181"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B</w:t>
      </w:r>
      <w:r w:rsidR="00336C16" w:rsidRPr="00C97275">
        <w:rPr>
          <w:rFonts w:ascii="Georgia" w:hAnsi="Georgia" w:cs="Georgia"/>
          <w:sz w:val="20"/>
          <w:szCs w:val="20"/>
          <w:lang w:val="lt-LT"/>
        </w:rPr>
        <w:t>endrųjų nuostatų reglamentas nustato ESI fondų teminius tikslus. Pagal šiuos teminius tikslus nustatomi konkretūs kiekvieno ESI fondo prioritetai, nurodomi konkrečiam fondui taikomose taisyklėse. Ketvirtasis teminis tikslas yra aktualiausias šio e</w:t>
      </w:r>
      <w:r w:rsidR="00300FF4" w:rsidRPr="00C97275">
        <w:rPr>
          <w:rFonts w:ascii="Georgia" w:hAnsi="Georgia" w:cs="Georgia"/>
          <w:sz w:val="20"/>
          <w:szCs w:val="20"/>
          <w:lang w:val="lt-LT"/>
        </w:rPr>
        <w:t>x-ante</w:t>
      </w:r>
      <w:r w:rsidR="00336C16" w:rsidRPr="00C97275">
        <w:rPr>
          <w:rFonts w:ascii="Georgia" w:hAnsi="Georgia" w:cs="Georgia"/>
          <w:i/>
          <w:sz w:val="20"/>
          <w:szCs w:val="20"/>
          <w:lang w:val="lt-LT"/>
        </w:rPr>
        <w:t xml:space="preserve"> </w:t>
      </w:r>
      <w:r w:rsidRPr="00C97275">
        <w:rPr>
          <w:rFonts w:ascii="Georgia" w:hAnsi="Georgia" w:cs="Georgia"/>
          <w:sz w:val="20"/>
          <w:szCs w:val="20"/>
          <w:lang w:val="lt-LT"/>
        </w:rPr>
        <w:t xml:space="preserve">vertinimo </w:t>
      </w:r>
      <w:r w:rsidR="00336C16" w:rsidRPr="00C97275">
        <w:rPr>
          <w:rFonts w:ascii="Georgia" w:hAnsi="Georgia" w:cs="Georgia"/>
          <w:sz w:val="20"/>
          <w:szCs w:val="20"/>
          <w:lang w:val="lt-LT"/>
        </w:rPr>
        <w:t xml:space="preserve">apimtyje: </w:t>
      </w:r>
      <w:r w:rsidR="00336C16" w:rsidRPr="00C97275">
        <w:rPr>
          <w:rFonts w:ascii="Georgia" w:hAnsi="Georgia" w:cs="Georgia"/>
          <w:i/>
          <w:sz w:val="20"/>
          <w:szCs w:val="20"/>
          <w:lang w:val="lt-LT"/>
        </w:rPr>
        <w:t>„(4) perėjimo prie mažai anglies dioksido į aplinką išskiriančių technologijų ekonomikos visuose sektoriuose rėmimas“.</w:t>
      </w:r>
    </w:p>
    <w:p w14:paraId="38244B22" w14:textId="77777777" w:rsidR="00336C16" w:rsidRPr="00C97275" w:rsidRDefault="00336C16"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Europos regioninės plėtros fondo reglamentas Nr. 1301/2013</w:t>
      </w:r>
    </w:p>
    <w:p w14:paraId="63631C52"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Europos regioninės plėtros fondo lėšomis remiamos </w:t>
      </w:r>
      <w:r w:rsidR="00E22181" w:rsidRPr="00C97275">
        <w:rPr>
          <w:rFonts w:ascii="Georgia" w:hAnsi="Georgia" w:cs="Georgia"/>
          <w:sz w:val="20"/>
          <w:szCs w:val="20"/>
          <w:lang w:val="lt-LT"/>
        </w:rPr>
        <w:t>B</w:t>
      </w:r>
      <w:r w:rsidRPr="00C97275">
        <w:rPr>
          <w:rFonts w:ascii="Georgia" w:hAnsi="Georgia" w:cs="Georgia"/>
          <w:sz w:val="20"/>
          <w:szCs w:val="20"/>
          <w:lang w:val="lt-LT"/>
        </w:rPr>
        <w:t>endrųjų nuostatų reglamente nustatyto 4-ojo teminio tikslo veiklos yra detalizuojamos Europos regioninės plėtros fondo reglamento</w:t>
      </w:r>
      <w:r w:rsidR="00E22181" w:rsidRPr="00C97275">
        <w:rPr>
          <w:rFonts w:ascii="Georgia" w:hAnsi="Georgia" w:cs="Georgia"/>
          <w:sz w:val="20"/>
          <w:szCs w:val="20"/>
          <w:lang w:val="lt-LT"/>
        </w:rPr>
        <w:t xml:space="preserve"> 5 straipsnio</w:t>
      </w:r>
      <w:r w:rsidRPr="00C97275">
        <w:rPr>
          <w:rFonts w:ascii="Georgia" w:hAnsi="Georgia" w:cs="Georgia"/>
          <w:sz w:val="20"/>
          <w:szCs w:val="20"/>
          <w:lang w:val="lt-LT"/>
        </w:rPr>
        <w:t xml:space="preserve"> nuostatose:</w:t>
      </w:r>
    </w:p>
    <w:p w14:paraId="6C426A86"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„(4) perėjimo prie mažai anglies dioksido į aplinką išskiriančių technologijų ekonomikos visuose sektoriuose rėmimas:</w:t>
      </w:r>
    </w:p>
    <w:p w14:paraId="4AFD96BB" w14:textId="77777777" w:rsidR="00336C16" w:rsidRPr="00C97275"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skatinant energijos, gaunamos iš atsinaujinančių energijos išteklių, gamybą ir paskirstymą;</w:t>
      </w:r>
    </w:p>
    <w:p w14:paraId="7D8C6E1B" w14:textId="77777777" w:rsidR="00336C16" w:rsidRPr="00C97275"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 xml:space="preserve">skatinant energijos vartojimo efektyvumą ir atsinaujinančiosios energijos naudojimą įmonėse; </w:t>
      </w:r>
    </w:p>
    <w:p w14:paraId="0F68EA69" w14:textId="77777777" w:rsidR="00336C16" w:rsidRPr="00C97275"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lastRenderedPageBreak/>
        <w:t xml:space="preserve">remiant energijos vartojimo efektyvumą, pažangų energijos valdymą ir atsinaujinančiosios energijos vartojimą viešojoje infrastruktūroje, įskaitant viešuosius pastatus, ir būstų sektoriuje; </w:t>
      </w:r>
    </w:p>
    <w:p w14:paraId="46F58780" w14:textId="77777777" w:rsidR="00336C16" w:rsidRPr="00C97275"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 xml:space="preserve">plėtojant ir diegiant žemoje ir vidutinėje įtampoje veikiančias pažangiąsias paskirstymo sistemas; </w:t>
      </w:r>
    </w:p>
    <w:p w14:paraId="545C0CAB" w14:textId="77777777" w:rsidR="00336C16" w:rsidRPr="00C97275"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 xml:space="preserve">skatinant anglies dioksido kiekio mažinimo visų rūšių teritorijose, ypač miesto teritorijose, strategijas, taip pat skatinant tvarų ir įvairiarūšį judrumą miestuose ir su švelninimu susijusias prisitaikymo priemones; </w:t>
      </w:r>
    </w:p>
    <w:p w14:paraId="6A5EEDC9" w14:textId="77777777" w:rsidR="00336C16" w:rsidRPr="00C97275"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skatinant mokslinius tyrimus ir inovacijos mažo anglies dioksido kiekio technologijų srityje ir tokių technologijų diegimą;</w:t>
      </w:r>
    </w:p>
    <w:p w14:paraId="56D526EA" w14:textId="77777777" w:rsidR="00336C16" w:rsidRPr="00C97275"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skatinant didelio efektyvumo bendros šilumos ir elektros energijos gamybą, grindžiamą naudingosios šilumos paklausa.“</w:t>
      </w:r>
    </w:p>
    <w:p w14:paraId="4A42B241" w14:textId="77777777" w:rsidR="00336C16" w:rsidRPr="00C97275" w:rsidRDefault="00336C16"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 xml:space="preserve">2014-2020 </w:t>
      </w:r>
      <w:r w:rsidR="00E22181" w:rsidRPr="00C97275">
        <w:rPr>
          <w:rFonts w:ascii="Georgia" w:hAnsi="Georgia" w:cs="Georgia"/>
          <w:b/>
          <w:i/>
          <w:sz w:val="20"/>
          <w:szCs w:val="20"/>
          <w:lang w:val="lt-LT"/>
        </w:rPr>
        <w:t xml:space="preserve">m. </w:t>
      </w:r>
      <w:r w:rsidRPr="00C97275">
        <w:rPr>
          <w:rFonts w:ascii="Georgia" w:hAnsi="Georgia" w:cs="Georgia"/>
          <w:b/>
          <w:i/>
          <w:sz w:val="20"/>
          <w:szCs w:val="20"/>
          <w:lang w:val="lt-LT"/>
        </w:rPr>
        <w:t xml:space="preserve">veiksmų programa </w:t>
      </w:r>
    </w:p>
    <w:p w14:paraId="7BBD39E2" w14:textId="3788E71A"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2014-2020 m</w:t>
      </w:r>
      <w:r w:rsidR="00E22181" w:rsidRPr="00C97275">
        <w:rPr>
          <w:rFonts w:ascii="Georgia" w:hAnsi="Georgia" w:cs="Georgia"/>
          <w:sz w:val="20"/>
          <w:szCs w:val="20"/>
          <w:lang w:val="lt-LT"/>
        </w:rPr>
        <w:t xml:space="preserve">. </w:t>
      </w:r>
      <w:r w:rsidRPr="00C97275">
        <w:rPr>
          <w:rFonts w:ascii="Georgia" w:hAnsi="Georgia" w:cs="Georgia"/>
          <w:sz w:val="20"/>
          <w:szCs w:val="20"/>
          <w:lang w:val="lt-LT"/>
        </w:rPr>
        <w:t>veiksmų programos 4-asis prioritetas „Energijos efektyvumo ir atsinaujinančių išteklių energijos gamybos ir naudojimo skatinimas“ detalizuoja veiklas, remtinas įvairiose energijos efektyvumo srityse. Ši</w:t>
      </w:r>
      <w:r w:rsidR="0072319B" w:rsidRPr="00C97275">
        <w:rPr>
          <w:rFonts w:ascii="Georgia" w:hAnsi="Georgia" w:cs="Georgia"/>
          <w:sz w:val="20"/>
          <w:szCs w:val="20"/>
          <w:lang w:val="lt-LT"/>
        </w:rPr>
        <w:t>ame</w:t>
      </w:r>
      <w:r w:rsidRPr="00C97275">
        <w:rPr>
          <w:rFonts w:ascii="Georgia" w:hAnsi="Georgia" w:cs="Georgia"/>
          <w:sz w:val="20"/>
          <w:szCs w:val="20"/>
          <w:lang w:val="lt-LT"/>
        </w:rPr>
        <w:t xml:space="preserve"> e</w:t>
      </w:r>
      <w:r w:rsidR="00300FF4" w:rsidRPr="00C97275">
        <w:rPr>
          <w:rFonts w:ascii="Georgia" w:hAnsi="Georgia" w:cs="Georgia"/>
          <w:sz w:val="20"/>
          <w:szCs w:val="20"/>
          <w:lang w:val="lt-LT"/>
        </w:rPr>
        <w:t>x-ante</w:t>
      </w:r>
      <w:r w:rsidR="0072319B" w:rsidRPr="00C97275">
        <w:rPr>
          <w:rFonts w:ascii="Georgia" w:hAnsi="Georgia" w:cs="Georgia"/>
          <w:sz w:val="20"/>
          <w:szCs w:val="20"/>
          <w:lang w:val="lt-LT"/>
        </w:rPr>
        <w:t xml:space="preserve"> vertinime</w:t>
      </w:r>
      <w:r w:rsidRPr="00C97275">
        <w:rPr>
          <w:rFonts w:ascii="Georgia" w:hAnsi="Georgia" w:cs="Georgia"/>
          <w:sz w:val="20"/>
          <w:szCs w:val="20"/>
          <w:lang w:val="lt-LT"/>
        </w:rPr>
        <w:t xml:space="preserve"> analizuojamos veiklos yra išskiriamos 4.3 investiciniame prioritete „Energijos vartojimo efektyvumo, pažangaus energijos valdymo ir AIE vartojimo viešosiose infrastruktūrose, įskaitant viešuosius pastatus ir gyvenamųjų namų sektorių, rėmimas“ ir 4.3.1 konkrečiame uždavinyje „Sumažinti energijos suvartojimą viešojoje infrastruktūroje ir daugiabučiuose namuose“. </w:t>
      </w:r>
    </w:p>
    <w:p w14:paraId="25627DE0"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Minėto konkretaus uždavinio detaliame aprašyme minima, kad daugiausia energijos įmanoma sutaupyti pramonės ir namų ūkiuose – iš viso 61 proc., taip pat nemažas energijos taupymo potencialas yra ir modernizuojant gatvių apšvietimą: sėkmingai įgyvendinus tokius projektus, būtų galima sutaupyti iki 50 proc. energijos, o eksploatacijos sąnaudos sumažėtų 60 proc.</w:t>
      </w:r>
    </w:p>
    <w:p w14:paraId="4E83CE12"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4.3 investicinio prioriteto numatomos remti šios veiklos:</w:t>
      </w:r>
    </w:p>
    <w:p w14:paraId="31855E42" w14:textId="77777777" w:rsidR="00336C16" w:rsidRPr="00C97275"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C97275">
        <w:rPr>
          <w:rFonts w:ascii="Georgia" w:hAnsi="Georgia" w:cs="Georgia"/>
          <w:sz w:val="20"/>
          <w:szCs w:val="20"/>
          <w:u w:val="single"/>
          <w:lang w:val="lt-LT"/>
        </w:rPr>
        <w:t>Daugiabučių namų atnaujinimas ir modernizavimas</w:t>
      </w:r>
      <w:r w:rsidRPr="00C97275">
        <w:rPr>
          <w:rFonts w:ascii="Georgia" w:hAnsi="Georgia" w:cs="Georgia"/>
          <w:sz w:val="20"/>
          <w:szCs w:val="20"/>
          <w:lang w:val="lt-LT"/>
        </w:rPr>
        <w:t xml:space="preserve"> energetinį efektyvumą didinančiomis priemonėmis (įskaitant socialinių grupių gyvenamosios paskirties pastatus). Numatoma finansuoti pastato energetinį naudingumą didinančias ir kitas pastato atnaujinimo (modernizavimo) (įskaitant kapitalinę renovaciją) priemones (šildymo ir karšto vandens sistemų, ventiliacijos ir rekuperacijos sistemų pertvarkymas, keitimas ar įrengimas, pastato fasado sienų šiltinimas įskaitant sienų konstrukcijos defektų pašalinimą ir nuogrindos sutvarkymą, balkonų ar lodžijų įstiklinimas, jų esamos konstrukcijos sustiprinimas ar įrengimas, taip pat laiptinių lauko durų ir patalpų langų keitimas į mažiau šilumą praleidžiančius, rūsio perdangos šiltinimas, liftų atnaujinimas, kitų pastato bendrojo naudojimo inžinerinių sistemų sutvarkymas ir kitos tiesiogiai su atliekamais darbais susijusios priemonės), įskaitant AIE juose diegimą ir įrengimą, siekiant atitikti ne mažesnę kaip C pastato energinio naudingumo klasę.</w:t>
      </w:r>
    </w:p>
    <w:p w14:paraId="647DDC05" w14:textId="77777777" w:rsidR="00336C16" w:rsidRPr="00C97275"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C97275">
        <w:rPr>
          <w:rFonts w:ascii="Georgia" w:hAnsi="Georgia" w:cs="Georgia"/>
          <w:sz w:val="20"/>
          <w:szCs w:val="20"/>
          <w:lang w:val="lt-LT"/>
        </w:rPr>
        <w:t>Viešosios paskirties pastatų ir daugiabučių namų atnaujinimo skatinimas ir priežiūra. Numatoma finansuoti skatinimo veiklas (viešosios paskirties pastatų ir daugiabučių namų modernizavimo viešinimas, viešosios paskirties pastatų valdytojų ir daugiabučių namų savininkų informavimas ir konsultavimas), rengti tipinius ir investicinius projektus, taip pat vykdyti projektų įgyvendinimo priežiūrą, kontrolę.</w:t>
      </w:r>
    </w:p>
    <w:p w14:paraId="4B6EA80C" w14:textId="72504709" w:rsidR="00336C16" w:rsidRPr="00C97275"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C97275">
        <w:rPr>
          <w:rFonts w:ascii="Georgia" w:hAnsi="Georgia" w:cs="Georgia"/>
          <w:sz w:val="20"/>
          <w:szCs w:val="20"/>
          <w:u w:val="single"/>
          <w:lang w:val="lt-LT"/>
        </w:rPr>
        <w:t xml:space="preserve">Savivaldybių institucijų ir įstaigų naudojamų pastatų </w:t>
      </w:r>
      <w:r w:rsidR="00BA7CAB" w:rsidRPr="00C97275">
        <w:rPr>
          <w:rFonts w:ascii="Georgia" w:hAnsi="Georgia" w:cs="Georgia"/>
          <w:sz w:val="20"/>
          <w:szCs w:val="20"/>
          <w:u w:val="single"/>
          <w:lang w:val="lt-LT"/>
        </w:rPr>
        <w:t xml:space="preserve">atnaujinimas </w:t>
      </w:r>
      <w:r w:rsidRPr="00C97275">
        <w:rPr>
          <w:rFonts w:ascii="Georgia" w:hAnsi="Georgia" w:cs="Georgia"/>
          <w:sz w:val="20"/>
          <w:szCs w:val="20"/>
          <w:u w:val="single"/>
          <w:lang w:val="lt-LT"/>
        </w:rPr>
        <w:t>ir modernizavimas</w:t>
      </w:r>
      <w:r w:rsidRPr="00C97275">
        <w:rPr>
          <w:rFonts w:ascii="Georgia" w:hAnsi="Georgia" w:cs="Georgia"/>
          <w:sz w:val="20"/>
          <w:szCs w:val="20"/>
          <w:lang w:val="lt-LT"/>
        </w:rPr>
        <w:t xml:space="preserve">. Planuojama remti savivaldybių institucijų ir įstaigų pastatų (vietos savivaldos administracinės paskirties, kultūros, švietimo ir mokslo, gydymo paskirties pastatų ir kitų pastatų (pavyzdžiui sporto ir specialiosios paskirties)), priklausančių savivaldybių institucijoms ir įstaigoms nuosavybės teise ir (arba) valdomų kitais teisėtais pagrindais, renovavimo priemones (išorinių atitvarų remontas ir (arba) rekonstravimas, pastatų energetikos sistemų modernizavimas ir (arba) rekonstravimas ir kitos susijusios priemonės), siekiant pagerinti pastatų energines </w:t>
      </w:r>
      <w:r w:rsidRPr="00C97275">
        <w:rPr>
          <w:rFonts w:ascii="Georgia" w:hAnsi="Georgia" w:cs="Georgia"/>
          <w:sz w:val="20"/>
          <w:szCs w:val="20"/>
          <w:lang w:val="lt-LT"/>
        </w:rPr>
        <w:lastRenderedPageBreak/>
        <w:t>savybes, atsižvelgiant į energinio naudingumo susitarimų principą, taip pat AIE panaudojimo energijos gamybai juose skatinimui.</w:t>
      </w:r>
    </w:p>
    <w:p w14:paraId="6F31B457" w14:textId="0CC20B99" w:rsidR="00336C16" w:rsidRPr="00C97275"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C97275">
        <w:rPr>
          <w:rFonts w:ascii="Georgia" w:hAnsi="Georgia" w:cs="Georgia"/>
          <w:sz w:val="20"/>
          <w:szCs w:val="20"/>
          <w:u w:val="single"/>
          <w:lang w:val="lt-LT"/>
        </w:rPr>
        <w:t xml:space="preserve">Valstybės institucijų ir įstaigų naudojamų pastatų </w:t>
      </w:r>
      <w:r w:rsidR="00BA7CAB" w:rsidRPr="00C97275">
        <w:rPr>
          <w:rFonts w:ascii="Georgia" w:hAnsi="Georgia" w:cs="Georgia"/>
          <w:sz w:val="20"/>
          <w:szCs w:val="20"/>
          <w:u w:val="single"/>
          <w:lang w:val="lt-LT"/>
        </w:rPr>
        <w:t xml:space="preserve">atnaujinimas </w:t>
      </w:r>
      <w:r w:rsidRPr="00C97275">
        <w:rPr>
          <w:rFonts w:ascii="Georgia" w:hAnsi="Georgia" w:cs="Georgia"/>
          <w:sz w:val="20"/>
          <w:szCs w:val="20"/>
          <w:u w:val="single"/>
          <w:lang w:val="lt-LT"/>
        </w:rPr>
        <w:t>ir modernizavimas</w:t>
      </w:r>
      <w:r w:rsidRPr="00C97275">
        <w:rPr>
          <w:rFonts w:ascii="Georgia" w:hAnsi="Georgia" w:cs="Georgia"/>
          <w:sz w:val="20"/>
          <w:szCs w:val="20"/>
          <w:lang w:val="lt-LT"/>
        </w:rPr>
        <w:t>. Planuojama remti valstybei nuosavybės teise priklausančių šildomų ir (arba) vėsinamų valstybės institucijų ir įstaigų – valstybinio administravimo subjektų naudojamų pastatų renovavimo priemones (išorinių atitvarų remontas ir (arba) rekonstravimas, pastatų energetikos sistemų modernizavimas ir (arba) rekonstravimas ir kitos susijusios priemonės), siekiant pagerinti pastatų energines savybes, atsižvelgiant į energinio naudingumo susitarimų principą, taip pat AIE panaudojimo energijos gamybai juose skatinimui.</w:t>
      </w:r>
    </w:p>
    <w:p w14:paraId="60E06198" w14:textId="77777777" w:rsidR="00336C16" w:rsidRPr="00C97275"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C97275">
        <w:rPr>
          <w:rFonts w:ascii="Georgia" w:hAnsi="Georgia" w:cs="Georgia"/>
          <w:sz w:val="20"/>
          <w:szCs w:val="20"/>
          <w:u w:val="single"/>
          <w:lang w:val="lt-LT"/>
        </w:rPr>
        <w:t>Miestų gatvių apšvietimo modernizavimas</w:t>
      </w:r>
      <w:r w:rsidRPr="00C97275">
        <w:rPr>
          <w:rFonts w:ascii="Georgia" w:hAnsi="Georgia" w:cs="Georgia"/>
          <w:sz w:val="20"/>
          <w:szCs w:val="20"/>
          <w:lang w:val="lt-LT"/>
        </w:rPr>
        <w:t xml:space="preserve"> (planuojama remti šviestuvų, atramų atnaujinimą, intelektualios kontrolės sistemos diegimą, skirstymo bei maitinimo spintų atnaujinimą).</w:t>
      </w:r>
    </w:p>
    <w:p w14:paraId="1B0CE4F4" w14:textId="77777777" w:rsidR="00336C16" w:rsidRPr="00C97275" w:rsidRDefault="00336C16"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2014-2020 nacionalinės pažangos programa</w:t>
      </w:r>
    </w:p>
    <w:p w14:paraId="58B82B39" w14:textId="77777777" w:rsidR="00336C16" w:rsidRPr="00C97275" w:rsidRDefault="00336C16" w:rsidP="0072319B">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2014–2020 metų nacionalinės pažangos programa</w:t>
      </w:r>
      <w:r w:rsidR="0072319B" w:rsidRPr="00C97275">
        <w:rPr>
          <w:rFonts w:ascii="Georgia" w:hAnsi="Georgia" w:cs="Georgia"/>
          <w:sz w:val="20"/>
          <w:szCs w:val="20"/>
          <w:lang w:val="lt-LT"/>
        </w:rPr>
        <w:t>, patvirtinta Lietuvos Respublikos Vyriausybės 2012 m. lapkričio 28 d. nutarimu Nr. 1482,</w:t>
      </w:r>
      <w:r w:rsidRPr="00C97275">
        <w:rPr>
          <w:rFonts w:ascii="Georgia" w:hAnsi="Georgia" w:cs="Georgia"/>
          <w:sz w:val="20"/>
          <w:szCs w:val="20"/>
          <w:lang w:val="lt-LT"/>
        </w:rPr>
        <w:t xml:space="preserve"> </w:t>
      </w:r>
      <w:r w:rsidR="0072319B" w:rsidRPr="00C97275">
        <w:rPr>
          <w:rFonts w:ascii="Georgia" w:hAnsi="Georgia" w:cs="Georgia"/>
          <w:sz w:val="20"/>
          <w:szCs w:val="20"/>
          <w:lang w:val="lt-LT"/>
        </w:rPr>
        <w:t xml:space="preserve">buvo parengta </w:t>
      </w:r>
      <w:r w:rsidRPr="00C97275">
        <w:rPr>
          <w:rFonts w:ascii="Georgia" w:hAnsi="Georgia" w:cs="Georgia"/>
          <w:sz w:val="20"/>
          <w:szCs w:val="20"/>
          <w:lang w:val="lt-LT"/>
        </w:rPr>
        <w:t xml:space="preserve">siekiant įgyvendinti valstybės pažangos strategiją „Lietuvos pažangos strategija „Lietuva 2030“ ir sukurti pažangią, modernią ir stiprią valstybę, pasižyminčią sumanios visuomenės, sumanios ekonomikos ir sumanaus valdymo derme. Viena iš nacionalinės pažangos programos </w:t>
      </w:r>
      <w:r w:rsidR="0072319B" w:rsidRPr="00C97275">
        <w:rPr>
          <w:rFonts w:ascii="Georgia" w:hAnsi="Georgia" w:cs="Georgia"/>
          <w:sz w:val="20"/>
          <w:szCs w:val="20"/>
          <w:lang w:val="lt-LT"/>
        </w:rPr>
        <w:t xml:space="preserve">remiamų </w:t>
      </w:r>
      <w:r w:rsidRPr="00C97275">
        <w:rPr>
          <w:rFonts w:ascii="Georgia" w:hAnsi="Georgia" w:cs="Georgia"/>
          <w:sz w:val="20"/>
          <w:szCs w:val="20"/>
          <w:lang w:val="lt-LT"/>
        </w:rPr>
        <w:t>sričių – energijos efektyvumas, apibrėžiamas nacionalinės pažangos programos 3.3 tikslo apimtyje. Konkrečias veiklas energijos efektyvumo srityje numato 3.3.2 uždavinys „užtikrinti darnų energijos išteklių naudojimą“. Numatomos šios svarbiausios uždavinio kryptys:</w:t>
      </w:r>
    </w:p>
    <w:p w14:paraId="2C5F0798"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„3.3.2.1.     skatinti atsinaujinančių energijos išteklių gamybą ir naudojimą;</w:t>
      </w:r>
    </w:p>
    <w:p w14:paraId="54B31C8C"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3.3.2.2.     remti energijos vartojimo efektyvumą gyvenamųjų namų ir viešųjų pastatų sektoriuose;</w:t>
      </w:r>
    </w:p>
    <w:p w14:paraId="765B07E3"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3.3.2.3.     kurti ir diegti modernias energiją ir kitus gamtos išteklius tausojančias technologijas ir procesų valdymo sistemas;</w:t>
      </w:r>
    </w:p>
    <w:p w14:paraId="1D4A9849"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3.3.2.4.     didinti energijos išteklių naudojimo efektyvumą energijos gamybos ir naudojimo srityse;</w:t>
      </w:r>
    </w:p>
    <w:p w14:paraId="51C0F612" w14:textId="77777777"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i/>
          <w:sz w:val="20"/>
          <w:szCs w:val="20"/>
          <w:lang w:val="lt-LT"/>
        </w:rPr>
        <w:t>3.3.2.5.     plėtoti elektra ir kitais alternatyviais degalais varomų transporto priemonių naudojimą ir skatinti intermodalumą.“</w:t>
      </w:r>
    </w:p>
    <w:p w14:paraId="72ACEA4D" w14:textId="77777777" w:rsidR="00336C16" w:rsidRPr="00C97275" w:rsidRDefault="00336C16"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Nacionalinė energetinės nepriklausomybės strategija</w:t>
      </w:r>
    </w:p>
    <w:p w14:paraId="6EA57D09" w14:textId="3B44BFB8" w:rsidR="00336C16" w:rsidRPr="00C97275" w:rsidRDefault="00336C16" w:rsidP="00336C16">
      <w:pPr>
        <w:autoSpaceDE w:val="0"/>
        <w:autoSpaceDN w:val="0"/>
        <w:adjustRightInd w:val="0"/>
        <w:jc w:val="both"/>
        <w:rPr>
          <w:rFonts w:ascii="Georgia" w:hAnsi="Georgia" w:cs="Georgia"/>
          <w:i/>
          <w:sz w:val="20"/>
          <w:szCs w:val="20"/>
          <w:lang w:val="lt-LT"/>
        </w:rPr>
      </w:pPr>
      <w:r w:rsidRPr="00C97275">
        <w:rPr>
          <w:rFonts w:ascii="Georgia" w:hAnsi="Georgia" w:cs="Georgia"/>
          <w:sz w:val="20"/>
          <w:szCs w:val="20"/>
          <w:lang w:val="lt-LT"/>
        </w:rPr>
        <w:t xml:space="preserve">Lietuvos Respublikos </w:t>
      </w:r>
      <w:r w:rsidR="0072319B" w:rsidRPr="00C97275">
        <w:rPr>
          <w:rFonts w:ascii="Georgia" w:hAnsi="Georgia" w:cs="Georgia"/>
          <w:sz w:val="20"/>
          <w:szCs w:val="20"/>
          <w:lang w:val="lt-LT"/>
        </w:rPr>
        <w:t>S</w:t>
      </w:r>
      <w:r w:rsidRPr="00C97275">
        <w:rPr>
          <w:rFonts w:ascii="Georgia" w:hAnsi="Georgia" w:cs="Georgia"/>
          <w:sz w:val="20"/>
          <w:szCs w:val="20"/>
          <w:lang w:val="lt-LT"/>
        </w:rPr>
        <w:t xml:space="preserve">eimas </w:t>
      </w:r>
      <w:r w:rsidR="0072319B" w:rsidRPr="00C97275">
        <w:rPr>
          <w:rFonts w:ascii="Georgia" w:hAnsi="Georgia" w:cs="Georgia"/>
          <w:sz w:val="20"/>
          <w:szCs w:val="20"/>
          <w:lang w:val="lt-LT"/>
        </w:rPr>
        <w:t>2012</w:t>
      </w:r>
      <w:r w:rsidR="00FC2CF2" w:rsidRPr="00C97275">
        <w:rPr>
          <w:rFonts w:ascii="Georgia" w:hAnsi="Georgia" w:cs="Georgia"/>
          <w:sz w:val="20"/>
          <w:szCs w:val="20"/>
          <w:lang w:val="lt-LT"/>
        </w:rPr>
        <w:t xml:space="preserve"> metų </w:t>
      </w:r>
      <w:r w:rsidRPr="00C97275">
        <w:rPr>
          <w:rFonts w:ascii="Georgia" w:hAnsi="Georgia" w:cs="Georgia"/>
          <w:sz w:val="20"/>
          <w:szCs w:val="20"/>
          <w:lang w:val="lt-LT"/>
        </w:rPr>
        <w:t xml:space="preserve">birželio 26 d. </w:t>
      </w:r>
      <w:r w:rsidR="0072319B" w:rsidRPr="00C97275">
        <w:rPr>
          <w:rFonts w:ascii="Georgia" w:hAnsi="Georgia" w:cs="Georgia"/>
          <w:sz w:val="20"/>
          <w:szCs w:val="20"/>
          <w:lang w:val="lt-LT"/>
        </w:rPr>
        <w:t xml:space="preserve">nutarimu </w:t>
      </w:r>
      <w:r w:rsidRPr="00C97275">
        <w:rPr>
          <w:rFonts w:ascii="Georgia" w:hAnsi="Georgia" w:cs="Georgia"/>
          <w:sz w:val="20"/>
          <w:szCs w:val="20"/>
          <w:lang w:val="lt-LT"/>
        </w:rPr>
        <w:t xml:space="preserve">Nr. XI-2133 patvirtino Nacionalinės energetinės nepriklausomybės strategiją, kuri nustato pagrindinius Lietuvos energetikos sektoriaus tikslus ir jų įgyvendinimo kryptis iki 2020 metų ir numato Lietuvos energetikos sektoriaus plėtros gaires iki 2030 ir iki 2050 metų. Svarbiausias šioje strategijoje numatomų energetikos politikos krypčių ir veiksmų tikslas – Lietuvos energetinės nepriklausomybės iki 2020 metų užtikrinimas, sustiprinsiantis Lietuvos energetinį saugumą ir konkurencingumą. Šios strategijos 11 punktas numato, kad </w:t>
      </w:r>
      <w:r w:rsidRPr="00C97275">
        <w:rPr>
          <w:rFonts w:ascii="Georgia" w:hAnsi="Georgia" w:cs="Georgia"/>
          <w:i/>
          <w:sz w:val="20"/>
          <w:szCs w:val="20"/>
          <w:lang w:val="lt-LT"/>
        </w:rPr>
        <w:t>„Energetinio efektyvumo didinimo srityje iki 2020 metų bus siekiama kiekvienais metais po 1,5 % didinti vartojimo efektyvumą ir taip stiprinti Lietuvos energetinę nepriklausomybę, konkurencingumą ir darnią plėtrą“.</w:t>
      </w:r>
    </w:p>
    <w:p w14:paraId="64742997" w14:textId="34DC4D9A" w:rsidR="009B048F" w:rsidRPr="00C97275" w:rsidRDefault="009A2195"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Ši</w:t>
      </w:r>
      <w:r w:rsidR="0087763B" w:rsidRPr="00C97275">
        <w:rPr>
          <w:rFonts w:ascii="Georgia" w:hAnsi="Georgia" w:cs="Georgia"/>
          <w:sz w:val="20"/>
          <w:szCs w:val="20"/>
          <w:lang w:val="lt-LT"/>
        </w:rPr>
        <w:t>oje</w:t>
      </w:r>
      <w:r w:rsidRPr="00C97275">
        <w:rPr>
          <w:rFonts w:ascii="Georgia" w:hAnsi="Georgia" w:cs="Georgia"/>
          <w:sz w:val="20"/>
          <w:szCs w:val="20"/>
          <w:lang w:val="lt-LT"/>
        </w:rPr>
        <w:t xml:space="preserve"> strategijo</w:t>
      </w:r>
      <w:r w:rsidR="0087763B" w:rsidRPr="00C97275">
        <w:rPr>
          <w:rFonts w:ascii="Georgia" w:hAnsi="Georgia" w:cs="Georgia"/>
          <w:sz w:val="20"/>
          <w:szCs w:val="20"/>
          <w:lang w:val="lt-LT"/>
        </w:rPr>
        <w:t>je</w:t>
      </w:r>
      <w:r w:rsidRPr="00C97275">
        <w:rPr>
          <w:rFonts w:ascii="Georgia" w:hAnsi="Georgia" w:cs="Georgia"/>
          <w:sz w:val="20"/>
          <w:szCs w:val="20"/>
          <w:lang w:val="lt-LT"/>
        </w:rPr>
        <w:t xml:space="preserve"> kaip viena iš Lietuvos energetikos sektoriaus </w:t>
      </w:r>
      <w:r w:rsidR="009B048F" w:rsidRPr="00C97275">
        <w:rPr>
          <w:rFonts w:ascii="Georgia" w:hAnsi="Georgia" w:cs="Georgia"/>
          <w:sz w:val="20"/>
          <w:szCs w:val="20"/>
          <w:lang w:val="lt-LT"/>
        </w:rPr>
        <w:t xml:space="preserve">stiprybių yra nurodyta, kad yra „sukurta viešųjų ir daugiabučių gyvenamųjų pastatų modernizavimo (atnaujinimo) sistema, </w:t>
      </w:r>
      <w:r w:rsidR="00D9139B" w:rsidRPr="00C97275">
        <w:rPr>
          <w:rFonts w:ascii="Georgia" w:hAnsi="Georgia" w:cs="Georgia"/>
          <w:sz w:val="20"/>
          <w:szCs w:val="20"/>
          <w:lang w:val="lt-LT"/>
        </w:rPr>
        <w:t>didinant</w:t>
      </w:r>
      <w:r w:rsidR="009B048F" w:rsidRPr="00C97275">
        <w:rPr>
          <w:rFonts w:ascii="Georgia" w:hAnsi="Georgia" w:cs="Georgia"/>
          <w:sz w:val="20"/>
          <w:szCs w:val="20"/>
          <w:lang w:val="lt-LT"/>
        </w:rPr>
        <w:t xml:space="preserve"> energijos vartojimo efektyvumą, palaipsniui pereinant prie kvartalinės renovacijos“.</w:t>
      </w:r>
    </w:p>
    <w:p w14:paraId="577BD0CE" w14:textId="2C1FCC3F" w:rsidR="009A2195" w:rsidRPr="00C97275" w:rsidRDefault="009B048F"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Kaip </w:t>
      </w:r>
      <w:r w:rsidR="009A2195" w:rsidRPr="00C97275">
        <w:rPr>
          <w:rFonts w:ascii="Georgia" w:hAnsi="Georgia" w:cs="Georgia"/>
          <w:sz w:val="20"/>
          <w:szCs w:val="20"/>
          <w:lang w:val="lt-LT"/>
        </w:rPr>
        <w:t>silpnyb</w:t>
      </w:r>
      <w:r w:rsidRPr="00C97275">
        <w:rPr>
          <w:rFonts w:ascii="Georgia" w:hAnsi="Georgia" w:cs="Georgia"/>
          <w:sz w:val="20"/>
          <w:szCs w:val="20"/>
          <w:lang w:val="lt-LT"/>
        </w:rPr>
        <w:t>ė</w:t>
      </w:r>
      <w:r w:rsidR="009A2195" w:rsidRPr="00C97275">
        <w:rPr>
          <w:rFonts w:ascii="Georgia" w:hAnsi="Georgia" w:cs="Georgia"/>
          <w:sz w:val="20"/>
          <w:szCs w:val="20"/>
          <w:lang w:val="lt-LT"/>
        </w:rPr>
        <w:t xml:space="preserve"> yra nurodyta aplinkybė, kad </w:t>
      </w:r>
      <w:r w:rsidRPr="00C97275">
        <w:rPr>
          <w:rFonts w:ascii="Georgia" w:hAnsi="Georgia" w:cs="Georgia"/>
          <w:sz w:val="20"/>
          <w:szCs w:val="20"/>
          <w:lang w:val="lt-LT"/>
        </w:rPr>
        <w:t>„</w:t>
      </w:r>
      <w:r w:rsidR="009A2195" w:rsidRPr="00C97275">
        <w:rPr>
          <w:rFonts w:ascii="Georgia" w:hAnsi="Georgia" w:cs="Georgia"/>
          <w:sz w:val="20"/>
          <w:szCs w:val="20"/>
          <w:lang w:val="lt-LT"/>
        </w:rPr>
        <w:t>daugiau kaip 70 proc. daugiabučių gyvenamųjų namų ir nemaža dalis visuomeninių pastatų pasižymi neefektyviu šilumos suvartojimu, o lė</w:t>
      </w:r>
      <w:r w:rsidRPr="00C97275">
        <w:rPr>
          <w:rFonts w:ascii="Georgia" w:hAnsi="Georgia" w:cs="Georgia"/>
          <w:sz w:val="20"/>
          <w:szCs w:val="20"/>
          <w:lang w:val="lt-LT"/>
        </w:rPr>
        <w:t>t</w:t>
      </w:r>
      <w:r w:rsidR="009A2195" w:rsidRPr="00C97275">
        <w:rPr>
          <w:rFonts w:ascii="Georgia" w:hAnsi="Georgia" w:cs="Georgia"/>
          <w:sz w:val="20"/>
          <w:szCs w:val="20"/>
          <w:lang w:val="lt-LT"/>
        </w:rPr>
        <w:t>as jų modernizavimas gali sukelti su</w:t>
      </w:r>
      <w:r w:rsidR="00D9139B" w:rsidRPr="00C97275">
        <w:rPr>
          <w:rFonts w:ascii="Georgia" w:hAnsi="Georgia" w:cs="Georgia"/>
          <w:sz w:val="20"/>
          <w:szCs w:val="20"/>
          <w:lang w:val="lt-LT"/>
        </w:rPr>
        <w:t>n</w:t>
      </w:r>
      <w:r w:rsidR="009A2195" w:rsidRPr="00C97275">
        <w:rPr>
          <w:rFonts w:ascii="Georgia" w:hAnsi="Georgia" w:cs="Georgia"/>
          <w:sz w:val="20"/>
          <w:szCs w:val="20"/>
          <w:lang w:val="lt-LT"/>
        </w:rPr>
        <w:t>kių ekonominių ir socialinių padarinių</w:t>
      </w:r>
      <w:r w:rsidRPr="00C97275">
        <w:rPr>
          <w:rFonts w:ascii="Georgia" w:hAnsi="Georgia" w:cs="Georgia"/>
          <w:sz w:val="20"/>
          <w:szCs w:val="20"/>
          <w:lang w:val="lt-LT"/>
        </w:rPr>
        <w:t>“</w:t>
      </w:r>
      <w:r w:rsidR="009A2195" w:rsidRPr="00C97275">
        <w:rPr>
          <w:rFonts w:ascii="Georgia" w:hAnsi="Georgia" w:cs="Georgia"/>
          <w:sz w:val="20"/>
          <w:szCs w:val="20"/>
          <w:lang w:val="lt-LT"/>
        </w:rPr>
        <w:t>.</w:t>
      </w:r>
    </w:p>
    <w:p w14:paraId="23848D45" w14:textId="0299E930" w:rsidR="00BA4B46" w:rsidRPr="00C97275" w:rsidRDefault="00BA4B4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lastRenderedPageBreak/>
        <w:t>Strategijo</w:t>
      </w:r>
      <w:r w:rsidR="0087763B" w:rsidRPr="00C97275">
        <w:rPr>
          <w:rFonts w:ascii="Georgia" w:hAnsi="Georgia" w:cs="Georgia"/>
          <w:sz w:val="20"/>
          <w:szCs w:val="20"/>
          <w:lang w:val="lt-LT"/>
        </w:rPr>
        <w:t>je yra</w:t>
      </w:r>
      <w:r w:rsidRPr="00C97275">
        <w:rPr>
          <w:rFonts w:ascii="Georgia" w:hAnsi="Georgia" w:cs="Georgia"/>
          <w:sz w:val="20"/>
          <w:szCs w:val="20"/>
          <w:lang w:val="lt-LT"/>
        </w:rPr>
        <w:t xml:space="preserve"> numatyta, kad</w:t>
      </w:r>
      <w:r w:rsidR="00DD2BD6" w:rsidRPr="00C97275">
        <w:rPr>
          <w:rFonts w:ascii="Georgia" w:hAnsi="Georgia" w:cs="Georgia"/>
          <w:sz w:val="20"/>
          <w:szCs w:val="20"/>
          <w:lang w:val="lt-LT"/>
        </w:rPr>
        <w:t xml:space="preserve"> iki 2020 metų atnaujintuose daugiabučiuose ir viešuosiuose pastatuose bus sutaupyta 2,6 - 3 TWh energijos, o iki 2030 metų – 5-6 TWh energijos.</w:t>
      </w:r>
    </w:p>
    <w:p w14:paraId="5DBAC637" w14:textId="3F29110C" w:rsidR="0072319B" w:rsidRPr="00C97275" w:rsidRDefault="0072319B" w:rsidP="00336C16">
      <w:pPr>
        <w:autoSpaceDE w:val="0"/>
        <w:autoSpaceDN w:val="0"/>
        <w:adjustRightInd w:val="0"/>
        <w:jc w:val="both"/>
        <w:rPr>
          <w:rFonts w:ascii="Georgia" w:hAnsi="Georgia" w:cs="Georgia"/>
          <w:b/>
          <w:i/>
          <w:sz w:val="20"/>
          <w:szCs w:val="20"/>
          <w:lang w:val="lt-LT"/>
        </w:rPr>
      </w:pPr>
      <w:r w:rsidRPr="00C97275">
        <w:rPr>
          <w:rFonts w:ascii="Georgia" w:hAnsi="Georgia" w:cs="Georgia"/>
          <w:b/>
          <w:i/>
          <w:sz w:val="20"/>
          <w:szCs w:val="20"/>
          <w:lang w:val="lt-LT"/>
        </w:rPr>
        <w:t xml:space="preserve">Ilgalaikė pastatų nacionalinio fondo atnaujinimo </w:t>
      </w:r>
      <w:r w:rsidR="00BA7CAB" w:rsidRPr="00C97275">
        <w:rPr>
          <w:rFonts w:ascii="Georgia" w:hAnsi="Georgia" w:cs="Georgia"/>
          <w:b/>
          <w:i/>
          <w:sz w:val="20"/>
          <w:szCs w:val="20"/>
          <w:lang w:val="lt-LT"/>
        </w:rPr>
        <w:t>planas</w:t>
      </w:r>
    </w:p>
    <w:p w14:paraId="4339F2DD" w14:textId="5C2CBC61" w:rsidR="00BA7CAB" w:rsidRPr="00C97275" w:rsidRDefault="00BA7CAB" w:rsidP="00BA7CAB">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2015 m. kovo 10 d. Energetikos ministro įsakymu Nr. 1-67 patvirtintas  Ilgalaikis  pastatų nacionalinio fondo atnaujinimo planas (TAR, 2015-03-13, Nr. 3733), kurios paskirtis – nustatyti pagrindines valstybės politikos kryptis investicijų telkimui pastatų nacionalinio fondo atnaujinimo srityje. Ilgalaikės pastatų nacionalinio fondo atnaujinimo plane numatyta, kad trumpalaikis šio plano tikslas iki 2020 metų yra atnaujinti energetiškai neefektyvius gyvenamuosius ir negyvenamuosius pastatus didinant jų energijos vartojimo efektyvumą. </w:t>
      </w:r>
      <w:r w:rsidR="009B048F" w:rsidRPr="00C97275">
        <w:rPr>
          <w:rFonts w:ascii="Georgia" w:hAnsi="Georgia" w:cs="Georgia"/>
          <w:sz w:val="20"/>
          <w:szCs w:val="20"/>
          <w:lang w:val="lt-LT"/>
        </w:rPr>
        <w:t>Plane</w:t>
      </w:r>
      <w:r w:rsidRPr="00C97275">
        <w:rPr>
          <w:rFonts w:ascii="Georgia" w:hAnsi="Georgia" w:cs="Georgia"/>
          <w:sz w:val="20"/>
          <w:szCs w:val="20"/>
          <w:lang w:val="lt-LT"/>
        </w:rPr>
        <w:t xml:space="preserve"> nurodyta, jog iki 2020 metų siekiama atnaujinti 3</w:t>
      </w:r>
      <w:r w:rsidR="009B048F" w:rsidRPr="00C97275">
        <w:rPr>
          <w:rFonts w:ascii="Georgia" w:hAnsi="Georgia" w:cs="Georgia"/>
          <w:sz w:val="20"/>
          <w:szCs w:val="20"/>
          <w:lang w:val="lt-LT"/>
        </w:rPr>
        <w:t xml:space="preserve"> </w:t>
      </w:r>
      <w:r w:rsidRPr="00C97275">
        <w:rPr>
          <w:rFonts w:ascii="Georgia" w:hAnsi="Georgia" w:cs="Georgia"/>
          <w:sz w:val="20"/>
          <w:szCs w:val="20"/>
          <w:lang w:val="lt-LT"/>
        </w:rPr>
        <w:t>500-4</w:t>
      </w:r>
      <w:r w:rsidR="009B048F" w:rsidRPr="00C97275">
        <w:rPr>
          <w:rFonts w:ascii="Georgia" w:hAnsi="Georgia" w:cs="Georgia"/>
          <w:sz w:val="20"/>
          <w:szCs w:val="20"/>
          <w:lang w:val="lt-LT"/>
        </w:rPr>
        <w:t xml:space="preserve"> </w:t>
      </w:r>
      <w:r w:rsidRPr="00C97275">
        <w:rPr>
          <w:rFonts w:ascii="Georgia" w:hAnsi="Georgia" w:cs="Georgia"/>
          <w:sz w:val="20"/>
          <w:szCs w:val="20"/>
          <w:lang w:val="lt-LT"/>
        </w:rPr>
        <w:t xml:space="preserve">000 daugiabučių ir 700 000 kv. m. viešojo sektoriaus pastatų ploto. </w:t>
      </w:r>
    </w:p>
    <w:p w14:paraId="4E152148" w14:textId="77777777" w:rsidR="0083461E" w:rsidRPr="00C97275" w:rsidRDefault="0083461E">
      <w:pPr>
        <w:rPr>
          <w:rFonts w:ascii="Georgia" w:eastAsiaTheme="majorEastAsia" w:hAnsi="Georgia" w:cstheme="majorBidi"/>
          <w:b/>
          <w:bCs/>
          <w:color w:val="4F81BD" w:themeColor="accent1"/>
          <w:sz w:val="26"/>
          <w:szCs w:val="26"/>
          <w:lang w:val="lt-LT"/>
        </w:rPr>
      </w:pPr>
      <w:r w:rsidRPr="00C97275">
        <w:rPr>
          <w:rFonts w:ascii="Georgia" w:hAnsi="Georgia"/>
          <w:lang w:val="lt-LT"/>
        </w:rPr>
        <w:br w:type="page"/>
      </w:r>
    </w:p>
    <w:p w14:paraId="1BAAA3FF" w14:textId="77777777" w:rsidR="00336C16" w:rsidRPr="00C97275" w:rsidRDefault="00336C16" w:rsidP="00162BF5">
      <w:pPr>
        <w:pStyle w:val="Antrat2"/>
        <w:numPr>
          <w:ilvl w:val="2"/>
          <w:numId w:val="21"/>
        </w:numPr>
        <w:rPr>
          <w:rFonts w:ascii="Georgia" w:hAnsi="Georgia"/>
          <w:lang w:val="lt-LT"/>
        </w:rPr>
      </w:pPr>
      <w:bookmarkStart w:id="10" w:name="_Toc25594639"/>
      <w:r w:rsidRPr="00C97275">
        <w:rPr>
          <w:rFonts w:ascii="Georgia" w:hAnsi="Georgia"/>
          <w:lang w:val="lt-LT"/>
        </w:rPr>
        <w:lastRenderedPageBreak/>
        <w:t>Finansinių priemonių suderinamumas su ES ir nacionaliniais strateginiais dokumentais</w:t>
      </w:r>
      <w:bookmarkEnd w:id="10"/>
    </w:p>
    <w:p w14:paraId="7C622322" w14:textId="77777777" w:rsidR="0083461E" w:rsidRPr="00C97275" w:rsidRDefault="0083461E" w:rsidP="00336C16">
      <w:pPr>
        <w:autoSpaceDE w:val="0"/>
        <w:autoSpaceDN w:val="0"/>
        <w:adjustRightInd w:val="0"/>
        <w:jc w:val="both"/>
        <w:rPr>
          <w:rFonts w:ascii="Georgia" w:hAnsi="Georgia" w:cs="Georgia"/>
          <w:sz w:val="20"/>
          <w:szCs w:val="20"/>
          <w:lang w:val="lt-LT"/>
        </w:rPr>
      </w:pPr>
    </w:p>
    <w:p w14:paraId="5BEAC3B7" w14:textId="77777777" w:rsidR="00336C16" w:rsidRPr="00C97275" w:rsidRDefault="0083461E" w:rsidP="0083461E">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B</w:t>
      </w:r>
      <w:r w:rsidR="00336C16" w:rsidRPr="00C97275">
        <w:rPr>
          <w:rFonts w:ascii="Georgia" w:hAnsi="Georgia" w:cs="Georgia"/>
          <w:sz w:val="20"/>
          <w:szCs w:val="20"/>
          <w:lang w:val="lt-LT"/>
        </w:rPr>
        <w:t xml:space="preserve">endrųjų nuostatų reglamento preambulėje atkreipiamas dėmesys, kad finansinės priemonės yra itin svarbios dėl savo kuriamo sverto efekto, galimybės derinti įvairias viešųjų ir privačiųjų finansų formas bei lėšų grįžtamojo efekto. Dėl visų šių priežasčių finansinių priemonių parama yra tvaresnė ilguoju laikotarpiu. Finansinių priemonių kūrimas skatina vadovaujančias institucijas viešuosius finansus valdyti pagal verslo administravimo principus įgyvendinant viešosios politikos tikslus bei skatinant galutinius naudos gavėjus didinti jų projektų kokybę ir finansinę discipliną. Sverto efektas bei gebėjimas pritraukti privačius išteklius yra ypatingai svarbūs, kai biudžeto ištekliai yra suvaržyti ir riboti. </w:t>
      </w:r>
    </w:p>
    <w:p w14:paraId="586320C4" w14:textId="2E94E475" w:rsidR="00336C16" w:rsidRPr="00C97275" w:rsidRDefault="00336C16" w:rsidP="00936224">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Kaip yra atkreiptas dėmesys e</w:t>
      </w:r>
      <w:r w:rsidR="00300FF4" w:rsidRPr="00C97275">
        <w:rPr>
          <w:rFonts w:ascii="Georgia" w:hAnsi="Georgia" w:cs="Georgia"/>
          <w:sz w:val="20"/>
          <w:szCs w:val="20"/>
          <w:lang w:val="lt-LT"/>
        </w:rPr>
        <w:t>x-ante</w:t>
      </w:r>
      <w:r w:rsidR="00936224" w:rsidRPr="00C97275">
        <w:rPr>
          <w:rFonts w:ascii="Georgia" w:hAnsi="Georgia" w:cs="Georgia"/>
          <w:sz w:val="20"/>
          <w:szCs w:val="20"/>
          <w:lang w:val="lt-LT"/>
        </w:rPr>
        <w:t xml:space="preserve"> vertinimo metodologijos IV</w:t>
      </w:r>
      <w:r w:rsidRPr="00C97275">
        <w:rPr>
          <w:rFonts w:ascii="Georgia" w:hAnsi="Georgia" w:cs="Georgia"/>
          <w:sz w:val="20"/>
          <w:szCs w:val="20"/>
          <w:lang w:val="lt-LT"/>
        </w:rPr>
        <w:t xml:space="preserve"> dalyje, projektai, kurie įgyvendina perėjimo prie mažai anglies dioksido į aplinką išskiriančių technologijų ekonomikos veiklas, ypač investicijos į energijos efektyvumą ir atsinaujinančius energijos išteklius, yra itin tinkami grįžtamojo pobūdžio finansinėms priemonėms. Viena vertus, energijos efektyvumo ir atsinaujinančių energijos išteklių investicijos sukuria finansinę ir ekonominę grąžą per patirtus sutaupymus, produktyvesnį turtą, energijos saugą, darbo vietų kūrimą bei gyvenimo kokybės gerėjimą. Kita vertus, poreikis kapitalo investicijoms yra didesnis nei privatūs šaltiniai būtų linkę suteikti. Todėl investicijos į energijos efektyvumo ir atsinaujinančius energijos išteklius yra neoptimalių investavimo situacijų bei rinkos ir reguliavimo trūkumų objektas. Minėtoje e</w:t>
      </w:r>
      <w:r w:rsidR="00300FF4" w:rsidRPr="00C97275">
        <w:rPr>
          <w:rFonts w:ascii="Georgia" w:hAnsi="Georgia" w:cs="Georgia"/>
          <w:sz w:val="20"/>
          <w:szCs w:val="20"/>
          <w:lang w:val="lt-LT"/>
        </w:rPr>
        <w:t>x-ante</w:t>
      </w:r>
      <w:r w:rsidRPr="00C97275">
        <w:rPr>
          <w:rFonts w:ascii="Georgia" w:hAnsi="Georgia" w:cs="Georgia"/>
          <w:sz w:val="20"/>
          <w:szCs w:val="20"/>
          <w:lang w:val="lt-LT"/>
        </w:rPr>
        <w:t xml:space="preserve"> vertinimo metodologijos 4 dalyje taip pat pažymėta, kad subsidijos elementas dažnai bus reikalingas finansuoti dalį energijos efektyvumo ir atsinaujinančių energijos išteklių projektų, ypač subsidijos elementas bus reikalingas tiems projektams, kurie turi labai žemą arba neigiamą vidinę grąžos normą (angl. </w:t>
      </w:r>
      <w:r w:rsidRPr="00C97275">
        <w:rPr>
          <w:rFonts w:ascii="Georgia" w:hAnsi="Georgia" w:cs="Georgia"/>
          <w:i/>
          <w:sz w:val="20"/>
          <w:szCs w:val="20"/>
          <w:lang w:val="lt-LT"/>
        </w:rPr>
        <w:t>IRR – internal rate of return</w:t>
      </w:r>
      <w:r w:rsidRPr="00C97275">
        <w:rPr>
          <w:rFonts w:ascii="Georgia" w:hAnsi="Georgia" w:cs="Georgia"/>
          <w:sz w:val="20"/>
          <w:szCs w:val="20"/>
          <w:lang w:val="lt-LT"/>
        </w:rPr>
        <w:t xml:space="preserve">) arba jei </w:t>
      </w:r>
      <w:r w:rsidR="0083461E" w:rsidRPr="00C97275">
        <w:rPr>
          <w:rFonts w:ascii="Georgia" w:hAnsi="Georgia" w:cs="Georgia"/>
          <w:sz w:val="20"/>
          <w:szCs w:val="20"/>
          <w:lang w:val="lt-LT"/>
        </w:rPr>
        <w:t xml:space="preserve">subsidijos </w:t>
      </w:r>
      <w:r w:rsidRPr="00C97275">
        <w:rPr>
          <w:rFonts w:ascii="Georgia" w:hAnsi="Georgia" w:cs="Georgia"/>
          <w:sz w:val="20"/>
          <w:szCs w:val="20"/>
          <w:lang w:val="lt-LT"/>
        </w:rPr>
        <w:t xml:space="preserve">elementas reikalingas dėl socialinių priežasčių arba siekiant įgyvendinti kapitalinę renovaciją.  </w:t>
      </w:r>
    </w:p>
    <w:p w14:paraId="6DECDE82" w14:textId="77777777" w:rsidR="00336C16" w:rsidRPr="00C97275" w:rsidRDefault="00336C16" w:rsidP="00936224">
      <w:pPr>
        <w:autoSpaceDE w:val="0"/>
        <w:autoSpaceDN w:val="0"/>
        <w:adjustRightInd w:val="0"/>
        <w:spacing w:after="0"/>
        <w:jc w:val="both"/>
        <w:rPr>
          <w:rFonts w:ascii="Georgia" w:hAnsi="Georgia" w:cs="Georgia"/>
          <w:sz w:val="20"/>
          <w:szCs w:val="20"/>
          <w:lang w:val="lt-LT"/>
        </w:rPr>
      </w:pPr>
    </w:p>
    <w:p w14:paraId="3321233A" w14:textId="77777777" w:rsidR="00336C16" w:rsidRPr="00C97275" w:rsidRDefault="00336C16" w:rsidP="0083461E">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Žemiau pateiktoje lentelėje pateiktas kiekvienos iš šioje analizėje tiriamų veiklų suderinamumas su 2014-2020 m. veiksmų programa ir kitais </w:t>
      </w:r>
      <w:r w:rsidR="00CC2E6F" w:rsidRPr="00C97275">
        <w:rPr>
          <w:rFonts w:ascii="Georgia" w:hAnsi="Georgia" w:cs="Georgia"/>
          <w:sz w:val="20"/>
          <w:szCs w:val="20"/>
          <w:lang w:val="lt-LT"/>
        </w:rPr>
        <w:t>ES</w:t>
      </w:r>
      <w:r w:rsidRPr="00C97275">
        <w:rPr>
          <w:rFonts w:ascii="Georgia" w:hAnsi="Georgia" w:cs="Georgia"/>
          <w:sz w:val="20"/>
          <w:szCs w:val="20"/>
          <w:lang w:val="lt-LT"/>
        </w:rPr>
        <w:t xml:space="preserve"> bei nacionaliniais strateginiais dokumentais. Analizės metu buvo </w:t>
      </w:r>
      <w:r w:rsidR="0083461E" w:rsidRPr="00C97275">
        <w:rPr>
          <w:rFonts w:ascii="Georgia" w:hAnsi="Georgia" w:cs="Georgia"/>
          <w:sz w:val="20"/>
          <w:szCs w:val="20"/>
          <w:lang w:val="lt-LT"/>
        </w:rPr>
        <w:t>nustatyta</w:t>
      </w:r>
      <w:r w:rsidRPr="00C97275">
        <w:rPr>
          <w:rFonts w:ascii="Georgia" w:hAnsi="Georgia" w:cs="Georgia"/>
          <w:sz w:val="20"/>
          <w:szCs w:val="20"/>
          <w:lang w:val="lt-LT"/>
        </w:rPr>
        <w:t xml:space="preserve">, kad energijos efektyvumo veiklos </w:t>
      </w:r>
      <w:r w:rsidR="0083461E" w:rsidRPr="00C97275">
        <w:rPr>
          <w:rFonts w:ascii="Georgia" w:hAnsi="Georgia" w:cs="Georgia"/>
          <w:sz w:val="20"/>
          <w:szCs w:val="20"/>
          <w:lang w:val="lt-LT"/>
        </w:rPr>
        <w:t>dera</w:t>
      </w:r>
      <w:r w:rsidRPr="00C97275">
        <w:rPr>
          <w:rFonts w:ascii="Georgia" w:hAnsi="Georgia" w:cs="Georgia"/>
          <w:sz w:val="20"/>
          <w:szCs w:val="20"/>
          <w:lang w:val="lt-LT"/>
        </w:rPr>
        <w:t xml:space="preserve"> su strateginių dokumentų keliamais tikslais, strateginiai dokumentai palaiko, remia ir skatina šias energijos efektyvumo veiklas. </w:t>
      </w:r>
    </w:p>
    <w:p w14:paraId="1951479B" w14:textId="1913A915" w:rsidR="00336C16" w:rsidRPr="00C97275" w:rsidRDefault="001F5C99" w:rsidP="001F5C99">
      <w:pPr>
        <w:pStyle w:val="Antrat"/>
        <w:jc w:val="both"/>
        <w:rPr>
          <w:lang w:val="lt-LT"/>
        </w:rPr>
      </w:pPr>
      <w:bookmarkStart w:id="11" w:name="_Toc19105214"/>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1</w:t>
      </w:r>
      <w:r w:rsidRPr="00C97275">
        <w:rPr>
          <w:lang w:val="lt-LT"/>
        </w:rPr>
        <w:fldChar w:fldCharType="end"/>
      </w:r>
      <w:r w:rsidRPr="00C97275">
        <w:rPr>
          <w:lang w:val="lt-LT"/>
        </w:rPr>
        <w:t xml:space="preserve">. </w:t>
      </w:r>
      <w:r w:rsidRPr="00C97275">
        <w:rPr>
          <w:rFonts w:cs="Georgia"/>
          <w:szCs w:val="20"/>
          <w:lang w:val="lt-LT"/>
        </w:rPr>
        <w:t xml:space="preserve">Energijos efektyvumo veiklų tipų suderinamumas su </w:t>
      </w:r>
      <w:r w:rsidR="00CC2E6F" w:rsidRPr="00C97275">
        <w:rPr>
          <w:rFonts w:cs="Georgia"/>
          <w:szCs w:val="20"/>
          <w:lang w:val="lt-LT"/>
        </w:rPr>
        <w:t>ES</w:t>
      </w:r>
      <w:r w:rsidRPr="00C97275">
        <w:rPr>
          <w:rFonts w:cs="Georgia"/>
          <w:szCs w:val="20"/>
          <w:lang w:val="lt-LT"/>
        </w:rPr>
        <w:t xml:space="preserve"> ir nacionaliniais strateginiais dokumentais.</w:t>
      </w:r>
      <w:bookmarkEnd w:id="11"/>
    </w:p>
    <w:tbl>
      <w:tblPr>
        <w:tblStyle w:val="viesussraas2parykinimas"/>
        <w:tblW w:w="5000" w:type="pct"/>
        <w:tblLook w:val="04A0" w:firstRow="1" w:lastRow="0" w:firstColumn="1" w:lastColumn="0" w:noHBand="0" w:noVBand="1"/>
      </w:tblPr>
      <w:tblGrid>
        <w:gridCol w:w="2047"/>
        <w:gridCol w:w="2397"/>
        <w:gridCol w:w="2399"/>
        <w:gridCol w:w="2399"/>
      </w:tblGrid>
      <w:tr w:rsidR="00CB4D9D" w:rsidRPr="00C97275" w14:paraId="6DB6F299" w14:textId="77777777" w:rsidTr="00F9357D">
        <w:trPr>
          <w:cnfStyle w:val="100000000000" w:firstRow="1" w:lastRow="0" w:firstColumn="0" w:lastColumn="0" w:oddVBand="0" w:evenVBand="0" w:oddHBand="0" w:evenHBand="0" w:firstRowFirstColumn="0" w:firstRowLastColumn="0" w:lastRowFirstColumn="0" w:lastRowLastColumn="0"/>
          <w:cantSplit/>
          <w:trHeight w:val="139"/>
          <w:tblHeader/>
        </w:trPr>
        <w:tc>
          <w:tcPr>
            <w:cnfStyle w:val="001000000000" w:firstRow="0" w:lastRow="0" w:firstColumn="1" w:lastColumn="0" w:oddVBand="0" w:evenVBand="0" w:oddHBand="0" w:evenHBand="0" w:firstRowFirstColumn="0" w:firstRowLastColumn="0" w:lastRowFirstColumn="0" w:lastRowLastColumn="0"/>
            <w:tcW w:w="1107" w:type="pct"/>
            <w:tcBorders>
              <w:top w:val="single" w:sz="8" w:space="0" w:color="C0504D" w:themeColor="accent2"/>
              <w:left w:val="single" w:sz="8" w:space="0" w:color="C0504D" w:themeColor="accent2"/>
              <w:bottom w:val="nil"/>
              <w:right w:val="nil"/>
            </w:tcBorders>
            <w:hideMark/>
          </w:tcPr>
          <w:p w14:paraId="5E34CF7C" w14:textId="77777777" w:rsidR="00336C16" w:rsidRPr="00C97275" w:rsidRDefault="00336C16" w:rsidP="00466A70">
            <w:pPr>
              <w:autoSpaceDE w:val="0"/>
              <w:autoSpaceDN w:val="0"/>
              <w:adjustRightInd w:val="0"/>
              <w:jc w:val="center"/>
              <w:rPr>
                <w:rFonts w:ascii="Georgia" w:hAnsi="Georgia" w:cs="Georgia"/>
                <w:sz w:val="20"/>
                <w:szCs w:val="20"/>
              </w:rPr>
            </w:pPr>
            <w:r w:rsidRPr="00C97275">
              <w:rPr>
                <w:rFonts w:ascii="Georgia" w:hAnsi="Georgia" w:cs="Georgia"/>
                <w:sz w:val="20"/>
                <w:szCs w:val="20"/>
              </w:rPr>
              <w:t>Veiklos tipas</w:t>
            </w:r>
          </w:p>
        </w:tc>
        <w:tc>
          <w:tcPr>
            <w:tcW w:w="1297" w:type="pct"/>
            <w:tcBorders>
              <w:top w:val="single" w:sz="8" w:space="0" w:color="C0504D" w:themeColor="accent2"/>
              <w:left w:val="nil"/>
              <w:bottom w:val="nil"/>
              <w:right w:val="nil"/>
            </w:tcBorders>
            <w:hideMark/>
          </w:tcPr>
          <w:p w14:paraId="2B08C182" w14:textId="77777777" w:rsidR="00336C16" w:rsidRPr="00C97275"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Veiksmų programos prioritetas</w:t>
            </w:r>
          </w:p>
        </w:tc>
        <w:tc>
          <w:tcPr>
            <w:tcW w:w="1298" w:type="pct"/>
            <w:tcBorders>
              <w:top w:val="single" w:sz="8" w:space="0" w:color="C0504D" w:themeColor="accent2"/>
              <w:left w:val="nil"/>
              <w:bottom w:val="nil"/>
              <w:right w:val="nil"/>
            </w:tcBorders>
            <w:hideMark/>
          </w:tcPr>
          <w:p w14:paraId="09F45C91" w14:textId="77777777" w:rsidR="00336C16" w:rsidRPr="00C97275"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Ryšys su ES lygmens strateginiais dokumentais</w:t>
            </w:r>
          </w:p>
        </w:tc>
        <w:tc>
          <w:tcPr>
            <w:tcW w:w="1298" w:type="pct"/>
            <w:tcBorders>
              <w:top w:val="single" w:sz="8" w:space="0" w:color="C0504D" w:themeColor="accent2"/>
              <w:left w:val="nil"/>
              <w:bottom w:val="nil"/>
              <w:right w:val="single" w:sz="8" w:space="0" w:color="C0504D" w:themeColor="accent2"/>
            </w:tcBorders>
            <w:hideMark/>
          </w:tcPr>
          <w:p w14:paraId="7E8FCCF6" w14:textId="77777777" w:rsidR="00336C16" w:rsidRPr="00C97275"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Ryšys su nacionaliniais strateginiais dokumentais</w:t>
            </w:r>
          </w:p>
        </w:tc>
      </w:tr>
      <w:tr w:rsidR="00336C16" w:rsidRPr="00C97275" w14:paraId="45ABE9CF"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right w:val="nil"/>
            </w:tcBorders>
            <w:hideMark/>
          </w:tcPr>
          <w:p w14:paraId="1E85D3E4" w14:textId="77777777" w:rsidR="00336C16" w:rsidRPr="00C97275" w:rsidRDefault="00336C16" w:rsidP="00936224">
            <w:pPr>
              <w:autoSpaceDE w:val="0"/>
              <w:autoSpaceDN w:val="0"/>
              <w:adjustRightInd w:val="0"/>
              <w:jc w:val="both"/>
              <w:rPr>
                <w:rFonts w:ascii="Georgia" w:hAnsi="Georgia" w:cs="Georgia"/>
                <w:sz w:val="20"/>
                <w:szCs w:val="20"/>
              </w:rPr>
            </w:pPr>
            <w:r w:rsidRPr="00C97275">
              <w:rPr>
                <w:rFonts w:ascii="Georgia" w:hAnsi="Georgia" w:cs="Georgia"/>
                <w:sz w:val="20"/>
                <w:szCs w:val="20"/>
              </w:rPr>
              <w:t xml:space="preserve">Daugiabučių namų </w:t>
            </w:r>
            <w:r w:rsidR="00936224" w:rsidRPr="00C97275">
              <w:rPr>
                <w:rFonts w:ascii="Georgia" w:hAnsi="Georgia" w:cs="Georgia"/>
                <w:sz w:val="20"/>
                <w:szCs w:val="20"/>
              </w:rPr>
              <w:t>modernizavimas</w:t>
            </w:r>
          </w:p>
        </w:tc>
        <w:tc>
          <w:tcPr>
            <w:tcW w:w="0" w:type="pct"/>
            <w:vMerge w:val="restart"/>
            <w:tcBorders>
              <w:left w:val="nil"/>
              <w:right w:val="nil"/>
            </w:tcBorders>
            <w:hideMark/>
          </w:tcPr>
          <w:p w14:paraId="0F1E927F"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4 prioritetas „Energijos efektyvumo ir atsinaujinančių išteklių energijos gamybos ir naudojimo skatinimas“</w:t>
            </w:r>
          </w:p>
        </w:tc>
        <w:tc>
          <w:tcPr>
            <w:tcW w:w="0" w:type="pct"/>
            <w:tcBorders>
              <w:left w:val="nil"/>
              <w:right w:val="nil"/>
            </w:tcBorders>
            <w:hideMark/>
          </w:tcPr>
          <w:p w14:paraId="22E6BC40"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Europa 2020 – 3 tikslas „Klimato kaita ir energetikos tvarumas“</w:t>
            </w:r>
          </w:p>
        </w:tc>
        <w:tc>
          <w:tcPr>
            <w:tcW w:w="0" w:type="pct"/>
            <w:vMerge w:val="restart"/>
            <w:tcBorders>
              <w:left w:val="nil"/>
              <w:bottom w:val="nil"/>
            </w:tcBorders>
            <w:hideMark/>
          </w:tcPr>
          <w:p w14:paraId="08D099E0"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Nacionalinės pažangos strategija – 3.3.2 uždavinys</w:t>
            </w:r>
          </w:p>
        </w:tc>
      </w:tr>
      <w:tr w:rsidR="00336C16" w:rsidRPr="00C97275" w14:paraId="17421AA0"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6F359651" w14:textId="77777777" w:rsidR="00336C16" w:rsidRPr="00C97275"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75D4A5BF"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79E78832"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Energijos efektyvumo direktyva</w:t>
            </w:r>
          </w:p>
        </w:tc>
        <w:tc>
          <w:tcPr>
            <w:tcW w:w="0" w:type="pct"/>
            <w:vMerge/>
            <w:tcBorders>
              <w:top w:val="single" w:sz="8" w:space="0" w:color="C0504D" w:themeColor="accent2"/>
              <w:left w:val="nil"/>
              <w:bottom w:val="nil"/>
              <w:right w:val="single" w:sz="8" w:space="0" w:color="C0504D" w:themeColor="accent2"/>
            </w:tcBorders>
            <w:vAlign w:val="center"/>
            <w:hideMark/>
          </w:tcPr>
          <w:p w14:paraId="4260D116"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C97275" w14:paraId="36ACFE77"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5E043999" w14:textId="77777777" w:rsidR="00336C16" w:rsidRPr="00C97275" w:rsidRDefault="00336C16">
            <w:pPr>
              <w:rPr>
                <w:rFonts w:ascii="Georgia" w:hAnsi="Georgia" w:cs="Georgia"/>
                <w:sz w:val="20"/>
                <w:szCs w:val="20"/>
              </w:rPr>
            </w:pPr>
          </w:p>
        </w:tc>
        <w:tc>
          <w:tcPr>
            <w:tcW w:w="0" w:type="pct"/>
            <w:vMerge/>
            <w:tcBorders>
              <w:left w:val="nil"/>
              <w:right w:val="nil"/>
            </w:tcBorders>
            <w:vAlign w:val="center"/>
            <w:hideMark/>
          </w:tcPr>
          <w:p w14:paraId="63229BBD"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41BD96D9"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Bendrųjų nuostatų reglamentas – 9 straipsnis, 4 teminis tikslas</w:t>
            </w:r>
          </w:p>
        </w:tc>
        <w:tc>
          <w:tcPr>
            <w:tcW w:w="0" w:type="pct"/>
            <w:vMerge w:val="restart"/>
            <w:tcBorders>
              <w:left w:val="nil"/>
              <w:bottom w:val="nil"/>
            </w:tcBorders>
            <w:hideMark/>
          </w:tcPr>
          <w:p w14:paraId="2150DFF8"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Nacionalinė energetinės nepriklausomybės strategija – energetinio efektyvumo didinimo strategija</w:t>
            </w:r>
          </w:p>
        </w:tc>
      </w:tr>
      <w:tr w:rsidR="00336C16" w:rsidRPr="00C97275" w14:paraId="7CF15BD6" w14:textId="77777777" w:rsidTr="005B31C6">
        <w:trPr>
          <w:cantSplit/>
          <w:trHeight w:val="509"/>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25AAFF1D" w14:textId="77777777" w:rsidR="00336C16" w:rsidRPr="00C97275"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2C09B3E2"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vMerge w:val="restart"/>
            <w:tcBorders>
              <w:top w:val="nil"/>
              <w:left w:val="nil"/>
              <w:bottom w:val="single" w:sz="8" w:space="0" w:color="C0504D" w:themeColor="accent2"/>
              <w:right w:val="nil"/>
            </w:tcBorders>
            <w:hideMark/>
          </w:tcPr>
          <w:p w14:paraId="0B46AF5C"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 xml:space="preserve">Europos regioninės plėtros fondo </w:t>
            </w:r>
            <w:r w:rsidRPr="00C97275">
              <w:rPr>
                <w:rFonts w:ascii="Georgia" w:hAnsi="Georgia" w:cs="Georgia"/>
                <w:sz w:val="20"/>
                <w:szCs w:val="20"/>
              </w:rPr>
              <w:lastRenderedPageBreak/>
              <w:t>reglamentas – 5 straipsnis, 4 investavimo prioritetas</w:t>
            </w:r>
          </w:p>
        </w:tc>
        <w:tc>
          <w:tcPr>
            <w:tcW w:w="0" w:type="pct"/>
            <w:vMerge/>
            <w:tcBorders>
              <w:top w:val="single" w:sz="8" w:space="0" w:color="C0504D" w:themeColor="accent2"/>
              <w:left w:val="nil"/>
              <w:bottom w:val="nil"/>
              <w:right w:val="single" w:sz="8" w:space="0" w:color="C0504D" w:themeColor="accent2"/>
            </w:tcBorders>
            <w:vAlign w:val="center"/>
            <w:hideMark/>
          </w:tcPr>
          <w:p w14:paraId="31C21020"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C97275" w14:paraId="306DB62C"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525D1422" w14:textId="77777777" w:rsidR="00336C16" w:rsidRPr="00C97275" w:rsidRDefault="00336C16">
            <w:pPr>
              <w:rPr>
                <w:rFonts w:ascii="Georgia" w:hAnsi="Georgia" w:cs="Georgia"/>
                <w:sz w:val="20"/>
                <w:szCs w:val="20"/>
              </w:rPr>
            </w:pPr>
          </w:p>
        </w:tc>
        <w:tc>
          <w:tcPr>
            <w:tcW w:w="0" w:type="pct"/>
            <w:vMerge/>
            <w:tcBorders>
              <w:left w:val="nil"/>
              <w:right w:val="nil"/>
            </w:tcBorders>
            <w:vAlign w:val="center"/>
            <w:hideMark/>
          </w:tcPr>
          <w:p w14:paraId="57DA2BB3"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vMerge/>
            <w:tcBorders>
              <w:top w:val="nil"/>
              <w:left w:val="nil"/>
              <w:right w:val="nil"/>
            </w:tcBorders>
            <w:vAlign w:val="center"/>
            <w:hideMark/>
          </w:tcPr>
          <w:p w14:paraId="67CB5993"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tcBorders>
            <w:hideMark/>
          </w:tcPr>
          <w:p w14:paraId="7F385DA6"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2014 m. energijos vartojimo efektyvumo veiksmų planas 3.2 dalis „energijos vartojimo efektyvumo didinimo priemonės namų ūkių sektoriuje“</w:t>
            </w:r>
          </w:p>
        </w:tc>
      </w:tr>
      <w:tr w:rsidR="00336C16" w:rsidRPr="00C97275" w14:paraId="1BC8597A" w14:textId="77777777" w:rsidTr="005B31C6">
        <w:trPr>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nil"/>
              <w:left w:val="single" w:sz="8" w:space="0" w:color="C0504D" w:themeColor="accent2"/>
              <w:bottom w:val="nil"/>
              <w:right w:val="nil"/>
            </w:tcBorders>
            <w:hideMark/>
          </w:tcPr>
          <w:p w14:paraId="7BF27C0A" w14:textId="77777777" w:rsidR="00336C16" w:rsidRPr="00C97275" w:rsidRDefault="00336C16" w:rsidP="00936224">
            <w:pPr>
              <w:autoSpaceDE w:val="0"/>
              <w:autoSpaceDN w:val="0"/>
              <w:adjustRightInd w:val="0"/>
              <w:jc w:val="both"/>
              <w:rPr>
                <w:rFonts w:ascii="Georgia" w:hAnsi="Georgia" w:cs="Georgia"/>
                <w:sz w:val="20"/>
                <w:szCs w:val="20"/>
              </w:rPr>
            </w:pPr>
            <w:r w:rsidRPr="00C97275">
              <w:rPr>
                <w:rFonts w:ascii="Georgia" w:hAnsi="Georgia" w:cs="Georgia"/>
                <w:sz w:val="20"/>
                <w:szCs w:val="20"/>
              </w:rPr>
              <w:lastRenderedPageBreak/>
              <w:t xml:space="preserve">Savivaldybių viešųjų pastatų </w:t>
            </w:r>
            <w:r w:rsidR="00936224" w:rsidRPr="00C97275">
              <w:rPr>
                <w:rFonts w:ascii="Georgia" w:hAnsi="Georgia" w:cs="Georgia"/>
                <w:sz w:val="20"/>
                <w:szCs w:val="20"/>
              </w:rPr>
              <w:t>modernizavimas</w:t>
            </w:r>
          </w:p>
        </w:tc>
        <w:tc>
          <w:tcPr>
            <w:tcW w:w="0" w:type="pct"/>
            <w:vMerge w:val="restart"/>
            <w:tcBorders>
              <w:top w:val="nil"/>
              <w:left w:val="nil"/>
              <w:bottom w:val="nil"/>
              <w:right w:val="nil"/>
            </w:tcBorders>
            <w:hideMark/>
          </w:tcPr>
          <w:p w14:paraId="208D8578"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4 prioritetas „Energijos efektyvumo ir atsinaujinančių išteklių energijos gamybos ir naudojimo skatinimas“</w:t>
            </w:r>
          </w:p>
        </w:tc>
        <w:tc>
          <w:tcPr>
            <w:tcW w:w="0" w:type="pct"/>
            <w:tcBorders>
              <w:top w:val="nil"/>
              <w:left w:val="nil"/>
              <w:bottom w:val="nil"/>
              <w:right w:val="nil"/>
            </w:tcBorders>
            <w:hideMark/>
          </w:tcPr>
          <w:p w14:paraId="70460D8E"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Europa 2020 – 3 tikslas „Klimato kaita ir energetikos tvarumas“</w:t>
            </w:r>
          </w:p>
        </w:tc>
        <w:tc>
          <w:tcPr>
            <w:tcW w:w="0" w:type="pct"/>
            <w:vMerge w:val="restart"/>
            <w:tcBorders>
              <w:top w:val="nil"/>
              <w:left w:val="nil"/>
              <w:bottom w:val="single" w:sz="8" w:space="0" w:color="C0504D" w:themeColor="accent2"/>
              <w:right w:val="single" w:sz="8" w:space="0" w:color="C0504D" w:themeColor="accent2"/>
            </w:tcBorders>
            <w:hideMark/>
          </w:tcPr>
          <w:p w14:paraId="4A82ECEF"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Nacionalinės pažangos strategija – 3.3.2 uždavinys</w:t>
            </w:r>
          </w:p>
        </w:tc>
      </w:tr>
      <w:tr w:rsidR="00336C16" w:rsidRPr="00C97275" w14:paraId="5ACC42BE"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nil"/>
              <w:right w:val="nil"/>
            </w:tcBorders>
            <w:vAlign w:val="center"/>
            <w:hideMark/>
          </w:tcPr>
          <w:p w14:paraId="701D7030" w14:textId="77777777" w:rsidR="00336C16" w:rsidRPr="00C97275" w:rsidRDefault="00336C16">
            <w:pPr>
              <w:rPr>
                <w:rFonts w:ascii="Georgia" w:hAnsi="Georgia" w:cs="Georgia"/>
                <w:sz w:val="20"/>
                <w:szCs w:val="20"/>
              </w:rPr>
            </w:pPr>
          </w:p>
        </w:tc>
        <w:tc>
          <w:tcPr>
            <w:tcW w:w="0" w:type="pct"/>
            <w:vMerge/>
            <w:tcBorders>
              <w:top w:val="nil"/>
              <w:left w:val="nil"/>
              <w:bottom w:val="nil"/>
              <w:right w:val="nil"/>
            </w:tcBorders>
            <w:vAlign w:val="center"/>
            <w:hideMark/>
          </w:tcPr>
          <w:p w14:paraId="3465DD98"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42F2E94F"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Energijos efektyvumo direktyva</w:t>
            </w:r>
          </w:p>
        </w:tc>
        <w:tc>
          <w:tcPr>
            <w:tcW w:w="0" w:type="pct"/>
            <w:vMerge/>
            <w:tcBorders>
              <w:top w:val="nil"/>
              <w:left w:val="nil"/>
            </w:tcBorders>
            <w:vAlign w:val="center"/>
            <w:hideMark/>
          </w:tcPr>
          <w:p w14:paraId="7BED5469"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C97275" w14:paraId="549EF7A5"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left w:val="single" w:sz="8" w:space="0" w:color="C0504D" w:themeColor="accent2"/>
              <w:bottom w:val="nil"/>
              <w:right w:val="nil"/>
            </w:tcBorders>
            <w:vAlign w:val="center"/>
            <w:hideMark/>
          </w:tcPr>
          <w:p w14:paraId="692963F0" w14:textId="77777777" w:rsidR="00336C16" w:rsidRPr="00C97275" w:rsidRDefault="00336C16">
            <w:pPr>
              <w:rPr>
                <w:rFonts w:ascii="Georgia" w:hAnsi="Georgia" w:cs="Georgia"/>
                <w:sz w:val="20"/>
                <w:szCs w:val="20"/>
              </w:rPr>
            </w:pPr>
          </w:p>
        </w:tc>
        <w:tc>
          <w:tcPr>
            <w:tcW w:w="0" w:type="pct"/>
            <w:vMerge/>
            <w:tcBorders>
              <w:top w:val="nil"/>
              <w:left w:val="nil"/>
              <w:bottom w:val="nil"/>
              <w:right w:val="nil"/>
            </w:tcBorders>
            <w:vAlign w:val="center"/>
            <w:hideMark/>
          </w:tcPr>
          <w:p w14:paraId="73EBE41F"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3B9B75B8"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Bendrųjų nuostatų reglamentas– 9 straipsnis, 4 teminis tikslas</w:t>
            </w:r>
          </w:p>
        </w:tc>
        <w:tc>
          <w:tcPr>
            <w:tcW w:w="0" w:type="pct"/>
            <w:vMerge w:val="restart"/>
            <w:tcBorders>
              <w:top w:val="nil"/>
              <w:left w:val="nil"/>
              <w:bottom w:val="single" w:sz="8" w:space="0" w:color="C0504D" w:themeColor="accent2"/>
              <w:right w:val="single" w:sz="8" w:space="0" w:color="C0504D" w:themeColor="accent2"/>
            </w:tcBorders>
            <w:hideMark/>
          </w:tcPr>
          <w:p w14:paraId="55FFE271"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Nacionalinė energetinės nepriklausomybės strategija – energetinio efektyvumo didinimo strategija</w:t>
            </w:r>
          </w:p>
        </w:tc>
      </w:tr>
      <w:tr w:rsidR="00336C16" w:rsidRPr="00C97275" w14:paraId="313EAAF3" w14:textId="77777777" w:rsidTr="005B31C6">
        <w:trPr>
          <w:cnfStyle w:val="000000100000" w:firstRow="0" w:lastRow="0" w:firstColumn="0" w:lastColumn="0" w:oddVBand="0" w:evenVBand="0" w:oddHBand="1" w:evenHBand="0" w:firstRowFirstColumn="0" w:firstRowLastColumn="0" w:lastRowFirstColumn="0" w:lastRowLastColumn="0"/>
          <w:cantSplit/>
          <w:trHeight w:val="509"/>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nil"/>
              <w:right w:val="nil"/>
            </w:tcBorders>
            <w:vAlign w:val="center"/>
            <w:hideMark/>
          </w:tcPr>
          <w:p w14:paraId="718F52AD" w14:textId="77777777" w:rsidR="00336C16" w:rsidRPr="00C97275" w:rsidRDefault="00336C16">
            <w:pPr>
              <w:rPr>
                <w:rFonts w:ascii="Georgia" w:hAnsi="Georgia" w:cs="Georgia"/>
                <w:sz w:val="20"/>
                <w:szCs w:val="20"/>
              </w:rPr>
            </w:pPr>
          </w:p>
        </w:tc>
        <w:tc>
          <w:tcPr>
            <w:tcW w:w="0" w:type="pct"/>
            <w:vMerge/>
            <w:tcBorders>
              <w:top w:val="nil"/>
              <w:left w:val="nil"/>
              <w:bottom w:val="nil"/>
              <w:right w:val="nil"/>
            </w:tcBorders>
            <w:vAlign w:val="center"/>
            <w:hideMark/>
          </w:tcPr>
          <w:p w14:paraId="2263999B"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vMerge w:val="restart"/>
            <w:tcBorders>
              <w:left w:val="nil"/>
              <w:bottom w:val="nil"/>
              <w:right w:val="nil"/>
            </w:tcBorders>
            <w:hideMark/>
          </w:tcPr>
          <w:p w14:paraId="6208925E"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Europos regioninės plėtros fondo reglamentas– 5 straipsnis, 4 investavimo prioritetas</w:t>
            </w:r>
          </w:p>
        </w:tc>
        <w:tc>
          <w:tcPr>
            <w:tcW w:w="0" w:type="pct"/>
            <w:vMerge/>
            <w:tcBorders>
              <w:top w:val="nil"/>
              <w:left w:val="nil"/>
            </w:tcBorders>
            <w:vAlign w:val="center"/>
            <w:hideMark/>
          </w:tcPr>
          <w:p w14:paraId="7DE40FCA"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CB4D9D" w:rsidRPr="00C97275" w14:paraId="1DDC4645" w14:textId="77777777" w:rsidTr="00F9357D">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nil"/>
              <w:right w:val="nil"/>
            </w:tcBorders>
            <w:vAlign w:val="center"/>
            <w:hideMark/>
          </w:tcPr>
          <w:p w14:paraId="4C30FBC7" w14:textId="77777777" w:rsidR="00336C16" w:rsidRPr="00C97275" w:rsidRDefault="00336C16">
            <w:pPr>
              <w:rPr>
                <w:rFonts w:ascii="Georgia" w:hAnsi="Georgia" w:cs="Georgia"/>
                <w:sz w:val="20"/>
                <w:szCs w:val="20"/>
              </w:rPr>
            </w:pPr>
          </w:p>
        </w:tc>
        <w:tc>
          <w:tcPr>
            <w:tcW w:w="1297" w:type="pct"/>
            <w:vMerge/>
            <w:tcBorders>
              <w:top w:val="nil"/>
              <w:left w:val="nil"/>
              <w:bottom w:val="nil"/>
              <w:right w:val="nil"/>
            </w:tcBorders>
            <w:vAlign w:val="center"/>
            <w:hideMark/>
          </w:tcPr>
          <w:p w14:paraId="0E37D06C"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tcBorders>
              <w:top w:val="single" w:sz="8" w:space="0" w:color="C0504D" w:themeColor="accent2"/>
              <w:left w:val="nil"/>
              <w:bottom w:val="nil"/>
              <w:right w:val="nil"/>
            </w:tcBorders>
            <w:vAlign w:val="center"/>
            <w:hideMark/>
          </w:tcPr>
          <w:p w14:paraId="0E436B85"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single" w:sz="8" w:space="0" w:color="C0504D" w:themeColor="accent2"/>
            </w:tcBorders>
            <w:hideMark/>
          </w:tcPr>
          <w:p w14:paraId="4B808E34"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2014 m. energijos vartojimo efektyvumo veiksmų planas 3.3 dalis „energijos vartojimo efektyvumo didinimo priemonės paslaugų sektoriuje“</w:t>
            </w:r>
          </w:p>
        </w:tc>
      </w:tr>
      <w:tr w:rsidR="00336C16" w:rsidRPr="00C97275" w14:paraId="30FDE7B8"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right w:val="nil"/>
            </w:tcBorders>
            <w:hideMark/>
          </w:tcPr>
          <w:p w14:paraId="268095B1" w14:textId="77777777" w:rsidR="00336C16" w:rsidRPr="00C97275" w:rsidRDefault="00336C16" w:rsidP="00936224">
            <w:pPr>
              <w:autoSpaceDE w:val="0"/>
              <w:autoSpaceDN w:val="0"/>
              <w:adjustRightInd w:val="0"/>
              <w:jc w:val="both"/>
              <w:rPr>
                <w:rFonts w:ascii="Georgia" w:hAnsi="Georgia" w:cs="Georgia"/>
                <w:sz w:val="20"/>
                <w:szCs w:val="20"/>
              </w:rPr>
            </w:pPr>
            <w:r w:rsidRPr="00C97275">
              <w:rPr>
                <w:rFonts w:ascii="Georgia" w:hAnsi="Georgia" w:cs="Georgia"/>
                <w:sz w:val="20"/>
                <w:szCs w:val="20"/>
              </w:rPr>
              <w:t xml:space="preserve">Valstybės viešųjų pastatų </w:t>
            </w:r>
            <w:r w:rsidR="00936224" w:rsidRPr="00C97275">
              <w:rPr>
                <w:rFonts w:ascii="Georgia" w:hAnsi="Georgia" w:cs="Georgia"/>
                <w:sz w:val="20"/>
                <w:szCs w:val="20"/>
              </w:rPr>
              <w:t>modernizavimas</w:t>
            </w:r>
          </w:p>
        </w:tc>
        <w:tc>
          <w:tcPr>
            <w:tcW w:w="0" w:type="pct"/>
            <w:vMerge w:val="restart"/>
            <w:tcBorders>
              <w:left w:val="nil"/>
              <w:right w:val="nil"/>
            </w:tcBorders>
            <w:hideMark/>
          </w:tcPr>
          <w:p w14:paraId="2DFB6BDD"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4 prioritetas „Energijos efektyvumo ir atsinaujinančių išteklių energijos gamybos ir naudojimo skatinimas“</w:t>
            </w:r>
          </w:p>
        </w:tc>
        <w:tc>
          <w:tcPr>
            <w:tcW w:w="0" w:type="pct"/>
            <w:tcBorders>
              <w:left w:val="nil"/>
              <w:right w:val="nil"/>
            </w:tcBorders>
            <w:hideMark/>
          </w:tcPr>
          <w:p w14:paraId="2165B87B"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Europa 2020 – 3 tikslas „Klimato kaita ir energetikos tvarumas“</w:t>
            </w:r>
          </w:p>
        </w:tc>
        <w:tc>
          <w:tcPr>
            <w:tcW w:w="0" w:type="pct"/>
            <w:vMerge w:val="restart"/>
            <w:tcBorders>
              <w:left w:val="nil"/>
              <w:bottom w:val="nil"/>
            </w:tcBorders>
            <w:hideMark/>
          </w:tcPr>
          <w:p w14:paraId="56630D31"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Nacionalinės pažangos strategija – 3.3.2 uždavinys</w:t>
            </w:r>
          </w:p>
        </w:tc>
      </w:tr>
      <w:tr w:rsidR="00336C16" w:rsidRPr="00C97275" w14:paraId="48A26D7B"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17AF4C4C" w14:textId="77777777" w:rsidR="00336C16" w:rsidRPr="00C97275"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3B0EB9E7"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3EFEB8E5"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Energijos efektyvumo direktyva</w:t>
            </w:r>
          </w:p>
        </w:tc>
        <w:tc>
          <w:tcPr>
            <w:tcW w:w="0" w:type="pct"/>
            <w:vMerge/>
            <w:tcBorders>
              <w:top w:val="single" w:sz="8" w:space="0" w:color="C0504D" w:themeColor="accent2"/>
              <w:left w:val="nil"/>
              <w:bottom w:val="nil"/>
              <w:right w:val="single" w:sz="8" w:space="0" w:color="C0504D" w:themeColor="accent2"/>
            </w:tcBorders>
            <w:vAlign w:val="center"/>
            <w:hideMark/>
          </w:tcPr>
          <w:p w14:paraId="4D080B32"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C97275" w14:paraId="0F0FA4DE"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1A4EEC3D" w14:textId="77777777" w:rsidR="00336C16" w:rsidRPr="00C97275" w:rsidRDefault="00336C16">
            <w:pPr>
              <w:rPr>
                <w:rFonts w:ascii="Georgia" w:hAnsi="Georgia" w:cs="Georgia"/>
                <w:sz w:val="20"/>
                <w:szCs w:val="20"/>
              </w:rPr>
            </w:pPr>
          </w:p>
        </w:tc>
        <w:tc>
          <w:tcPr>
            <w:tcW w:w="0" w:type="pct"/>
            <w:vMerge/>
            <w:tcBorders>
              <w:left w:val="nil"/>
              <w:right w:val="nil"/>
            </w:tcBorders>
            <w:vAlign w:val="center"/>
            <w:hideMark/>
          </w:tcPr>
          <w:p w14:paraId="60C9B0DB"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3492B373"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Bendrųjų nuostatų reglamentas– 9 straipsnis, 4 teminis tikslas</w:t>
            </w:r>
          </w:p>
        </w:tc>
        <w:tc>
          <w:tcPr>
            <w:tcW w:w="0" w:type="pct"/>
            <w:vMerge w:val="restart"/>
            <w:tcBorders>
              <w:left w:val="nil"/>
              <w:bottom w:val="nil"/>
            </w:tcBorders>
            <w:hideMark/>
          </w:tcPr>
          <w:p w14:paraId="7AFB2036"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Nacionalinė energetinės nepriklausomybės strategija – energetinio efektyvumo didinimo strategija</w:t>
            </w:r>
          </w:p>
        </w:tc>
      </w:tr>
      <w:tr w:rsidR="00336C16" w:rsidRPr="00C97275" w14:paraId="1CD4E9D4" w14:textId="77777777" w:rsidTr="005B31C6">
        <w:trPr>
          <w:cantSplit/>
          <w:trHeight w:val="509"/>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663485D4" w14:textId="77777777" w:rsidR="00336C16" w:rsidRPr="00C97275"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07FF042A"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vMerge w:val="restart"/>
            <w:tcBorders>
              <w:top w:val="nil"/>
              <w:left w:val="nil"/>
              <w:bottom w:val="single" w:sz="8" w:space="0" w:color="C0504D" w:themeColor="accent2"/>
              <w:right w:val="nil"/>
            </w:tcBorders>
            <w:hideMark/>
          </w:tcPr>
          <w:p w14:paraId="5D4F732F"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Europos regioninės plėtros fondo reglamentas– 5 straipsnis, 4 investavimo prioritetas</w:t>
            </w:r>
          </w:p>
        </w:tc>
        <w:tc>
          <w:tcPr>
            <w:tcW w:w="0" w:type="pct"/>
            <w:vMerge/>
            <w:tcBorders>
              <w:top w:val="single" w:sz="8" w:space="0" w:color="C0504D" w:themeColor="accent2"/>
              <w:left w:val="nil"/>
              <w:bottom w:val="nil"/>
              <w:right w:val="single" w:sz="8" w:space="0" w:color="C0504D" w:themeColor="accent2"/>
            </w:tcBorders>
            <w:vAlign w:val="center"/>
            <w:hideMark/>
          </w:tcPr>
          <w:p w14:paraId="4C02A731"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C97275" w14:paraId="423AA85E"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2F1B3A7D" w14:textId="77777777" w:rsidR="00336C16" w:rsidRPr="00C97275" w:rsidRDefault="00336C16">
            <w:pPr>
              <w:rPr>
                <w:rFonts w:ascii="Georgia" w:hAnsi="Georgia" w:cs="Georgia"/>
                <w:sz w:val="20"/>
                <w:szCs w:val="20"/>
              </w:rPr>
            </w:pPr>
          </w:p>
        </w:tc>
        <w:tc>
          <w:tcPr>
            <w:tcW w:w="0" w:type="pct"/>
            <w:vMerge/>
            <w:tcBorders>
              <w:left w:val="nil"/>
              <w:right w:val="nil"/>
            </w:tcBorders>
            <w:vAlign w:val="center"/>
            <w:hideMark/>
          </w:tcPr>
          <w:p w14:paraId="429FAA65"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vMerge/>
            <w:tcBorders>
              <w:top w:val="nil"/>
              <w:left w:val="nil"/>
              <w:right w:val="nil"/>
            </w:tcBorders>
            <w:vAlign w:val="center"/>
            <w:hideMark/>
          </w:tcPr>
          <w:p w14:paraId="0258CE7F"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tcBorders>
            <w:hideMark/>
          </w:tcPr>
          <w:p w14:paraId="23F67D89"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2014 m. energijos vartojimo efektyvumo veiksmų planas 3.3 dalis „energijos vartojimo efektyvumo didinimo priemonės paslaugų sektoriuje“</w:t>
            </w:r>
          </w:p>
        </w:tc>
      </w:tr>
      <w:tr w:rsidR="00336C16" w:rsidRPr="00C97275" w14:paraId="60F0ED77" w14:textId="77777777" w:rsidTr="005B31C6">
        <w:trPr>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nil"/>
              <w:left w:val="single" w:sz="8" w:space="0" w:color="C0504D" w:themeColor="accent2"/>
              <w:bottom w:val="single" w:sz="8" w:space="0" w:color="C0504D" w:themeColor="accent2"/>
              <w:right w:val="nil"/>
            </w:tcBorders>
            <w:hideMark/>
          </w:tcPr>
          <w:p w14:paraId="5F5A0672" w14:textId="77777777" w:rsidR="00336C16" w:rsidRPr="00C97275" w:rsidRDefault="00336C16">
            <w:pPr>
              <w:autoSpaceDE w:val="0"/>
              <w:autoSpaceDN w:val="0"/>
              <w:adjustRightInd w:val="0"/>
              <w:jc w:val="both"/>
              <w:rPr>
                <w:rFonts w:ascii="Georgia" w:hAnsi="Georgia" w:cs="Georgia"/>
                <w:sz w:val="20"/>
                <w:szCs w:val="20"/>
              </w:rPr>
            </w:pPr>
            <w:r w:rsidRPr="00C97275">
              <w:rPr>
                <w:rFonts w:ascii="Georgia" w:hAnsi="Georgia" w:cs="Georgia"/>
                <w:sz w:val="20"/>
                <w:szCs w:val="20"/>
              </w:rPr>
              <w:t>Gatvių apšvietimo modernizavimas</w:t>
            </w:r>
          </w:p>
        </w:tc>
        <w:tc>
          <w:tcPr>
            <w:tcW w:w="0" w:type="pct"/>
            <w:vMerge w:val="restart"/>
            <w:tcBorders>
              <w:top w:val="nil"/>
              <w:left w:val="nil"/>
              <w:bottom w:val="single" w:sz="8" w:space="0" w:color="C0504D" w:themeColor="accent2"/>
              <w:right w:val="nil"/>
            </w:tcBorders>
            <w:hideMark/>
          </w:tcPr>
          <w:p w14:paraId="1BB63DA0"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4 prioritetas „Energijos efektyvumo ir atsinaujinančių išteklių energijos gamybos ir naudojimo skatinimas“</w:t>
            </w:r>
          </w:p>
        </w:tc>
        <w:tc>
          <w:tcPr>
            <w:tcW w:w="0" w:type="pct"/>
            <w:tcBorders>
              <w:top w:val="nil"/>
              <w:left w:val="nil"/>
              <w:bottom w:val="nil"/>
              <w:right w:val="nil"/>
            </w:tcBorders>
            <w:hideMark/>
          </w:tcPr>
          <w:p w14:paraId="3966E06B"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Europa 2020 – 3 tikslas „Klimato kaita ir energetikos tvarumas“</w:t>
            </w:r>
          </w:p>
        </w:tc>
        <w:tc>
          <w:tcPr>
            <w:tcW w:w="0" w:type="pct"/>
            <w:vMerge w:val="restart"/>
            <w:tcBorders>
              <w:top w:val="nil"/>
              <w:left w:val="nil"/>
              <w:bottom w:val="single" w:sz="8" w:space="0" w:color="C0504D" w:themeColor="accent2"/>
              <w:right w:val="single" w:sz="8" w:space="0" w:color="C0504D" w:themeColor="accent2"/>
            </w:tcBorders>
            <w:hideMark/>
          </w:tcPr>
          <w:p w14:paraId="3ABC32AD"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Nacionalinės pažangos strategija – 3.3.2 uždavinys</w:t>
            </w:r>
          </w:p>
        </w:tc>
      </w:tr>
      <w:tr w:rsidR="00336C16" w:rsidRPr="00C97275" w14:paraId="2B9ECAF7"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right w:val="nil"/>
            </w:tcBorders>
            <w:vAlign w:val="center"/>
            <w:hideMark/>
          </w:tcPr>
          <w:p w14:paraId="15D2C72C" w14:textId="77777777" w:rsidR="00336C16" w:rsidRPr="00C97275" w:rsidRDefault="00336C16">
            <w:pPr>
              <w:rPr>
                <w:rFonts w:ascii="Georgia" w:hAnsi="Georgia" w:cs="Georgia"/>
                <w:sz w:val="20"/>
                <w:szCs w:val="20"/>
              </w:rPr>
            </w:pPr>
          </w:p>
        </w:tc>
        <w:tc>
          <w:tcPr>
            <w:tcW w:w="0" w:type="pct"/>
            <w:vMerge/>
            <w:tcBorders>
              <w:top w:val="nil"/>
              <w:left w:val="nil"/>
              <w:right w:val="nil"/>
            </w:tcBorders>
            <w:vAlign w:val="center"/>
            <w:hideMark/>
          </w:tcPr>
          <w:p w14:paraId="522FADC3"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0A29F653"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Energijos efektyvumo direktyva</w:t>
            </w:r>
          </w:p>
        </w:tc>
        <w:tc>
          <w:tcPr>
            <w:tcW w:w="0" w:type="pct"/>
            <w:vMerge/>
            <w:tcBorders>
              <w:top w:val="nil"/>
              <w:left w:val="nil"/>
            </w:tcBorders>
            <w:vAlign w:val="center"/>
            <w:hideMark/>
          </w:tcPr>
          <w:p w14:paraId="06DB7186"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C97275" w14:paraId="76CD1FC2"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left w:val="single" w:sz="8" w:space="0" w:color="C0504D" w:themeColor="accent2"/>
              <w:bottom w:val="single" w:sz="8" w:space="0" w:color="C0504D" w:themeColor="accent2"/>
              <w:right w:val="nil"/>
            </w:tcBorders>
            <w:vAlign w:val="center"/>
            <w:hideMark/>
          </w:tcPr>
          <w:p w14:paraId="05DD42CC" w14:textId="77777777" w:rsidR="00336C16" w:rsidRPr="00C97275" w:rsidRDefault="00336C16">
            <w:pPr>
              <w:rPr>
                <w:rFonts w:ascii="Georgia" w:hAnsi="Georgia" w:cs="Georgia"/>
                <w:sz w:val="20"/>
                <w:szCs w:val="20"/>
              </w:rPr>
            </w:pPr>
          </w:p>
        </w:tc>
        <w:tc>
          <w:tcPr>
            <w:tcW w:w="0" w:type="pct"/>
            <w:vMerge/>
            <w:tcBorders>
              <w:top w:val="nil"/>
              <w:left w:val="nil"/>
              <w:bottom w:val="single" w:sz="8" w:space="0" w:color="C0504D" w:themeColor="accent2"/>
              <w:right w:val="nil"/>
            </w:tcBorders>
            <w:vAlign w:val="center"/>
            <w:hideMark/>
          </w:tcPr>
          <w:p w14:paraId="14583027" w14:textId="77777777" w:rsidR="00336C16" w:rsidRPr="00C97275"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163C09CF"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Bendrųjų nuostatų reglamentas– 9 straipsnis, 4 teminis tikslas</w:t>
            </w:r>
          </w:p>
        </w:tc>
        <w:tc>
          <w:tcPr>
            <w:tcW w:w="0" w:type="pct"/>
            <w:vMerge w:val="restart"/>
            <w:tcBorders>
              <w:top w:val="nil"/>
              <w:left w:val="nil"/>
              <w:bottom w:val="single" w:sz="8" w:space="0" w:color="C0504D" w:themeColor="accent2"/>
              <w:right w:val="single" w:sz="8" w:space="0" w:color="C0504D" w:themeColor="accent2"/>
            </w:tcBorders>
            <w:hideMark/>
          </w:tcPr>
          <w:p w14:paraId="1851022C"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 xml:space="preserve">Nacionalinė energetinės nepriklausomybės strategija – energetinio efektyvumo didinimo </w:t>
            </w:r>
            <w:r w:rsidRPr="00C97275">
              <w:rPr>
                <w:rFonts w:ascii="Georgia" w:hAnsi="Georgia" w:cs="Georgia"/>
                <w:sz w:val="20"/>
                <w:szCs w:val="20"/>
              </w:rPr>
              <w:lastRenderedPageBreak/>
              <w:t>strategija</w:t>
            </w:r>
          </w:p>
        </w:tc>
      </w:tr>
      <w:tr w:rsidR="00336C16" w:rsidRPr="00C97275" w14:paraId="5CE2B79C"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right w:val="nil"/>
            </w:tcBorders>
            <w:vAlign w:val="center"/>
            <w:hideMark/>
          </w:tcPr>
          <w:p w14:paraId="36484426" w14:textId="77777777" w:rsidR="00336C16" w:rsidRPr="00C97275" w:rsidRDefault="00336C16">
            <w:pPr>
              <w:rPr>
                <w:rFonts w:ascii="Georgia" w:hAnsi="Georgia" w:cs="Georgia"/>
                <w:sz w:val="20"/>
                <w:szCs w:val="20"/>
              </w:rPr>
            </w:pPr>
          </w:p>
        </w:tc>
        <w:tc>
          <w:tcPr>
            <w:tcW w:w="0" w:type="pct"/>
            <w:vMerge/>
            <w:tcBorders>
              <w:top w:val="nil"/>
              <w:left w:val="nil"/>
              <w:right w:val="nil"/>
            </w:tcBorders>
            <w:vAlign w:val="center"/>
            <w:hideMark/>
          </w:tcPr>
          <w:p w14:paraId="0D6B2439"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62595DF2"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Europos regioninės plėtros fondo reglamentas – 5 straipsnis, 4 investavimo prioritetas</w:t>
            </w:r>
          </w:p>
        </w:tc>
        <w:tc>
          <w:tcPr>
            <w:tcW w:w="0" w:type="pct"/>
            <w:vMerge/>
            <w:tcBorders>
              <w:top w:val="nil"/>
              <w:left w:val="nil"/>
            </w:tcBorders>
            <w:vAlign w:val="center"/>
            <w:hideMark/>
          </w:tcPr>
          <w:p w14:paraId="1975F272" w14:textId="77777777" w:rsidR="00336C16" w:rsidRPr="00C97275"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14:paraId="00AABE5B" w14:textId="77777777" w:rsidR="00336C16" w:rsidRPr="00C97275" w:rsidRDefault="00336C16" w:rsidP="00336C16">
      <w:pPr>
        <w:autoSpaceDE w:val="0"/>
        <w:autoSpaceDN w:val="0"/>
        <w:adjustRightInd w:val="0"/>
        <w:jc w:val="both"/>
        <w:rPr>
          <w:rFonts w:ascii="Georgia" w:hAnsi="Georgia" w:cs="Georgia"/>
          <w:sz w:val="20"/>
          <w:szCs w:val="20"/>
          <w:lang w:val="lt-LT"/>
        </w:rPr>
      </w:pPr>
    </w:p>
    <w:p w14:paraId="31556501" w14:textId="77777777" w:rsidR="00336C16" w:rsidRPr="00C97275" w:rsidRDefault="00336C16" w:rsidP="00336C16">
      <w:pPr>
        <w:autoSpaceDE w:val="0"/>
        <w:autoSpaceDN w:val="0"/>
        <w:adjustRightInd w:val="0"/>
        <w:jc w:val="both"/>
        <w:rPr>
          <w:rFonts w:ascii="Georgia" w:hAnsi="Georgia" w:cs="Georgia"/>
          <w:sz w:val="20"/>
          <w:szCs w:val="20"/>
          <w:lang w:val="lt-LT"/>
        </w:rPr>
      </w:pPr>
      <w:r w:rsidRPr="00C97275">
        <w:rPr>
          <w:rFonts w:ascii="Georgia" w:hAnsi="Georgia" w:cs="Georgia"/>
          <w:sz w:val="20"/>
          <w:szCs w:val="20"/>
          <w:lang w:val="lt-LT"/>
        </w:rPr>
        <w:t xml:space="preserve">Finansinės priemonės gali būti būdas padidinti privataus sektoriaus suinteresuotumą ir motyvaciją atsirinkti efektyviausius ir kuriančius pridėtinę vertę projektus. Kaip alternatyva finansinėms priemonėms galėtų būti svarstomas paramos intensyvumo tarp teikiamos subsidijos ir bendrojo finansavimo keitimas (pvz. mažinamas subsidijos dydis ir taip projekto vykdytojai skatinami ieškoti privačių išteklių užsitikrinti bendrąjį finansavimą). </w:t>
      </w:r>
      <w:r w:rsidR="0083461E" w:rsidRPr="00C97275">
        <w:rPr>
          <w:rFonts w:ascii="Georgia" w:hAnsi="Georgia" w:cs="Georgia"/>
          <w:sz w:val="20"/>
          <w:szCs w:val="20"/>
          <w:lang w:val="lt-LT"/>
        </w:rPr>
        <w:t>F</w:t>
      </w:r>
      <w:r w:rsidRPr="00C97275">
        <w:rPr>
          <w:rFonts w:ascii="Georgia" w:hAnsi="Georgia" w:cs="Georgia"/>
          <w:sz w:val="20"/>
          <w:szCs w:val="20"/>
          <w:lang w:val="lt-LT"/>
        </w:rPr>
        <w:t>inansin</w:t>
      </w:r>
      <w:r w:rsidR="0083461E" w:rsidRPr="00C97275">
        <w:rPr>
          <w:rFonts w:ascii="Georgia" w:hAnsi="Georgia" w:cs="Georgia"/>
          <w:sz w:val="20"/>
          <w:szCs w:val="20"/>
          <w:lang w:val="lt-LT"/>
        </w:rPr>
        <w:t>ių</w:t>
      </w:r>
      <w:r w:rsidRPr="00C97275">
        <w:rPr>
          <w:rFonts w:ascii="Georgia" w:hAnsi="Georgia" w:cs="Georgia"/>
          <w:sz w:val="20"/>
          <w:szCs w:val="20"/>
          <w:lang w:val="lt-LT"/>
        </w:rPr>
        <w:t xml:space="preserve"> priemon</w:t>
      </w:r>
      <w:r w:rsidR="0083461E" w:rsidRPr="00C97275">
        <w:rPr>
          <w:rFonts w:ascii="Georgia" w:hAnsi="Georgia" w:cs="Georgia"/>
          <w:sz w:val="20"/>
          <w:szCs w:val="20"/>
          <w:lang w:val="lt-LT"/>
        </w:rPr>
        <w:t>ių ir</w:t>
      </w:r>
      <w:r w:rsidRPr="00C97275">
        <w:rPr>
          <w:rFonts w:ascii="Georgia" w:hAnsi="Georgia" w:cs="Georgia"/>
          <w:sz w:val="20"/>
          <w:szCs w:val="20"/>
          <w:lang w:val="lt-LT"/>
        </w:rPr>
        <w:t xml:space="preserve"> paramos intensyvumo sumažinim</w:t>
      </w:r>
      <w:r w:rsidR="0083461E" w:rsidRPr="00C97275">
        <w:rPr>
          <w:rFonts w:ascii="Georgia" w:hAnsi="Georgia" w:cs="Georgia"/>
          <w:sz w:val="20"/>
          <w:szCs w:val="20"/>
          <w:lang w:val="lt-LT"/>
        </w:rPr>
        <w:t>o</w:t>
      </w:r>
      <w:r w:rsidRPr="00C97275">
        <w:rPr>
          <w:rFonts w:ascii="Georgia" w:hAnsi="Georgia" w:cs="Georgia"/>
          <w:sz w:val="20"/>
          <w:szCs w:val="20"/>
          <w:lang w:val="lt-LT"/>
        </w:rPr>
        <w:t xml:space="preserve"> privalumų ir trūkumų</w:t>
      </w:r>
      <w:r w:rsidR="0083461E" w:rsidRPr="00C97275">
        <w:rPr>
          <w:rFonts w:ascii="Georgia" w:hAnsi="Georgia" w:cs="Georgia"/>
          <w:sz w:val="20"/>
          <w:szCs w:val="20"/>
          <w:lang w:val="lt-LT"/>
        </w:rPr>
        <w:t xml:space="preserve"> palyginimas </w:t>
      </w:r>
      <w:r w:rsidRPr="00C97275">
        <w:rPr>
          <w:rFonts w:ascii="Georgia" w:hAnsi="Georgia" w:cs="Georgia"/>
          <w:sz w:val="20"/>
          <w:szCs w:val="20"/>
          <w:lang w:val="lt-LT"/>
        </w:rPr>
        <w:t>yra pateikt</w:t>
      </w:r>
      <w:r w:rsidR="0083461E" w:rsidRPr="00C97275">
        <w:rPr>
          <w:rFonts w:ascii="Georgia" w:hAnsi="Georgia" w:cs="Georgia"/>
          <w:sz w:val="20"/>
          <w:szCs w:val="20"/>
          <w:lang w:val="lt-LT"/>
        </w:rPr>
        <w:t>as</w:t>
      </w:r>
      <w:r w:rsidRPr="00C97275">
        <w:rPr>
          <w:rFonts w:ascii="Georgia" w:hAnsi="Georgia" w:cs="Georgia"/>
          <w:sz w:val="20"/>
          <w:szCs w:val="20"/>
          <w:lang w:val="lt-LT"/>
        </w:rPr>
        <w:t xml:space="preserve"> lentelėje žemiau. </w:t>
      </w:r>
    </w:p>
    <w:p w14:paraId="341096D4" w14:textId="3625B522" w:rsidR="00336C16" w:rsidRPr="00C97275" w:rsidRDefault="00931CAF" w:rsidP="00931CAF">
      <w:pPr>
        <w:pStyle w:val="Antrat"/>
        <w:jc w:val="both"/>
        <w:rPr>
          <w:lang w:val="lt-LT"/>
        </w:rPr>
      </w:pPr>
      <w:bookmarkStart w:id="12" w:name="_Toc19105215"/>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2</w:t>
      </w:r>
      <w:r w:rsidRPr="00C97275">
        <w:rPr>
          <w:lang w:val="lt-LT"/>
        </w:rPr>
        <w:fldChar w:fldCharType="end"/>
      </w:r>
      <w:r w:rsidRPr="00C97275">
        <w:rPr>
          <w:lang w:val="lt-LT"/>
        </w:rPr>
        <w:t xml:space="preserve">. </w:t>
      </w:r>
      <w:r w:rsidRPr="00C97275">
        <w:rPr>
          <w:rFonts w:cs="Georgia"/>
          <w:szCs w:val="20"/>
          <w:lang w:val="lt-LT"/>
        </w:rPr>
        <w:t>Finansinių priemonių ir paramos intensyvumo sumažinimo privalumai ir trūkumai.</w:t>
      </w:r>
      <w:bookmarkEnd w:id="12"/>
    </w:p>
    <w:tbl>
      <w:tblPr>
        <w:tblStyle w:val="viesussraas2parykinimas"/>
        <w:tblW w:w="5000" w:type="pct"/>
        <w:tblLook w:val="04A0" w:firstRow="1" w:lastRow="0" w:firstColumn="1" w:lastColumn="0" w:noHBand="0" w:noVBand="1"/>
      </w:tblPr>
      <w:tblGrid>
        <w:gridCol w:w="2563"/>
        <w:gridCol w:w="2338"/>
        <w:gridCol w:w="2259"/>
        <w:gridCol w:w="2082"/>
      </w:tblGrid>
      <w:tr w:rsidR="00336C16" w:rsidRPr="00C97275" w14:paraId="79178891" w14:textId="77777777" w:rsidTr="005B31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7B772295" w14:textId="77777777" w:rsidR="00336C16" w:rsidRPr="00C97275" w:rsidRDefault="00336C16">
            <w:pPr>
              <w:autoSpaceDE w:val="0"/>
              <w:autoSpaceDN w:val="0"/>
              <w:adjustRightInd w:val="0"/>
              <w:jc w:val="center"/>
              <w:rPr>
                <w:rFonts w:ascii="Georgia" w:hAnsi="Georgia" w:cs="Georgia"/>
                <w:sz w:val="20"/>
                <w:szCs w:val="20"/>
              </w:rPr>
            </w:pPr>
            <w:r w:rsidRPr="00C97275">
              <w:rPr>
                <w:rFonts w:ascii="Georgia" w:hAnsi="Georgia" w:cs="Georgia"/>
                <w:sz w:val="20"/>
                <w:szCs w:val="20"/>
              </w:rPr>
              <w:t>Finansinės priemonės</w:t>
            </w:r>
          </w:p>
        </w:tc>
        <w:tc>
          <w:tcPr>
            <w:tcW w:w="0" w:type="pct"/>
            <w:gridSpan w:val="2"/>
            <w:hideMark/>
          </w:tcPr>
          <w:p w14:paraId="2476B557" w14:textId="77777777" w:rsidR="00336C16" w:rsidRPr="00C97275"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Paramos intensyvumo keitimas</w:t>
            </w:r>
          </w:p>
        </w:tc>
      </w:tr>
      <w:tr w:rsidR="00336C16" w:rsidRPr="00C97275" w14:paraId="5E7E51C0" w14:textId="77777777" w:rsidTr="005B31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hideMark/>
          </w:tcPr>
          <w:p w14:paraId="16DF2B33" w14:textId="77777777" w:rsidR="00336C16" w:rsidRPr="00C97275" w:rsidRDefault="00336C16">
            <w:pPr>
              <w:autoSpaceDE w:val="0"/>
              <w:autoSpaceDN w:val="0"/>
              <w:adjustRightInd w:val="0"/>
              <w:jc w:val="center"/>
              <w:rPr>
                <w:rFonts w:ascii="Georgia" w:hAnsi="Georgia" w:cs="Georgia"/>
                <w:b w:val="0"/>
                <w:sz w:val="20"/>
                <w:szCs w:val="20"/>
              </w:rPr>
            </w:pPr>
            <w:r w:rsidRPr="00C97275">
              <w:rPr>
                <w:rFonts w:ascii="Georgia" w:hAnsi="Georgia" w:cs="Georgia"/>
                <w:b w:val="0"/>
                <w:sz w:val="20"/>
                <w:szCs w:val="20"/>
              </w:rPr>
              <w:t>Privalumai</w:t>
            </w:r>
          </w:p>
        </w:tc>
        <w:tc>
          <w:tcPr>
            <w:tcW w:w="0" w:type="pct"/>
            <w:hideMark/>
          </w:tcPr>
          <w:p w14:paraId="0A88F535" w14:textId="77777777" w:rsidR="00336C16" w:rsidRPr="00C97275"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C97275">
              <w:rPr>
                <w:rFonts w:ascii="Georgia" w:hAnsi="Georgia" w:cs="Georgia"/>
                <w:b w:val="0"/>
                <w:sz w:val="20"/>
                <w:szCs w:val="20"/>
              </w:rPr>
              <w:t>Trūkumai</w:t>
            </w:r>
          </w:p>
        </w:tc>
        <w:tc>
          <w:tcPr>
            <w:tcW w:w="0" w:type="pct"/>
            <w:hideMark/>
          </w:tcPr>
          <w:p w14:paraId="4333B624" w14:textId="77777777" w:rsidR="00336C16" w:rsidRPr="00C97275"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C97275">
              <w:rPr>
                <w:rFonts w:ascii="Georgia" w:hAnsi="Georgia" w:cs="Georgia"/>
                <w:sz w:val="20"/>
                <w:szCs w:val="20"/>
              </w:rPr>
              <w:t>Privalumai</w:t>
            </w:r>
          </w:p>
        </w:tc>
        <w:tc>
          <w:tcPr>
            <w:tcW w:w="0" w:type="pct"/>
            <w:hideMark/>
          </w:tcPr>
          <w:p w14:paraId="31DF4C49" w14:textId="77777777" w:rsidR="00336C16" w:rsidRPr="00C97275"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C97275">
              <w:rPr>
                <w:rFonts w:ascii="Georgia" w:hAnsi="Georgia" w:cs="Georgia"/>
                <w:sz w:val="20"/>
                <w:szCs w:val="20"/>
              </w:rPr>
              <w:t>Trūkumai</w:t>
            </w:r>
          </w:p>
        </w:tc>
      </w:tr>
      <w:tr w:rsidR="00336C16" w:rsidRPr="00C97275" w14:paraId="543A68E8"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2F132CA9" w14:textId="77777777" w:rsidR="00336C16" w:rsidRPr="00C97275" w:rsidRDefault="00336C16">
            <w:pPr>
              <w:autoSpaceDE w:val="0"/>
              <w:autoSpaceDN w:val="0"/>
              <w:adjustRightInd w:val="0"/>
              <w:jc w:val="both"/>
              <w:rPr>
                <w:rFonts w:ascii="Georgia" w:hAnsi="Georgia" w:cs="Georgia"/>
                <w:b w:val="0"/>
                <w:sz w:val="20"/>
                <w:szCs w:val="20"/>
              </w:rPr>
            </w:pPr>
            <w:r w:rsidRPr="00C97275">
              <w:rPr>
                <w:rFonts w:ascii="Georgia" w:hAnsi="Georgia" w:cs="Georgia"/>
                <w:sz w:val="20"/>
                <w:szCs w:val="20"/>
              </w:rPr>
              <w:t xml:space="preserve">Laipsniškas sektoriaus perėjimas nuo subsidijų prie paskolų </w:t>
            </w:r>
          </w:p>
        </w:tc>
        <w:tc>
          <w:tcPr>
            <w:tcW w:w="0" w:type="pct"/>
            <w:hideMark/>
          </w:tcPr>
          <w:p w14:paraId="0DA5172E"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Potencialiai sudėtingesnė ir sąlyginai brangesnė įgyvendinimo struktūra</w:t>
            </w:r>
          </w:p>
        </w:tc>
        <w:tc>
          <w:tcPr>
            <w:tcW w:w="0" w:type="pct"/>
            <w:hideMark/>
          </w:tcPr>
          <w:p w14:paraId="1176F3A4"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Paprastesnė įgyvendinimo struktūra</w:t>
            </w:r>
          </w:p>
        </w:tc>
        <w:tc>
          <w:tcPr>
            <w:tcW w:w="0" w:type="pct"/>
            <w:hideMark/>
          </w:tcPr>
          <w:p w14:paraId="1B6D8956"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Mažiau sklandus perėjimas nuo subsidijų prie paskolų</w:t>
            </w:r>
          </w:p>
        </w:tc>
      </w:tr>
      <w:tr w:rsidR="00336C16" w:rsidRPr="00C97275" w14:paraId="081BFDE3"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hideMark/>
          </w:tcPr>
          <w:p w14:paraId="5FD75CC1" w14:textId="77777777" w:rsidR="00336C16" w:rsidRPr="00C97275" w:rsidRDefault="00336C16">
            <w:pPr>
              <w:autoSpaceDE w:val="0"/>
              <w:autoSpaceDN w:val="0"/>
              <w:adjustRightInd w:val="0"/>
              <w:jc w:val="both"/>
              <w:rPr>
                <w:rFonts w:ascii="Georgia" w:hAnsi="Georgia" w:cs="Georgia"/>
                <w:b w:val="0"/>
                <w:sz w:val="20"/>
                <w:szCs w:val="20"/>
              </w:rPr>
            </w:pPr>
            <w:r w:rsidRPr="00C97275">
              <w:rPr>
                <w:rFonts w:ascii="Georgia" w:hAnsi="Georgia" w:cs="Georgia"/>
                <w:sz w:val="20"/>
                <w:szCs w:val="20"/>
              </w:rPr>
              <w:t>Grįžtančios lėšos</w:t>
            </w:r>
          </w:p>
        </w:tc>
        <w:tc>
          <w:tcPr>
            <w:tcW w:w="0" w:type="pct"/>
            <w:hideMark/>
          </w:tcPr>
          <w:p w14:paraId="640E3519"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Papildomas valstybės įsikišimas</w:t>
            </w:r>
          </w:p>
        </w:tc>
        <w:tc>
          <w:tcPr>
            <w:tcW w:w="0" w:type="pct"/>
            <w:hideMark/>
          </w:tcPr>
          <w:p w14:paraId="1017E9E2"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Greitesnis projektų startas</w:t>
            </w:r>
            <w:r w:rsidR="00E00767" w:rsidRPr="00C97275">
              <w:rPr>
                <w:rFonts w:ascii="Georgia" w:hAnsi="Georgia" w:cs="Georgia"/>
                <w:sz w:val="20"/>
                <w:szCs w:val="20"/>
              </w:rPr>
              <w:t>, dėl turimos patirties tokios schemos įgyvendinime</w:t>
            </w:r>
          </w:p>
        </w:tc>
        <w:tc>
          <w:tcPr>
            <w:tcW w:w="0" w:type="pct"/>
            <w:hideMark/>
          </w:tcPr>
          <w:p w14:paraId="007448DD"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Didesnė skolinimosi kaina kai projektų vykdytojai skolinasi iš privataus sektoriaus</w:t>
            </w:r>
          </w:p>
        </w:tc>
      </w:tr>
      <w:tr w:rsidR="00336C16" w:rsidRPr="00C97275" w14:paraId="7871D98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34E79867" w14:textId="77777777" w:rsidR="00336C16" w:rsidRPr="00C97275" w:rsidRDefault="00336C16">
            <w:pPr>
              <w:autoSpaceDE w:val="0"/>
              <w:autoSpaceDN w:val="0"/>
              <w:adjustRightInd w:val="0"/>
              <w:jc w:val="both"/>
              <w:rPr>
                <w:rFonts w:ascii="Georgia" w:hAnsi="Georgia" w:cs="Georgia"/>
                <w:b w:val="0"/>
                <w:sz w:val="20"/>
                <w:szCs w:val="20"/>
              </w:rPr>
            </w:pPr>
            <w:r w:rsidRPr="00C97275">
              <w:rPr>
                <w:rFonts w:ascii="Georgia" w:hAnsi="Georgia" w:cs="Georgia"/>
                <w:sz w:val="20"/>
                <w:szCs w:val="20"/>
              </w:rPr>
              <w:t>Sverto efektas – pritraukiamos privačių investuotojų lėšos</w:t>
            </w:r>
          </w:p>
        </w:tc>
        <w:tc>
          <w:tcPr>
            <w:tcW w:w="0" w:type="pct"/>
            <w:hideMark/>
          </w:tcPr>
          <w:p w14:paraId="33CE6978"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Potencialiai ilgiau užtrunkantis projektų startas</w:t>
            </w:r>
          </w:p>
        </w:tc>
        <w:tc>
          <w:tcPr>
            <w:tcW w:w="0" w:type="pct"/>
          </w:tcPr>
          <w:p w14:paraId="10B0EBB6"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6E4F6F68"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C97275" w14:paraId="03F2516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hideMark/>
          </w:tcPr>
          <w:p w14:paraId="42B24809" w14:textId="77777777" w:rsidR="00336C16" w:rsidRPr="00C97275" w:rsidRDefault="00336C16">
            <w:pPr>
              <w:autoSpaceDE w:val="0"/>
              <w:autoSpaceDN w:val="0"/>
              <w:adjustRightInd w:val="0"/>
              <w:jc w:val="both"/>
              <w:rPr>
                <w:rFonts w:ascii="Georgia" w:hAnsi="Georgia" w:cs="Georgia"/>
                <w:b w:val="0"/>
                <w:sz w:val="20"/>
                <w:szCs w:val="20"/>
              </w:rPr>
            </w:pPr>
            <w:r w:rsidRPr="00C97275">
              <w:rPr>
                <w:rFonts w:ascii="Georgia" w:hAnsi="Georgia" w:cs="Georgia"/>
                <w:sz w:val="20"/>
                <w:szCs w:val="20"/>
              </w:rPr>
              <w:t>Tęstinumas – galimybės panaudoti grįžusias lėšas tiems patiems tikslams po 2014-2020 periodo</w:t>
            </w:r>
          </w:p>
        </w:tc>
        <w:tc>
          <w:tcPr>
            <w:tcW w:w="0" w:type="pct"/>
            <w:hideMark/>
          </w:tcPr>
          <w:p w14:paraId="4C826C31" w14:textId="77777777" w:rsidR="00336C16" w:rsidRPr="00C97275" w:rsidRDefault="00336C16" w:rsidP="00E0076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 xml:space="preserve">Socialiai jautrus mechanizmas, ypač jeigu įgyvendinimas daro įtaką </w:t>
            </w:r>
            <w:r w:rsidR="00E00767" w:rsidRPr="00C97275">
              <w:rPr>
                <w:rFonts w:ascii="Georgia" w:hAnsi="Georgia" w:cs="Georgia"/>
                <w:sz w:val="20"/>
                <w:szCs w:val="20"/>
              </w:rPr>
              <w:t xml:space="preserve">mokėtinų sumų </w:t>
            </w:r>
            <w:r w:rsidRPr="00C97275">
              <w:rPr>
                <w:rFonts w:ascii="Georgia" w:hAnsi="Georgia" w:cs="Georgia"/>
                <w:sz w:val="20"/>
                <w:szCs w:val="20"/>
              </w:rPr>
              <w:t>dydžiui</w:t>
            </w:r>
          </w:p>
        </w:tc>
        <w:tc>
          <w:tcPr>
            <w:tcW w:w="0" w:type="pct"/>
          </w:tcPr>
          <w:p w14:paraId="427D755C"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Pr>
          <w:p w14:paraId="620C10ED"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C97275" w14:paraId="4FD0D33C"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0228C4B1" w14:textId="77777777" w:rsidR="00336C16" w:rsidRPr="00C97275" w:rsidRDefault="00336C16">
            <w:pPr>
              <w:autoSpaceDE w:val="0"/>
              <w:autoSpaceDN w:val="0"/>
              <w:adjustRightInd w:val="0"/>
              <w:jc w:val="both"/>
              <w:rPr>
                <w:rFonts w:ascii="Georgia" w:hAnsi="Georgia" w:cs="Georgia"/>
                <w:b w:val="0"/>
                <w:sz w:val="20"/>
                <w:szCs w:val="20"/>
              </w:rPr>
            </w:pPr>
            <w:r w:rsidRPr="00C97275">
              <w:rPr>
                <w:rFonts w:ascii="Georgia" w:hAnsi="Georgia" w:cs="Georgia"/>
                <w:sz w:val="20"/>
                <w:szCs w:val="20"/>
              </w:rPr>
              <w:t>Lėšų prieinamumas ilgesnį laikotarpį</w:t>
            </w:r>
          </w:p>
        </w:tc>
        <w:tc>
          <w:tcPr>
            <w:tcW w:w="0" w:type="pct"/>
          </w:tcPr>
          <w:p w14:paraId="710E7498"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529BD133"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3EB5642C"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C97275" w14:paraId="3AD7B578"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hideMark/>
          </w:tcPr>
          <w:p w14:paraId="19448A2D" w14:textId="77777777" w:rsidR="00336C16" w:rsidRPr="00C97275" w:rsidRDefault="00336C16">
            <w:pPr>
              <w:autoSpaceDE w:val="0"/>
              <w:autoSpaceDN w:val="0"/>
              <w:adjustRightInd w:val="0"/>
              <w:jc w:val="both"/>
              <w:rPr>
                <w:rFonts w:ascii="Georgia" w:hAnsi="Georgia" w:cs="Georgia"/>
                <w:b w:val="0"/>
                <w:sz w:val="20"/>
                <w:szCs w:val="20"/>
              </w:rPr>
            </w:pPr>
            <w:r w:rsidRPr="00C97275">
              <w:rPr>
                <w:rFonts w:ascii="Georgia" w:hAnsi="Georgia" w:cs="Georgia"/>
                <w:sz w:val="20"/>
                <w:szCs w:val="20"/>
              </w:rPr>
              <w:t>Išduodamos pigesnės paskolos, todėl sukuriamos paskatos projektų vykdytojams skolintis</w:t>
            </w:r>
          </w:p>
        </w:tc>
        <w:tc>
          <w:tcPr>
            <w:tcW w:w="0" w:type="pct"/>
          </w:tcPr>
          <w:p w14:paraId="7575B0F8"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Pr>
          <w:p w14:paraId="3F130504"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Pr>
          <w:p w14:paraId="57B44C15" w14:textId="77777777" w:rsidR="00336C16" w:rsidRPr="00C97275"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C97275" w14:paraId="75773ED3"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00598F65" w14:textId="77777777" w:rsidR="00336C16" w:rsidRPr="00C97275" w:rsidRDefault="00336C16">
            <w:pPr>
              <w:autoSpaceDE w:val="0"/>
              <w:autoSpaceDN w:val="0"/>
              <w:adjustRightInd w:val="0"/>
              <w:jc w:val="both"/>
              <w:rPr>
                <w:rFonts w:ascii="Georgia" w:hAnsi="Georgia" w:cs="Georgia"/>
                <w:b w:val="0"/>
                <w:sz w:val="20"/>
                <w:szCs w:val="20"/>
              </w:rPr>
            </w:pPr>
            <w:r w:rsidRPr="00C97275">
              <w:rPr>
                <w:rFonts w:ascii="Georgia" w:hAnsi="Georgia" w:cs="Georgia"/>
                <w:sz w:val="20"/>
                <w:szCs w:val="20"/>
              </w:rPr>
              <w:t>Žymiai efektyvesnis ES lėšų panaudojimas</w:t>
            </w:r>
          </w:p>
        </w:tc>
        <w:tc>
          <w:tcPr>
            <w:tcW w:w="0" w:type="pct"/>
          </w:tcPr>
          <w:p w14:paraId="06DEBE28"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2A31BB4F"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50EB7F16" w14:textId="77777777" w:rsidR="00336C16" w:rsidRPr="00C97275"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14:paraId="7AB22646" w14:textId="77777777" w:rsidR="00336C16" w:rsidRPr="00C97275" w:rsidRDefault="00336C16" w:rsidP="00336C16">
      <w:pPr>
        <w:autoSpaceDE w:val="0"/>
        <w:autoSpaceDN w:val="0"/>
        <w:adjustRightInd w:val="0"/>
        <w:jc w:val="both"/>
        <w:rPr>
          <w:rFonts w:ascii="Georgia" w:hAnsi="Georgia" w:cs="Georgia"/>
          <w:sz w:val="20"/>
          <w:szCs w:val="20"/>
          <w:lang w:val="lt-LT"/>
        </w:rPr>
      </w:pPr>
    </w:p>
    <w:p w14:paraId="1F7354ED" w14:textId="77777777" w:rsidR="00336C16" w:rsidRPr="00C97275" w:rsidRDefault="00AE2576" w:rsidP="00162BF5">
      <w:pPr>
        <w:pStyle w:val="Antrat2"/>
        <w:keepLines w:val="0"/>
        <w:numPr>
          <w:ilvl w:val="1"/>
          <w:numId w:val="21"/>
        </w:numPr>
        <w:ind w:left="1077"/>
        <w:rPr>
          <w:rFonts w:ascii="Georgia" w:hAnsi="Georgia"/>
          <w:lang w:val="lt-LT"/>
        </w:rPr>
      </w:pPr>
      <w:bookmarkStart w:id="13" w:name="_Toc393381198"/>
      <w:bookmarkStart w:id="14" w:name="_Toc25594640"/>
      <w:r w:rsidRPr="00C97275">
        <w:rPr>
          <w:rFonts w:ascii="Georgia" w:hAnsi="Georgia"/>
          <w:lang w:val="lt-LT"/>
        </w:rPr>
        <w:t>F</w:t>
      </w:r>
      <w:r w:rsidR="0083461E" w:rsidRPr="00C97275">
        <w:rPr>
          <w:rFonts w:ascii="Georgia" w:hAnsi="Georgia"/>
          <w:lang w:val="lt-LT"/>
        </w:rPr>
        <w:t>inansinės priemonės,</w:t>
      </w:r>
      <w:r w:rsidR="00336C16" w:rsidRPr="00C97275">
        <w:rPr>
          <w:rFonts w:ascii="Georgia" w:hAnsi="Georgia"/>
          <w:lang w:val="lt-LT"/>
        </w:rPr>
        <w:t xml:space="preserve"> </w:t>
      </w:r>
      <w:r w:rsidR="0083461E" w:rsidRPr="00C97275">
        <w:rPr>
          <w:rFonts w:ascii="Georgia" w:hAnsi="Georgia"/>
          <w:lang w:val="lt-LT"/>
        </w:rPr>
        <w:t>įgyvendintos energijos efektyvumo</w:t>
      </w:r>
      <w:r w:rsidR="00336C16" w:rsidRPr="00C97275">
        <w:rPr>
          <w:rFonts w:ascii="Georgia" w:hAnsi="Georgia"/>
          <w:lang w:val="lt-LT"/>
        </w:rPr>
        <w:t xml:space="preserve"> srityje 2007-2013</w:t>
      </w:r>
      <w:r w:rsidR="0083461E" w:rsidRPr="00C97275">
        <w:rPr>
          <w:rFonts w:ascii="Georgia" w:hAnsi="Georgia"/>
          <w:lang w:val="lt-LT"/>
        </w:rPr>
        <w:t xml:space="preserve"> m. </w:t>
      </w:r>
      <w:bookmarkEnd w:id="13"/>
      <w:r w:rsidR="00336C16" w:rsidRPr="00C97275">
        <w:rPr>
          <w:rFonts w:ascii="Georgia" w:hAnsi="Georgia"/>
          <w:lang w:val="lt-LT"/>
        </w:rPr>
        <w:t>periodu</w:t>
      </w:r>
      <w:bookmarkEnd w:id="14"/>
      <w:r w:rsidR="00336C16" w:rsidRPr="00C97275">
        <w:rPr>
          <w:rFonts w:ascii="Georgia" w:hAnsi="Georgia"/>
          <w:lang w:val="lt-LT"/>
        </w:rPr>
        <w:t xml:space="preserve"> </w:t>
      </w:r>
    </w:p>
    <w:p w14:paraId="268DC790" w14:textId="77777777" w:rsidR="00336C16" w:rsidRPr="00C97275" w:rsidRDefault="00336C16" w:rsidP="00466A70">
      <w:pPr>
        <w:keepNext/>
        <w:autoSpaceDE w:val="0"/>
        <w:autoSpaceDN w:val="0"/>
        <w:adjustRightInd w:val="0"/>
        <w:spacing w:after="0" w:line="240" w:lineRule="auto"/>
        <w:rPr>
          <w:rFonts w:ascii="Georgia" w:hAnsi="Georgia" w:cs="Georgia"/>
          <w:sz w:val="20"/>
          <w:szCs w:val="20"/>
          <w:lang w:val="lt-LT"/>
        </w:rPr>
      </w:pPr>
    </w:p>
    <w:p w14:paraId="282DB362"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Finansinių priemonių panaudojimas įvairių projektų finansavimui įvairiose Europos šalyse yra gana plačiai naudojamas jau ne vienerius metus. Nuo finansinių priemonių atsiradimo ir per 2007-2013 m. periodą jų reikšmė smarkiai išaugo: dabar apie 5% Europos regioninės plėtros fondo ir apie 0,7% Europos socialinio fondo išteklių yra įgyvendinami per finansines priemones. </w:t>
      </w:r>
    </w:p>
    <w:p w14:paraId="7C4788CB"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5F57DDEA"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Per 2007-2013 m. periodą finansinės priemonės buvo pasitelktos remti mažas ir vidutines įmones, miestų plėtrą ir energijos efektyvumo veiklas. 2007-2013 m. periodu įgyvendintos finansinės priemonės nurodytos lentelėje žemiau. </w:t>
      </w:r>
    </w:p>
    <w:p w14:paraId="48E931C0"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35266120" w14:textId="46832B3E" w:rsidR="00336C16" w:rsidRPr="00C97275" w:rsidRDefault="00931CAF" w:rsidP="00931CAF">
      <w:pPr>
        <w:pStyle w:val="Antrat"/>
        <w:jc w:val="both"/>
        <w:rPr>
          <w:lang w:val="lt-LT"/>
        </w:rPr>
      </w:pPr>
      <w:bookmarkStart w:id="15" w:name="_Toc19105216"/>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3</w:t>
      </w:r>
      <w:r w:rsidRPr="00C97275">
        <w:rPr>
          <w:lang w:val="lt-LT"/>
        </w:rPr>
        <w:fldChar w:fldCharType="end"/>
      </w:r>
      <w:r w:rsidRPr="00C97275">
        <w:rPr>
          <w:lang w:val="lt-LT"/>
        </w:rPr>
        <w:t xml:space="preserve">. </w:t>
      </w:r>
      <w:r w:rsidRPr="00C97275">
        <w:rPr>
          <w:rFonts w:cs="Georgia"/>
          <w:szCs w:val="20"/>
          <w:lang w:val="lt-LT"/>
        </w:rPr>
        <w:t>2007-2013 m. periodu įgyvendintų finansinių priemonių tipai</w:t>
      </w:r>
      <w:r w:rsidR="0089342F" w:rsidRPr="00C97275">
        <w:rPr>
          <w:rFonts w:cs="Georgia"/>
          <w:szCs w:val="20"/>
          <w:lang w:val="lt-LT"/>
        </w:rPr>
        <w:t xml:space="preserve"> ir skaičius.</w:t>
      </w:r>
      <w:bookmarkEnd w:id="15"/>
    </w:p>
    <w:tbl>
      <w:tblPr>
        <w:tblStyle w:val="viesussraas2parykinimas"/>
        <w:tblW w:w="5000" w:type="pct"/>
        <w:tblLook w:val="04A0" w:firstRow="1" w:lastRow="0" w:firstColumn="1" w:lastColumn="0" w:noHBand="0" w:noVBand="1"/>
      </w:tblPr>
      <w:tblGrid>
        <w:gridCol w:w="3059"/>
        <w:gridCol w:w="3601"/>
        <w:gridCol w:w="2582"/>
      </w:tblGrid>
      <w:tr w:rsidR="00336C16" w:rsidRPr="00C97275" w14:paraId="0AA2FF99" w14:textId="77777777" w:rsidTr="005B31C6">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C0504D" w:themeColor="accent2"/>
              <w:left w:val="single" w:sz="8" w:space="0" w:color="C0504D" w:themeColor="accent2"/>
              <w:bottom w:val="nil"/>
              <w:right w:val="nil"/>
            </w:tcBorders>
            <w:hideMark/>
          </w:tcPr>
          <w:p w14:paraId="1C68E251" w14:textId="77777777" w:rsidR="00336C16" w:rsidRPr="00C97275" w:rsidRDefault="00336C16" w:rsidP="00C95047">
            <w:pPr>
              <w:autoSpaceDE w:val="0"/>
              <w:autoSpaceDN w:val="0"/>
              <w:adjustRightInd w:val="0"/>
              <w:jc w:val="center"/>
              <w:rPr>
                <w:rFonts w:ascii="Georgia" w:hAnsi="Georgia" w:cs="Georgia"/>
                <w:sz w:val="20"/>
                <w:szCs w:val="20"/>
              </w:rPr>
            </w:pPr>
            <w:r w:rsidRPr="00C97275">
              <w:rPr>
                <w:rFonts w:ascii="Georgia" w:hAnsi="Georgia" w:cs="Georgia"/>
                <w:sz w:val="20"/>
                <w:szCs w:val="20"/>
              </w:rPr>
              <w:t>Sektorius</w:t>
            </w:r>
          </w:p>
        </w:tc>
        <w:tc>
          <w:tcPr>
            <w:tcW w:w="0" w:type="pct"/>
            <w:tcBorders>
              <w:top w:val="single" w:sz="8" w:space="0" w:color="C0504D" w:themeColor="accent2"/>
              <w:left w:val="nil"/>
              <w:bottom w:val="nil"/>
              <w:right w:val="nil"/>
            </w:tcBorders>
            <w:hideMark/>
          </w:tcPr>
          <w:p w14:paraId="7EBF0128" w14:textId="77777777" w:rsidR="00336C16" w:rsidRPr="00C97275" w:rsidRDefault="00336C16" w:rsidP="00C9504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Paramos tipas</w:t>
            </w:r>
          </w:p>
        </w:tc>
        <w:tc>
          <w:tcPr>
            <w:tcW w:w="0" w:type="pct"/>
            <w:tcBorders>
              <w:top w:val="single" w:sz="8" w:space="0" w:color="C0504D" w:themeColor="accent2"/>
              <w:left w:val="nil"/>
              <w:bottom w:val="nil"/>
              <w:right w:val="single" w:sz="8" w:space="0" w:color="C0504D" w:themeColor="accent2"/>
            </w:tcBorders>
            <w:hideMark/>
          </w:tcPr>
          <w:p w14:paraId="009C6388" w14:textId="083ECE3B" w:rsidR="00336C16" w:rsidRPr="00C97275" w:rsidRDefault="00336C16" w:rsidP="0063781D">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 xml:space="preserve">Finansinių </w:t>
            </w:r>
            <w:r w:rsidR="00BA7CAB" w:rsidRPr="00C97275">
              <w:rPr>
                <w:rFonts w:ascii="Georgia" w:hAnsi="Georgia" w:cs="Georgia"/>
                <w:sz w:val="20"/>
                <w:szCs w:val="20"/>
              </w:rPr>
              <w:br/>
            </w:r>
            <w:r w:rsidRPr="00C97275">
              <w:rPr>
                <w:rFonts w:ascii="Georgia" w:hAnsi="Georgia" w:cs="Georgia"/>
                <w:sz w:val="20"/>
                <w:szCs w:val="20"/>
              </w:rPr>
              <w:t>priemonių skaičius</w:t>
            </w:r>
          </w:p>
        </w:tc>
      </w:tr>
      <w:tr w:rsidR="00336C16" w:rsidRPr="00C97275" w14:paraId="74705BA7"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A3443FC" w14:textId="77777777" w:rsidR="00336C16" w:rsidRPr="00C97275" w:rsidRDefault="00336C16" w:rsidP="0089342F">
            <w:pPr>
              <w:autoSpaceDE w:val="0"/>
              <w:autoSpaceDN w:val="0"/>
              <w:adjustRightInd w:val="0"/>
              <w:jc w:val="both"/>
              <w:rPr>
                <w:rFonts w:ascii="Georgia" w:hAnsi="Georgia" w:cs="Georgia"/>
                <w:sz w:val="20"/>
                <w:szCs w:val="20"/>
              </w:rPr>
            </w:pPr>
            <w:r w:rsidRPr="00C97275">
              <w:rPr>
                <w:rFonts w:ascii="Georgia" w:hAnsi="Georgia" w:cs="Georgia"/>
                <w:sz w:val="20"/>
                <w:szCs w:val="20"/>
              </w:rPr>
              <w:t xml:space="preserve">Parama </w:t>
            </w:r>
            <w:r w:rsidR="0089342F" w:rsidRPr="00C97275">
              <w:rPr>
                <w:rFonts w:ascii="Georgia" w:hAnsi="Georgia" w:cs="Georgia"/>
                <w:sz w:val="20"/>
                <w:szCs w:val="20"/>
              </w:rPr>
              <w:t xml:space="preserve">mažoms ir vidutinėms įmonėms </w:t>
            </w:r>
            <w:r w:rsidRPr="00C97275">
              <w:rPr>
                <w:rFonts w:ascii="Georgia" w:hAnsi="Georgia" w:cs="Georgia"/>
                <w:sz w:val="20"/>
                <w:szCs w:val="20"/>
              </w:rPr>
              <w:t>(ERPF lėšomis)</w:t>
            </w:r>
          </w:p>
        </w:tc>
        <w:tc>
          <w:tcPr>
            <w:tcW w:w="0" w:type="pct"/>
            <w:tcBorders>
              <w:left w:val="nil"/>
              <w:right w:val="nil"/>
            </w:tcBorders>
            <w:hideMark/>
          </w:tcPr>
          <w:p w14:paraId="3220F0C1" w14:textId="77777777" w:rsidR="00336C16" w:rsidRPr="00C97275"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Paskolos</w:t>
            </w:r>
          </w:p>
          <w:p w14:paraId="34C0E1E9" w14:textId="77777777" w:rsidR="00336C16" w:rsidRPr="00C97275"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Garantijos</w:t>
            </w:r>
          </w:p>
          <w:p w14:paraId="66A775E8" w14:textId="77777777" w:rsidR="00336C16" w:rsidRPr="00C97275"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Bendros investicijos</w:t>
            </w:r>
          </w:p>
          <w:p w14:paraId="416327B3" w14:textId="77777777" w:rsidR="00336C16" w:rsidRPr="00C97275"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Kapitalas</w:t>
            </w:r>
          </w:p>
          <w:p w14:paraId="13F6DB17" w14:textId="77777777" w:rsidR="00336C16" w:rsidRPr="00C97275"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Mezaninas</w:t>
            </w:r>
          </w:p>
          <w:p w14:paraId="003FCBC3" w14:textId="77777777" w:rsidR="00336C16" w:rsidRPr="00C97275"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Rizikos kapitalas</w:t>
            </w:r>
          </w:p>
        </w:tc>
        <w:tc>
          <w:tcPr>
            <w:tcW w:w="0" w:type="pct"/>
            <w:tcBorders>
              <w:left w:val="nil"/>
            </w:tcBorders>
            <w:hideMark/>
          </w:tcPr>
          <w:p w14:paraId="2A78B97B" w14:textId="77777777" w:rsidR="00336C16" w:rsidRPr="00C97275" w:rsidRDefault="00336C16"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831</w:t>
            </w:r>
          </w:p>
        </w:tc>
      </w:tr>
      <w:tr w:rsidR="00336C16" w:rsidRPr="00C97275" w14:paraId="2F9625A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C0504D" w:themeColor="accent2"/>
              <w:bottom w:val="nil"/>
              <w:right w:val="nil"/>
            </w:tcBorders>
            <w:hideMark/>
          </w:tcPr>
          <w:p w14:paraId="15791832" w14:textId="77777777" w:rsidR="00336C16" w:rsidRPr="00C97275" w:rsidRDefault="00336C16">
            <w:pPr>
              <w:autoSpaceDE w:val="0"/>
              <w:autoSpaceDN w:val="0"/>
              <w:adjustRightInd w:val="0"/>
              <w:jc w:val="both"/>
              <w:rPr>
                <w:rFonts w:ascii="Georgia" w:hAnsi="Georgia" w:cs="Georgia"/>
                <w:sz w:val="20"/>
                <w:szCs w:val="20"/>
              </w:rPr>
            </w:pPr>
            <w:r w:rsidRPr="00C97275">
              <w:rPr>
                <w:rFonts w:ascii="Georgia" w:hAnsi="Georgia" w:cs="Georgia"/>
                <w:sz w:val="20"/>
                <w:szCs w:val="20"/>
              </w:rPr>
              <w:t>Miestų plėtra</w:t>
            </w:r>
          </w:p>
        </w:tc>
        <w:tc>
          <w:tcPr>
            <w:tcW w:w="0" w:type="pct"/>
            <w:tcBorders>
              <w:top w:val="nil"/>
              <w:left w:val="nil"/>
              <w:bottom w:val="nil"/>
              <w:right w:val="nil"/>
            </w:tcBorders>
            <w:hideMark/>
          </w:tcPr>
          <w:p w14:paraId="61A1F9D3" w14:textId="77777777" w:rsidR="00336C16" w:rsidRPr="00C97275"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Garantijos</w:t>
            </w:r>
          </w:p>
          <w:p w14:paraId="1DF9EE51" w14:textId="77777777" w:rsidR="00336C16" w:rsidRPr="00C97275"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Investicinės paskolos</w:t>
            </w:r>
          </w:p>
          <w:p w14:paraId="18386B07" w14:textId="77777777" w:rsidR="00336C16" w:rsidRPr="00C97275"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Mezaninas</w:t>
            </w:r>
          </w:p>
          <w:p w14:paraId="476E979A" w14:textId="77777777" w:rsidR="00336C16" w:rsidRPr="00C97275"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Kapitalas</w:t>
            </w:r>
          </w:p>
        </w:tc>
        <w:tc>
          <w:tcPr>
            <w:tcW w:w="0" w:type="pct"/>
            <w:tcBorders>
              <w:top w:val="nil"/>
              <w:left w:val="nil"/>
              <w:bottom w:val="nil"/>
              <w:right w:val="single" w:sz="8" w:space="0" w:color="C0504D" w:themeColor="accent2"/>
            </w:tcBorders>
            <w:hideMark/>
          </w:tcPr>
          <w:p w14:paraId="78BAC14A" w14:textId="77777777" w:rsidR="00336C16" w:rsidRPr="00C97275" w:rsidRDefault="00336C16" w:rsidP="0063781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56</w:t>
            </w:r>
          </w:p>
        </w:tc>
      </w:tr>
      <w:tr w:rsidR="00336C16" w:rsidRPr="00C97275" w14:paraId="3965A666"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E2E3AC6" w14:textId="77777777" w:rsidR="00336C16" w:rsidRPr="00C97275" w:rsidRDefault="00336C16">
            <w:pPr>
              <w:autoSpaceDE w:val="0"/>
              <w:autoSpaceDN w:val="0"/>
              <w:adjustRightInd w:val="0"/>
              <w:jc w:val="both"/>
              <w:rPr>
                <w:rFonts w:ascii="Georgia" w:hAnsi="Georgia" w:cs="Georgia"/>
                <w:sz w:val="20"/>
                <w:szCs w:val="20"/>
              </w:rPr>
            </w:pPr>
            <w:r w:rsidRPr="00C97275">
              <w:rPr>
                <w:rFonts w:ascii="Georgia" w:hAnsi="Georgia" w:cs="Georgia"/>
                <w:sz w:val="20"/>
                <w:szCs w:val="20"/>
              </w:rPr>
              <w:t>Energijos efektyvumas ir atsinaujinantys energijos ištekliai</w:t>
            </w:r>
          </w:p>
        </w:tc>
        <w:tc>
          <w:tcPr>
            <w:tcW w:w="0" w:type="pct"/>
            <w:tcBorders>
              <w:left w:val="nil"/>
              <w:right w:val="nil"/>
            </w:tcBorders>
            <w:hideMark/>
          </w:tcPr>
          <w:p w14:paraId="3E919AFE" w14:textId="77777777" w:rsidR="00336C16" w:rsidRPr="00C97275" w:rsidRDefault="00336C16" w:rsidP="00162BF5">
            <w:pPr>
              <w:pStyle w:val="Sraopastraipa"/>
              <w:numPr>
                <w:ilvl w:val="0"/>
                <w:numId w:val="2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Investicinės paskolos</w:t>
            </w:r>
          </w:p>
          <w:p w14:paraId="72F3CCAD" w14:textId="77777777" w:rsidR="00336C16" w:rsidRPr="00C97275" w:rsidRDefault="00336C16" w:rsidP="00162BF5">
            <w:pPr>
              <w:pStyle w:val="Sraopastraipa"/>
              <w:numPr>
                <w:ilvl w:val="0"/>
                <w:numId w:val="2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Mezaninas</w:t>
            </w:r>
          </w:p>
          <w:p w14:paraId="0DFFF0DA" w14:textId="77777777" w:rsidR="00336C16" w:rsidRPr="00C97275" w:rsidRDefault="00336C16" w:rsidP="00162BF5">
            <w:pPr>
              <w:pStyle w:val="Sraopastraipa"/>
              <w:numPr>
                <w:ilvl w:val="0"/>
                <w:numId w:val="2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Kapitalas</w:t>
            </w:r>
          </w:p>
        </w:tc>
        <w:tc>
          <w:tcPr>
            <w:tcW w:w="0" w:type="pct"/>
            <w:tcBorders>
              <w:left w:val="nil"/>
            </w:tcBorders>
            <w:hideMark/>
          </w:tcPr>
          <w:p w14:paraId="2EC7932B" w14:textId="77777777" w:rsidR="00336C16" w:rsidRPr="00C97275" w:rsidRDefault="00336C16"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20</w:t>
            </w:r>
          </w:p>
        </w:tc>
      </w:tr>
      <w:tr w:rsidR="00336C16" w:rsidRPr="00C97275" w14:paraId="55C108A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C0504D" w:themeColor="accent2"/>
              <w:bottom w:val="single" w:sz="8" w:space="0" w:color="C0504D" w:themeColor="accent2"/>
              <w:right w:val="nil"/>
            </w:tcBorders>
            <w:hideMark/>
          </w:tcPr>
          <w:p w14:paraId="0BAD5F5D" w14:textId="77777777" w:rsidR="00336C16" w:rsidRPr="00C97275" w:rsidRDefault="00336C16" w:rsidP="0089342F">
            <w:pPr>
              <w:autoSpaceDE w:val="0"/>
              <w:autoSpaceDN w:val="0"/>
              <w:adjustRightInd w:val="0"/>
              <w:jc w:val="both"/>
              <w:rPr>
                <w:rFonts w:ascii="Georgia" w:hAnsi="Georgia" w:cs="Georgia"/>
                <w:sz w:val="20"/>
                <w:szCs w:val="20"/>
              </w:rPr>
            </w:pPr>
            <w:r w:rsidRPr="00C97275">
              <w:rPr>
                <w:rFonts w:ascii="Georgia" w:hAnsi="Georgia" w:cs="Georgia"/>
                <w:sz w:val="20"/>
                <w:szCs w:val="20"/>
              </w:rPr>
              <w:t xml:space="preserve">Parama </w:t>
            </w:r>
            <w:r w:rsidR="0089342F" w:rsidRPr="00C97275">
              <w:rPr>
                <w:rFonts w:ascii="Georgia" w:hAnsi="Georgia" w:cs="Georgia"/>
                <w:sz w:val="20"/>
                <w:szCs w:val="20"/>
              </w:rPr>
              <w:t xml:space="preserve">mažoms ir vidutinėms įmonėms </w:t>
            </w:r>
            <w:r w:rsidRPr="00C97275">
              <w:rPr>
                <w:rFonts w:ascii="Georgia" w:hAnsi="Georgia" w:cs="Georgia"/>
                <w:sz w:val="20"/>
                <w:szCs w:val="20"/>
              </w:rPr>
              <w:t>(ESF lėšomis)</w:t>
            </w:r>
          </w:p>
        </w:tc>
        <w:tc>
          <w:tcPr>
            <w:tcW w:w="0" w:type="pct"/>
            <w:tcBorders>
              <w:top w:val="nil"/>
              <w:left w:val="nil"/>
              <w:bottom w:val="single" w:sz="8" w:space="0" w:color="C0504D" w:themeColor="accent2"/>
              <w:right w:val="nil"/>
            </w:tcBorders>
            <w:hideMark/>
          </w:tcPr>
          <w:p w14:paraId="15303121" w14:textId="77777777" w:rsidR="00336C16" w:rsidRPr="00C97275" w:rsidRDefault="00336C16" w:rsidP="00162BF5">
            <w:pPr>
              <w:pStyle w:val="Sraopastraip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Daugiausia paskolos</w:t>
            </w:r>
          </w:p>
        </w:tc>
        <w:tc>
          <w:tcPr>
            <w:tcW w:w="0" w:type="pct"/>
            <w:tcBorders>
              <w:top w:val="nil"/>
              <w:left w:val="nil"/>
              <w:bottom w:val="single" w:sz="8" w:space="0" w:color="C0504D" w:themeColor="accent2"/>
              <w:right w:val="single" w:sz="8" w:space="0" w:color="C0504D" w:themeColor="accent2"/>
            </w:tcBorders>
            <w:hideMark/>
          </w:tcPr>
          <w:p w14:paraId="74D97742" w14:textId="77777777" w:rsidR="00336C16" w:rsidRPr="00C97275" w:rsidRDefault="00336C16" w:rsidP="0063781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33</w:t>
            </w:r>
          </w:p>
        </w:tc>
      </w:tr>
    </w:tbl>
    <w:p w14:paraId="6974C075" w14:textId="77777777" w:rsidR="00336C16" w:rsidRPr="00C97275" w:rsidRDefault="0089342F" w:rsidP="00336C16">
      <w:pPr>
        <w:autoSpaceDE w:val="0"/>
        <w:autoSpaceDN w:val="0"/>
        <w:adjustRightInd w:val="0"/>
        <w:spacing w:after="0" w:line="240" w:lineRule="auto"/>
        <w:jc w:val="both"/>
        <w:rPr>
          <w:rFonts w:ascii="Georgia" w:hAnsi="Georgia" w:cs="Georgia"/>
          <w:sz w:val="18"/>
          <w:szCs w:val="20"/>
          <w:lang w:val="lt-LT"/>
        </w:rPr>
      </w:pPr>
      <w:r w:rsidRPr="00C97275">
        <w:rPr>
          <w:rFonts w:ascii="Georgia" w:hAnsi="Georgia" w:cs="Georgia"/>
          <w:i/>
          <w:sz w:val="20"/>
          <w:szCs w:val="20"/>
          <w:lang w:val="lt-LT"/>
        </w:rPr>
        <w:t>Šaltinis: Summary Report on the progress made in financing and implementing financial engineering instruments co-financed by Structural Funds, programming period 2007 – 2013, situation as at 31 December 2012, DG Regio, DG Empl, September 2013</w:t>
      </w:r>
    </w:p>
    <w:p w14:paraId="3F083CA5" w14:textId="77777777" w:rsidR="0089342F" w:rsidRPr="00C97275" w:rsidRDefault="0089342F" w:rsidP="00336C16">
      <w:pPr>
        <w:autoSpaceDE w:val="0"/>
        <w:autoSpaceDN w:val="0"/>
        <w:adjustRightInd w:val="0"/>
        <w:spacing w:after="0" w:line="240" w:lineRule="auto"/>
        <w:jc w:val="both"/>
        <w:rPr>
          <w:rFonts w:ascii="Georgia" w:hAnsi="Georgia" w:cs="Georgia"/>
          <w:sz w:val="20"/>
          <w:szCs w:val="20"/>
          <w:lang w:val="lt-LT"/>
        </w:rPr>
      </w:pPr>
    </w:p>
    <w:p w14:paraId="3A0B4E3F" w14:textId="210D2004"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Finansinės priemonės Lietuvoje 2007-2013 m. periodu buvo naudojamos remti </w:t>
      </w:r>
      <w:r w:rsidR="0089342F" w:rsidRPr="00C97275">
        <w:rPr>
          <w:rFonts w:ascii="Georgia" w:hAnsi="Georgia" w:cs="Georgia"/>
          <w:sz w:val="20"/>
          <w:szCs w:val="20"/>
          <w:lang w:val="lt-LT"/>
        </w:rPr>
        <w:t xml:space="preserve">mažas ir vidutines įmones </w:t>
      </w:r>
      <w:r w:rsidRPr="00C97275">
        <w:rPr>
          <w:rFonts w:ascii="Georgia" w:hAnsi="Georgia" w:cs="Georgia"/>
          <w:sz w:val="20"/>
          <w:szCs w:val="20"/>
          <w:lang w:val="lt-LT"/>
        </w:rPr>
        <w:t xml:space="preserve">(JEREMIE iniciatyva) bei </w:t>
      </w:r>
      <w:r w:rsidR="0089342F" w:rsidRPr="00C97275">
        <w:rPr>
          <w:rFonts w:ascii="Georgia" w:hAnsi="Georgia" w:cs="Georgia"/>
          <w:sz w:val="20"/>
          <w:szCs w:val="20"/>
          <w:lang w:val="lt-LT"/>
        </w:rPr>
        <w:t xml:space="preserve">modernizuoti </w:t>
      </w:r>
      <w:r w:rsidRPr="00C97275">
        <w:rPr>
          <w:rFonts w:ascii="Georgia" w:hAnsi="Georgia" w:cs="Georgia"/>
          <w:sz w:val="20"/>
          <w:szCs w:val="20"/>
          <w:lang w:val="lt-LT"/>
        </w:rPr>
        <w:t xml:space="preserve">daugiabučius namus ir aukštojo mokslo bei profesinio mokymo įstaigų bendrabučius (JESSICA </w:t>
      </w:r>
      <w:r w:rsidR="00936224" w:rsidRPr="00C97275">
        <w:rPr>
          <w:rFonts w:ascii="Georgia" w:hAnsi="Georgia" w:cs="Georgia"/>
          <w:sz w:val="20"/>
          <w:szCs w:val="20"/>
          <w:lang w:val="lt-LT"/>
        </w:rPr>
        <w:t>KF</w:t>
      </w:r>
      <w:r w:rsidRPr="00C97275">
        <w:rPr>
          <w:rFonts w:ascii="Georgia" w:hAnsi="Georgia" w:cs="Georgia"/>
          <w:sz w:val="20"/>
          <w:szCs w:val="20"/>
          <w:lang w:val="lt-LT"/>
        </w:rPr>
        <w:t>). Kadangi finansinės priemonės verslo subjektams nėra šio e</w:t>
      </w:r>
      <w:r w:rsidR="00300FF4" w:rsidRPr="00C97275">
        <w:rPr>
          <w:rFonts w:ascii="Georgia" w:hAnsi="Georgia" w:cs="Georgia"/>
          <w:sz w:val="20"/>
          <w:szCs w:val="20"/>
          <w:lang w:val="lt-LT"/>
        </w:rPr>
        <w:t>x-ante</w:t>
      </w:r>
      <w:r w:rsidRPr="00C97275">
        <w:rPr>
          <w:rFonts w:ascii="Georgia" w:hAnsi="Georgia" w:cs="Georgia"/>
          <w:sz w:val="20"/>
          <w:szCs w:val="20"/>
          <w:lang w:val="lt-LT"/>
        </w:rPr>
        <w:t xml:space="preserve"> </w:t>
      </w:r>
      <w:r w:rsidR="0089342F" w:rsidRPr="00C97275">
        <w:rPr>
          <w:rFonts w:ascii="Georgia" w:hAnsi="Georgia" w:cs="Georgia"/>
          <w:sz w:val="20"/>
          <w:szCs w:val="20"/>
          <w:lang w:val="lt-LT"/>
        </w:rPr>
        <w:t xml:space="preserve">vertinimo </w:t>
      </w:r>
      <w:r w:rsidRPr="00C97275">
        <w:rPr>
          <w:rFonts w:ascii="Georgia" w:hAnsi="Georgia" w:cs="Georgia"/>
          <w:sz w:val="20"/>
          <w:szCs w:val="20"/>
          <w:lang w:val="lt-LT"/>
        </w:rPr>
        <w:t xml:space="preserve">objektas, toliau nagrinėjamas tik JESSICA </w:t>
      </w:r>
      <w:r w:rsidR="0089342F" w:rsidRPr="00C97275">
        <w:rPr>
          <w:rFonts w:ascii="Georgia" w:hAnsi="Georgia" w:cs="Georgia"/>
          <w:sz w:val="20"/>
          <w:szCs w:val="20"/>
          <w:lang w:val="lt-LT"/>
        </w:rPr>
        <w:t>KF</w:t>
      </w:r>
      <w:r w:rsidRPr="00C97275">
        <w:rPr>
          <w:rFonts w:ascii="Georgia" w:hAnsi="Georgia" w:cs="Georgia"/>
          <w:sz w:val="20"/>
          <w:szCs w:val="20"/>
          <w:lang w:val="lt-LT"/>
        </w:rPr>
        <w:t xml:space="preserve">. </w:t>
      </w:r>
    </w:p>
    <w:p w14:paraId="5EC5AB97"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60549E7D"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2009 m. birželio 11 d. Finansų ministerija, Aplinkos ministerija ir </w:t>
      </w:r>
      <w:r w:rsidR="0089342F" w:rsidRPr="00C97275">
        <w:rPr>
          <w:rFonts w:ascii="Georgia" w:hAnsi="Georgia" w:cs="Georgia"/>
          <w:sz w:val="20"/>
          <w:szCs w:val="20"/>
          <w:lang w:val="lt-LT"/>
        </w:rPr>
        <w:t>EIB</w:t>
      </w:r>
      <w:r w:rsidRPr="00C97275">
        <w:rPr>
          <w:rFonts w:ascii="Georgia" w:hAnsi="Georgia" w:cs="Georgia"/>
          <w:sz w:val="20"/>
          <w:szCs w:val="20"/>
          <w:lang w:val="lt-LT"/>
        </w:rPr>
        <w:t xml:space="preserve"> pasirašė finansavimo sutartį, kuria buvo įsteigtas JESSICA </w:t>
      </w:r>
      <w:r w:rsidR="0089342F" w:rsidRPr="00C97275">
        <w:rPr>
          <w:rFonts w:ascii="Georgia" w:hAnsi="Georgia" w:cs="Georgia"/>
          <w:sz w:val="20"/>
          <w:szCs w:val="20"/>
          <w:lang w:val="lt-LT"/>
        </w:rPr>
        <w:t>KF</w:t>
      </w:r>
      <w:r w:rsidRPr="00C97275">
        <w:rPr>
          <w:rFonts w:ascii="Georgia" w:hAnsi="Georgia" w:cs="Georgia"/>
          <w:sz w:val="20"/>
          <w:szCs w:val="20"/>
          <w:lang w:val="lt-LT"/>
        </w:rPr>
        <w:t>. JESSICA KF Investavimo strategijoje numatytas finansinis produktas – lengvatinės paskolos daugiabučių namų modernizavimui. JESSICA KF dydis – 227 mln. eurų, iš kurių 127 mln.</w:t>
      </w:r>
      <w:r w:rsidR="0089342F" w:rsidRPr="00C97275">
        <w:rPr>
          <w:rFonts w:ascii="Georgia" w:hAnsi="Georgia" w:cs="Georgia"/>
          <w:sz w:val="20"/>
          <w:szCs w:val="20"/>
          <w:lang w:val="lt-LT"/>
        </w:rPr>
        <w:t xml:space="preserve"> eurų</w:t>
      </w:r>
      <w:r w:rsidRPr="00C97275">
        <w:rPr>
          <w:rFonts w:ascii="Georgia" w:hAnsi="Georgia" w:cs="Georgia"/>
          <w:sz w:val="20"/>
          <w:szCs w:val="20"/>
          <w:lang w:val="lt-LT"/>
        </w:rPr>
        <w:t xml:space="preserve"> ERPF lėšos ir 100 mln.</w:t>
      </w:r>
      <w:r w:rsidR="0089342F" w:rsidRPr="00C97275">
        <w:rPr>
          <w:rFonts w:ascii="Georgia" w:hAnsi="Georgia" w:cs="Georgia"/>
          <w:sz w:val="20"/>
          <w:szCs w:val="20"/>
          <w:lang w:val="lt-LT"/>
        </w:rPr>
        <w:t xml:space="preserve"> eurų</w:t>
      </w:r>
      <w:r w:rsidRPr="00C97275">
        <w:rPr>
          <w:rFonts w:ascii="Georgia" w:hAnsi="Georgia" w:cs="Georgia"/>
          <w:sz w:val="20"/>
          <w:szCs w:val="20"/>
          <w:lang w:val="lt-LT"/>
        </w:rPr>
        <w:t xml:space="preserve"> nacionalinės biudžeto lėšos. Į fondą pirmiausia buvo pervesta 149 mln. eurų – 127 mln.</w:t>
      </w:r>
      <w:r w:rsidR="0089342F" w:rsidRPr="00C97275">
        <w:rPr>
          <w:rFonts w:ascii="Georgia" w:hAnsi="Georgia" w:cs="Georgia"/>
          <w:sz w:val="20"/>
          <w:szCs w:val="20"/>
          <w:lang w:val="lt-LT"/>
        </w:rPr>
        <w:t xml:space="preserve"> eurų</w:t>
      </w:r>
      <w:r w:rsidRPr="00C97275">
        <w:rPr>
          <w:rFonts w:ascii="Georgia" w:hAnsi="Georgia" w:cs="Georgia"/>
          <w:sz w:val="20"/>
          <w:szCs w:val="20"/>
          <w:lang w:val="lt-LT"/>
        </w:rPr>
        <w:t xml:space="preserve"> ERPF ir 20 mln.</w:t>
      </w:r>
      <w:r w:rsidR="0089342F" w:rsidRPr="00C97275">
        <w:rPr>
          <w:rFonts w:ascii="Georgia" w:hAnsi="Georgia" w:cs="Georgia"/>
          <w:sz w:val="20"/>
          <w:szCs w:val="20"/>
          <w:lang w:val="lt-LT"/>
        </w:rPr>
        <w:t xml:space="preserve"> eurų</w:t>
      </w:r>
      <w:r w:rsidRPr="00C97275">
        <w:rPr>
          <w:rFonts w:ascii="Georgia" w:hAnsi="Georgia" w:cs="Georgia"/>
          <w:sz w:val="20"/>
          <w:szCs w:val="20"/>
          <w:lang w:val="lt-LT"/>
        </w:rPr>
        <w:t xml:space="preserve"> nacionalinių biudžeto lėšų. </w:t>
      </w:r>
    </w:p>
    <w:p w14:paraId="29510B10"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25221CA3"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2009 metų pabaigoje buvo identifikuotas poreikis prie JESSICA KF veiklų įtraukti ir bendrabučių renovacijos projektus. 2010 m. vasario mėn. EIB šiam tikslui parengė studiją, kurioje buvo numatyta, kad tinkamiausias finansinis produktas bendrabučių renovacijai yra labai panašus </w:t>
      </w:r>
      <w:r w:rsidR="0089342F" w:rsidRPr="00C97275">
        <w:rPr>
          <w:rFonts w:ascii="Georgia" w:hAnsi="Georgia" w:cs="Georgia"/>
          <w:sz w:val="20"/>
          <w:szCs w:val="20"/>
          <w:lang w:val="lt-LT"/>
        </w:rPr>
        <w:t>į</w:t>
      </w:r>
      <w:r w:rsidRPr="00C97275">
        <w:rPr>
          <w:rFonts w:ascii="Georgia" w:hAnsi="Georgia" w:cs="Georgia"/>
          <w:sz w:val="20"/>
          <w:szCs w:val="20"/>
          <w:lang w:val="lt-LT"/>
        </w:rPr>
        <w:t xml:space="preserve"> daugiabučių</w:t>
      </w:r>
      <w:r w:rsidR="0089342F" w:rsidRPr="00C97275">
        <w:rPr>
          <w:rFonts w:ascii="Georgia" w:hAnsi="Georgia" w:cs="Georgia"/>
          <w:sz w:val="20"/>
          <w:szCs w:val="20"/>
          <w:lang w:val="lt-LT"/>
        </w:rPr>
        <w:t xml:space="preserve"> modernizavimo finansinį produktą</w:t>
      </w:r>
      <w:r w:rsidRPr="00C97275">
        <w:rPr>
          <w:rStyle w:val="Puslapioinaosnuoroda"/>
          <w:rFonts w:ascii="Georgia" w:hAnsi="Georgia" w:cs="Georgia"/>
          <w:sz w:val="20"/>
          <w:szCs w:val="20"/>
          <w:lang w:val="lt-LT"/>
        </w:rPr>
        <w:footnoteReference w:id="4"/>
      </w:r>
      <w:r w:rsidRPr="00C97275">
        <w:rPr>
          <w:rFonts w:ascii="Georgia" w:hAnsi="Georgia" w:cs="Georgia"/>
          <w:sz w:val="20"/>
          <w:szCs w:val="20"/>
          <w:lang w:val="lt-LT"/>
        </w:rPr>
        <w:t xml:space="preserve">. </w:t>
      </w:r>
    </w:p>
    <w:p w14:paraId="28B1590E" w14:textId="77777777" w:rsidR="00A73D8E" w:rsidRPr="00C97275" w:rsidRDefault="00A73D8E" w:rsidP="00336C16">
      <w:pPr>
        <w:autoSpaceDE w:val="0"/>
        <w:autoSpaceDN w:val="0"/>
        <w:adjustRightInd w:val="0"/>
        <w:spacing w:after="0" w:line="240" w:lineRule="auto"/>
        <w:rPr>
          <w:rFonts w:ascii="Georgia" w:hAnsi="Georgia" w:cs="Georgia"/>
          <w:sz w:val="20"/>
          <w:szCs w:val="20"/>
          <w:lang w:val="lt-LT"/>
        </w:rPr>
      </w:pPr>
    </w:p>
    <w:p w14:paraId="36B23EA2" w14:textId="77777777" w:rsidR="00336C16" w:rsidRPr="00C97275" w:rsidRDefault="00336C16" w:rsidP="00936224">
      <w:pPr>
        <w:autoSpaceDE w:val="0"/>
        <w:autoSpaceDN w:val="0"/>
        <w:adjustRightInd w:val="0"/>
        <w:spacing w:after="0"/>
        <w:jc w:val="both"/>
        <w:rPr>
          <w:rFonts w:ascii="Georgia" w:hAnsi="Georgia" w:cs="Georgia,Bold"/>
          <w:b/>
          <w:bCs/>
          <w:color w:val="FFFFFF"/>
          <w:sz w:val="18"/>
          <w:szCs w:val="18"/>
          <w:lang w:val="lt-LT"/>
        </w:rPr>
      </w:pPr>
      <w:r w:rsidRPr="00C97275">
        <w:rPr>
          <w:rFonts w:ascii="Georgia" w:hAnsi="Georgia" w:cs="Georgia"/>
          <w:sz w:val="20"/>
          <w:szCs w:val="20"/>
          <w:lang w:val="lt-LT"/>
        </w:rPr>
        <w:t xml:space="preserve">JESSICA KF patirtis, kilusios problemos, jų sprendimo būdai bei išmoktos pamokos nagrinėjamos </w:t>
      </w:r>
      <w:r w:rsidR="00CC2E6F" w:rsidRPr="00C97275">
        <w:rPr>
          <w:rFonts w:ascii="Georgia" w:hAnsi="Georgia" w:cs="Georgia"/>
          <w:sz w:val="20"/>
          <w:szCs w:val="20"/>
          <w:lang w:val="lt-LT"/>
        </w:rPr>
        <w:t xml:space="preserve">6-ame </w:t>
      </w:r>
      <w:r w:rsidRPr="00C97275">
        <w:rPr>
          <w:rFonts w:ascii="Georgia" w:hAnsi="Georgia" w:cs="Georgia"/>
          <w:sz w:val="20"/>
          <w:szCs w:val="20"/>
          <w:lang w:val="lt-LT"/>
        </w:rPr>
        <w:t>skyriu</w:t>
      </w:r>
      <w:r w:rsidR="00CC2E6F" w:rsidRPr="00C97275">
        <w:rPr>
          <w:rFonts w:ascii="Georgia" w:hAnsi="Georgia" w:cs="Georgia"/>
          <w:sz w:val="20"/>
          <w:szCs w:val="20"/>
          <w:lang w:val="lt-LT"/>
        </w:rPr>
        <w:t>j</w:t>
      </w:r>
      <w:r w:rsidRPr="00C97275">
        <w:rPr>
          <w:rFonts w:ascii="Georgia" w:hAnsi="Georgia" w:cs="Georgia"/>
          <w:sz w:val="20"/>
          <w:szCs w:val="20"/>
          <w:lang w:val="lt-LT"/>
        </w:rPr>
        <w:t xml:space="preserve">e. </w:t>
      </w:r>
    </w:p>
    <w:p w14:paraId="6F19B0CE" w14:textId="77777777" w:rsidR="00336C16" w:rsidRPr="00C97275" w:rsidRDefault="00336C16" w:rsidP="00336C16">
      <w:pPr>
        <w:rPr>
          <w:rFonts w:ascii="Georgia" w:hAnsi="Georgia" w:cs="Georgia"/>
          <w:sz w:val="20"/>
          <w:szCs w:val="20"/>
          <w:lang w:val="lt-LT"/>
        </w:rPr>
      </w:pPr>
      <w:r w:rsidRPr="00C97275">
        <w:rPr>
          <w:rFonts w:ascii="Georgia" w:hAnsi="Georgia" w:cs="Georgia,Bold"/>
          <w:b/>
          <w:bCs/>
          <w:color w:val="FFFFFF"/>
          <w:sz w:val="18"/>
          <w:szCs w:val="18"/>
          <w:lang w:val="lt-LT"/>
        </w:rPr>
        <w:lastRenderedPageBreak/>
        <w:t>(</w:t>
      </w:r>
    </w:p>
    <w:p w14:paraId="47A0B483" w14:textId="77777777" w:rsidR="00336C16" w:rsidRPr="00C97275" w:rsidRDefault="00336C16" w:rsidP="00162BF5">
      <w:pPr>
        <w:pStyle w:val="Antrat2"/>
        <w:numPr>
          <w:ilvl w:val="1"/>
          <w:numId w:val="21"/>
        </w:numPr>
        <w:rPr>
          <w:rFonts w:ascii="Georgia" w:hAnsi="Georgia"/>
          <w:lang w:val="lt-LT"/>
        </w:rPr>
      </w:pPr>
      <w:bookmarkStart w:id="16" w:name="_Toc393381199"/>
      <w:bookmarkStart w:id="17" w:name="_Toc25594641"/>
      <w:r w:rsidRPr="00C97275">
        <w:rPr>
          <w:rFonts w:ascii="Georgia" w:hAnsi="Georgia"/>
          <w:lang w:val="lt-LT"/>
        </w:rPr>
        <w:t xml:space="preserve">Finansinių priemonių įgyvendinimo alternatyvos atsižvelgiant į </w:t>
      </w:r>
      <w:r w:rsidR="00B378B1" w:rsidRPr="00C97275">
        <w:rPr>
          <w:rFonts w:ascii="Georgia" w:hAnsi="Georgia"/>
          <w:lang w:val="lt-LT"/>
        </w:rPr>
        <w:t xml:space="preserve">ES reglamentų </w:t>
      </w:r>
      <w:r w:rsidRPr="00C97275">
        <w:rPr>
          <w:rFonts w:ascii="Georgia" w:hAnsi="Georgia"/>
          <w:lang w:val="lt-LT"/>
        </w:rPr>
        <w:t>nuostatas</w:t>
      </w:r>
      <w:bookmarkEnd w:id="16"/>
      <w:bookmarkEnd w:id="17"/>
    </w:p>
    <w:p w14:paraId="7B39F228" w14:textId="77777777" w:rsidR="00336C16" w:rsidRPr="00C97275" w:rsidRDefault="00336C16" w:rsidP="00336C16">
      <w:pPr>
        <w:autoSpaceDE w:val="0"/>
        <w:autoSpaceDN w:val="0"/>
        <w:adjustRightInd w:val="0"/>
        <w:spacing w:after="0" w:line="240" w:lineRule="auto"/>
        <w:rPr>
          <w:rFonts w:ascii="Georgia" w:hAnsi="Georgia" w:cs="Georgia"/>
          <w:sz w:val="20"/>
          <w:szCs w:val="20"/>
          <w:lang w:val="lt-LT"/>
        </w:rPr>
      </w:pPr>
    </w:p>
    <w:p w14:paraId="790BF04C"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2007-2013 m. period</w:t>
      </w:r>
      <w:r w:rsidR="00CC2E6F" w:rsidRPr="00C97275">
        <w:rPr>
          <w:rFonts w:ascii="Georgia" w:hAnsi="Georgia" w:cs="Georgia"/>
          <w:sz w:val="20"/>
          <w:szCs w:val="20"/>
          <w:lang w:val="lt-LT"/>
        </w:rPr>
        <w:t>u</w:t>
      </w:r>
      <w:r w:rsidRPr="00C97275">
        <w:rPr>
          <w:rFonts w:ascii="Georgia" w:hAnsi="Georgia" w:cs="Georgia"/>
          <w:sz w:val="20"/>
          <w:szCs w:val="20"/>
          <w:lang w:val="lt-LT"/>
        </w:rPr>
        <w:t xml:space="preserve"> buvo įgyvendinta nemažai finansinių priemonių, todėl Europos Komisija iš daugybės finansinių priemonių pavyzdžių identifikavo tobulintinus finansinių priemonių įgyvendinimo aspektus</w:t>
      </w:r>
      <w:r w:rsidRPr="00C97275">
        <w:rPr>
          <w:rStyle w:val="Puslapioinaosnuoroda"/>
          <w:rFonts w:ascii="Georgia" w:hAnsi="Georgia" w:cs="Georgia"/>
          <w:sz w:val="20"/>
          <w:szCs w:val="20"/>
          <w:lang w:val="lt-LT"/>
        </w:rPr>
        <w:footnoteReference w:id="5"/>
      </w:r>
      <w:r w:rsidRPr="00C97275">
        <w:rPr>
          <w:rFonts w:ascii="Georgia" w:hAnsi="Georgia" w:cs="Georgia"/>
          <w:sz w:val="20"/>
          <w:szCs w:val="20"/>
          <w:lang w:val="lt-LT"/>
        </w:rPr>
        <w:t>:</w:t>
      </w:r>
    </w:p>
    <w:p w14:paraId="5A0E98E8" w14:textId="77777777" w:rsidR="00336C16" w:rsidRPr="00C97275"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Finansinių priemonių įgyvendinimo visuose lygmenyse kompetencijų tobulinimas;</w:t>
      </w:r>
    </w:p>
    <w:p w14:paraId="7D0CDB83" w14:textId="77777777" w:rsidR="00336C16" w:rsidRPr="00C97275"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Stipresnė ES finansinio įnašo finansinei priemonei priežiūra ir kontrolė;</w:t>
      </w:r>
    </w:p>
    <w:p w14:paraId="714E2B9F" w14:textId="77777777" w:rsidR="00336C16" w:rsidRPr="00C97275"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Finansinės priemonės kritinės masės siekimas, ypač tikslinės rinkos dydžio, efektyvaus potencialaus projektų kiekio ir apimties, teisingo geografinio padengimo aspektais;</w:t>
      </w:r>
    </w:p>
    <w:p w14:paraId="5EEC567D" w14:textId="77777777" w:rsidR="00336C16" w:rsidRPr="00C97275"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Efektyvaus lėšų išmokėjimo užtikrinimas. </w:t>
      </w:r>
    </w:p>
    <w:p w14:paraId="2BBEF09F"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5721DD3A"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Atsižvelgiant į visus šiuos aspektus, 2014-2020 m. periodo teisinė bazė buvo pritaikyta toliau plėsti ir stiprinti finansinių priemonių įgyvendinimą kaip tvarų ir efektyvų būdą papildyti tradicines subsidijų teikimo schemas. Taip pat Europos Komisija rengia finansinių priemonių techninės paramos platformą 2014-2020 m. periodui, kurios tikslas </w:t>
      </w:r>
      <w:r w:rsidR="00CC2E6F" w:rsidRPr="00C97275">
        <w:rPr>
          <w:rFonts w:ascii="Georgia" w:hAnsi="Georgia" w:cs="Georgia"/>
          <w:sz w:val="20"/>
          <w:szCs w:val="20"/>
          <w:lang w:val="lt-LT"/>
        </w:rPr>
        <w:t xml:space="preserve">– </w:t>
      </w:r>
      <w:r w:rsidRPr="00C97275">
        <w:rPr>
          <w:rFonts w:ascii="Georgia" w:hAnsi="Georgia" w:cs="Georgia"/>
          <w:sz w:val="20"/>
          <w:szCs w:val="20"/>
          <w:lang w:val="lt-LT"/>
        </w:rPr>
        <w:t>padėti</w:t>
      </w:r>
      <w:r w:rsidR="00CC2E6F" w:rsidRPr="00C97275">
        <w:rPr>
          <w:rFonts w:ascii="Georgia" w:hAnsi="Georgia" w:cs="Georgia"/>
          <w:sz w:val="20"/>
          <w:szCs w:val="20"/>
          <w:lang w:val="lt-LT"/>
        </w:rPr>
        <w:t xml:space="preserve"> </w:t>
      </w:r>
      <w:r w:rsidRPr="00C97275">
        <w:rPr>
          <w:rFonts w:ascii="Georgia" w:hAnsi="Georgia" w:cs="Georgia"/>
          <w:sz w:val="20"/>
          <w:szCs w:val="20"/>
          <w:lang w:val="lt-LT"/>
        </w:rPr>
        <w:t xml:space="preserve">vadovaujančioms institucijoms finansinių priemonių įgyvendinime įvairiomis priemonėmis, pvz. komunikacija, situacijų analizėmis, mokymais, išaiškinimais. </w:t>
      </w:r>
    </w:p>
    <w:p w14:paraId="4930CF43"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708C2B55"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2007-2013 m. ir 2014-2020 m. periodų esminiai finansinių priemonių reglamentavimo ir įgyvendinimo skirtumai pateikti lentelėje žemiau. </w:t>
      </w:r>
    </w:p>
    <w:p w14:paraId="4C674E98"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323EFAA8" w14:textId="53924D94" w:rsidR="00931CAF" w:rsidRPr="00C97275" w:rsidRDefault="00931CAF" w:rsidP="00931CAF">
      <w:pPr>
        <w:pStyle w:val="Antrat"/>
        <w:jc w:val="both"/>
        <w:rPr>
          <w:lang w:val="lt-LT"/>
        </w:rPr>
      </w:pPr>
      <w:bookmarkStart w:id="18" w:name="_Toc19105217"/>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w:t>
      </w:r>
      <w:r w:rsidRPr="00C97275">
        <w:rPr>
          <w:lang w:val="lt-LT"/>
        </w:rPr>
        <w:fldChar w:fldCharType="end"/>
      </w:r>
      <w:r w:rsidRPr="00C97275">
        <w:rPr>
          <w:lang w:val="lt-LT"/>
        </w:rPr>
        <w:t xml:space="preserve">. </w:t>
      </w:r>
      <w:r w:rsidRPr="00C97275">
        <w:rPr>
          <w:rFonts w:cs="Georgia"/>
          <w:szCs w:val="20"/>
          <w:lang w:val="lt-LT"/>
        </w:rPr>
        <w:t xml:space="preserve">2007–2013 m. ir 2014–2020 m. </w:t>
      </w:r>
      <w:r w:rsidR="00EA7A6C" w:rsidRPr="00C97275">
        <w:rPr>
          <w:rFonts w:cs="Georgia"/>
          <w:szCs w:val="20"/>
          <w:lang w:val="lt-LT"/>
        </w:rPr>
        <w:t>periodų</w:t>
      </w:r>
      <w:r w:rsidRPr="00C97275">
        <w:rPr>
          <w:rFonts w:cs="Georgia"/>
          <w:szCs w:val="20"/>
          <w:lang w:val="lt-LT"/>
        </w:rPr>
        <w:t xml:space="preserve"> finansinių </w:t>
      </w:r>
      <w:r w:rsidR="00EA7A6C" w:rsidRPr="00C97275">
        <w:rPr>
          <w:rFonts w:cs="Georgia"/>
          <w:szCs w:val="20"/>
          <w:lang w:val="lt-LT"/>
        </w:rPr>
        <w:t>priemoni</w:t>
      </w:r>
      <w:r w:rsidRPr="00C97275">
        <w:rPr>
          <w:rFonts w:cs="Georgia"/>
          <w:szCs w:val="20"/>
          <w:lang w:val="lt-LT"/>
        </w:rPr>
        <w:t>ų panaudojimo skirtumai.</w:t>
      </w:r>
      <w:bookmarkEnd w:id="18"/>
      <w:r w:rsidRPr="00C97275">
        <w:rPr>
          <w:rFonts w:cs="Georgia"/>
          <w:szCs w:val="20"/>
          <w:lang w:val="lt-LT"/>
        </w:rPr>
        <w:t xml:space="preserve"> </w:t>
      </w:r>
    </w:p>
    <w:tbl>
      <w:tblPr>
        <w:tblStyle w:val="viesussraas2parykinimas"/>
        <w:tblW w:w="5000" w:type="pct"/>
        <w:tblLayout w:type="fixed"/>
        <w:tblLook w:val="04A0" w:firstRow="1" w:lastRow="0" w:firstColumn="1" w:lastColumn="0" w:noHBand="0" w:noVBand="1"/>
      </w:tblPr>
      <w:tblGrid>
        <w:gridCol w:w="1521"/>
        <w:gridCol w:w="2556"/>
        <w:gridCol w:w="3039"/>
        <w:gridCol w:w="2126"/>
      </w:tblGrid>
      <w:tr w:rsidR="00CB4D9D" w:rsidRPr="00C97275" w14:paraId="6D743D79" w14:textId="77777777" w:rsidTr="00F9357D">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823" w:type="pct"/>
            <w:tcBorders>
              <w:top w:val="single" w:sz="8" w:space="0" w:color="C0504D" w:themeColor="accent2"/>
              <w:left w:val="single" w:sz="8" w:space="0" w:color="C0504D" w:themeColor="accent2"/>
              <w:bottom w:val="nil"/>
              <w:right w:val="single" w:sz="8" w:space="0" w:color="C0504D" w:themeColor="accent2"/>
            </w:tcBorders>
            <w:hideMark/>
          </w:tcPr>
          <w:p w14:paraId="3522C5EA" w14:textId="77777777" w:rsidR="00336C16" w:rsidRPr="00C97275" w:rsidRDefault="00336C16" w:rsidP="00C95047">
            <w:pPr>
              <w:widowControl w:val="0"/>
              <w:autoSpaceDE w:val="0"/>
              <w:autoSpaceDN w:val="0"/>
              <w:adjustRightInd w:val="0"/>
              <w:jc w:val="center"/>
              <w:rPr>
                <w:rFonts w:ascii="Georgia" w:hAnsi="Georgia" w:cs="Arial"/>
                <w:sz w:val="20"/>
                <w:szCs w:val="20"/>
              </w:rPr>
            </w:pPr>
            <w:r w:rsidRPr="00C97275">
              <w:rPr>
                <w:rFonts w:ascii="Georgia" w:hAnsi="Georgia" w:cs="Arial"/>
                <w:sz w:val="20"/>
                <w:szCs w:val="20"/>
              </w:rPr>
              <w:t>Tema</w:t>
            </w:r>
          </w:p>
        </w:tc>
        <w:tc>
          <w:tcPr>
            <w:tcW w:w="1383" w:type="pct"/>
            <w:tcBorders>
              <w:top w:val="single" w:sz="8" w:space="0" w:color="C0504D" w:themeColor="accent2"/>
              <w:left w:val="nil"/>
              <w:bottom w:val="nil"/>
              <w:right w:val="nil"/>
            </w:tcBorders>
            <w:hideMark/>
          </w:tcPr>
          <w:p w14:paraId="120F7568" w14:textId="77777777" w:rsidR="00336C16" w:rsidRPr="00C97275"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2007–2013</w:t>
            </w:r>
          </w:p>
        </w:tc>
        <w:tc>
          <w:tcPr>
            <w:tcW w:w="1644" w:type="pct"/>
            <w:tcBorders>
              <w:top w:val="single" w:sz="8" w:space="0" w:color="C0504D" w:themeColor="accent2"/>
              <w:left w:val="single" w:sz="8" w:space="0" w:color="C0504D" w:themeColor="accent2"/>
              <w:bottom w:val="nil"/>
              <w:right w:val="single" w:sz="8" w:space="0" w:color="C0504D" w:themeColor="accent2"/>
            </w:tcBorders>
            <w:hideMark/>
          </w:tcPr>
          <w:p w14:paraId="7617D09F" w14:textId="77777777" w:rsidR="00336C16" w:rsidRPr="00C97275"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2014–2020</w:t>
            </w:r>
          </w:p>
        </w:tc>
        <w:tc>
          <w:tcPr>
            <w:tcW w:w="1150" w:type="pct"/>
            <w:tcBorders>
              <w:top w:val="single" w:sz="8" w:space="0" w:color="C0504D" w:themeColor="accent2"/>
              <w:left w:val="nil"/>
              <w:bottom w:val="nil"/>
              <w:right w:val="single" w:sz="8" w:space="0" w:color="C0504D" w:themeColor="accent2"/>
            </w:tcBorders>
            <w:hideMark/>
          </w:tcPr>
          <w:p w14:paraId="0AAB6CA9" w14:textId="77777777" w:rsidR="00336C16" w:rsidRPr="00C97275"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Pokytis</w:t>
            </w:r>
          </w:p>
        </w:tc>
      </w:tr>
      <w:tr w:rsidR="00336C16" w:rsidRPr="00C97275" w14:paraId="4F8170AC" w14:textId="77777777" w:rsidTr="005B31C6">
        <w:trPr>
          <w:cnfStyle w:val="000000100000" w:firstRow="0" w:lastRow="0" w:firstColumn="0" w:lastColumn="0" w:oddVBand="0" w:evenVBand="0" w:oddHBand="1" w:evenHBand="0" w:firstRowFirstColumn="0" w:firstRowLastColumn="0" w:lastRowFirstColumn="0" w:lastRowLastColumn="0"/>
          <w:cantSplit/>
          <w:trHeight w:val="541"/>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C0504D" w:themeColor="accent2"/>
            </w:tcBorders>
            <w:hideMark/>
          </w:tcPr>
          <w:p w14:paraId="1F673FFF" w14:textId="77777777" w:rsidR="00336C16" w:rsidRPr="00C97275" w:rsidRDefault="00336C16" w:rsidP="00C95047">
            <w:pPr>
              <w:widowControl w:val="0"/>
              <w:autoSpaceDE w:val="0"/>
              <w:autoSpaceDN w:val="0"/>
              <w:adjustRightInd w:val="0"/>
              <w:rPr>
                <w:rFonts w:ascii="Georgia" w:hAnsi="Georgia" w:cs="Arial"/>
                <w:color w:val="000000"/>
                <w:sz w:val="20"/>
                <w:szCs w:val="20"/>
              </w:rPr>
            </w:pPr>
            <w:r w:rsidRPr="00C97275">
              <w:rPr>
                <w:rFonts w:ascii="Georgia" w:hAnsi="Georgia" w:cs="Arial"/>
                <w:b w:val="0"/>
                <w:color w:val="000000"/>
                <w:sz w:val="20"/>
                <w:szCs w:val="20"/>
              </w:rPr>
              <w:t xml:space="preserve">Remiama veikla </w:t>
            </w:r>
          </w:p>
        </w:tc>
        <w:tc>
          <w:tcPr>
            <w:tcW w:w="0" w:type="pct"/>
            <w:tcBorders>
              <w:left w:val="nil"/>
              <w:right w:val="nil"/>
            </w:tcBorders>
            <w:hideMark/>
          </w:tcPr>
          <w:p w14:paraId="570EE8FC"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Apribojimai sektoriams, paramos gavėjams: remiam</w:t>
            </w:r>
            <w:r w:rsidR="00EA7A6C" w:rsidRPr="00C97275">
              <w:rPr>
                <w:rFonts w:ascii="Georgia" w:hAnsi="Georgia" w:cs="Arial"/>
                <w:color w:val="000000"/>
                <w:sz w:val="20"/>
                <w:szCs w:val="20"/>
              </w:rPr>
              <w:t>os</w:t>
            </w:r>
            <w:r w:rsidRPr="00C97275">
              <w:rPr>
                <w:rFonts w:ascii="Georgia" w:hAnsi="Georgia" w:cs="Arial"/>
                <w:color w:val="000000"/>
                <w:sz w:val="20"/>
                <w:szCs w:val="20"/>
              </w:rPr>
              <w:t xml:space="preserve"> </w:t>
            </w:r>
            <w:r w:rsidR="00EA7A6C" w:rsidRPr="00C97275">
              <w:rPr>
                <w:rFonts w:ascii="Georgia" w:hAnsi="Georgia" w:cs="Arial"/>
                <w:color w:val="000000"/>
                <w:sz w:val="20"/>
                <w:szCs w:val="20"/>
              </w:rPr>
              <w:t>mažos ir vidutinės įmonės</w:t>
            </w:r>
            <w:r w:rsidRPr="00C97275">
              <w:rPr>
                <w:rFonts w:ascii="Georgia" w:hAnsi="Georgia" w:cs="Arial"/>
                <w:color w:val="000000"/>
                <w:sz w:val="20"/>
                <w:szCs w:val="20"/>
              </w:rPr>
              <w:t>, miestų plėtra ir energijos vartojimo efektyvumo didinimas</w:t>
            </w:r>
            <w:r w:rsidR="000470B4" w:rsidRPr="00C97275">
              <w:rPr>
                <w:rFonts w:ascii="Georgia" w:hAnsi="Georgia" w:cs="Arial"/>
                <w:color w:val="000000"/>
                <w:sz w:val="20"/>
                <w:szCs w:val="20"/>
              </w:rPr>
              <w:t>. 2007-2013 metų laikotarpyje finansin</w:t>
            </w:r>
            <w:r w:rsidR="00D96817" w:rsidRPr="00C97275">
              <w:rPr>
                <w:rFonts w:ascii="Georgia" w:hAnsi="Georgia" w:cs="Arial"/>
                <w:color w:val="000000"/>
                <w:sz w:val="20"/>
                <w:szCs w:val="20"/>
              </w:rPr>
              <w:t>ių</w:t>
            </w:r>
            <w:r w:rsidR="000470B4" w:rsidRPr="00C97275">
              <w:rPr>
                <w:rFonts w:ascii="Georgia" w:hAnsi="Georgia" w:cs="Arial"/>
                <w:color w:val="000000"/>
                <w:sz w:val="20"/>
                <w:szCs w:val="20"/>
              </w:rPr>
              <w:t xml:space="preserve"> priemon</w:t>
            </w:r>
            <w:r w:rsidR="00D96817" w:rsidRPr="00C97275">
              <w:rPr>
                <w:rFonts w:ascii="Georgia" w:hAnsi="Georgia" w:cs="Arial"/>
                <w:color w:val="000000"/>
                <w:sz w:val="20"/>
                <w:szCs w:val="20"/>
              </w:rPr>
              <w:t>ių įgyvendinimui</w:t>
            </w:r>
            <w:r w:rsidR="000470B4" w:rsidRPr="00C97275">
              <w:rPr>
                <w:rFonts w:ascii="Georgia" w:hAnsi="Georgia" w:cs="Arial"/>
                <w:color w:val="000000"/>
                <w:sz w:val="20"/>
                <w:szCs w:val="20"/>
              </w:rPr>
              <w:t xml:space="preserve"> negalėjo būti </w:t>
            </w:r>
            <w:r w:rsidR="00D96817" w:rsidRPr="00C97275">
              <w:rPr>
                <w:rFonts w:ascii="Georgia" w:hAnsi="Georgia" w:cs="Arial"/>
                <w:color w:val="000000"/>
                <w:sz w:val="20"/>
                <w:szCs w:val="20"/>
              </w:rPr>
              <w:t>naudojamos</w:t>
            </w:r>
            <w:r w:rsidR="000470B4" w:rsidRPr="00C97275">
              <w:rPr>
                <w:rFonts w:ascii="Georgia" w:hAnsi="Georgia" w:cs="Arial"/>
                <w:color w:val="000000"/>
                <w:sz w:val="20"/>
                <w:szCs w:val="20"/>
              </w:rPr>
              <w:t xml:space="preserve"> Sanglaudos fond</w:t>
            </w:r>
            <w:r w:rsidR="00936224" w:rsidRPr="00C97275">
              <w:rPr>
                <w:rFonts w:ascii="Georgia" w:hAnsi="Georgia" w:cs="Arial"/>
                <w:color w:val="000000"/>
                <w:sz w:val="20"/>
                <w:szCs w:val="20"/>
              </w:rPr>
              <w:t>o</w:t>
            </w:r>
            <w:r w:rsidR="00D96817" w:rsidRPr="00C97275">
              <w:rPr>
                <w:rFonts w:ascii="Georgia" w:hAnsi="Georgia" w:cs="Arial"/>
                <w:color w:val="000000"/>
                <w:sz w:val="20"/>
                <w:szCs w:val="20"/>
              </w:rPr>
              <w:t xml:space="preserve"> lėšos</w:t>
            </w:r>
            <w:r w:rsidR="000470B4" w:rsidRPr="00C97275">
              <w:rPr>
                <w:rFonts w:ascii="Georgia" w:hAnsi="Georgia" w:cs="Arial"/>
                <w:color w:val="000000"/>
                <w:sz w:val="20"/>
                <w:szCs w:val="20"/>
              </w:rPr>
              <w:t>.</w:t>
            </w:r>
            <w:r w:rsidRPr="00C97275">
              <w:rPr>
                <w:rFonts w:ascii="Georgia" w:hAnsi="Georgia" w:cs="Arial"/>
                <w:color w:val="000000"/>
                <w:sz w:val="20"/>
                <w:szCs w:val="20"/>
              </w:rPr>
              <w:t xml:space="preserve"> </w:t>
            </w:r>
          </w:p>
        </w:tc>
        <w:tc>
          <w:tcPr>
            <w:tcW w:w="0" w:type="pct"/>
            <w:tcBorders>
              <w:left w:val="single" w:sz="8" w:space="0" w:color="C0504D" w:themeColor="accent2"/>
              <w:right w:val="single" w:sz="8" w:space="0" w:color="C0504D" w:themeColor="accent2"/>
            </w:tcBorders>
            <w:hideMark/>
          </w:tcPr>
          <w:p w14:paraId="720CF318"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Valstybės narės ir valdymo institucijos gali naudoti finansines priemones visų teminių tikslų įgyvendinimui, jei yra užtikrinama nauda ir efektyvumas</w:t>
            </w:r>
          </w:p>
        </w:tc>
        <w:tc>
          <w:tcPr>
            <w:tcW w:w="0" w:type="pct"/>
            <w:tcBorders>
              <w:left w:val="nil"/>
            </w:tcBorders>
            <w:hideMark/>
          </w:tcPr>
          <w:p w14:paraId="75D6E0F8"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Užtikrinamas lankstumas ES valstybėms narėms ir regionams dėl paramos gavėjų, tikslinių sektorių projektų ir veiklos</w:t>
            </w:r>
          </w:p>
        </w:tc>
      </w:tr>
      <w:tr w:rsidR="00CB4D9D" w:rsidRPr="00C97275" w14:paraId="7400D7BF" w14:textId="77777777" w:rsidTr="00F9357D">
        <w:trPr>
          <w:cantSplit/>
          <w:trHeight w:val="452"/>
        </w:trPr>
        <w:tc>
          <w:tcPr>
            <w:cnfStyle w:val="001000000000" w:firstRow="0" w:lastRow="0" w:firstColumn="1" w:lastColumn="0" w:oddVBand="0" w:evenVBand="0" w:oddHBand="0" w:evenHBand="0" w:firstRowFirstColumn="0" w:firstRowLastColumn="0" w:lastRowFirstColumn="0" w:lastRowLastColumn="0"/>
            <w:tcW w:w="823" w:type="pct"/>
            <w:tcBorders>
              <w:top w:val="nil"/>
              <w:left w:val="single" w:sz="8" w:space="0" w:color="C0504D" w:themeColor="accent2"/>
              <w:bottom w:val="nil"/>
              <w:right w:val="single" w:sz="8" w:space="0" w:color="C0504D" w:themeColor="accent2"/>
            </w:tcBorders>
            <w:hideMark/>
          </w:tcPr>
          <w:p w14:paraId="33CC4396" w14:textId="77777777" w:rsidR="00336C16" w:rsidRPr="00C97275" w:rsidRDefault="00336C16" w:rsidP="00C95047">
            <w:pPr>
              <w:widowControl w:val="0"/>
              <w:autoSpaceDE w:val="0"/>
              <w:autoSpaceDN w:val="0"/>
              <w:adjustRightInd w:val="0"/>
              <w:rPr>
                <w:rFonts w:ascii="Georgia" w:hAnsi="Georgia" w:cs="Arial"/>
                <w:color w:val="000000"/>
                <w:sz w:val="20"/>
                <w:szCs w:val="20"/>
              </w:rPr>
            </w:pPr>
            <w:r w:rsidRPr="00C97275">
              <w:rPr>
                <w:rFonts w:ascii="Georgia" w:hAnsi="Georgia" w:cs="Arial"/>
                <w:b w:val="0"/>
                <w:color w:val="000000"/>
                <w:sz w:val="20"/>
                <w:szCs w:val="20"/>
              </w:rPr>
              <w:t>Priemonių</w:t>
            </w:r>
          </w:p>
          <w:p w14:paraId="3E49A7CF" w14:textId="77777777" w:rsidR="00336C16" w:rsidRPr="00C97275" w:rsidRDefault="00336C16" w:rsidP="00C95047">
            <w:pPr>
              <w:widowControl w:val="0"/>
              <w:autoSpaceDE w:val="0"/>
              <w:autoSpaceDN w:val="0"/>
              <w:adjustRightInd w:val="0"/>
              <w:rPr>
                <w:rFonts w:ascii="Georgia" w:hAnsi="Georgia" w:cs="Arial"/>
                <w:b w:val="0"/>
                <w:color w:val="000000"/>
                <w:sz w:val="20"/>
                <w:szCs w:val="20"/>
              </w:rPr>
            </w:pPr>
            <w:r w:rsidRPr="00C97275">
              <w:rPr>
                <w:rFonts w:ascii="Georgia" w:hAnsi="Georgia" w:cs="Arial"/>
                <w:color w:val="000000"/>
                <w:sz w:val="20"/>
                <w:szCs w:val="20"/>
              </w:rPr>
              <w:t xml:space="preserve">sinergija </w:t>
            </w:r>
          </w:p>
        </w:tc>
        <w:tc>
          <w:tcPr>
            <w:tcW w:w="1383" w:type="pct"/>
            <w:tcBorders>
              <w:top w:val="nil"/>
              <w:left w:val="nil"/>
              <w:bottom w:val="nil"/>
              <w:right w:val="nil"/>
            </w:tcBorders>
            <w:hideMark/>
          </w:tcPr>
          <w:p w14:paraId="2AB793A1" w14:textId="77777777" w:rsidR="00336C16" w:rsidRPr="00C97275" w:rsidRDefault="00EA7A6C"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Finansinių priemonių derinimas su kitomis paramos formomis neapibrėžtas</w:t>
            </w:r>
          </w:p>
        </w:tc>
        <w:tc>
          <w:tcPr>
            <w:tcW w:w="1644" w:type="pct"/>
            <w:tcBorders>
              <w:top w:val="nil"/>
              <w:left w:val="single" w:sz="8" w:space="0" w:color="C0504D" w:themeColor="accent2"/>
              <w:bottom w:val="nil"/>
              <w:right w:val="single" w:sz="8" w:space="0" w:color="C0504D" w:themeColor="accent2"/>
            </w:tcBorders>
            <w:hideMark/>
          </w:tcPr>
          <w:p w14:paraId="5FA762C0" w14:textId="77777777" w:rsidR="00336C16" w:rsidRPr="00C97275"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Finansinės priemonės gali būti derinamos su dotacijomis, subsidijomis ir garantijomis. Šiuo atveju kiekviena finansavimo forma turi būti apskaitoma atskirai. </w:t>
            </w:r>
          </w:p>
        </w:tc>
        <w:tc>
          <w:tcPr>
            <w:tcW w:w="1150" w:type="pct"/>
            <w:tcBorders>
              <w:top w:val="nil"/>
              <w:left w:val="nil"/>
              <w:bottom w:val="nil"/>
              <w:right w:val="single" w:sz="8" w:space="0" w:color="C0504D" w:themeColor="accent2"/>
            </w:tcBorders>
            <w:hideMark/>
          </w:tcPr>
          <w:p w14:paraId="338442BB" w14:textId="77777777" w:rsidR="00336C16" w:rsidRPr="00C97275"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Sukuriama sinergija tarp finansinių </w:t>
            </w:r>
            <w:r w:rsidR="00EA7A6C" w:rsidRPr="00C97275">
              <w:rPr>
                <w:rFonts w:ascii="Georgia" w:hAnsi="Georgia" w:cs="Arial"/>
                <w:color w:val="000000"/>
                <w:sz w:val="20"/>
                <w:szCs w:val="20"/>
              </w:rPr>
              <w:t xml:space="preserve">priemonių </w:t>
            </w:r>
            <w:r w:rsidRPr="00C97275">
              <w:rPr>
                <w:rFonts w:ascii="Georgia" w:hAnsi="Georgia" w:cs="Arial"/>
                <w:color w:val="000000"/>
                <w:sz w:val="20"/>
                <w:szCs w:val="20"/>
              </w:rPr>
              <w:t>ir kitų paramos priemonių, pvz., dotacijų</w:t>
            </w:r>
          </w:p>
        </w:tc>
      </w:tr>
      <w:tr w:rsidR="00336C16" w:rsidRPr="00C97275" w14:paraId="0033D281" w14:textId="77777777" w:rsidTr="005B31C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C0504D" w:themeColor="accent2"/>
            </w:tcBorders>
            <w:hideMark/>
          </w:tcPr>
          <w:p w14:paraId="5F61B617" w14:textId="77777777" w:rsidR="00336C16" w:rsidRPr="00C97275" w:rsidRDefault="00336C16" w:rsidP="00C95047">
            <w:pPr>
              <w:widowControl w:val="0"/>
              <w:autoSpaceDE w:val="0"/>
              <w:autoSpaceDN w:val="0"/>
              <w:adjustRightInd w:val="0"/>
              <w:rPr>
                <w:rFonts w:ascii="Georgia" w:hAnsi="Georgia" w:cs="Arial"/>
                <w:b w:val="0"/>
                <w:color w:val="000000"/>
                <w:sz w:val="20"/>
                <w:szCs w:val="20"/>
              </w:rPr>
            </w:pPr>
            <w:r w:rsidRPr="00C97275">
              <w:rPr>
                <w:rFonts w:ascii="Georgia" w:hAnsi="Georgia" w:cs="Arial"/>
                <w:b w:val="0"/>
                <w:color w:val="000000"/>
                <w:sz w:val="20"/>
                <w:szCs w:val="20"/>
              </w:rPr>
              <w:lastRenderedPageBreak/>
              <w:t xml:space="preserve">Įgyvendinimo alternatyvos </w:t>
            </w:r>
          </w:p>
        </w:tc>
        <w:tc>
          <w:tcPr>
            <w:tcW w:w="0" w:type="pct"/>
            <w:tcBorders>
              <w:left w:val="nil"/>
              <w:right w:val="nil"/>
            </w:tcBorders>
          </w:tcPr>
          <w:p w14:paraId="42938C5D"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Finansų inžinerijos </w:t>
            </w:r>
            <w:r w:rsidR="00032456" w:rsidRPr="00C97275">
              <w:rPr>
                <w:rFonts w:ascii="Georgia" w:hAnsi="Georgia" w:cs="Arial"/>
                <w:color w:val="000000"/>
                <w:sz w:val="20"/>
                <w:szCs w:val="20"/>
              </w:rPr>
              <w:t>priemonės</w:t>
            </w:r>
            <w:r w:rsidRPr="00C97275">
              <w:rPr>
                <w:rFonts w:ascii="Georgia" w:hAnsi="Georgia" w:cs="Arial"/>
                <w:color w:val="000000"/>
                <w:sz w:val="20"/>
                <w:szCs w:val="20"/>
              </w:rPr>
              <w:t xml:space="preserve">, įskaitant kontroliuojančiuosius fondus, steigiami kaip: </w:t>
            </w:r>
          </w:p>
          <w:p w14:paraId="317C96DD" w14:textId="77777777" w:rsidR="00336C16" w:rsidRPr="00C97275" w:rsidRDefault="00336C16" w:rsidP="00162BF5">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nepriklausomi juridiniai asmenys, valdomi pagal bendrą finansavimą vykdančių partnerių ar akcininkų sutartis; </w:t>
            </w:r>
          </w:p>
          <w:p w14:paraId="13B47647" w14:textId="77777777" w:rsidR="00336C16" w:rsidRPr="00C97275" w:rsidRDefault="00336C16" w:rsidP="00162BF5">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atskiras finansų padalinys </w:t>
            </w:r>
            <w:r w:rsidR="006A3B80" w:rsidRPr="00C97275">
              <w:rPr>
                <w:rFonts w:ascii="Georgia" w:hAnsi="Georgia" w:cs="Arial"/>
                <w:color w:val="000000"/>
                <w:sz w:val="20"/>
                <w:szCs w:val="20"/>
              </w:rPr>
              <w:t>finansų institucijoje</w:t>
            </w:r>
          </w:p>
        </w:tc>
        <w:tc>
          <w:tcPr>
            <w:tcW w:w="0" w:type="pct"/>
            <w:tcBorders>
              <w:left w:val="single" w:sz="8" w:space="0" w:color="C0504D" w:themeColor="accent2"/>
              <w:right w:val="single" w:sz="8" w:space="0" w:color="C0504D" w:themeColor="accent2"/>
            </w:tcBorders>
            <w:hideMark/>
          </w:tcPr>
          <w:p w14:paraId="0D2A3B0B"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Remdamos finansines priemones vadovaujančiosios institucijos gali:</w:t>
            </w:r>
          </w:p>
          <w:p w14:paraId="2827BFC8" w14:textId="77777777" w:rsidR="00336C16" w:rsidRPr="00C97275" w:rsidRDefault="00336C16" w:rsidP="00162BF5">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investuoti į esamų arba naujų juridinių asmenų, kapitalą;</w:t>
            </w:r>
          </w:p>
          <w:p w14:paraId="17F52AA2" w14:textId="77777777" w:rsidR="00336C16" w:rsidRPr="00C97275" w:rsidRDefault="00336C16" w:rsidP="00162BF5">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įgyvendinimo užduotis pavesti vykdyti:</w:t>
            </w:r>
          </w:p>
          <w:p w14:paraId="33714D90" w14:textId="77777777" w:rsidR="00336C16" w:rsidRPr="00C97275" w:rsidRDefault="00336C16" w:rsidP="00162BF5">
            <w:pPr>
              <w:pStyle w:val="Sraopastraipa"/>
              <w:widowControl w:val="0"/>
              <w:numPr>
                <w:ilvl w:val="1"/>
                <w:numId w:val="29"/>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EIB;</w:t>
            </w:r>
          </w:p>
          <w:p w14:paraId="1CB95672" w14:textId="77777777" w:rsidR="00336C16" w:rsidRPr="00C97275" w:rsidRDefault="00336C16" w:rsidP="00162BF5">
            <w:pPr>
              <w:pStyle w:val="Sraopastraipa"/>
              <w:widowControl w:val="0"/>
              <w:numPr>
                <w:ilvl w:val="1"/>
                <w:numId w:val="29"/>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Tarptautinėms finansų įstaigoms, arba valstybėje narėje įsteigtoms finansų įstaigoms;</w:t>
            </w:r>
          </w:p>
          <w:p w14:paraId="0D3611AF" w14:textId="77777777" w:rsidR="00336C16" w:rsidRPr="00C97275" w:rsidRDefault="00336C16" w:rsidP="00162BF5">
            <w:pPr>
              <w:pStyle w:val="Sraopastraipa"/>
              <w:widowControl w:val="0"/>
              <w:numPr>
                <w:ilvl w:val="1"/>
                <w:numId w:val="29"/>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Viešosios arba privačiosios teisės subjektui;</w:t>
            </w:r>
          </w:p>
          <w:p w14:paraId="6E5117E0" w14:textId="77777777" w:rsidR="00336C16" w:rsidRPr="00C97275" w:rsidRDefault="00336C16" w:rsidP="00162BF5">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Imtis įgyvendinimo užduotis vykdyti tiesiogiai. </w:t>
            </w:r>
          </w:p>
        </w:tc>
        <w:tc>
          <w:tcPr>
            <w:tcW w:w="0" w:type="pct"/>
            <w:tcBorders>
              <w:left w:val="nil"/>
            </w:tcBorders>
            <w:hideMark/>
          </w:tcPr>
          <w:p w14:paraId="380DDA25"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Komisijos pasiūlyme pateiktos skirtingos </w:t>
            </w:r>
          </w:p>
          <w:p w14:paraId="06769B55"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įgyvendinimo alternatyvos, iš kurių </w:t>
            </w:r>
          </w:p>
          <w:p w14:paraId="0F31AFD9" w14:textId="77777777" w:rsidR="00336C16" w:rsidRPr="00C97275"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valstybės narės ir vadovaujančiosios institucijos gali pasirinkti joms tinkamiausias</w:t>
            </w:r>
          </w:p>
        </w:tc>
      </w:tr>
      <w:tr w:rsidR="00336C16" w:rsidRPr="00C97275" w14:paraId="0065357A" w14:textId="77777777" w:rsidTr="005B31C6">
        <w:trPr>
          <w:trHeight w:val="579"/>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C0504D" w:themeColor="accent2"/>
              <w:bottom w:val="single" w:sz="8" w:space="0" w:color="C0504D" w:themeColor="accent2"/>
              <w:right w:val="single" w:sz="8" w:space="0" w:color="C0504D" w:themeColor="accent2"/>
            </w:tcBorders>
            <w:hideMark/>
          </w:tcPr>
          <w:p w14:paraId="5F1F5AF4" w14:textId="77777777" w:rsidR="00336C16" w:rsidRPr="00C97275" w:rsidRDefault="00336C16" w:rsidP="006A3B80">
            <w:pPr>
              <w:widowControl w:val="0"/>
              <w:autoSpaceDE w:val="0"/>
              <w:autoSpaceDN w:val="0"/>
              <w:adjustRightInd w:val="0"/>
              <w:rPr>
                <w:rFonts w:ascii="Georgia" w:hAnsi="Georgia" w:cs="Arial"/>
                <w:color w:val="000000"/>
                <w:sz w:val="20"/>
                <w:szCs w:val="20"/>
              </w:rPr>
            </w:pPr>
            <w:r w:rsidRPr="00C97275">
              <w:rPr>
                <w:rFonts w:ascii="Georgia" w:hAnsi="Georgia" w:cs="Arial"/>
                <w:b w:val="0"/>
                <w:color w:val="000000"/>
                <w:sz w:val="20"/>
                <w:szCs w:val="20"/>
              </w:rPr>
              <w:t xml:space="preserve">Finansinių priemonių tipai </w:t>
            </w:r>
          </w:p>
        </w:tc>
        <w:tc>
          <w:tcPr>
            <w:tcW w:w="0" w:type="pct"/>
            <w:tcBorders>
              <w:top w:val="nil"/>
              <w:left w:val="nil"/>
              <w:bottom w:val="single" w:sz="8" w:space="0" w:color="C0504D" w:themeColor="accent2"/>
              <w:right w:val="nil"/>
            </w:tcBorders>
          </w:tcPr>
          <w:p w14:paraId="50F13668" w14:textId="77777777" w:rsidR="00336C16" w:rsidRPr="00C97275"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Pagal poreikį sukurtos finansinės priemonės</w:t>
            </w:r>
          </w:p>
          <w:p w14:paraId="50C10DFF" w14:textId="77777777" w:rsidR="00336C16" w:rsidRPr="00C97275"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p>
        </w:tc>
        <w:tc>
          <w:tcPr>
            <w:tcW w:w="0" w:type="pct"/>
            <w:tcBorders>
              <w:top w:val="nil"/>
              <w:left w:val="single" w:sz="8" w:space="0" w:color="C0504D" w:themeColor="accent2"/>
              <w:bottom w:val="single" w:sz="8" w:space="0" w:color="C0504D" w:themeColor="accent2"/>
              <w:right w:val="single" w:sz="8" w:space="0" w:color="C0504D" w:themeColor="accent2"/>
            </w:tcBorders>
          </w:tcPr>
          <w:p w14:paraId="1942BDCA" w14:textId="77777777" w:rsidR="00336C16" w:rsidRPr="00C97275"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Vadovaujančios institucijos gali skirti finansinį įnašą šioms finansinėms priemonėms:</w:t>
            </w:r>
          </w:p>
          <w:p w14:paraId="3077B32B" w14:textId="77777777" w:rsidR="00336C16" w:rsidRPr="00C97275" w:rsidRDefault="00336C16" w:rsidP="00162BF5">
            <w:pPr>
              <w:pStyle w:val="Sraopastraipa"/>
              <w:widowControl w:val="0"/>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Sąjungos lygmeniu nustatytoms finansinėms priemonėms, kurias tiesiogiai arba netiesiogiai valdo Komisija;</w:t>
            </w:r>
          </w:p>
          <w:p w14:paraId="7B2148B7" w14:textId="77777777" w:rsidR="00336C16" w:rsidRPr="00C97275" w:rsidRDefault="00336C16" w:rsidP="00162BF5">
            <w:pPr>
              <w:pStyle w:val="Sraopastraipa"/>
              <w:widowControl w:val="0"/>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Nacionaliniu, regioniniu, tarptautiniu ar tarpvalstybiniu lygmenimis nustatytoms finansinėms priemonėms, kurias valdo arba už kurių valdymą atsako vadovaujančioji institucija:</w:t>
            </w:r>
          </w:p>
          <w:p w14:paraId="46EF9B5A" w14:textId="77777777" w:rsidR="00336C16" w:rsidRPr="00C97275" w:rsidRDefault="00336C16" w:rsidP="00162BF5">
            <w:pPr>
              <w:pStyle w:val="Sraopastraipa"/>
              <w:widowControl w:val="0"/>
              <w:numPr>
                <w:ilvl w:val="1"/>
                <w:numId w:val="29"/>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Finansinėms priemonėms, kurios atitinka Komisijos nustatytas standartines sąlygas pagal šios dalies antra pastraipą (angl. </w:t>
            </w:r>
            <w:r w:rsidRPr="00C97275">
              <w:rPr>
                <w:rFonts w:ascii="Georgia" w:hAnsi="Georgia" w:cs="Arial"/>
                <w:i/>
                <w:color w:val="000000"/>
                <w:sz w:val="20"/>
                <w:szCs w:val="20"/>
              </w:rPr>
              <w:t>off the shelf</w:t>
            </w:r>
            <w:r w:rsidRPr="00C97275">
              <w:rPr>
                <w:rFonts w:ascii="Georgia" w:hAnsi="Georgia" w:cs="Arial"/>
                <w:color w:val="000000"/>
                <w:sz w:val="20"/>
                <w:szCs w:val="20"/>
              </w:rPr>
              <w:t>)</w:t>
            </w:r>
          </w:p>
          <w:p w14:paraId="7127A3BC" w14:textId="77777777" w:rsidR="00336C16" w:rsidRPr="00C97275" w:rsidRDefault="00336C16" w:rsidP="00162BF5">
            <w:pPr>
              <w:pStyle w:val="Sraopastraipa"/>
              <w:widowControl w:val="0"/>
              <w:numPr>
                <w:ilvl w:val="1"/>
                <w:numId w:val="29"/>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Esamoms arba naujoms finansinėms priemonėms, kurios yra specialiai skirtos konkretiems pagal atitinkamą prioritetą nustatytiems tikslams pasiekti.</w:t>
            </w:r>
          </w:p>
        </w:tc>
        <w:tc>
          <w:tcPr>
            <w:tcW w:w="0" w:type="pct"/>
            <w:tcBorders>
              <w:top w:val="nil"/>
              <w:left w:val="nil"/>
              <w:bottom w:val="single" w:sz="8" w:space="0" w:color="C0504D" w:themeColor="accent2"/>
              <w:right w:val="single" w:sz="8" w:space="0" w:color="C0504D" w:themeColor="accent2"/>
            </w:tcBorders>
            <w:hideMark/>
          </w:tcPr>
          <w:p w14:paraId="18C14D8C" w14:textId="77777777" w:rsidR="00336C16" w:rsidRPr="00C97275"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Komisijos pasiūlyme pateiktos skirtingos </w:t>
            </w:r>
          </w:p>
          <w:p w14:paraId="4AC8BD37" w14:textId="77777777" w:rsidR="00336C16" w:rsidRPr="00C97275"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 xml:space="preserve">įgyvendinimo alternatyvos, iš kurių </w:t>
            </w:r>
          </w:p>
          <w:p w14:paraId="120FBA27" w14:textId="77777777" w:rsidR="00336C16" w:rsidRPr="00C97275"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C97275">
              <w:rPr>
                <w:rFonts w:ascii="Georgia" w:hAnsi="Georgia" w:cs="Arial"/>
                <w:color w:val="000000"/>
                <w:sz w:val="20"/>
                <w:szCs w:val="20"/>
              </w:rPr>
              <w:t>valstybės narės ir vadovaujančiosios institucijos gali pasirinkti joms tinkamiausias</w:t>
            </w:r>
          </w:p>
        </w:tc>
      </w:tr>
    </w:tbl>
    <w:p w14:paraId="45C12B7D" w14:textId="77777777" w:rsidR="00336C16" w:rsidRPr="00C97275" w:rsidRDefault="00EA7A6C" w:rsidP="00936224">
      <w:pPr>
        <w:pStyle w:val="Antrat"/>
        <w:jc w:val="both"/>
        <w:rPr>
          <w:rFonts w:cs="Georgia"/>
          <w:i/>
          <w:szCs w:val="20"/>
          <w:lang w:val="lt-LT"/>
        </w:rPr>
      </w:pPr>
      <w:r w:rsidRPr="00C97275">
        <w:rPr>
          <w:rFonts w:cs="Georgia"/>
          <w:b w:val="0"/>
          <w:i/>
          <w:szCs w:val="20"/>
          <w:lang w:val="lt-LT"/>
        </w:rPr>
        <w:t>Šaltinis: PWC studija bei autorių papildymai.</w:t>
      </w:r>
    </w:p>
    <w:p w14:paraId="1EAE2DA9" w14:textId="77777777" w:rsidR="00EA7A6C" w:rsidRPr="00C97275" w:rsidRDefault="00EA7A6C" w:rsidP="00336C16">
      <w:pPr>
        <w:autoSpaceDE w:val="0"/>
        <w:autoSpaceDN w:val="0"/>
        <w:adjustRightInd w:val="0"/>
        <w:spacing w:after="0" w:line="240" w:lineRule="auto"/>
        <w:rPr>
          <w:rFonts w:ascii="Georgia" w:hAnsi="Georgia" w:cs="Arial"/>
          <w:color w:val="000000"/>
          <w:sz w:val="20"/>
          <w:szCs w:val="20"/>
          <w:lang w:val="lt-LT"/>
        </w:rPr>
      </w:pPr>
    </w:p>
    <w:p w14:paraId="1B1A66B1"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Schemoje žemiau yra pavaizduotos finansinių priemonių įgyvendinimo 2014-2020 m. periodu alternatyvos. Šios alternatyvos bus nagrinėjamos tolimesnėse analizės dalyse bei bus parenkamas efektyviausias finansinių priemonių įgyvendinimo modelis.  </w:t>
      </w:r>
    </w:p>
    <w:p w14:paraId="5EE253EA" w14:textId="77777777" w:rsidR="00336C16" w:rsidRPr="00C97275" w:rsidRDefault="00336C16" w:rsidP="00336C16">
      <w:pPr>
        <w:spacing w:after="0"/>
        <w:jc w:val="both"/>
        <w:rPr>
          <w:rFonts w:ascii="Georgia" w:hAnsi="Georgia" w:cs="Georgia"/>
          <w:sz w:val="20"/>
          <w:szCs w:val="20"/>
          <w:lang w:val="lt-LT"/>
        </w:rPr>
      </w:pPr>
    </w:p>
    <w:p w14:paraId="2BBA1A04" w14:textId="77777777" w:rsidR="00336C16" w:rsidRPr="00C97275" w:rsidRDefault="00336C16" w:rsidP="00336C16">
      <w:pPr>
        <w:spacing w:after="0" w:line="240" w:lineRule="auto"/>
        <w:jc w:val="both"/>
        <w:rPr>
          <w:rFonts w:ascii="Georgia" w:hAnsi="Georgia"/>
          <w:lang w:val="lt-LT"/>
        </w:rPr>
      </w:pPr>
      <w:r w:rsidRPr="00C97275">
        <w:rPr>
          <w:rFonts w:ascii="Georgia" w:hAnsi="Georgia"/>
          <w:noProof/>
          <w:lang w:val="lt-LT" w:eastAsia="lt-LT"/>
        </w:rPr>
        <w:lastRenderedPageBreak/>
        <w:drawing>
          <wp:inline distT="0" distB="0" distL="0" distR="0" wp14:anchorId="11C9A1F9" wp14:editId="655407EE">
            <wp:extent cx="5720080" cy="4210685"/>
            <wp:effectExtent l="0" t="0" r="0" b="0"/>
            <wp:docPr id="30" name="Paveikslėlis 30"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6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20080" cy="4210685"/>
                    </a:xfrm>
                    <a:prstGeom prst="rect">
                      <a:avLst/>
                    </a:prstGeom>
                    <a:noFill/>
                    <a:ln>
                      <a:noFill/>
                    </a:ln>
                  </pic:spPr>
                </pic:pic>
              </a:graphicData>
            </a:graphic>
          </wp:inline>
        </w:drawing>
      </w:r>
    </w:p>
    <w:p w14:paraId="1D84D569" w14:textId="78AE066C" w:rsidR="00336C16" w:rsidRPr="00C97275" w:rsidRDefault="00931CAF" w:rsidP="00931CAF">
      <w:pPr>
        <w:pStyle w:val="Antrat"/>
        <w:rPr>
          <w:rFonts w:cs="Georgia"/>
          <w:szCs w:val="20"/>
          <w:lang w:val="lt-LT"/>
        </w:rPr>
      </w:pPr>
      <w:bookmarkStart w:id="19" w:name="_Toc19105285"/>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1</w:t>
      </w:r>
      <w:r w:rsidRPr="00C97275">
        <w:rPr>
          <w:lang w:val="lt-LT"/>
        </w:rPr>
        <w:fldChar w:fldCharType="end"/>
      </w:r>
      <w:r w:rsidRPr="00C97275">
        <w:rPr>
          <w:lang w:val="lt-LT"/>
        </w:rPr>
        <w:t>.</w:t>
      </w:r>
      <w:r w:rsidRPr="00C97275">
        <w:rPr>
          <w:rFonts w:cs="Georgia"/>
          <w:szCs w:val="20"/>
          <w:lang w:val="lt-LT"/>
        </w:rPr>
        <w:t xml:space="preserve"> Finansinių priemonių įgyvendinimo 2014-2020 m. periodu alternatyvos.</w:t>
      </w:r>
      <w:bookmarkEnd w:id="19"/>
    </w:p>
    <w:p w14:paraId="0BFBDB57" w14:textId="0F92062F" w:rsidR="00336C16" w:rsidRPr="00C97275" w:rsidRDefault="00B279A0" w:rsidP="00162BF5">
      <w:pPr>
        <w:pStyle w:val="Sraopastraipa"/>
        <w:numPr>
          <w:ilvl w:val="0"/>
          <w:numId w:val="30"/>
        </w:numPr>
        <w:autoSpaceDE w:val="0"/>
        <w:autoSpaceDN w:val="0"/>
        <w:adjustRightInd w:val="0"/>
        <w:spacing w:after="0"/>
        <w:jc w:val="both"/>
        <w:rPr>
          <w:rFonts w:ascii="Georgia" w:hAnsi="Georgia" w:cs="Georgia"/>
          <w:sz w:val="20"/>
          <w:szCs w:val="20"/>
          <w:lang w:val="lt-LT"/>
        </w:rPr>
      </w:pPr>
      <w:r w:rsidRPr="00C97275">
        <w:rPr>
          <w:rFonts w:ascii="Georgia" w:hAnsi="Georgia" w:cs="Arial"/>
          <w:i/>
          <w:color w:val="000000"/>
          <w:sz w:val="20"/>
          <w:szCs w:val="20"/>
          <w:lang w:val="lt-LT"/>
        </w:rPr>
        <w:t>ES</w:t>
      </w:r>
      <w:r w:rsidR="00336C16" w:rsidRPr="00C97275">
        <w:rPr>
          <w:rFonts w:ascii="Georgia" w:hAnsi="Georgia" w:cs="Arial"/>
          <w:i/>
          <w:color w:val="000000"/>
          <w:sz w:val="20"/>
          <w:szCs w:val="20"/>
          <w:lang w:val="lt-LT"/>
        </w:rPr>
        <w:t xml:space="preserve"> lygmeniu įgyvendinamos finansinės priemonės</w:t>
      </w:r>
      <w:r w:rsidR="00336C16" w:rsidRPr="00C97275">
        <w:rPr>
          <w:rFonts w:ascii="Georgia" w:hAnsi="Georgia" w:cs="Arial"/>
          <w:color w:val="000000"/>
          <w:sz w:val="20"/>
          <w:szCs w:val="20"/>
          <w:lang w:val="lt-LT"/>
        </w:rPr>
        <w:t>. Europos Komisijos parengtoje e</w:t>
      </w:r>
      <w:r w:rsidR="00300FF4" w:rsidRPr="00C97275">
        <w:rPr>
          <w:rFonts w:ascii="Georgia" w:hAnsi="Georgia" w:cs="Arial"/>
          <w:color w:val="000000"/>
          <w:sz w:val="20"/>
          <w:szCs w:val="20"/>
          <w:lang w:val="lt-LT"/>
        </w:rPr>
        <w:t>x-ante</w:t>
      </w:r>
      <w:r w:rsidR="00336C16" w:rsidRPr="00C97275">
        <w:rPr>
          <w:rFonts w:ascii="Georgia" w:hAnsi="Georgia" w:cs="Arial"/>
          <w:color w:val="000000"/>
          <w:sz w:val="20"/>
          <w:szCs w:val="20"/>
          <w:lang w:val="lt-LT"/>
        </w:rPr>
        <w:t xml:space="preserve"> vertinimo metodologijoje pažymima, kad </w:t>
      </w:r>
      <w:r w:rsidRPr="00C97275">
        <w:rPr>
          <w:rFonts w:ascii="Georgia" w:hAnsi="Georgia" w:cs="Arial"/>
          <w:color w:val="000000"/>
          <w:sz w:val="20"/>
          <w:szCs w:val="20"/>
          <w:lang w:val="lt-LT"/>
        </w:rPr>
        <w:t>ES</w:t>
      </w:r>
      <w:r w:rsidR="00336C16" w:rsidRPr="00C97275">
        <w:rPr>
          <w:rFonts w:ascii="Georgia" w:hAnsi="Georgia" w:cs="Arial"/>
          <w:color w:val="000000"/>
          <w:sz w:val="20"/>
          <w:szCs w:val="20"/>
          <w:lang w:val="lt-LT"/>
        </w:rPr>
        <w:t xml:space="preserve"> lygmeniu įgyvendinamos finansinės priemonės, kurias tiesiogiai arba netiesiogiai valdo </w:t>
      </w:r>
      <w:r w:rsidRPr="00C97275">
        <w:rPr>
          <w:rFonts w:ascii="Georgia" w:hAnsi="Georgia" w:cs="Arial"/>
          <w:color w:val="000000"/>
          <w:sz w:val="20"/>
          <w:szCs w:val="20"/>
          <w:lang w:val="lt-LT"/>
        </w:rPr>
        <w:t xml:space="preserve">Europos </w:t>
      </w:r>
      <w:r w:rsidR="00336C16" w:rsidRPr="00C97275">
        <w:rPr>
          <w:rFonts w:ascii="Georgia" w:hAnsi="Georgia" w:cs="Arial"/>
          <w:color w:val="000000"/>
          <w:sz w:val="20"/>
          <w:szCs w:val="20"/>
          <w:lang w:val="lt-LT"/>
        </w:rPr>
        <w:t xml:space="preserve">Komisija, yra tinkamas pasirinkimas tais atvejais, kuomet vadovaujančiosios institucijos kompetencijos arba techninės galimybės yra nepakankamos, arba kuomet nėra kritinės masės finansinės priemonės steigimui, o egzistuojanti </w:t>
      </w:r>
      <w:r w:rsidRPr="00C97275">
        <w:rPr>
          <w:rFonts w:ascii="Georgia" w:hAnsi="Georgia" w:cs="Arial"/>
          <w:color w:val="000000"/>
          <w:sz w:val="20"/>
          <w:szCs w:val="20"/>
          <w:lang w:val="lt-LT"/>
        </w:rPr>
        <w:t>ES</w:t>
      </w:r>
      <w:r w:rsidR="00336C16" w:rsidRPr="00C97275">
        <w:rPr>
          <w:rFonts w:ascii="Georgia" w:hAnsi="Georgia" w:cs="Arial"/>
          <w:color w:val="000000"/>
          <w:sz w:val="20"/>
          <w:szCs w:val="20"/>
          <w:lang w:val="lt-LT"/>
        </w:rPr>
        <w:t xml:space="preserve"> lygmeniu įgyvendinama finansinė priemonė pilnai dera su veiksmų programos tikslais. Šios įgyvendinimo alternatyvos privalumai: lėšos panaudojamos pagal patikrintas schemas, kompetentingus ekspertus, be to, </w:t>
      </w:r>
      <w:r w:rsidRPr="00C97275">
        <w:rPr>
          <w:rFonts w:ascii="Georgia" w:hAnsi="Georgia" w:cs="Arial"/>
          <w:color w:val="000000"/>
          <w:sz w:val="20"/>
          <w:szCs w:val="20"/>
          <w:lang w:val="lt-LT"/>
        </w:rPr>
        <w:t>bendrojo finansavimo</w:t>
      </w:r>
      <w:r w:rsidR="00336C16" w:rsidRPr="00C97275">
        <w:rPr>
          <w:rFonts w:ascii="Georgia" w:hAnsi="Georgia" w:cs="Arial"/>
          <w:color w:val="000000"/>
          <w:sz w:val="20"/>
          <w:szCs w:val="20"/>
          <w:lang w:val="lt-LT"/>
        </w:rPr>
        <w:t xml:space="preserve"> rodiklis gali būti padidintas iki 100%</w:t>
      </w:r>
      <w:r w:rsidR="00EF41BB" w:rsidRPr="00C97275">
        <w:rPr>
          <w:rFonts w:ascii="Georgia" w:hAnsi="Georgia" w:cs="Arial"/>
          <w:color w:val="000000"/>
          <w:sz w:val="20"/>
          <w:szCs w:val="20"/>
          <w:lang w:val="lt-LT"/>
        </w:rPr>
        <w:t xml:space="preserve"> (kaip tai numatyta Bendrųjų nuostatų reglamento 120.7 punkte)</w:t>
      </w:r>
      <w:r w:rsidR="00336C16" w:rsidRPr="00C97275">
        <w:rPr>
          <w:rFonts w:ascii="Georgia" w:hAnsi="Georgia" w:cs="Arial"/>
          <w:color w:val="000000"/>
          <w:sz w:val="20"/>
          <w:szCs w:val="20"/>
          <w:lang w:val="lt-LT"/>
        </w:rPr>
        <w:t xml:space="preserve">.  </w:t>
      </w:r>
    </w:p>
    <w:p w14:paraId="581A42F0" w14:textId="77777777" w:rsidR="00336C16" w:rsidRPr="00C97275" w:rsidRDefault="00336C16" w:rsidP="00162BF5">
      <w:pPr>
        <w:pStyle w:val="Sraopastraipa"/>
        <w:numPr>
          <w:ilvl w:val="0"/>
          <w:numId w:val="30"/>
        </w:numPr>
        <w:autoSpaceDE w:val="0"/>
        <w:autoSpaceDN w:val="0"/>
        <w:adjustRightInd w:val="0"/>
        <w:spacing w:after="0"/>
        <w:jc w:val="both"/>
        <w:rPr>
          <w:rFonts w:ascii="Georgia" w:hAnsi="Georgia" w:cs="Georgia"/>
          <w:sz w:val="20"/>
          <w:szCs w:val="20"/>
          <w:lang w:val="lt-LT"/>
        </w:rPr>
      </w:pPr>
      <w:r w:rsidRPr="00C97275">
        <w:rPr>
          <w:rFonts w:ascii="Georgia" w:hAnsi="Georgia" w:cs="Arial"/>
          <w:i/>
          <w:color w:val="000000"/>
          <w:sz w:val="20"/>
          <w:szCs w:val="20"/>
          <w:lang w:val="lt-LT"/>
        </w:rPr>
        <w:t>Nacionaliniu, regioniniu, tarptautiniu ar tarpvalstybiniu lygmeniu nustatytos finansinės priemonės, kurias valdo arba už kurių valdymą atsako vadovaujančioji institucija</w:t>
      </w:r>
      <w:r w:rsidRPr="00C97275">
        <w:rPr>
          <w:rFonts w:ascii="Georgia" w:hAnsi="Georgia" w:cs="Arial"/>
          <w:color w:val="000000"/>
          <w:sz w:val="20"/>
          <w:szCs w:val="20"/>
          <w:lang w:val="lt-LT"/>
        </w:rPr>
        <w:t>. Pasirinkus šią alternatyvą, tolimesniam finansinių priemonių kūrimui yra trys variantai: arba investuoti lėšas į finansinę priemonę įgyvendinančio juridinio asmens kapitalą, arba patikėti finansinės priemonės įgyvendinimą kitai institucijai, arba imtis įgyvendinimo užduotis vykdyti tiesiogiai, kai finansines priemones sudaro tik paskolos arba garantijos.</w:t>
      </w:r>
    </w:p>
    <w:p w14:paraId="0286E315" w14:textId="77777777" w:rsidR="00336C16" w:rsidRPr="00C97275" w:rsidRDefault="00336C16" w:rsidP="00162BF5">
      <w:pPr>
        <w:pStyle w:val="Sraopastraipa"/>
        <w:numPr>
          <w:ilvl w:val="1"/>
          <w:numId w:val="30"/>
        </w:numPr>
        <w:autoSpaceDE w:val="0"/>
        <w:autoSpaceDN w:val="0"/>
        <w:adjustRightInd w:val="0"/>
        <w:spacing w:after="0"/>
        <w:jc w:val="both"/>
        <w:rPr>
          <w:rFonts w:ascii="Georgia" w:hAnsi="Georgia" w:cs="Georgia"/>
          <w:sz w:val="20"/>
          <w:szCs w:val="20"/>
          <w:lang w:val="lt-LT"/>
        </w:rPr>
      </w:pPr>
      <w:r w:rsidRPr="00C97275">
        <w:rPr>
          <w:rFonts w:ascii="Georgia" w:hAnsi="Georgia" w:cs="Arial"/>
          <w:i/>
          <w:color w:val="000000"/>
          <w:sz w:val="20"/>
          <w:szCs w:val="20"/>
          <w:lang w:val="lt-LT"/>
        </w:rPr>
        <w:t>Investuojamos lėšos į finansinę priemonę įgyvendinančio juridinio asmens kapitalą</w:t>
      </w:r>
      <w:r w:rsidRPr="00C97275">
        <w:rPr>
          <w:rFonts w:ascii="Georgia" w:hAnsi="Georgia" w:cs="Georgia"/>
          <w:sz w:val="20"/>
          <w:szCs w:val="20"/>
          <w:lang w:val="lt-LT"/>
        </w:rPr>
        <w:t>.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w:t>
      </w:r>
    </w:p>
    <w:p w14:paraId="0BC253B4" w14:textId="77777777" w:rsidR="00336C16" w:rsidRPr="00C97275" w:rsidRDefault="00336C16" w:rsidP="00162BF5">
      <w:pPr>
        <w:pStyle w:val="Sraopastraipa"/>
        <w:numPr>
          <w:ilvl w:val="1"/>
          <w:numId w:val="30"/>
        </w:numPr>
        <w:autoSpaceDE w:val="0"/>
        <w:autoSpaceDN w:val="0"/>
        <w:adjustRightInd w:val="0"/>
        <w:spacing w:after="0"/>
        <w:jc w:val="both"/>
        <w:rPr>
          <w:rFonts w:ascii="Georgia" w:hAnsi="Georgia" w:cs="Georgia"/>
          <w:sz w:val="20"/>
          <w:szCs w:val="20"/>
          <w:lang w:val="lt-LT"/>
        </w:rPr>
      </w:pPr>
      <w:r w:rsidRPr="00C97275">
        <w:rPr>
          <w:rFonts w:ascii="Georgia" w:hAnsi="Georgia" w:cs="Arial"/>
          <w:i/>
          <w:color w:val="000000"/>
          <w:sz w:val="20"/>
          <w:szCs w:val="20"/>
          <w:lang w:val="lt-LT"/>
        </w:rPr>
        <w:t>Finansinės priemonės įgyvendinimas patikimas kitai institucijai</w:t>
      </w:r>
      <w:r w:rsidRPr="00C97275">
        <w:rPr>
          <w:rFonts w:ascii="Georgia" w:hAnsi="Georgia" w:cs="Georgia"/>
          <w:sz w:val="20"/>
          <w:szCs w:val="20"/>
          <w:lang w:val="lt-LT"/>
        </w:rPr>
        <w:t>.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w:t>
      </w:r>
    </w:p>
    <w:p w14:paraId="3911E747" w14:textId="77777777" w:rsidR="00336C16" w:rsidRPr="00C97275" w:rsidRDefault="00336C16" w:rsidP="00162BF5">
      <w:pPr>
        <w:pStyle w:val="Sraopastraipa"/>
        <w:numPr>
          <w:ilvl w:val="1"/>
          <w:numId w:val="30"/>
        </w:numPr>
        <w:autoSpaceDE w:val="0"/>
        <w:autoSpaceDN w:val="0"/>
        <w:adjustRightInd w:val="0"/>
        <w:spacing w:after="0"/>
        <w:jc w:val="both"/>
        <w:rPr>
          <w:rFonts w:ascii="Georgia" w:hAnsi="Georgia" w:cs="Georgia"/>
          <w:sz w:val="20"/>
          <w:szCs w:val="20"/>
          <w:lang w:val="lt-LT"/>
        </w:rPr>
      </w:pPr>
      <w:r w:rsidRPr="00C97275">
        <w:rPr>
          <w:rFonts w:ascii="Georgia" w:hAnsi="Georgia" w:cs="Arial"/>
          <w:i/>
          <w:color w:val="000000"/>
          <w:sz w:val="20"/>
          <w:szCs w:val="20"/>
          <w:lang w:val="lt-LT"/>
        </w:rPr>
        <w:lastRenderedPageBreak/>
        <w:t>Vadovaujančioji institucija finansinę priemonę įgyvendina pati, kai finansinę priemonę sudaro tik paskolos arba garantijos</w:t>
      </w:r>
      <w:r w:rsidRPr="00C97275">
        <w:rPr>
          <w:rFonts w:ascii="Georgia" w:hAnsi="Georgia" w:cs="Georgia"/>
          <w:sz w:val="20"/>
          <w:szCs w:val="20"/>
          <w:lang w:val="lt-LT"/>
        </w:rPr>
        <w:t xml:space="preserve">. </w:t>
      </w:r>
      <w:r w:rsidR="00E90FDC" w:rsidRPr="00C97275">
        <w:rPr>
          <w:rFonts w:ascii="Georgia" w:hAnsi="Georgia" w:cs="Georgia"/>
          <w:sz w:val="20"/>
          <w:szCs w:val="20"/>
          <w:lang w:val="lt-LT"/>
        </w:rPr>
        <w:t>F</w:t>
      </w:r>
      <w:r w:rsidRPr="00C97275">
        <w:rPr>
          <w:rFonts w:ascii="Georgia" w:hAnsi="Georgia" w:cs="Georgia"/>
          <w:sz w:val="20"/>
          <w:szCs w:val="20"/>
          <w:lang w:val="lt-LT"/>
        </w:rPr>
        <w:t xml:space="preserve">ondas nėra steigiamas, taip pat nėra pasirašoma finansavimo sutartis. Vadovaujančioji institucija turi parengti Investavimo strategiją, kurią peržiūri Stebėsenos komitetas. Mokėjimai iš Europos Komisijos vykdomi tokia pačia tvarka kaip subsidijų ir avansinio mokėjimo </w:t>
      </w:r>
      <w:r w:rsidR="0018202E" w:rsidRPr="00C97275">
        <w:rPr>
          <w:rFonts w:ascii="Georgia" w:hAnsi="Georgia" w:cs="Georgia"/>
          <w:sz w:val="20"/>
          <w:szCs w:val="20"/>
          <w:lang w:val="lt-LT"/>
        </w:rPr>
        <w:t>atveju</w:t>
      </w:r>
      <w:r w:rsidRPr="00C97275">
        <w:rPr>
          <w:rFonts w:ascii="Georgia" w:hAnsi="Georgia" w:cs="Georgia"/>
          <w:sz w:val="20"/>
          <w:szCs w:val="20"/>
          <w:lang w:val="lt-LT"/>
        </w:rPr>
        <w:t xml:space="preserve">. Valdymo mokestis nėra tinkamas finansuoti, tačiau valdymo išlaidos gali būti padengiamos techninės paramos lėšomis. Šis finansinių priemonių steigimo variantas yra priimtinas tais atvejais, kuomet finansinės priemonės apimtis yra nedidelė ir atskiro fondo kūrimas nėra pagrįstas. </w:t>
      </w:r>
    </w:p>
    <w:p w14:paraId="7EE252D1"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4B900A25"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Vadovaujantis </w:t>
      </w:r>
      <w:r w:rsidR="00E731B2" w:rsidRPr="00C97275">
        <w:rPr>
          <w:rFonts w:ascii="Georgia" w:hAnsi="Georgia" w:cs="Georgia"/>
          <w:sz w:val="20"/>
          <w:szCs w:val="20"/>
          <w:lang w:val="lt-LT"/>
        </w:rPr>
        <w:t xml:space="preserve">Bendrųjų </w:t>
      </w:r>
      <w:r w:rsidRPr="00C97275">
        <w:rPr>
          <w:rFonts w:ascii="Georgia" w:hAnsi="Georgia" w:cs="Georgia"/>
          <w:sz w:val="20"/>
          <w:szCs w:val="20"/>
          <w:lang w:val="lt-LT"/>
        </w:rPr>
        <w:t>nuostatų reglamento 38</w:t>
      </w:r>
      <w:r w:rsidR="00EF41BB" w:rsidRPr="00C97275">
        <w:rPr>
          <w:rFonts w:ascii="Georgia" w:hAnsi="Georgia" w:cs="Georgia"/>
          <w:sz w:val="20"/>
          <w:szCs w:val="20"/>
          <w:lang w:val="lt-LT"/>
        </w:rPr>
        <w:t>.</w:t>
      </w:r>
      <w:r w:rsidRPr="00C97275">
        <w:rPr>
          <w:rFonts w:ascii="Georgia" w:hAnsi="Georgia" w:cs="Georgia"/>
          <w:sz w:val="20"/>
          <w:szCs w:val="20"/>
          <w:lang w:val="lt-LT"/>
        </w:rPr>
        <w:t xml:space="preserve">4 </w:t>
      </w:r>
      <w:r w:rsidR="00EF41BB" w:rsidRPr="00C97275">
        <w:rPr>
          <w:rFonts w:ascii="Georgia" w:hAnsi="Georgia" w:cs="Georgia"/>
          <w:sz w:val="20"/>
          <w:szCs w:val="20"/>
          <w:lang w:val="lt-LT"/>
        </w:rPr>
        <w:t>punktu, v</w:t>
      </w:r>
      <w:r w:rsidRPr="00C97275">
        <w:rPr>
          <w:rFonts w:ascii="Georgia" w:hAnsi="Georgia" w:cs="Georgia"/>
          <w:sz w:val="20"/>
          <w:szCs w:val="20"/>
          <w:lang w:val="lt-LT"/>
        </w:rPr>
        <w:t>adovaujan</w:t>
      </w:r>
      <w:r w:rsidR="00EF41BB" w:rsidRPr="00C97275">
        <w:rPr>
          <w:rFonts w:ascii="Georgia" w:hAnsi="Georgia" w:cs="Georgia"/>
          <w:sz w:val="20"/>
          <w:szCs w:val="20"/>
          <w:lang w:val="lt-LT"/>
        </w:rPr>
        <w:t>čioji</w:t>
      </w:r>
      <w:r w:rsidRPr="00C97275">
        <w:rPr>
          <w:rFonts w:ascii="Georgia" w:hAnsi="Georgia" w:cs="Georgia"/>
          <w:sz w:val="20"/>
          <w:szCs w:val="20"/>
          <w:lang w:val="lt-LT"/>
        </w:rPr>
        <w:t xml:space="preserve"> institucija remdama nacionaliniu, regioniniu, tarptautiniu ar tarpvalstybiniu lygmenimis nustatytas finansines priemones, kurias valdo arba už kurių valdymą atsako vadovaujančioji institucija, gali:</w:t>
      </w:r>
    </w:p>
    <w:p w14:paraId="6FE20EC5" w14:textId="77777777" w:rsidR="00336C16" w:rsidRPr="00C97275" w:rsidRDefault="00336C16" w:rsidP="00336C16">
      <w:pPr>
        <w:autoSpaceDE w:val="0"/>
        <w:autoSpaceDN w:val="0"/>
        <w:adjustRightInd w:val="0"/>
        <w:spacing w:after="0"/>
        <w:ind w:left="709"/>
        <w:jc w:val="both"/>
        <w:rPr>
          <w:rFonts w:ascii="Georgia" w:hAnsi="Georgia" w:cs="Georgia"/>
          <w:i/>
          <w:sz w:val="20"/>
          <w:szCs w:val="20"/>
          <w:lang w:val="lt-LT"/>
        </w:rPr>
      </w:pPr>
      <w:r w:rsidRPr="00C97275">
        <w:rPr>
          <w:rFonts w:ascii="Georgia" w:hAnsi="Georgia" w:cs="Georgia"/>
          <w:i/>
          <w:sz w:val="20"/>
          <w:szCs w:val="20"/>
          <w:lang w:val="lt-LT"/>
        </w:rPr>
        <w:t xml:space="preserve">„a) </w:t>
      </w:r>
      <w:r w:rsidRPr="00C97275">
        <w:rPr>
          <w:rFonts w:ascii="Georgia" w:hAnsi="Georgia" w:cs="Georgia"/>
          <w:i/>
          <w:sz w:val="20"/>
          <w:szCs w:val="20"/>
          <w:lang w:val="lt-LT"/>
        </w:rPr>
        <w:tab/>
        <w:t>investuoti į esamų arba naujų juridinių asmenų, taip pat ir tų, kurie finansuojami kitų ESI fondų lėšomis, kurių paskirtis – įgyvendinti finansines priemones suderintas su atitinkamų ESI fondų tikslais, ir kurie imsis vykdyti įgyvendinimo užduotis, kapitalą; finansavimas šiems subjektams neviršija sumų, reikalingų naujoms investicijoms įgyvendinti pagal 37 straipsnį ir teikiamas laikantis šio bendrųjų nuostatų reglamento tikslų;</w:t>
      </w:r>
    </w:p>
    <w:p w14:paraId="4E5D99E5" w14:textId="77777777" w:rsidR="00336C16" w:rsidRPr="00C97275" w:rsidRDefault="00336C16" w:rsidP="00336C16">
      <w:pPr>
        <w:autoSpaceDE w:val="0"/>
        <w:autoSpaceDN w:val="0"/>
        <w:adjustRightInd w:val="0"/>
        <w:spacing w:after="0"/>
        <w:ind w:left="709"/>
        <w:jc w:val="both"/>
        <w:rPr>
          <w:rFonts w:ascii="Georgia" w:hAnsi="Georgia" w:cs="Georgia"/>
          <w:i/>
          <w:sz w:val="20"/>
          <w:szCs w:val="20"/>
          <w:lang w:val="lt-LT"/>
        </w:rPr>
      </w:pPr>
      <w:r w:rsidRPr="00C97275">
        <w:rPr>
          <w:rFonts w:ascii="Georgia" w:hAnsi="Georgia" w:cs="Georgia"/>
          <w:i/>
          <w:sz w:val="20"/>
          <w:szCs w:val="20"/>
          <w:lang w:val="lt-LT"/>
        </w:rPr>
        <w:t>b)</w:t>
      </w:r>
      <w:r w:rsidRPr="00C97275">
        <w:rPr>
          <w:rFonts w:ascii="Georgia" w:hAnsi="Georgia" w:cs="Georgia"/>
          <w:i/>
          <w:sz w:val="20"/>
          <w:szCs w:val="20"/>
          <w:lang w:val="lt-LT"/>
        </w:rPr>
        <w:tab/>
        <w:t>įgyvendinimo užduotis pavesti vykdyti:</w:t>
      </w:r>
    </w:p>
    <w:p w14:paraId="77E5C99E" w14:textId="77777777" w:rsidR="00336C16" w:rsidRPr="00C97275" w:rsidRDefault="00336C16" w:rsidP="00336C16">
      <w:pPr>
        <w:autoSpaceDE w:val="0"/>
        <w:autoSpaceDN w:val="0"/>
        <w:adjustRightInd w:val="0"/>
        <w:spacing w:after="0"/>
        <w:ind w:left="1560"/>
        <w:jc w:val="both"/>
        <w:rPr>
          <w:rFonts w:ascii="Georgia" w:hAnsi="Georgia" w:cs="Georgia"/>
          <w:i/>
          <w:sz w:val="20"/>
          <w:szCs w:val="20"/>
          <w:lang w:val="lt-LT"/>
        </w:rPr>
      </w:pPr>
      <w:r w:rsidRPr="00C97275">
        <w:rPr>
          <w:rFonts w:ascii="Georgia" w:hAnsi="Georgia" w:cs="Georgia"/>
          <w:i/>
          <w:sz w:val="20"/>
          <w:szCs w:val="20"/>
          <w:lang w:val="lt-LT"/>
        </w:rPr>
        <w:t>i)</w:t>
      </w:r>
      <w:r w:rsidRPr="00C97275">
        <w:rPr>
          <w:rFonts w:ascii="Georgia" w:hAnsi="Georgia" w:cs="Georgia"/>
          <w:i/>
          <w:sz w:val="20"/>
          <w:szCs w:val="20"/>
          <w:lang w:val="lt-LT"/>
        </w:rPr>
        <w:tab/>
        <w:t xml:space="preserve">EIB; </w:t>
      </w:r>
    </w:p>
    <w:p w14:paraId="4574B406" w14:textId="77777777" w:rsidR="00336C16" w:rsidRPr="00C97275" w:rsidRDefault="00336C16" w:rsidP="00336C16">
      <w:pPr>
        <w:autoSpaceDE w:val="0"/>
        <w:autoSpaceDN w:val="0"/>
        <w:adjustRightInd w:val="0"/>
        <w:spacing w:after="0"/>
        <w:ind w:left="1560"/>
        <w:jc w:val="both"/>
        <w:rPr>
          <w:rFonts w:ascii="Georgia" w:hAnsi="Georgia" w:cs="Georgia"/>
          <w:i/>
          <w:sz w:val="20"/>
          <w:szCs w:val="20"/>
          <w:lang w:val="lt-LT"/>
        </w:rPr>
      </w:pPr>
      <w:r w:rsidRPr="00C97275">
        <w:rPr>
          <w:rFonts w:ascii="Georgia" w:hAnsi="Georgia" w:cs="Georgia"/>
          <w:i/>
          <w:sz w:val="20"/>
          <w:szCs w:val="20"/>
          <w:lang w:val="lt-LT"/>
        </w:rPr>
        <w:t>ii)</w:t>
      </w:r>
      <w:r w:rsidRPr="00C97275">
        <w:rPr>
          <w:rFonts w:ascii="Georgia" w:hAnsi="Georgia" w:cs="Georgia"/>
          <w:i/>
          <w:sz w:val="20"/>
          <w:szCs w:val="20"/>
          <w:lang w:val="lt-LT"/>
        </w:rPr>
        <w:tab/>
        <w:t xml:space="preserve">tarptautinėms finansų įstaigoms, kuriose valstybė narė yra akcininkė, arba valstybėje narėje įsteigtoms finansų įstaigoms, kurių tikslas – siekti viešųjų interesų kontroliuojant valdžios institucijai; </w:t>
      </w:r>
    </w:p>
    <w:p w14:paraId="292B2D50" w14:textId="77777777" w:rsidR="00336C16" w:rsidRPr="00C97275" w:rsidRDefault="00336C16" w:rsidP="00336C16">
      <w:pPr>
        <w:autoSpaceDE w:val="0"/>
        <w:autoSpaceDN w:val="0"/>
        <w:adjustRightInd w:val="0"/>
        <w:spacing w:after="0"/>
        <w:ind w:left="1560"/>
        <w:jc w:val="both"/>
        <w:rPr>
          <w:rFonts w:ascii="Georgia" w:hAnsi="Georgia" w:cs="Georgia"/>
          <w:i/>
          <w:sz w:val="20"/>
          <w:szCs w:val="20"/>
          <w:lang w:val="lt-LT"/>
        </w:rPr>
      </w:pPr>
      <w:r w:rsidRPr="00C97275">
        <w:rPr>
          <w:rFonts w:ascii="Georgia" w:hAnsi="Georgia" w:cs="Georgia"/>
          <w:i/>
          <w:sz w:val="20"/>
          <w:szCs w:val="20"/>
          <w:lang w:val="lt-LT"/>
        </w:rPr>
        <w:t>iii)</w:t>
      </w:r>
      <w:r w:rsidRPr="00C97275">
        <w:rPr>
          <w:rFonts w:ascii="Georgia" w:hAnsi="Georgia" w:cs="Georgia"/>
          <w:i/>
          <w:sz w:val="20"/>
          <w:szCs w:val="20"/>
          <w:lang w:val="lt-LT"/>
        </w:rPr>
        <w:tab/>
        <w:t>viešosios arba privačiosios teisės subjektui; ar</w:t>
      </w:r>
    </w:p>
    <w:p w14:paraId="78761573" w14:textId="77777777" w:rsidR="00336C16" w:rsidRPr="00C97275" w:rsidRDefault="00336C16" w:rsidP="00336C16">
      <w:pPr>
        <w:autoSpaceDE w:val="0"/>
        <w:autoSpaceDN w:val="0"/>
        <w:adjustRightInd w:val="0"/>
        <w:spacing w:after="0"/>
        <w:ind w:left="709"/>
        <w:jc w:val="both"/>
        <w:rPr>
          <w:rFonts w:ascii="Georgia" w:hAnsi="Georgia" w:cs="Georgia"/>
          <w:i/>
          <w:sz w:val="20"/>
          <w:szCs w:val="20"/>
          <w:lang w:val="lt-LT"/>
        </w:rPr>
      </w:pPr>
      <w:r w:rsidRPr="00C97275">
        <w:rPr>
          <w:rFonts w:ascii="Georgia" w:hAnsi="Georgia" w:cs="Georgia"/>
          <w:i/>
          <w:sz w:val="20"/>
          <w:szCs w:val="20"/>
          <w:lang w:val="lt-LT"/>
        </w:rPr>
        <w:t>c)</w:t>
      </w:r>
      <w:r w:rsidRPr="00C97275">
        <w:rPr>
          <w:rFonts w:ascii="Georgia" w:hAnsi="Georgia" w:cs="Georgia"/>
          <w:i/>
          <w:sz w:val="20"/>
          <w:szCs w:val="20"/>
          <w:lang w:val="lt-LT"/>
        </w:rPr>
        <w:tab/>
        <w:t>imtis įgyvendinimo užduotis vykdyti tiesiogiai, kai finansines priemones sudaro tik paskolos arba garantijos. Tuo atveju vadovaujančioji institucija laikoma paramos gavėju, kaip apibrėžta 2 straipsnio 10 punkte.“</w:t>
      </w:r>
    </w:p>
    <w:p w14:paraId="6521D03D"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5D3EB0EA" w14:textId="77777777" w:rsidR="00336C16" w:rsidRPr="00C97275" w:rsidRDefault="00455941"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Vadovaujančioji institucija taip pat turi galimybę</w:t>
      </w:r>
      <w:r w:rsidR="00336C16" w:rsidRPr="00C97275">
        <w:rPr>
          <w:rFonts w:ascii="Georgia" w:hAnsi="Georgia" w:cs="Georgia"/>
          <w:sz w:val="20"/>
          <w:szCs w:val="20"/>
          <w:lang w:val="lt-LT"/>
        </w:rPr>
        <w:t xml:space="preserve"> pasirinkti vieną iš dviejų finansinių priemonių tipų</w:t>
      </w:r>
      <w:r w:rsidRPr="00C97275">
        <w:rPr>
          <w:rStyle w:val="Puslapioinaosnuoroda"/>
          <w:rFonts w:ascii="Georgia" w:hAnsi="Georgia" w:cs="Georgia"/>
          <w:sz w:val="20"/>
          <w:szCs w:val="20"/>
          <w:lang w:val="lt-LT"/>
        </w:rPr>
        <w:footnoteReference w:id="6"/>
      </w:r>
      <w:r w:rsidR="00336C16" w:rsidRPr="00C97275">
        <w:rPr>
          <w:rFonts w:ascii="Georgia" w:hAnsi="Georgia" w:cs="Georgia"/>
          <w:sz w:val="20"/>
          <w:szCs w:val="20"/>
          <w:lang w:val="lt-LT"/>
        </w:rPr>
        <w:t>:</w:t>
      </w:r>
    </w:p>
    <w:p w14:paraId="4915EB68" w14:textId="77777777" w:rsidR="00336C16" w:rsidRPr="00C97275" w:rsidRDefault="00336C16" w:rsidP="00162BF5">
      <w:pPr>
        <w:pStyle w:val="Sraopastraipa"/>
        <w:numPr>
          <w:ilvl w:val="0"/>
          <w:numId w:val="31"/>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i/>
          <w:color w:val="000000"/>
          <w:sz w:val="20"/>
          <w:szCs w:val="20"/>
          <w:lang w:val="lt-LT"/>
        </w:rPr>
        <w:t>Fin</w:t>
      </w:r>
      <w:r w:rsidR="00455941" w:rsidRPr="00C97275">
        <w:rPr>
          <w:rFonts w:ascii="Georgia" w:hAnsi="Georgia" w:cs="Arial"/>
          <w:i/>
          <w:color w:val="000000"/>
          <w:sz w:val="20"/>
          <w:szCs w:val="20"/>
          <w:lang w:val="lt-LT"/>
        </w:rPr>
        <w:t>ansinė</w:t>
      </w:r>
      <w:r w:rsidRPr="00C97275">
        <w:rPr>
          <w:rFonts w:ascii="Georgia" w:hAnsi="Georgia" w:cs="Arial"/>
          <w:i/>
          <w:color w:val="000000"/>
          <w:sz w:val="20"/>
          <w:szCs w:val="20"/>
          <w:lang w:val="lt-LT"/>
        </w:rPr>
        <w:t>s priemonės, kurios atitinka Komisijos nustatytas standartines sąlygas pagal šios dalies antra pastraipą (angl.</w:t>
      </w:r>
      <w:r w:rsidRPr="00C97275">
        <w:rPr>
          <w:rFonts w:ascii="Georgia" w:hAnsi="Georgia" w:cs="Arial"/>
          <w:color w:val="000000"/>
          <w:sz w:val="20"/>
          <w:szCs w:val="20"/>
          <w:lang w:val="lt-LT"/>
        </w:rPr>
        <w:t xml:space="preserve"> </w:t>
      </w:r>
      <w:r w:rsidRPr="00C97275">
        <w:rPr>
          <w:rFonts w:ascii="Georgia" w:hAnsi="Georgia" w:cs="Arial"/>
          <w:i/>
          <w:color w:val="000000"/>
          <w:sz w:val="20"/>
          <w:szCs w:val="20"/>
          <w:lang w:val="lt-LT"/>
        </w:rPr>
        <w:t>off the shelf</w:t>
      </w:r>
      <w:r w:rsidRPr="00C97275">
        <w:rPr>
          <w:rFonts w:ascii="Georgia" w:hAnsi="Georgia" w:cs="Arial"/>
          <w:color w:val="000000"/>
          <w:sz w:val="20"/>
          <w:szCs w:val="20"/>
          <w:lang w:val="lt-LT"/>
        </w:rPr>
        <w:t>). Tai naujo tipo finansinės priemonės, kurioms yra taikomos iš anksto nustatytos standartinės sąlygos. Šio tipo finansinių priemonių valstybės pagalbos schema yra iš anksto suderinta su Europos Komisija ir valstybės pagalbos reikalavimais, todėl šalims narėms, pasirinkusioms šią alternatyvą, nereikia analizuoti šio klausimo. Standartinių sąlygų finansinės priemonės yra siūlomos šios:</w:t>
      </w:r>
    </w:p>
    <w:p w14:paraId="68F4CBEC" w14:textId="77777777" w:rsidR="00336C16" w:rsidRPr="00C97275"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Paskolų fondas MVĮ;</w:t>
      </w:r>
    </w:p>
    <w:p w14:paraId="12400018" w14:textId="77777777" w:rsidR="00336C16" w:rsidRPr="00C97275"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Garantijų MVĮ fondas;</w:t>
      </w:r>
    </w:p>
    <w:p w14:paraId="3C5046A6" w14:textId="77777777" w:rsidR="00336C16" w:rsidRPr="00C97275"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Kapitalo investicijų į MVĮ fondas;</w:t>
      </w:r>
    </w:p>
    <w:p w14:paraId="6EB33567" w14:textId="77777777" w:rsidR="00336C16" w:rsidRPr="00C97275" w:rsidRDefault="00336C16" w:rsidP="00162BF5">
      <w:pPr>
        <w:pStyle w:val="Sraopastraipa"/>
        <w:numPr>
          <w:ilvl w:val="1"/>
          <w:numId w:val="31"/>
        </w:numPr>
        <w:autoSpaceDE w:val="0"/>
        <w:autoSpaceDN w:val="0"/>
        <w:adjustRightInd w:val="0"/>
        <w:spacing w:after="0"/>
        <w:jc w:val="both"/>
        <w:rPr>
          <w:rFonts w:ascii="Georgia" w:hAnsi="Georgia" w:cs="Arial"/>
          <w:b/>
          <w:i/>
          <w:color w:val="000000"/>
          <w:sz w:val="20"/>
          <w:szCs w:val="20"/>
          <w:lang w:val="lt-LT"/>
        </w:rPr>
      </w:pPr>
      <w:r w:rsidRPr="00C97275">
        <w:rPr>
          <w:rFonts w:ascii="Georgia" w:hAnsi="Georgia" w:cs="Arial"/>
          <w:b/>
          <w:i/>
          <w:color w:val="000000"/>
          <w:sz w:val="20"/>
          <w:szCs w:val="20"/>
          <w:lang w:val="lt-LT"/>
        </w:rPr>
        <w:t>Paskolų fondas energijos efektyvumo priemonėms pastatų sektoriuje;</w:t>
      </w:r>
    </w:p>
    <w:p w14:paraId="6C14AE38" w14:textId="77777777" w:rsidR="00336C16" w:rsidRPr="00C97275"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Paskolų fondas tvariai miestų plėtrai.</w:t>
      </w:r>
    </w:p>
    <w:p w14:paraId="706C99A5" w14:textId="77777777" w:rsidR="00336C16" w:rsidRPr="00C97275" w:rsidRDefault="00336C16" w:rsidP="00162BF5">
      <w:pPr>
        <w:pStyle w:val="Sraopastraipa"/>
        <w:numPr>
          <w:ilvl w:val="0"/>
          <w:numId w:val="31"/>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i/>
          <w:color w:val="000000"/>
          <w:sz w:val="20"/>
          <w:szCs w:val="20"/>
          <w:lang w:val="lt-LT"/>
        </w:rPr>
        <w:t>Nacionaliniu, regioniniu, tarptautiniu ar tarpvalstybiniu lygmenimis nustatytoms finansinėms priemonėms, kurias valdo arba už kurių valdymą atsako vadovaujančioji institucija</w:t>
      </w:r>
      <w:r w:rsidRPr="00C97275">
        <w:rPr>
          <w:rFonts w:ascii="Georgia" w:hAnsi="Georgia" w:cs="Arial"/>
          <w:color w:val="000000"/>
          <w:sz w:val="20"/>
          <w:szCs w:val="20"/>
          <w:lang w:val="lt-LT"/>
        </w:rPr>
        <w:t xml:space="preserve">. Tai gali būti nauja arba esama finansinė priemonė, galbūt su reikiamomis modifikacijomis. Renkantis šį finansinių priemonių tipą, privaloma laikytis viešųjų pirkimų ir valstybės pagalbos taikytinų taisyklių. </w:t>
      </w:r>
    </w:p>
    <w:p w14:paraId="114F4029"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p>
    <w:p w14:paraId="285D2A0E" w14:textId="77777777" w:rsidR="002C12CB" w:rsidRPr="00C97275" w:rsidRDefault="002C12CB" w:rsidP="002C12CB">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Pažymėtina, kad alternatyva, kai vadovaujančioji institucija gali skirti finansinį įnašą ES lygmeniu nustatytai/-oms finansinei/ -ėms priemonei/-ėms, kurias tiesiogiai arba netiesiogiai valdo Europos Komisija (pvz., Horizon 2020, COSME, LIFE, CEF ir t.t.), nėra priimtina, kadangi:</w:t>
      </w:r>
    </w:p>
    <w:p w14:paraId="192327AA" w14:textId="77777777" w:rsidR="002C12CB" w:rsidRPr="00C97275" w:rsidRDefault="002C12CB" w:rsidP="00162BF5">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lastRenderedPageBreak/>
        <w:t>vadovaujančioji institucija turi pakankamai kompetencijų ir techninių galimybių, jog būtų pajėgi suprojektuoti specifinę finansinę/-es priemonę/-es: 2007-2013 m. ES finansiniu laikotarpiu Lietuva buvo viena pirmųjų valstybių ES, kurioje pradėjo sėkmingai funkcionuoti JEREMIE ir JESSICA iniciatyvų finansuojamos finansinės priemonės, vadovaujančioji institucija aktyviai dalyvavo skleidžiant gerąją patirtį ES lygiu;</w:t>
      </w:r>
    </w:p>
    <w:p w14:paraId="74B570A8" w14:textId="77777777" w:rsidR="002C12CB" w:rsidRPr="00C97275" w:rsidRDefault="002C12CB" w:rsidP="00162BF5">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ES lygmeniu nustatytos finansinės priemonės neatitinka veiksmų programos tikslų ir identifikuoto poreikio intervencijoms: įvertinus nagrinėjamas sritis, turinio požiūriu artimiausia ES lygmeniu nustatyta priemonė yra LIFE programa (4, 5 ir 6 tematiniai tikslai). Tačiau šios programos projektų specifika nesudaro galimybių efektyviai spręsti veiksmų programoje identifikuotų problemų;</w:t>
      </w:r>
    </w:p>
    <w:p w14:paraId="6FAFDD4E" w14:textId="77777777" w:rsidR="002C12CB" w:rsidRPr="00C97275" w:rsidRDefault="002C12CB" w:rsidP="00162BF5">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 xml:space="preserve">Lietuvoje energijos efektyvumo sektoriuje yra reikalinga kritinė masė finansinės/-ių priemonės/-ių steigimui tiek potencialių projektų skaičiaus, tiek finansinių apimčių požiūriu. </w:t>
      </w:r>
    </w:p>
    <w:p w14:paraId="48C9F857" w14:textId="77777777" w:rsidR="002C12CB" w:rsidRPr="00C97275" w:rsidRDefault="002C12CB" w:rsidP="002C12CB">
      <w:pPr>
        <w:autoSpaceDE w:val="0"/>
        <w:autoSpaceDN w:val="0"/>
        <w:adjustRightInd w:val="0"/>
        <w:spacing w:after="0"/>
        <w:jc w:val="both"/>
        <w:rPr>
          <w:rFonts w:ascii="Georgia" w:hAnsi="Georgia" w:cs="Arial"/>
          <w:color w:val="000000"/>
          <w:sz w:val="20"/>
          <w:szCs w:val="20"/>
          <w:lang w:val="lt-LT"/>
        </w:rPr>
      </w:pPr>
    </w:p>
    <w:p w14:paraId="0748F6F4" w14:textId="77777777" w:rsidR="002C12CB" w:rsidRPr="00C97275" w:rsidRDefault="002C12CB" w:rsidP="002C12CB">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Galimybė skirti finansinį įnašą regioniniu, tarptautiniu ar tarpvalstybiniu lygmeniu nustatytoms finansinėms priemonėms taip pat nėra priimtina, kadangi:</w:t>
      </w:r>
    </w:p>
    <w:p w14:paraId="15369DD9" w14:textId="77777777" w:rsidR="002C12CB" w:rsidRPr="00C97275" w:rsidRDefault="002C12CB" w:rsidP="00162BF5">
      <w:pPr>
        <w:pStyle w:val="Sraopastraipa"/>
        <w:numPr>
          <w:ilvl w:val="0"/>
          <w:numId w:val="49"/>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regioniniu: Lietuva yra pernelyg maža, jog būtų tikslinga finansines priemones papildomai apriboti geografiškai. Atskiroms teritorijoms galima suteikti įdiegiant papildomas skatinamąsias priemones (pvz. 2007-2013 m. ES finansiniu laikotarpiu JESSICA KF pirmojo ir ketvirtojo kvietimų metu Zarasų, Visagino ir Ignalinos rajonuose įgyvendinamiems projektams taikytas didesnis subsidijos procentas);</w:t>
      </w:r>
    </w:p>
    <w:p w14:paraId="6B5251F1" w14:textId="77777777" w:rsidR="002C12CB" w:rsidRPr="00C97275" w:rsidRDefault="002C12CB" w:rsidP="00162BF5">
      <w:pPr>
        <w:pStyle w:val="Sraopastraipa"/>
        <w:numPr>
          <w:ilvl w:val="0"/>
          <w:numId w:val="49"/>
        </w:num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tarptautiniu, tarpvalstybiniu: papildomos sąnaudos siekiant integruoti skirtingų valstybių teisines nuostatas. Be to, įvertinus numatomą projektų turinį, tokio pobūdžio finansinių priemonių steigimas nesukurtų pridėtinės vertės (numatomi projektai, kurių poveikis geografiniu požiūriu yra koncentruotas ir tiesiogiai neįtakoja gretimų valstybių).</w:t>
      </w:r>
    </w:p>
    <w:p w14:paraId="501E68A9" w14:textId="77777777" w:rsidR="002C12CB" w:rsidRPr="00C97275" w:rsidRDefault="002C12CB" w:rsidP="002C12CB">
      <w:pPr>
        <w:autoSpaceDE w:val="0"/>
        <w:autoSpaceDN w:val="0"/>
        <w:adjustRightInd w:val="0"/>
        <w:spacing w:after="0"/>
        <w:jc w:val="both"/>
        <w:rPr>
          <w:rFonts w:ascii="Georgia" w:hAnsi="Georgia" w:cs="Arial"/>
          <w:color w:val="000000"/>
          <w:sz w:val="20"/>
          <w:szCs w:val="20"/>
          <w:lang w:val="lt-LT"/>
        </w:rPr>
      </w:pPr>
    </w:p>
    <w:p w14:paraId="39A1FAA1" w14:textId="77777777" w:rsidR="002C12CB" w:rsidRPr="00C97275" w:rsidRDefault="002C12CB" w:rsidP="002C12CB">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Tuo tarpu finansinių priemonių įgyvendinimas nacionaliniu lygiu 2007-2013 m. ES periodu pasiteisino (tiek JESSICA, tiek JEREMIE iniciatyvų atveju).</w:t>
      </w:r>
    </w:p>
    <w:p w14:paraId="1618C729" w14:textId="77777777" w:rsidR="002C12CB" w:rsidRPr="00C97275" w:rsidRDefault="002C12CB" w:rsidP="002C12CB">
      <w:pPr>
        <w:autoSpaceDE w:val="0"/>
        <w:autoSpaceDN w:val="0"/>
        <w:adjustRightInd w:val="0"/>
        <w:spacing w:after="0"/>
        <w:jc w:val="both"/>
        <w:rPr>
          <w:rFonts w:ascii="Georgia" w:hAnsi="Georgia" w:cs="Arial"/>
          <w:color w:val="000000"/>
          <w:sz w:val="20"/>
          <w:szCs w:val="20"/>
          <w:lang w:val="lt-LT"/>
        </w:rPr>
      </w:pPr>
    </w:p>
    <w:p w14:paraId="4F9D2D1C" w14:textId="7003EC8C" w:rsidR="002C12CB" w:rsidRPr="00C97275" w:rsidRDefault="002C12CB" w:rsidP="002C12CB">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Atsižvelgiant į tai, tolesniuose e</w:t>
      </w:r>
      <w:r w:rsidR="00300FF4" w:rsidRPr="00C97275">
        <w:rPr>
          <w:rFonts w:ascii="Georgia" w:hAnsi="Georgia" w:cs="Arial"/>
          <w:color w:val="000000"/>
          <w:sz w:val="20"/>
          <w:szCs w:val="20"/>
          <w:lang w:val="lt-LT"/>
        </w:rPr>
        <w:t>x-ante</w:t>
      </w:r>
      <w:r w:rsidRPr="00C97275">
        <w:rPr>
          <w:rFonts w:ascii="Georgia" w:hAnsi="Georgia" w:cs="Arial"/>
          <w:color w:val="000000"/>
          <w:sz w:val="20"/>
          <w:szCs w:val="20"/>
          <w:lang w:val="lt-LT"/>
        </w:rPr>
        <w:t xml:space="preserve"> vertinimo skyriuose analizė bus atliekama apsiribojant tik galimybe finansinį įnašą skirti nacionaliniu lygiu nustatytai finansinei priemonei/-ėms.</w:t>
      </w:r>
    </w:p>
    <w:p w14:paraId="5BD8745F" w14:textId="77777777" w:rsidR="002C12CB" w:rsidRPr="00C97275" w:rsidRDefault="002C12CB" w:rsidP="00336C16">
      <w:pPr>
        <w:autoSpaceDE w:val="0"/>
        <w:autoSpaceDN w:val="0"/>
        <w:adjustRightInd w:val="0"/>
        <w:spacing w:after="0"/>
        <w:jc w:val="both"/>
        <w:rPr>
          <w:rFonts w:ascii="Georgia" w:hAnsi="Georgia" w:cs="Georgia"/>
          <w:sz w:val="20"/>
          <w:szCs w:val="20"/>
          <w:lang w:val="lt-LT"/>
        </w:rPr>
      </w:pPr>
    </w:p>
    <w:p w14:paraId="19F53B41" w14:textId="77777777" w:rsidR="00336C16" w:rsidRPr="00C97275" w:rsidRDefault="0018202E" w:rsidP="00336C16">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Sekančioje schemoje pateikiamos galimos finansinių priemonių valdymo ir įgyvendinimo alternatyvos.</w:t>
      </w:r>
      <w:r w:rsidR="00336C16" w:rsidRPr="00C97275">
        <w:rPr>
          <w:rFonts w:ascii="Georgia" w:hAnsi="Georgia" w:cs="Georgia"/>
          <w:sz w:val="20"/>
          <w:szCs w:val="20"/>
          <w:lang w:val="lt-LT"/>
        </w:rPr>
        <w:t xml:space="preserve"> </w:t>
      </w:r>
    </w:p>
    <w:p w14:paraId="6FEEDED0" w14:textId="77777777" w:rsidR="00336C16" w:rsidRPr="00C97275" w:rsidRDefault="00336C16" w:rsidP="00336C16">
      <w:pPr>
        <w:autoSpaceDE w:val="0"/>
        <w:autoSpaceDN w:val="0"/>
        <w:adjustRightInd w:val="0"/>
        <w:spacing w:after="0"/>
        <w:jc w:val="both"/>
        <w:rPr>
          <w:rFonts w:ascii="Georgia" w:hAnsi="Georgia" w:cs="Georgia"/>
          <w:sz w:val="20"/>
          <w:szCs w:val="20"/>
          <w:lang w:val="lt-LT"/>
        </w:rPr>
      </w:pPr>
    </w:p>
    <w:p w14:paraId="39E6C63A" w14:textId="77777777" w:rsidR="00455941" w:rsidRPr="00C97275" w:rsidRDefault="008C214F" w:rsidP="00336C16">
      <w:pPr>
        <w:autoSpaceDE w:val="0"/>
        <w:autoSpaceDN w:val="0"/>
        <w:adjustRightInd w:val="0"/>
        <w:spacing w:after="0"/>
        <w:jc w:val="both"/>
        <w:rPr>
          <w:rFonts w:ascii="Georgia" w:hAnsi="Georgia" w:cs="Georgia"/>
          <w:sz w:val="20"/>
          <w:szCs w:val="20"/>
          <w:lang w:val="lt-LT"/>
        </w:rPr>
      </w:pPr>
      <w:r w:rsidRPr="00C97275">
        <w:rPr>
          <w:rFonts w:ascii="Georgia" w:hAnsi="Georgia"/>
          <w:noProof/>
          <w:lang w:val="lt-LT" w:eastAsia="lt-LT"/>
        </w:rPr>
        <w:lastRenderedPageBreak/>
        <mc:AlternateContent>
          <mc:Choice Requires="wpg">
            <w:drawing>
              <wp:anchor distT="0" distB="0" distL="114300" distR="114300" simplePos="0" relativeHeight="251646464" behindDoc="0" locked="0" layoutInCell="1" allowOverlap="1" wp14:anchorId="5B28206D" wp14:editId="63C12E05">
                <wp:simplePos x="0" y="0"/>
                <wp:positionH relativeFrom="column">
                  <wp:posOffset>620726</wp:posOffset>
                </wp:positionH>
                <wp:positionV relativeFrom="paragraph">
                  <wp:posOffset>1056640</wp:posOffset>
                </wp:positionV>
                <wp:extent cx="3797935" cy="2242820"/>
                <wp:effectExtent l="0" t="0" r="0" b="43180"/>
                <wp:wrapNone/>
                <wp:docPr id="31" name="Grupė 34"/>
                <wp:cNvGraphicFramePr/>
                <a:graphic xmlns:a="http://schemas.openxmlformats.org/drawingml/2006/main">
                  <a:graphicData uri="http://schemas.microsoft.com/office/word/2010/wordprocessingGroup">
                    <wpg:wgp>
                      <wpg:cNvGrpSpPr/>
                      <wpg:grpSpPr>
                        <a:xfrm>
                          <a:off x="0" y="0"/>
                          <a:ext cx="3797935" cy="2242820"/>
                          <a:chOff x="0" y="0"/>
                          <a:chExt cx="3797845" cy="2242583"/>
                        </a:xfrm>
                      </wpg:grpSpPr>
                      <wps:wsp>
                        <wps:cNvPr id="35" name="2 teksto laukas"/>
                        <wps:cNvSpPr txBox="1">
                          <a:spLocks noChangeArrowheads="1"/>
                        </wps:cNvSpPr>
                        <wps:spPr bwMode="auto">
                          <a:xfrm>
                            <a:off x="0" y="0"/>
                            <a:ext cx="1265274" cy="372139"/>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F424763" w14:textId="77777777" w:rsidR="00D1128E" w:rsidRDefault="00D1128E"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14:paraId="7CB94A19" w14:textId="77777777" w:rsidR="00D1128E" w:rsidRDefault="00D1128E"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wps:txbx>
                        <wps:bodyPr rot="0" vert="horz" wrap="square" lIns="91440" tIns="45720" rIns="91440" bIns="45720" anchor="t" anchorCtr="0">
                          <a:noAutofit/>
                        </wps:bodyPr>
                      </wps:wsp>
                      <wps:wsp>
                        <wps:cNvPr id="39" name="Stačiakampis 156"/>
                        <wps:cNvSpPr/>
                        <wps:spPr>
                          <a:xfrm>
                            <a:off x="2389781" y="594641"/>
                            <a:ext cx="905774"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Stačiakampis 157"/>
                        <wps:cNvSpPr/>
                        <wps:spPr>
                          <a:xfrm>
                            <a:off x="2883445" y="690008"/>
                            <a:ext cx="91440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Alkūninė jungtis 158"/>
                        <wps:cNvCnPr/>
                        <wps:spPr>
                          <a:xfrm rot="16200000" flipH="1">
                            <a:off x="2140144" y="1001353"/>
                            <a:ext cx="1475105" cy="982800"/>
                          </a:xfrm>
                          <a:prstGeom prst="bentConnector3">
                            <a:avLst>
                              <a:gd name="adj1" fmla="val 292"/>
                            </a:avLst>
                          </a:prstGeom>
                          <a:ln w="12700">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ė 34" o:spid="_x0000_s1030" style="position:absolute;left:0;text-align:left;margin-left:48.9pt;margin-top:83.2pt;width:299.05pt;height:176.6pt;z-index:251646464" coordsize="37978,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">
                <v:roundrect id="2 teksto laukas" o:spid="_x0000_s1031" style="position:absolute;width:12652;height:3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icIA&#10;AADbAAAADwAAAGRycy9kb3ducmV2LnhtbESPQYvCMBSE74L/ITzBm6auWKRrlFUUvOlWL94ezdu2&#10;bPPSTaLWf28EYY/DzHzDLFadacSNnK8tK5iMExDEhdU1lwrOp91oDsIHZI2NZVLwIA+rZb+3wEzb&#10;O3/TLQ+liBD2GSqoQmgzKX1RkUE/ti1x9H6sMxiidKXUDu8Rbhr5kSSpNFhzXKiwpU1FxW9+NQr+&#10;arfebaw7Fmmab0/+cGmwvSg1HHRfnyACdeE//G7vtYLpD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DCJwgAAANsAAAAPAAAAAAAAAAAAAAAAAJgCAABkcnMvZG93&#10;bnJldi54bWxQSwUGAAAAAAQABAD1AAAAhwMAAAAA&#10;" fillcolor="white [3201]" strokecolor="#f79646 [3209]" strokeweight="2pt">
                  <v:textbox>
                    <w:txbxContent>
                      <w:p w14:paraId="0F424763" w14:textId="77777777" w:rsidR="00D1128E" w:rsidRDefault="00D1128E"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14:paraId="7CB94A19" w14:textId="77777777" w:rsidR="00D1128E" w:rsidRDefault="00D1128E"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v:textbox>
                </v:roundrect>
                <v:rect id="Stačiakampis 156" o:spid="_x0000_s1032" style="position:absolute;left:23897;top:5946;width:9058;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qOsQA&#10;AADbAAAADwAAAGRycy9kb3ducmV2LnhtbESPQWvCQBSE70L/w/IEb2ajorapq5RSQ/TWtOn5kX1N&#10;QrNvY3bV9N93BaHHYWa+YTa7wbTiQr1rLCuYRTEI4tLqhisFnx/76SMI55E1tpZJwS852G0fRhtM&#10;tL3yO11yX4kAYZeggtr7LpHSlTUZdJHtiIP3bXuDPsi+krrHa4CbVs7jeCUNNhwWauzotabyJz8b&#10;Befl+vA2fJ3SRREX62PRLjOfdkpNxsPLMwhPg/8P39uZVrB4gt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qjrEAAAA2wAAAA8AAAAAAAAAAAAAAAAAmAIAAGRycy9k&#10;b3ducmV2LnhtbFBLBQYAAAAABAAEAPUAAACJAwAAAAA=&#10;" fillcolor="white [3212]" stroked="f" strokeweight="2pt"/>
                <v:rect id="Stačiakampis 157" o:spid="_x0000_s1033" style="position:absolute;left:28834;top:6900;width:9144;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2sAA&#10;AADbAAAADwAAAGRycy9kb3ducmV2LnhtbERPy4rCMBTdD/gP4Qqz01QdH1SjyOCIurNa15fm2hab&#10;m04TtfP3ZiHM8nDei1VrKvGgxpWWFQz6EQjizOqScwXn009vBsJ5ZI2VZVLwRw5Wy87HAmNtn3yk&#10;R+JzEULYxaig8L6OpXRZQQZd39bEgbvaxqAPsMmlbvAZwk0lh1E0kQZLDg0F1vRdUHZL7kbBfTzd&#10;b9rL73aURun0kFbjnd/WSn122/UchKfW/4vf7p1W8BX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w2sAAAADbAAAADwAAAAAAAAAAAAAAAACYAgAAZHJzL2Rvd25y&#10;ZXYueG1sUEsFBgAAAAAEAAQA9QAAAIUDAAAAAA==&#10;" fillcolor="white [3212]" stroked="f"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lkūninė jungtis 158" o:spid="_x0000_s1034" type="#_x0000_t34" style="position:absolute;left:21400;top:10014;width:14751;height:98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L+8UAAADbAAAADwAAAGRycy9kb3ducmV2LnhtbESPT2vCQBTE74LfYXlCb7qJLVWiq4gg&#10;SKmHWi/eHtlnEs2+jdnNn/rp3UKhx2FmfsMs170pRUu1KywriCcRCOLU6oIzBafv3XgOwnlkjaVl&#10;UvBDDtar4WCJibYdf1F79JkIEHYJKsi9rxIpXZqTQTexFXHwLrY26IOsM6lr7ALclHIaRe/SYMFh&#10;IceKtjmlt2NjFGzOs+Iavx7a8tC0n/joPpp+e1fqZdRvFiA89f4//NfeawVvMfx+CT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FL+8UAAADbAAAADwAAAAAAAAAA&#10;AAAAAAChAgAAZHJzL2Rvd25yZXYueG1sUEsFBgAAAAAEAAQA+QAAAJMDAAAAAA==&#10;" adj="63" strokecolor="#f68c36 [3049]" strokeweight="1pt">
                  <v:stroke endarrow="open"/>
                </v:shape>
              </v:group>
            </w:pict>
          </mc:Fallback>
        </mc:AlternateContent>
      </w:r>
      <w:r w:rsidRPr="00C97275">
        <w:rPr>
          <w:rFonts w:ascii="Georgia" w:hAnsi="Georgia"/>
          <w:noProof/>
          <w:lang w:val="lt-LT" w:eastAsia="lt-LT"/>
        </w:rPr>
        <w:drawing>
          <wp:inline distT="0" distB="0" distL="0" distR="0" wp14:anchorId="5D653B41" wp14:editId="050F59A0">
            <wp:extent cx="5730875" cy="3657600"/>
            <wp:effectExtent l="0" t="0" r="3175" b="0"/>
            <wp:docPr id="17" name="Paveikslėlis 28" descr="Paveikslė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34" descr="Paveikslėlis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30875" cy="3657600"/>
                    </a:xfrm>
                    <a:prstGeom prst="rect">
                      <a:avLst/>
                    </a:prstGeom>
                    <a:noFill/>
                    <a:ln>
                      <a:noFill/>
                    </a:ln>
                  </pic:spPr>
                </pic:pic>
              </a:graphicData>
            </a:graphic>
          </wp:inline>
        </w:drawing>
      </w:r>
    </w:p>
    <w:p w14:paraId="654F71DD" w14:textId="77777777" w:rsidR="00336C16" w:rsidRPr="00C97275" w:rsidRDefault="00336C16" w:rsidP="00336C16">
      <w:pPr>
        <w:autoSpaceDE w:val="0"/>
        <w:autoSpaceDN w:val="0"/>
        <w:adjustRightInd w:val="0"/>
        <w:spacing w:after="0" w:line="240" w:lineRule="auto"/>
        <w:jc w:val="both"/>
        <w:rPr>
          <w:rFonts w:ascii="Georgia" w:hAnsi="Georgia" w:cs="Georgia"/>
          <w:sz w:val="20"/>
          <w:szCs w:val="20"/>
          <w:lang w:val="lt-LT"/>
        </w:rPr>
      </w:pPr>
    </w:p>
    <w:p w14:paraId="33D02079" w14:textId="5A203621" w:rsidR="00336C16" w:rsidRPr="00C97275" w:rsidRDefault="00931CAF" w:rsidP="00931CAF">
      <w:pPr>
        <w:pStyle w:val="Antrat"/>
        <w:jc w:val="both"/>
        <w:rPr>
          <w:rFonts w:cs="Georgia"/>
          <w:szCs w:val="20"/>
          <w:lang w:val="lt-LT"/>
        </w:rPr>
      </w:pPr>
      <w:bookmarkStart w:id="20" w:name="_Toc19105286"/>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2</w:t>
      </w:r>
      <w:r w:rsidRPr="00C97275">
        <w:rPr>
          <w:lang w:val="lt-LT"/>
        </w:rPr>
        <w:fldChar w:fldCharType="end"/>
      </w:r>
      <w:r w:rsidRPr="00C97275">
        <w:rPr>
          <w:lang w:val="lt-LT"/>
        </w:rPr>
        <w:t xml:space="preserve">. </w:t>
      </w:r>
      <w:r w:rsidRPr="00C97275">
        <w:rPr>
          <w:rFonts w:cs="Georgia"/>
          <w:szCs w:val="20"/>
          <w:lang w:val="lt-LT"/>
        </w:rPr>
        <w:t>Finansinių priemonių valdymo ir įgyvendinimo alternatyvos.</w:t>
      </w:r>
      <w:bookmarkEnd w:id="20"/>
    </w:p>
    <w:p w14:paraId="527A9F18"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r w:rsidRPr="00C97275">
        <w:rPr>
          <w:rFonts w:ascii="Georgia" w:hAnsi="Georgia" w:cs="Georgia"/>
          <w:sz w:val="20"/>
          <w:szCs w:val="20"/>
          <w:lang w:val="lt-LT"/>
        </w:rPr>
        <w:t>Jeigu vadovaujančioji institucija priima sprendimą i</w:t>
      </w:r>
      <w:r w:rsidRPr="00C97275">
        <w:rPr>
          <w:rFonts w:ascii="Georgia" w:hAnsi="Georgia" w:cs="Arial"/>
          <w:color w:val="000000"/>
          <w:sz w:val="20"/>
          <w:szCs w:val="20"/>
          <w:lang w:val="lt-LT"/>
        </w:rPr>
        <w:t>nvestuoti lėšas į finansinę priemonę įgyvendinančio juridinio asmens kapitalą arba finansinės priemonės įgyvendinimą patikėti kitai institucijai, finansinė priemonė gali būti steigiama su arba be fondų fondo. Fondų fondas – tai fondas, kuris steigiamas tam, kad sukoncentruoti vienos ar kelių programų lėšas kelioms finansinėms priemonėms, arba priemonėms įgyvendinamoms per finansinius tarpininkus. Fondų fondas gali valdyti finansines priemones, įgyvendinamas pagal skirtingus tematinius tikslus. Numačius fondų fondo steigimą, dalis finansinės priemonės įgyvendinimo veiklų gali būti patikėta keliems finansiniams tarpininkams, kurie teiks finansavimą galutiniams naudos gavėjams. Jeigu bus nuspręsta fondų fondo nesteigti, lėšos galutinius naudos gavėjus pasieks ne per du lygius (fondų fondą ir finansinį tarpininką), o per vieną lygį, t.y.</w:t>
      </w:r>
      <w:r w:rsidR="00873719" w:rsidRPr="00C97275">
        <w:rPr>
          <w:rFonts w:ascii="Georgia" w:hAnsi="Georgia" w:cs="Arial"/>
          <w:color w:val="000000"/>
          <w:sz w:val="20"/>
          <w:szCs w:val="20"/>
          <w:lang w:val="lt-LT"/>
        </w:rPr>
        <w:t xml:space="preserve"> tik finansinės priemonės valdytoją, kuris tiesiogiai finansuos projektus</w:t>
      </w:r>
      <w:r w:rsidRPr="00C97275">
        <w:rPr>
          <w:rFonts w:ascii="Georgia" w:hAnsi="Georgia" w:cs="Arial"/>
          <w:color w:val="000000"/>
          <w:sz w:val="20"/>
          <w:szCs w:val="20"/>
          <w:lang w:val="lt-LT"/>
        </w:rPr>
        <w:t xml:space="preserve">. Jeigu vadovaujančioji institucija priima sprendimą įgyvendinti veiklas pati, paprastai tarp vadovaujančios institucijos ir galutinių naudos gavėjų nėra jokių tarpininkų ir vadovaujanti institucija yra laikoma paramos gavėju, todėl negali  pavesti vienai ar kelioms tarpinėms institucijoms įgyvendinti veiklas vadovaujančios institucijos vardu. </w:t>
      </w:r>
    </w:p>
    <w:p w14:paraId="45362D17"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p>
    <w:p w14:paraId="4A6CAF3C"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 xml:space="preserve">Vadovaujantis šiomis nuostatomis </w:t>
      </w:r>
      <w:r w:rsidR="00873719" w:rsidRPr="00C97275">
        <w:rPr>
          <w:rFonts w:ascii="Georgia" w:hAnsi="Georgia" w:cs="Arial"/>
          <w:color w:val="000000"/>
          <w:sz w:val="20"/>
          <w:szCs w:val="20"/>
          <w:lang w:val="lt-LT"/>
        </w:rPr>
        <w:t>v</w:t>
      </w:r>
      <w:r w:rsidRPr="00C97275">
        <w:rPr>
          <w:rFonts w:ascii="Georgia" w:hAnsi="Georgia" w:cs="Arial"/>
          <w:color w:val="000000"/>
          <w:sz w:val="20"/>
          <w:szCs w:val="20"/>
          <w:lang w:val="lt-LT"/>
        </w:rPr>
        <w:t>adovaujančioji institucija gali pasinaudoti trimis pagrindinėmis valdymo struktūromis (</w:t>
      </w:r>
      <w:r w:rsidR="00931CAF" w:rsidRPr="00C97275">
        <w:rPr>
          <w:rFonts w:ascii="Georgia" w:hAnsi="Georgia" w:cs="Arial"/>
          <w:color w:val="000000"/>
          <w:sz w:val="20"/>
          <w:szCs w:val="20"/>
          <w:lang w:val="lt-LT"/>
        </w:rPr>
        <w:t>paveikslas</w:t>
      </w:r>
      <w:r w:rsidR="001E4B4F" w:rsidRPr="00C97275">
        <w:rPr>
          <w:rFonts w:ascii="Georgia" w:hAnsi="Georgia" w:cs="Arial"/>
          <w:color w:val="000000"/>
          <w:sz w:val="20"/>
          <w:szCs w:val="20"/>
          <w:lang w:val="lt-LT"/>
        </w:rPr>
        <w:t xml:space="preserve"> aukščiau</w:t>
      </w:r>
      <w:r w:rsidRPr="00C97275">
        <w:rPr>
          <w:rFonts w:ascii="Georgia" w:hAnsi="Georgia" w:cs="Arial"/>
          <w:color w:val="000000"/>
          <w:sz w:val="20"/>
          <w:szCs w:val="20"/>
          <w:lang w:val="lt-LT"/>
        </w:rPr>
        <w:t xml:space="preserve">) tam, kad galėtų įgyvendinti pasirinktas finansines priemones. </w:t>
      </w:r>
    </w:p>
    <w:p w14:paraId="468B6F82" w14:textId="77777777" w:rsidR="00336C16" w:rsidRPr="00C97275" w:rsidRDefault="00336C16" w:rsidP="00336C16">
      <w:pPr>
        <w:rPr>
          <w:rFonts w:ascii="Georgia" w:hAnsi="Georgia" w:cs="Times New Roman"/>
          <w:sz w:val="24"/>
          <w:szCs w:val="24"/>
          <w:lang w:val="lt-LT"/>
        </w:rPr>
      </w:pPr>
      <w:r w:rsidRPr="00C97275">
        <w:rPr>
          <w:rFonts w:ascii="Georgia" w:hAnsi="Georgia"/>
          <w:noProof/>
          <w:lang w:val="lt-LT" w:eastAsia="lt-LT"/>
        </w:rPr>
        <w:lastRenderedPageBreak/>
        <mc:AlternateContent>
          <mc:Choice Requires="wpc">
            <w:drawing>
              <wp:inline distT="0" distB="0" distL="0" distR="0" wp14:anchorId="627CA52C" wp14:editId="38EE0081">
                <wp:extent cx="5741035" cy="3657600"/>
                <wp:effectExtent l="0" t="0" r="12065" b="0"/>
                <wp:docPr id="33"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8" name="Rectangle 7"/>
                        <wps:cNvSpPr>
                          <a:spLocks noChangeArrowheads="1"/>
                        </wps:cNvSpPr>
                        <wps:spPr bwMode="auto">
                          <a:xfrm>
                            <a:off x="42900" y="554200"/>
                            <a:ext cx="1802711" cy="30063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49" name="Rectangle 8"/>
                        <wps:cNvSpPr>
                          <a:spLocks noChangeArrowheads="1"/>
                        </wps:cNvSpPr>
                        <wps:spPr bwMode="auto">
                          <a:xfrm>
                            <a:off x="1997612"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0" name="Rectangle 9"/>
                        <wps:cNvSpPr>
                          <a:spLocks noChangeArrowheads="1"/>
                        </wps:cNvSpPr>
                        <wps:spPr bwMode="auto">
                          <a:xfrm>
                            <a:off x="3930124" y="555400"/>
                            <a:ext cx="1802611" cy="30051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1" name="AutoShape 10"/>
                        <wps:cNvSpPr>
                          <a:spLocks noChangeArrowheads="1"/>
                        </wps:cNvSpPr>
                        <wps:spPr bwMode="auto">
                          <a:xfrm>
                            <a:off x="292902" y="735700"/>
                            <a:ext cx="1423609" cy="241200"/>
                          </a:xfrm>
                          <a:prstGeom prst="roundRect">
                            <a:avLst>
                              <a:gd name="adj" fmla="val 16667"/>
                            </a:avLst>
                          </a:prstGeom>
                          <a:solidFill>
                            <a:srgbClr val="E36C0A"/>
                          </a:solidFill>
                          <a:ln w="9525">
                            <a:solidFill>
                              <a:srgbClr val="974706"/>
                            </a:solidFill>
                            <a:round/>
                            <a:headEnd/>
                            <a:tailEnd/>
                          </a:ln>
                        </wps:spPr>
                        <wps:txbx>
                          <w:txbxContent>
                            <w:p w14:paraId="5A0931AF" w14:textId="77777777" w:rsidR="00D1128E" w:rsidRDefault="00D1128E" w:rsidP="00336C16">
                              <w:pPr>
                                <w:spacing w:after="0" w:line="240" w:lineRule="auto"/>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2" name="AutoShape 11"/>
                        <wps:cNvSpPr>
                          <a:spLocks noChangeArrowheads="1"/>
                        </wps:cNvSpPr>
                        <wps:spPr bwMode="auto">
                          <a:xfrm>
                            <a:off x="2239714" y="735700"/>
                            <a:ext cx="1423709" cy="241200"/>
                          </a:xfrm>
                          <a:prstGeom prst="roundRect">
                            <a:avLst>
                              <a:gd name="adj" fmla="val 16667"/>
                            </a:avLst>
                          </a:prstGeom>
                          <a:solidFill>
                            <a:srgbClr val="E36C0A"/>
                          </a:solidFill>
                          <a:ln w="9525">
                            <a:solidFill>
                              <a:srgbClr val="974706"/>
                            </a:solidFill>
                            <a:round/>
                            <a:headEnd/>
                            <a:tailEnd/>
                          </a:ln>
                        </wps:spPr>
                        <wps:txbx>
                          <w:txbxContent>
                            <w:p w14:paraId="508A7CE6" w14:textId="77777777" w:rsidR="00D1128E" w:rsidRDefault="00D1128E"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4" name="AutoShape 12"/>
                        <wps:cNvSpPr>
                          <a:spLocks noChangeArrowheads="1"/>
                        </wps:cNvSpPr>
                        <wps:spPr bwMode="auto">
                          <a:xfrm>
                            <a:off x="4109225" y="735700"/>
                            <a:ext cx="1423709" cy="241200"/>
                          </a:xfrm>
                          <a:prstGeom prst="roundRect">
                            <a:avLst>
                              <a:gd name="adj" fmla="val 16667"/>
                            </a:avLst>
                          </a:prstGeom>
                          <a:solidFill>
                            <a:srgbClr val="E36C0A"/>
                          </a:solidFill>
                          <a:ln w="9525">
                            <a:solidFill>
                              <a:srgbClr val="974706"/>
                            </a:solidFill>
                            <a:round/>
                            <a:headEnd/>
                            <a:tailEnd/>
                          </a:ln>
                        </wps:spPr>
                        <wps:txbx>
                          <w:txbxContent>
                            <w:p w14:paraId="0359D22C" w14:textId="77777777" w:rsidR="00D1128E" w:rsidRDefault="00D1128E"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5" name="AutoShape 13"/>
                        <wps:cNvSpPr>
                          <a:spLocks noChangeArrowheads="1"/>
                        </wps:cNvSpPr>
                        <wps:spPr bwMode="auto">
                          <a:xfrm>
                            <a:off x="258152" y="2978400"/>
                            <a:ext cx="1486509" cy="464800"/>
                          </a:xfrm>
                          <a:prstGeom prst="roundRect">
                            <a:avLst>
                              <a:gd name="adj" fmla="val 16667"/>
                            </a:avLst>
                          </a:prstGeom>
                          <a:solidFill>
                            <a:srgbClr val="E36C0A"/>
                          </a:solidFill>
                          <a:ln w="9525">
                            <a:solidFill>
                              <a:srgbClr val="974706"/>
                            </a:solidFill>
                            <a:round/>
                            <a:headEnd/>
                            <a:tailEnd/>
                          </a:ln>
                        </wps:spPr>
                        <wps:txbx>
                          <w:txbxContent>
                            <w:p w14:paraId="6E739A4B" w14:textId="77777777" w:rsidR="00D1128E" w:rsidRDefault="00D1128E" w:rsidP="00336C16">
                              <w:pPr>
                                <w:spacing w:after="0" w:line="240" w:lineRule="auto"/>
                                <w:jc w:val="center"/>
                                <w:rPr>
                                  <w:b/>
                                  <w:color w:val="FFFFFF"/>
                                  <w:sz w:val="16"/>
                                  <w:szCs w:val="16"/>
                                </w:rPr>
                              </w:pPr>
                              <w:r>
                                <w:rPr>
                                  <w:b/>
                                  <w:color w:val="FFFFFF"/>
                                  <w:sz w:val="16"/>
                                  <w:szCs w:val="16"/>
                                </w:rPr>
                                <w:t>Galutiniai paramos</w:t>
                              </w:r>
                            </w:p>
                            <w:p w14:paraId="63F32E66" w14:textId="77777777" w:rsidR="00D1128E" w:rsidRDefault="00D1128E" w:rsidP="00336C16">
                              <w:pPr>
                                <w:spacing w:after="0" w:line="240" w:lineRule="auto"/>
                                <w:jc w:val="center"/>
                                <w:rPr>
                                  <w:b/>
                                  <w:color w:val="FFFFFF"/>
                                  <w:sz w:val="16"/>
                                  <w:szCs w:val="16"/>
                                </w:rPr>
                              </w:pPr>
                              <w:r>
                                <w:rPr>
                                  <w:b/>
                                  <w:color w:val="FFFFFF"/>
                                  <w:sz w:val="16"/>
                                  <w:szCs w:val="16"/>
                                </w:rPr>
                                <w:t xml:space="preserve"> gavėjai</w:t>
                              </w:r>
                            </w:p>
                          </w:txbxContent>
                        </wps:txbx>
                        <wps:bodyPr rot="0" vert="horz" wrap="square" lIns="91440" tIns="45720" rIns="91440" bIns="45720" anchor="t" anchorCtr="0" upright="1">
                          <a:noAutofit/>
                        </wps:bodyPr>
                      </wps:wsp>
                      <wps:wsp>
                        <wps:cNvPr id="456" name="AutoShape 14"/>
                        <wps:cNvSpPr>
                          <a:spLocks noChangeArrowheads="1"/>
                        </wps:cNvSpPr>
                        <wps:spPr bwMode="auto">
                          <a:xfrm>
                            <a:off x="2214409" y="2978900"/>
                            <a:ext cx="1469109" cy="465500"/>
                          </a:xfrm>
                          <a:prstGeom prst="roundRect">
                            <a:avLst>
                              <a:gd name="adj" fmla="val 16667"/>
                            </a:avLst>
                          </a:prstGeom>
                          <a:solidFill>
                            <a:srgbClr val="E36C0A"/>
                          </a:solidFill>
                          <a:ln w="9525">
                            <a:solidFill>
                              <a:srgbClr val="974706"/>
                            </a:solidFill>
                            <a:round/>
                            <a:headEnd/>
                            <a:tailEnd/>
                          </a:ln>
                        </wps:spPr>
                        <wps:txbx>
                          <w:txbxContent>
                            <w:p w14:paraId="77C2CA91" w14:textId="77777777" w:rsidR="00D1128E" w:rsidRDefault="00D1128E" w:rsidP="00336C16">
                              <w:pPr>
                                <w:spacing w:after="0" w:line="240" w:lineRule="auto"/>
                                <w:jc w:val="center"/>
                                <w:rPr>
                                  <w:b/>
                                  <w:color w:val="FFFFFF"/>
                                  <w:sz w:val="16"/>
                                  <w:szCs w:val="16"/>
                                </w:rPr>
                              </w:pPr>
                              <w:r>
                                <w:rPr>
                                  <w:b/>
                                  <w:color w:val="FFFFFF"/>
                                  <w:sz w:val="16"/>
                                  <w:szCs w:val="16"/>
                                </w:rPr>
                                <w:t>Galutiniai paramos</w:t>
                              </w:r>
                            </w:p>
                            <w:p w14:paraId="06E207E8" w14:textId="77777777" w:rsidR="00D1128E" w:rsidRDefault="00D1128E" w:rsidP="00336C16">
                              <w:pPr>
                                <w:spacing w:after="0" w:line="240" w:lineRule="auto"/>
                                <w:jc w:val="center"/>
                                <w:rPr>
                                  <w:b/>
                                  <w:color w:val="FFFFFF"/>
                                  <w:sz w:val="16"/>
                                  <w:szCs w:val="16"/>
                                </w:rPr>
                              </w:pPr>
                              <w:r>
                                <w:rPr>
                                  <w:b/>
                                  <w:color w:val="FFFFFF"/>
                                  <w:sz w:val="16"/>
                                  <w:szCs w:val="16"/>
                                </w:rPr>
                                <w:t xml:space="preserve"> gavėjai</w:t>
                              </w:r>
                            </w:p>
                            <w:p w14:paraId="2855F0A0" w14:textId="77777777" w:rsidR="00D1128E" w:rsidRDefault="00D1128E"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7" name="AutoShape 15"/>
                        <wps:cNvSpPr>
                          <a:spLocks noChangeArrowheads="1"/>
                        </wps:cNvSpPr>
                        <wps:spPr bwMode="auto">
                          <a:xfrm>
                            <a:off x="4109225" y="2979400"/>
                            <a:ext cx="1423709" cy="466200"/>
                          </a:xfrm>
                          <a:prstGeom prst="roundRect">
                            <a:avLst>
                              <a:gd name="adj" fmla="val 16667"/>
                            </a:avLst>
                          </a:prstGeom>
                          <a:solidFill>
                            <a:srgbClr val="E36C0A"/>
                          </a:solidFill>
                          <a:ln w="9525">
                            <a:solidFill>
                              <a:srgbClr val="974706"/>
                            </a:solidFill>
                            <a:round/>
                            <a:headEnd/>
                            <a:tailEnd/>
                          </a:ln>
                        </wps:spPr>
                        <wps:txbx>
                          <w:txbxContent>
                            <w:p w14:paraId="1B93D7A8" w14:textId="77777777" w:rsidR="00D1128E" w:rsidRDefault="00D1128E" w:rsidP="00336C16">
                              <w:pPr>
                                <w:spacing w:after="0" w:line="240" w:lineRule="auto"/>
                                <w:jc w:val="center"/>
                                <w:rPr>
                                  <w:b/>
                                  <w:color w:val="FFFFFF"/>
                                  <w:sz w:val="16"/>
                                  <w:szCs w:val="16"/>
                                </w:rPr>
                              </w:pPr>
                              <w:r>
                                <w:rPr>
                                  <w:b/>
                                  <w:color w:val="FFFFFF"/>
                                  <w:sz w:val="16"/>
                                  <w:szCs w:val="16"/>
                                </w:rPr>
                                <w:t>Galutiniai paramos</w:t>
                              </w:r>
                            </w:p>
                            <w:p w14:paraId="11C50853" w14:textId="77777777" w:rsidR="00D1128E" w:rsidRDefault="00D1128E" w:rsidP="00336C16">
                              <w:pPr>
                                <w:spacing w:after="0" w:line="240" w:lineRule="auto"/>
                                <w:jc w:val="center"/>
                                <w:rPr>
                                  <w:b/>
                                  <w:color w:val="FFFFFF"/>
                                  <w:sz w:val="16"/>
                                  <w:szCs w:val="16"/>
                                </w:rPr>
                              </w:pPr>
                              <w:r>
                                <w:rPr>
                                  <w:b/>
                                  <w:color w:val="FFFFFF"/>
                                  <w:sz w:val="16"/>
                                  <w:szCs w:val="16"/>
                                </w:rPr>
                                <w:t xml:space="preserve"> gavėjai</w:t>
                              </w:r>
                            </w:p>
                            <w:p w14:paraId="4EDD05C8" w14:textId="77777777" w:rsidR="00D1128E" w:rsidRDefault="00D1128E"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8" name="AutoShape 16"/>
                        <wps:cNvSpPr>
                          <a:spLocks noChangeArrowheads="1"/>
                        </wps:cNvSpPr>
                        <wps:spPr bwMode="auto">
                          <a:xfrm>
                            <a:off x="2239714" y="2441050"/>
                            <a:ext cx="1423709" cy="358294"/>
                          </a:xfrm>
                          <a:prstGeom prst="roundRect">
                            <a:avLst>
                              <a:gd name="adj" fmla="val 16667"/>
                            </a:avLst>
                          </a:prstGeom>
                          <a:solidFill>
                            <a:srgbClr val="E36C0A"/>
                          </a:solidFill>
                          <a:ln w="9525">
                            <a:solidFill>
                              <a:srgbClr val="974706"/>
                            </a:solidFill>
                            <a:round/>
                            <a:headEnd/>
                            <a:tailEnd/>
                          </a:ln>
                        </wps:spPr>
                        <wps:txbx>
                          <w:txbxContent>
                            <w:p w14:paraId="2BA347D0" w14:textId="77777777" w:rsidR="00D1128E" w:rsidRDefault="00D1128E" w:rsidP="00336C16">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464" name="AutoShape 17"/>
                        <wps:cNvSpPr>
                          <a:spLocks noChangeArrowheads="1"/>
                        </wps:cNvSpPr>
                        <wps:spPr bwMode="auto">
                          <a:xfrm>
                            <a:off x="4105401" y="2498050"/>
                            <a:ext cx="1424509" cy="242100"/>
                          </a:xfrm>
                          <a:prstGeom prst="roundRect">
                            <a:avLst>
                              <a:gd name="adj" fmla="val 16667"/>
                            </a:avLst>
                          </a:prstGeom>
                          <a:solidFill>
                            <a:srgbClr val="E36C0A"/>
                          </a:solidFill>
                          <a:ln w="9525">
                            <a:solidFill>
                              <a:srgbClr val="974706"/>
                            </a:solidFill>
                            <a:prstDash val="dash"/>
                            <a:round/>
                            <a:headEnd/>
                            <a:tailEnd/>
                          </a:ln>
                        </wps:spPr>
                        <wps:txbx>
                          <w:txbxContent>
                            <w:p w14:paraId="4A16F55B" w14:textId="77777777" w:rsidR="00D1128E" w:rsidRDefault="00D1128E" w:rsidP="00336C16">
                              <w:pPr>
                                <w:spacing w:after="0" w:line="240" w:lineRule="auto"/>
                                <w:jc w:val="center"/>
                                <w:rPr>
                                  <w:b/>
                                  <w:color w:val="FFFFFF"/>
                                  <w:sz w:val="16"/>
                                  <w:szCs w:val="16"/>
                                </w:rPr>
                              </w:pPr>
                              <w:r>
                                <w:rPr>
                                  <w:b/>
                                  <w:color w:val="FFFFFF"/>
                                  <w:sz w:val="16"/>
                                  <w:szCs w:val="16"/>
                                </w:rPr>
                                <w:t>Finansinis tarpininkas</w:t>
                              </w:r>
                            </w:p>
                          </w:txbxContent>
                        </wps:txbx>
                        <wps:bodyPr rot="0" vert="horz" wrap="square" lIns="91440" tIns="45720" rIns="91440" bIns="45720" anchor="t" anchorCtr="0" upright="1">
                          <a:noAutofit/>
                        </wps:bodyPr>
                      </wps:wsp>
                      <wps:wsp>
                        <wps:cNvPr id="465" name="AutoShape 18"/>
                        <wps:cNvSpPr>
                          <a:spLocks noChangeArrowheads="1"/>
                        </wps:cNvSpPr>
                        <wps:spPr bwMode="auto">
                          <a:xfrm>
                            <a:off x="4110425" y="1171063"/>
                            <a:ext cx="1423709" cy="242000"/>
                          </a:xfrm>
                          <a:prstGeom prst="roundRect">
                            <a:avLst>
                              <a:gd name="adj" fmla="val 16667"/>
                            </a:avLst>
                          </a:prstGeom>
                          <a:solidFill>
                            <a:srgbClr val="E36C0A"/>
                          </a:solidFill>
                          <a:ln w="9525">
                            <a:solidFill>
                              <a:srgbClr val="974706"/>
                            </a:solidFill>
                            <a:round/>
                            <a:headEnd/>
                            <a:tailEnd/>
                          </a:ln>
                        </wps:spPr>
                        <wps:txbx>
                          <w:txbxContent>
                            <w:p w14:paraId="4F2E6EEC" w14:textId="77777777" w:rsidR="00D1128E" w:rsidRDefault="00D1128E" w:rsidP="00336C16">
                              <w:pPr>
                                <w:spacing w:after="0" w:line="240" w:lineRule="auto"/>
                                <w:jc w:val="center"/>
                                <w:rPr>
                                  <w:b/>
                                  <w:color w:val="FFFFFF"/>
                                  <w:sz w:val="16"/>
                                  <w:szCs w:val="16"/>
                                </w:rPr>
                              </w:pPr>
                              <w:r>
                                <w:rPr>
                                  <w:b/>
                                  <w:color w:val="FFFFFF"/>
                                  <w:sz w:val="16"/>
                                  <w:szCs w:val="16"/>
                                </w:rPr>
                                <w:t>Fondų fondas</w:t>
                              </w:r>
                            </w:p>
                          </w:txbxContent>
                        </wps:txbx>
                        <wps:bodyPr rot="0" vert="horz" wrap="square" lIns="91440" tIns="45720" rIns="91440" bIns="45720" anchor="t" anchorCtr="0" upright="1">
                          <a:noAutofit/>
                        </wps:bodyPr>
                      </wps:wsp>
                      <wps:wsp>
                        <wps:cNvPr id="467" name="Oval 20"/>
                        <wps:cNvSpPr>
                          <a:spLocks noChangeArrowheads="1"/>
                        </wps:cNvSpPr>
                        <wps:spPr bwMode="auto">
                          <a:xfrm>
                            <a:off x="2381062" y="1591565"/>
                            <a:ext cx="1140207" cy="644400"/>
                          </a:xfrm>
                          <a:prstGeom prst="ellipse">
                            <a:avLst/>
                          </a:prstGeom>
                          <a:solidFill>
                            <a:srgbClr val="FFC000"/>
                          </a:solidFill>
                          <a:ln w="9525">
                            <a:solidFill>
                              <a:srgbClr val="974706"/>
                            </a:solidFill>
                            <a:round/>
                            <a:headEnd/>
                            <a:tailEnd/>
                          </a:ln>
                        </wps:spPr>
                        <wps:txbx>
                          <w:txbxContent>
                            <w:p w14:paraId="268CC852" w14:textId="77777777" w:rsidR="00D1128E" w:rsidRPr="00873719" w:rsidRDefault="00D1128E" w:rsidP="001A5AF6">
                              <w:pPr>
                                <w:jc w:val="center"/>
                                <w:rPr>
                                  <w:b/>
                                  <w:color w:val="FFFFFF"/>
                                  <w:lang w:val="lt-LT"/>
                                </w:rPr>
                              </w:pPr>
                              <w:r>
                                <w:rPr>
                                  <w:b/>
                                  <w:color w:val="FFFFFF"/>
                                  <w:sz w:val="18"/>
                                  <w:lang w:val="lt-LT"/>
                                </w:rPr>
                                <w:t>Finansinė priemonė</w:t>
                              </w:r>
                            </w:p>
                            <w:p w14:paraId="01EDB71A" w14:textId="77777777" w:rsidR="00D1128E" w:rsidRPr="00873719" w:rsidRDefault="00D1128E" w:rsidP="00336C16">
                              <w:pPr>
                                <w:jc w:val="center"/>
                                <w:rPr>
                                  <w:b/>
                                  <w:color w:val="FFFFFF"/>
                                  <w:lang w:val="lt-LT"/>
                                </w:rPr>
                              </w:pPr>
                            </w:p>
                          </w:txbxContent>
                        </wps:txbx>
                        <wps:bodyPr rot="0" vert="horz" wrap="square" lIns="91440" tIns="45720" rIns="91440" bIns="45720" anchor="t" anchorCtr="0" upright="1">
                          <a:noAutofit/>
                        </wps:bodyPr>
                      </wps:wsp>
                      <wps:wsp>
                        <wps:cNvPr id="469" name="AutoShape 22"/>
                        <wps:cNvCnPr>
                          <a:cxnSpLocks noChangeShapeType="1"/>
                          <a:stCxn id="451" idx="2"/>
                          <a:endCxn id="165" idx="0"/>
                        </wps:cNvCnPr>
                        <wps:spPr bwMode="auto">
                          <a:xfrm>
                            <a:off x="1004707" y="976900"/>
                            <a:ext cx="1771" cy="6185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23"/>
                        <wps:cNvCnPr>
                          <a:cxnSpLocks noChangeShapeType="1"/>
                          <a:stCxn id="165" idx="4"/>
                          <a:endCxn id="455" idx="0"/>
                        </wps:cNvCnPr>
                        <wps:spPr bwMode="auto">
                          <a:xfrm flipH="1">
                            <a:off x="1001407" y="2239348"/>
                            <a:ext cx="5071" cy="739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24"/>
                        <wps:cNvCnPr>
                          <a:cxnSpLocks noChangeShapeType="1"/>
                          <a:stCxn id="467" idx="4"/>
                          <a:endCxn id="458" idx="0"/>
                        </wps:cNvCnPr>
                        <wps:spPr bwMode="auto">
                          <a:xfrm>
                            <a:off x="2951166" y="2235965"/>
                            <a:ext cx="403" cy="20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25"/>
                        <wps:cNvCnPr>
                          <a:cxnSpLocks noChangeShapeType="1"/>
                          <a:stCxn id="458" idx="2"/>
                          <a:endCxn id="456" idx="0"/>
                        </wps:cNvCnPr>
                        <wps:spPr bwMode="auto">
                          <a:xfrm flipH="1">
                            <a:off x="2948964" y="2799344"/>
                            <a:ext cx="2605" cy="179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AutoShape 26"/>
                        <wps:cNvCnPr>
                          <a:cxnSpLocks noChangeShapeType="1"/>
                          <a:stCxn id="452" idx="2"/>
                          <a:endCxn id="467" idx="0"/>
                        </wps:cNvCnPr>
                        <wps:spPr bwMode="auto">
                          <a:xfrm flipH="1">
                            <a:off x="2951166" y="976900"/>
                            <a:ext cx="403" cy="61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AutoShape 27"/>
                        <wps:cNvCnPr>
                          <a:cxnSpLocks noChangeShapeType="1"/>
                          <a:stCxn id="465" idx="2"/>
                          <a:endCxn id="166" idx="0"/>
                        </wps:cNvCnPr>
                        <wps:spPr bwMode="auto">
                          <a:xfrm flipH="1">
                            <a:off x="4819497" y="1413063"/>
                            <a:ext cx="2783" cy="184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AutoShape 28"/>
                        <wps:cNvCnPr>
                          <a:cxnSpLocks noChangeShapeType="1"/>
                          <a:stCxn id="166" idx="4"/>
                          <a:endCxn id="464" idx="0"/>
                        </wps:cNvCnPr>
                        <wps:spPr bwMode="auto">
                          <a:xfrm flipH="1">
                            <a:off x="4817656" y="2241111"/>
                            <a:ext cx="1841" cy="2569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29"/>
                        <wps:cNvCnPr>
                          <a:cxnSpLocks noChangeShapeType="1"/>
                          <a:stCxn id="464" idx="2"/>
                        </wps:cNvCnPr>
                        <wps:spPr bwMode="auto">
                          <a:xfrm flipH="1">
                            <a:off x="4816332" y="2740150"/>
                            <a:ext cx="1324" cy="24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30"/>
                        <wps:cNvCnPr>
                          <a:cxnSpLocks noChangeShapeType="1"/>
                          <a:stCxn id="464" idx="2"/>
                          <a:endCxn id="457" idx="0"/>
                        </wps:cNvCnPr>
                        <wps:spPr bwMode="auto">
                          <a:xfrm>
                            <a:off x="4817656" y="2740150"/>
                            <a:ext cx="3424" cy="23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10"/>
                        <wps:cNvSpPr>
                          <a:spLocks noChangeArrowheads="1"/>
                        </wps:cNvSpPr>
                        <wps:spPr bwMode="auto">
                          <a:xfrm>
                            <a:off x="292902" y="180000"/>
                            <a:ext cx="14232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73A0F53E" w14:textId="77777777" w:rsidR="00D1128E" w:rsidRDefault="00D1128E" w:rsidP="00336C16">
                              <w:pPr>
                                <w:pStyle w:val="prastasistinklapis"/>
                                <w:jc w:val="center"/>
                              </w:pPr>
                              <w:r>
                                <w:rPr>
                                  <w:rFonts w:ascii="Calibri" w:eastAsia="Calibri" w:hAnsi="Calibri"/>
                                  <w:b/>
                                  <w:bCs/>
                                  <w:sz w:val="16"/>
                                  <w:szCs w:val="16"/>
                                  <w:lang w:val="en-US"/>
                                </w:rPr>
                                <w:t>I STRUKTŪRA</w:t>
                              </w:r>
                            </w:p>
                          </w:txbxContent>
                        </wps:txbx>
                        <wps:bodyPr rot="0" vert="horz" wrap="square" lIns="91440" tIns="45720" rIns="91440" bIns="45720" anchor="t" anchorCtr="0" upright="1">
                          <a:noAutofit/>
                        </wps:bodyPr>
                      </wps:wsp>
                      <wps:wsp>
                        <wps:cNvPr id="479" name="AutoShape 10"/>
                        <wps:cNvSpPr>
                          <a:spLocks noChangeArrowheads="1"/>
                        </wps:cNvSpPr>
                        <wps:spPr bwMode="auto">
                          <a:xfrm>
                            <a:off x="2194113"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28514968" w14:textId="77777777" w:rsidR="00D1128E" w:rsidRDefault="00D1128E" w:rsidP="00336C16">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32" name="AutoShape 10"/>
                        <wps:cNvSpPr>
                          <a:spLocks noChangeArrowheads="1"/>
                        </wps:cNvSpPr>
                        <wps:spPr bwMode="auto">
                          <a:xfrm>
                            <a:off x="4110425"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4EB8B44A" w14:textId="77777777" w:rsidR="00D1128E" w:rsidRDefault="00D1128E" w:rsidP="00336C16">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164" name="AutoShape 26"/>
                        <wps:cNvCnPr>
                          <a:cxnSpLocks noChangeShapeType="1"/>
                          <a:stCxn id="454" idx="2"/>
                          <a:endCxn id="465" idx="0"/>
                        </wps:cNvCnPr>
                        <wps:spPr bwMode="auto">
                          <a:xfrm>
                            <a:off x="4821080" y="976900"/>
                            <a:ext cx="1200" cy="194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Oval 165"/>
                        <wps:cNvSpPr>
                          <a:spLocks noChangeArrowheads="1"/>
                        </wps:cNvSpPr>
                        <wps:spPr bwMode="auto">
                          <a:xfrm>
                            <a:off x="436565" y="1595458"/>
                            <a:ext cx="1139825" cy="643890"/>
                          </a:xfrm>
                          <a:prstGeom prst="ellipse">
                            <a:avLst/>
                          </a:prstGeom>
                          <a:solidFill>
                            <a:srgbClr val="FFC000"/>
                          </a:solidFill>
                          <a:ln w="9525">
                            <a:solidFill>
                              <a:srgbClr val="974706"/>
                            </a:solidFill>
                            <a:round/>
                            <a:headEnd/>
                            <a:tailEnd/>
                          </a:ln>
                        </wps:spPr>
                        <wps:txbx>
                          <w:txbxContent>
                            <w:p w14:paraId="776FB9DE"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43A7E6D"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s:wsp>
                        <wps:cNvPr id="166" name="Oval 166"/>
                        <wps:cNvSpPr>
                          <a:spLocks noChangeArrowheads="1"/>
                        </wps:cNvSpPr>
                        <wps:spPr bwMode="auto">
                          <a:xfrm>
                            <a:off x="4249584" y="1597221"/>
                            <a:ext cx="1139825" cy="643890"/>
                          </a:xfrm>
                          <a:prstGeom prst="ellipse">
                            <a:avLst/>
                          </a:prstGeom>
                          <a:solidFill>
                            <a:srgbClr val="FFC000"/>
                          </a:solidFill>
                          <a:ln w="9525">
                            <a:solidFill>
                              <a:srgbClr val="974706"/>
                            </a:solidFill>
                            <a:round/>
                            <a:headEnd/>
                            <a:tailEnd/>
                          </a:ln>
                        </wps:spPr>
                        <wps:txbx>
                          <w:txbxContent>
                            <w:p w14:paraId="5621665E"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5A61093A"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c:wpc>
                  </a:graphicData>
                </a:graphic>
              </wp:inline>
            </w:drawing>
          </mc:Choice>
          <mc:Fallback>
            <w:pict>
              <v:group id="Drobė 33" o:spid="_x0000_s1035" editas="canvas" style="width:452.05pt;height:4in;mso-position-horizontal-relative:char;mso-position-vertical-relative:line" coordsize="5741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">
                <v:shape id="_x0000_s1036" type="#_x0000_t75" style="position:absolute;width:57410;height:36576;visibility:visible;mso-wrap-style:square">
                  <v:fill o:detectmouseclick="t"/>
                  <v:path o:connecttype="none"/>
                </v:shape>
                <v:rect id="Rectangle 7" o:spid="_x0000_s1037" style="position:absolute;left:429;top:5542;width:18027;height:30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PtcAA&#10;AADcAAAADwAAAGRycy9kb3ducmV2LnhtbERPy4rCMBTdC/5DuMLsbKrIMFRjKYIg48YXiLtrc22L&#10;zU1JMrbz92YxMMvDea/ywbTiRc43lhXMkhQEcWl1w5WCy3k7/QLhA7LG1jIp+CUP+Xo8WmGmbc9H&#10;ep1CJWII+wwV1CF0mZS+rMmgT2xHHLmHdQZDhK6S2mEfw00r52n6KQ02HBtq7GhTU/k8/RgF3e2b&#10;dB+0vA5nd9+5fXHYVwelPiZDsQQRaAj/4j/3TitYLOL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EPtcAAAADcAAAADwAAAAAAAAAAAAAAAACYAgAAZHJzL2Rvd25y&#10;ZXYueG1sUEsFBgAAAAAEAAQA9QAAAIUDAAAAAA==&#10;" strokecolor="#e36c0a" strokeweight="1.5pt"/>
                <v:rect id="Rectangle 8" o:spid="_x0000_s1038" style="position:absolute;left:19976;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qLsQA&#10;AADcAAAADwAAAGRycy9kb3ducmV2LnhtbESPzWrDMBCE74W+g9hCb7XcEErrWAkhEAjNJX9QcttY&#10;G8vUWhlJiZ23jwqBHoeZ+YYpZ4NtxZV8aBwreM9yEMSV0w3XCg775dsniBCRNbaOScGNAsymz08l&#10;Ftr1vKXrLtYiQTgUqMDE2BVShsqQxZC5jjh5Z+ctxiR9LbXHPsFtK0d5/iEtNpwWDHa0MFT97i5W&#10;QXf8Jt1HLX+GvT+t/Hq+WdcbpV5fhvkERKQh/ocf7ZVWMB5/wd+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qi7EAAAA3AAAAA8AAAAAAAAAAAAAAAAAmAIAAGRycy9k&#10;b3ducmV2LnhtbFBLBQYAAAAABAAEAPUAAACJAwAAAAA=&#10;" strokecolor="#e36c0a" strokeweight="1.5pt"/>
                <v:rect id="_x0000_s1039" style="position:absolute;left:39301;top:5554;width:18026;height:30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VbsAA&#10;AADcAAAADwAAAGRycy9kb3ducmV2LnhtbERPy4rCMBTdC/5DuII7TR1mZKjGUgRBxo0vGNxdm2tb&#10;bG5KkrH17ycLweXhvJdZbxrxIOdrywpm0wQEcWF1zaWC82kz+QbhA7LGxjIpeJKHbDUcLDHVtuMD&#10;PY6hFDGEfYoKqhDaVEpfVGTQT21LHLmbdQZDhK6U2mEXw00jP5JkLg3WHBsqbGldUXE//hkF7eWH&#10;dBe0/O1P7rp1u3y/K/dKjUd9vgARqA9v8cu91Qo+v+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6VbsAAAADcAAAADwAAAAAAAAAAAAAAAACYAgAAZHJzL2Rvd25y&#10;ZXYueG1sUEsFBgAAAAAEAAQA9QAAAIUDAAAAAA==&#10;" strokecolor="#e36c0a" strokeweight="1.5pt"/>
                <v:roundrect id="_x0000_s1040" style="position:absolute;left:2929;top:7357;width:14236;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tRMMA&#10;AADcAAAADwAAAGRycy9kb3ducmV2LnhtbESPQWsCMRSE7wX/Q3iCt5pVrJStUUQUvNnVpefH5jVZ&#10;3Lwsm+iu/vqmUOhxmJlvmNVmcI24Uxdqzwpm0wwEceV1zUZBeTm8voMIEVlj45kUPCjAZj16WWGu&#10;fc8F3c/RiAThkKMCG2ObSxkqSw7D1LfEyfv2ncOYZGek7rBPcNfIeZYtpcOa04LFlnaWquv55hQY&#10;bbfF58kU+8wsQhmXc3z2X0pNxsP2A0SkIf6H/9pHrWDxNoP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YtRMMAAADcAAAADwAAAAAAAAAAAAAAAACYAgAAZHJzL2Rv&#10;d25yZXYueG1sUEsFBgAAAAAEAAQA9QAAAIgDAAAAAA==&#10;" fillcolor="#e36c0a" strokecolor="#974706">
                  <v:textbox>
                    <w:txbxContent>
                      <w:p w14:paraId="5A0931AF" w14:textId="77777777" w:rsidR="00D1128E" w:rsidRDefault="00D1128E" w:rsidP="00336C16">
                        <w:pPr>
                          <w:spacing w:after="0" w:line="240" w:lineRule="auto"/>
                          <w:rPr>
                            <w:b/>
                            <w:color w:val="FFFFFF"/>
                            <w:sz w:val="16"/>
                            <w:szCs w:val="16"/>
                          </w:rPr>
                        </w:pPr>
                        <w:r>
                          <w:rPr>
                            <w:b/>
                            <w:color w:val="FFFFFF"/>
                            <w:sz w:val="16"/>
                            <w:szCs w:val="16"/>
                          </w:rPr>
                          <w:t>Vadovaujančioji institucija</w:t>
                        </w:r>
                      </w:p>
                    </w:txbxContent>
                  </v:textbox>
                </v:roundrect>
                <v:roundrect id="_x0000_s1041" style="position:absolute;left:22397;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zM8IA&#10;AADcAAAADwAAAGRycy9kb3ducmV2LnhtbESPQWsCMRSE7wX/Q3hCbzXrolJWo4hU8NauFc+PzTNZ&#10;3Lwsm9Td9tc3guBxmJlvmNVmcI24URdqzwqmkwwEceV1zUbB6Xv/9g4iRGSNjWdS8EsBNuvRywoL&#10;7Xsu6XaMRiQIhwIV2BjbQspQWXIYJr4lTt7Fdw5jkp2RusM+wV0j8yxbSIc1pwWLLe0sVdfjj1Ng&#10;tN2WX5+m/MjMLJziIse//qzU63jYLkFEGuIz/GgftILZPI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LMzwgAAANwAAAAPAAAAAAAAAAAAAAAAAJgCAABkcnMvZG93&#10;bnJldi54bWxQSwUGAAAAAAQABAD1AAAAhwMAAAAA&#10;" fillcolor="#e36c0a" strokecolor="#974706">
                  <v:textbox>
                    <w:txbxContent>
                      <w:p w14:paraId="508A7CE6" w14:textId="77777777" w:rsidR="00D1128E" w:rsidRDefault="00D1128E" w:rsidP="00336C16">
                        <w:pPr>
                          <w:spacing w:after="0" w:line="240" w:lineRule="auto"/>
                          <w:jc w:val="center"/>
                          <w:rPr>
                            <w:b/>
                            <w:color w:val="FFFFFF"/>
                            <w:sz w:val="16"/>
                            <w:szCs w:val="16"/>
                          </w:rPr>
                        </w:pPr>
                        <w:r>
                          <w:rPr>
                            <w:b/>
                            <w:color w:val="FFFFFF"/>
                            <w:sz w:val="16"/>
                            <w:szCs w:val="16"/>
                          </w:rPr>
                          <w:t>Vadovaujančioji institucija</w:t>
                        </w:r>
                      </w:p>
                    </w:txbxContent>
                  </v:textbox>
                </v:roundrect>
                <v:roundrect id="_x0000_s1042" style="position:absolute;left:41092;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O3MIA&#10;AADcAAAADwAAAGRycy9kb3ducmV2LnhtbESPQWsCMRSE74L/IbxCb5qtbEW2RhFR8FZXpefH5pks&#10;bl6WTXS3/fWmUOhxmJlvmOV6cI14UBdqzwrephkI4srrmo2Cy3k/WYAIEVlj45kUfFOA9Wo8WmKh&#10;fc8lPU7RiAThUKACG2NbSBkqSw7D1LfEybv6zmFMsjNSd9gnuGvkLMvm0mHNacFiS1tL1e10dwqM&#10;tpvy+GnKXWbycInzGf70X0q9vgybDxCRhvgf/msftIL8PY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Y7cwgAAANwAAAAPAAAAAAAAAAAAAAAAAJgCAABkcnMvZG93&#10;bnJldi54bWxQSwUGAAAAAAQABAD1AAAAhwMAAAAA&#10;" fillcolor="#e36c0a" strokecolor="#974706">
                  <v:textbox>
                    <w:txbxContent>
                      <w:p w14:paraId="0359D22C" w14:textId="77777777" w:rsidR="00D1128E" w:rsidRDefault="00D1128E" w:rsidP="00336C16">
                        <w:pPr>
                          <w:spacing w:after="0" w:line="240" w:lineRule="auto"/>
                          <w:jc w:val="center"/>
                          <w:rPr>
                            <w:b/>
                            <w:color w:val="FFFFFF"/>
                            <w:sz w:val="16"/>
                            <w:szCs w:val="16"/>
                          </w:rPr>
                        </w:pPr>
                        <w:r>
                          <w:rPr>
                            <w:b/>
                            <w:color w:val="FFFFFF"/>
                            <w:sz w:val="16"/>
                            <w:szCs w:val="16"/>
                          </w:rPr>
                          <w:t>Vadovaujančioji institucija</w:t>
                        </w:r>
                      </w:p>
                    </w:txbxContent>
                  </v:textbox>
                </v:roundrect>
                <v:roundrect id="AutoShape 13" o:spid="_x0000_s1043" style="position:absolute;left:2581;top:29784;width:14865;height:46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rR8IA&#10;AADcAAAADwAAAGRycy9kb3ducmV2LnhtbESPQWsCMRSE7wX/Q3iCt5pVVGQ1iogFb+2qeH5snsni&#10;5mXZpO7qr28KhR6HmfmGWW97V4sHtaHyrGAyzkAQl15XbBRczh/vSxAhImusPZOCJwXYbgZva8y1&#10;77igxykakSAcclRgY2xyKUNpyWEY+4Y4eTffOoxJtkbqFrsEd7WcZtlCOqw4LVhsaG+pvJ++nQKj&#10;7a74+jTFITOzcImLKb66q1KjYb9bgYjUx//wX/uoFczmc/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StHwgAAANwAAAAPAAAAAAAAAAAAAAAAAJgCAABkcnMvZG93&#10;bnJldi54bWxQSwUGAAAAAAQABAD1AAAAhwMAAAAA&#10;" fillcolor="#e36c0a" strokecolor="#974706">
                  <v:textbox>
                    <w:txbxContent>
                      <w:p w14:paraId="6E739A4B" w14:textId="77777777" w:rsidR="00D1128E" w:rsidRDefault="00D1128E" w:rsidP="00336C16">
                        <w:pPr>
                          <w:spacing w:after="0" w:line="240" w:lineRule="auto"/>
                          <w:jc w:val="center"/>
                          <w:rPr>
                            <w:b/>
                            <w:color w:val="FFFFFF"/>
                            <w:sz w:val="16"/>
                            <w:szCs w:val="16"/>
                          </w:rPr>
                        </w:pPr>
                        <w:r>
                          <w:rPr>
                            <w:b/>
                            <w:color w:val="FFFFFF"/>
                            <w:sz w:val="16"/>
                            <w:szCs w:val="16"/>
                          </w:rPr>
                          <w:t>Galutiniai paramos</w:t>
                        </w:r>
                      </w:p>
                      <w:p w14:paraId="63F32E66" w14:textId="77777777" w:rsidR="00D1128E" w:rsidRDefault="00D1128E" w:rsidP="00336C16">
                        <w:pPr>
                          <w:spacing w:after="0" w:line="240" w:lineRule="auto"/>
                          <w:jc w:val="center"/>
                          <w:rPr>
                            <w:b/>
                            <w:color w:val="FFFFFF"/>
                            <w:sz w:val="16"/>
                            <w:szCs w:val="16"/>
                          </w:rPr>
                        </w:pPr>
                        <w:r>
                          <w:rPr>
                            <w:b/>
                            <w:color w:val="FFFFFF"/>
                            <w:sz w:val="16"/>
                            <w:szCs w:val="16"/>
                          </w:rPr>
                          <w:t xml:space="preserve"> gavėjai</w:t>
                        </w:r>
                      </w:p>
                    </w:txbxContent>
                  </v:textbox>
                </v:roundrect>
                <v:roundrect id="_x0000_s1044" style="position:absolute;left:22144;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MMIA&#10;AADcAAAADwAAAGRycy9kb3ducmV2LnhtbESPQWsCMRSE7wX/Q3hCbzWr6CKrUUQqeGtXxfNj80wW&#10;Ny/LJnW3/fWNUOhxmJlvmPV2cI14UBdqzwqmkwwEceV1zUbB5Xx4W4IIEVlj45kUfFOA7Wb0ssZC&#10;+55LepyiEQnCoUAFNsa2kDJUlhyGiW+Jk3fzncOYZGek7rBPcNfIWZbl0mHNacFiS3tL1f305RQY&#10;bXfl54cp3zMzD5eYz/Cnvyr1Oh52KxCRhvgf/msftYL5Iof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7UwwgAAANwAAAAPAAAAAAAAAAAAAAAAAJgCAABkcnMvZG93&#10;bnJldi54bWxQSwUGAAAAAAQABAD1AAAAhwMAAAAA&#10;" fillcolor="#e36c0a" strokecolor="#974706">
                  <v:textbox>
                    <w:txbxContent>
                      <w:p w14:paraId="77C2CA91" w14:textId="77777777" w:rsidR="00D1128E" w:rsidRDefault="00D1128E" w:rsidP="00336C16">
                        <w:pPr>
                          <w:spacing w:after="0" w:line="240" w:lineRule="auto"/>
                          <w:jc w:val="center"/>
                          <w:rPr>
                            <w:b/>
                            <w:color w:val="FFFFFF"/>
                            <w:sz w:val="16"/>
                            <w:szCs w:val="16"/>
                          </w:rPr>
                        </w:pPr>
                        <w:r>
                          <w:rPr>
                            <w:b/>
                            <w:color w:val="FFFFFF"/>
                            <w:sz w:val="16"/>
                            <w:szCs w:val="16"/>
                          </w:rPr>
                          <w:t>Galutiniai paramos</w:t>
                        </w:r>
                      </w:p>
                      <w:p w14:paraId="06E207E8" w14:textId="77777777" w:rsidR="00D1128E" w:rsidRDefault="00D1128E" w:rsidP="00336C16">
                        <w:pPr>
                          <w:spacing w:after="0" w:line="240" w:lineRule="auto"/>
                          <w:jc w:val="center"/>
                          <w:rPr>
                            <w:b/>
                            <w:color w:val="FFFFFF"/>
                            <w:sz w:val="16"/>
                            <w:szCs w:val="16"/>
                          </w:rPr>
                        </w:pPr>
                        <w:r>
                          <w:rPr>
                            <w:b/>
                            <w:color w:val="FFFFFF"/>
                            <w:sz w:val="16"/>
                            <w:szCs w:val="16"/>
                          </w:rPr>
                          <w:t xml:space="preserve"> gavėjai</w:t>
                        </w:r>
                      </w:p>
                      <w:p w14:paraId="2855F0A0" w14:textId="77777777" w:rsidR="00D1128E" w:rsidRDefault="00D1128E" w:rsidP="00336C16">
                        <w:pPr>
                          <w:spacing w:after="0" w:line="240" w:lineRule="auto"/>
                          <w:jc w:val="center"/>
                          <w:rPr>
                            <w:b/>
                            <w:color w:val="FFFFFF"/>
                            <w:sz w:val="16"/>
                            <w:szCs w:val="16"/>
                          </w:rPr>
                        </w:pPr>
                      </w:p>
                    </w:txbxContent>
                  </v:textbox>
                </v:roundrect>
                <v:roundrect id="_x0000_s1045" style="position:absolute;left:41092;top:29794;width:14237;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Qq8MA&#10;AADcAAAADwAAAGRycy9kb3ducmV2LnhtbESPT2sCMRTE7wW/Q3iF3mq24p+yNYqIhd50VTw/Ns9k&#10;cfOybKK79dMbodDjMDO/YebL3tXiRm2oPCv4GGYgiEuvKzYKjofv908QISJrrD2Tgl8KsFwMXuaY&#10;a99xQbd9NCJBOOSowMbY5FKG0pLDMPQNcfLOvnUYk2yN1C12Ce5qOcqyqXRYcVqw2NDaUnnZX50C&#10;o+2q2G1NscnMOBzjdIT37qTU22u/+gIRqY//4b/2j1Ywnsz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Qq8MAAADcAAAADwAAAAAAAAAAAAAAAACYAgAAZHJzL2Rv&#10;d25yZXYueG1sUEsFBgAAAAAEAAQA9QAAAIgDAAAAAA==&#10;" fillcolor="#e36c0a" strokecolor="#974706">
                  <v:textbox>
                    <w:txbxContent>
                      <w:p w14:paraId="1B93D7A8" w14:textId="77777777" w:rsidR="00D1128E" w:rsidRDefault="00D1128E" w:rsidP="00336C16">
                        <w:pPr>
                          <w:spacing w:after="0" w:line="240" w:lineRule="auto"/>
                          <w:jc w:val="center"/>
                          <w:rPr>
                            <w:b/>
                            <w:color w:val="FFFFFF"/>
                            <w:sz w:val="16"/>
                            <w:szCs w:val="16"/>
                          </w:rPr>
                        </w:pPr>
                        <w:r>
                          <w:rPr>
                            <w:b/>
                            <w:color w:val="FFFFFF"/>
                            <w:sz w:val="16"/>
                            <w:szCs w:val="16"/>
                          </w:rPr>
                          <w:t>Galutiniai paramos</w:t>
                        </w:r>
                      </w:p>
                      <w:p w14:paraId="11C50853" w14:textId="77777777" w:rsidR="00D1128E" w:rsidRDefault="00D1128E" w:rsidP="00336C16">
                        <w:pPr>
                          <w:spacing w:after="0" w:line="240" w:lineRule="auto"/>
                          <w:jc w:val="center"/>
                          <w:rPr>
                            <w:b/>
                            <w:color w:val="FFFFFF"/>
                            <w:sz w:val="16"/>
                            <w:szCs w:val="16"/>
                          </w:rPr>
                        </w:pPr>
                        <w:r>
                          <w:rPr>
                            <w:b/>
                            <w:color w:val="FFFFFF"/>
                            <w:sz w:val="16"/>
                            <w:szCs w:val="16"/>
                          </w:rPr>
                          <w:t xml:space="preserve"> gavėjai</w:t>
                        </w:r>
                      </w:p>
                      <w:p w14:paraId="4EDD05C8" w14:textId="77777777" w:rsidR="00D1128E" w:rsidRDefault="00D1128E" w:rsidP="00336C16">
                        <w:pPr>
                          <w:spacing w:after="0" w:line="240" w:lineRule="auto"/>
                          <w:jc w:val="center"/>
                          <w:rPr>
                            <w:b/>
                            <w:color w:val="FFFFFF"/>
                            <w:sz w:val="16"/>
                            <w:szCs w:val="16"/>
                          </w:rPr>
                        </w:pPr>
                      </w:p>
                    </w:txbxContent>
                  </v:textbox>
                </v:roundrect>
                <v:roundrect id="_x0000_s1046" style="position:absolute;left:22397;top:24410;width:14237;height:3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E2cAA&#10;AADcAAAADwAAAGRycy9kb3ducmV2LnhtbERPz2vCMBS+D/wfwhN2m+lKV0ZnFBEHu21V2fnRvCVl&#10;zUtpsrb61y8HwePH93u9nV0nRhpC61nB8yoDQdx43bJRcD69P72CCBFZY+eZFFwowHazeFhjpf3E&#10;NY3HaEQK4VChAhtjX0kZGksOw8r3xIn78YPDmOBgpB5wSuGuk3mWldJhy6nBYk97S83v8c8pMNru&#10;6q9PUx8yU4RzLHO8Tt9KPS7n3RuISHO8i2/uD62geEl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yE2cAAAADcAAAADwAAAAAAAAAAAAAAAACYAgAAZHJzL2Rvd25y&#10;ZXYueG1sUEsFBgAAAAAEAAQA9QAAAIUDAAAAAA==&#10;" fillcolor="#e36c0a" strokecolor="#974706">
                  <v:textbox>
                    <w:txbxContent>
                      <w:p w14:paraId="2BA347D0" w14:textId="77777777" w:rsidR="00D1128E" w:rsidRDefault="00D1128E" w:rsidP="00336C16">
                        <w:pPr>
                          <w:spacing w:after="0" w:line="240" w:lineRule="auto"/>
                          <w:jc w:val="center"/>
                          <w:rPr>
                            <w:b/>
                            <w:color w:val="FFFFFF"/>
                            <w:sz w:val="16"/>
                            <w:szCs w:val="16"/>
                          </w:rPr>
                        </w:pPr>
                        <w:r>
                          <w:rPr>
                            <w:b/>
                            <w:color w:val="FFFFFF"/>
                            <w:sz w:val="16"/>
                            <w:szCs w:val="16"/>
                          </w:rPr>
                          <w:t>Finansinės priemonės valdytojas</w:t>
                        </w:r>
                      </w:p>
                    </w:txbxContent>
                  </v:textbox>
                </v:roundrect>
                <v:roundrect id="_x0000_s1047" style="position:absolute;left:41054;top:24980;width:1424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hGMYA&#10;AADcAAAADwAAAGRycy9kb3ducmV2LnhtbESP0WrCQBRE34X+w3ILvohuKlYkZiPSNsWHtmD0Ay7Z&#10;axKavZtmtzH+vSsIPg4zc4ZJNoNpRE+dqy0reJlFIIgLq2suFRwP2XQFwnlkjY1lUnAhB5v0aZRg&#10;rO2Z99TnvhQBwi5GBZX3bSylKyoy6Ga2JQ7eyXYGfZBdKXWH5wA3jZxH0VIarDksVNjSW0XFb/5v&#10;FPSv7+3HZbuTmB0/3d9XNjHf+Y9S4+dhuwbhafCP8L290woWywX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hGMYAAADcAAAADwAAAAAAAAAAAAAAAACYAgAAZHJz&#10;L2Rvd25yZXYueG1sUEsFBgAAAAAEAAQA9QAAAIsDAAAAAA==&#10;" fillcolor="#e36c0a" strokecolor="#974706">
                  <v:stroke dashstyle="dash"/>
                  <v:textbox>
                    <w:txbxContent>
                      <w:p w14:paraId="4A16F55B" w14:textId="77777777" w:rsidR="00D1128E" w:rsidRDefault="00D1128E" w:rsidP="00336C16">
                        <w:pPr>
                          <w:spacing w:after="0" w:line="240" w:lineRule="auto"/>
                          <w:jc w:val="center"/>
                          <w:rPr>
                            <w:b/>
                            <w:color w:val="FFFFFF"/>
                            <w:sz w:val="16"/>
                            <w:szCs w:val="16"/>
                          </w:rPr>
                        </w:pPr>
                        <w:r>
                          <w:rPr>
                            <w:b/>
                            <w:color w:val="FFFFFF"/>
                            <w:sz w:val="16"/>
                            <w:szCs w:val="16"/>
                          </w:rPr>
                          <w:t>Finansinis tarpininkas</w:t>
                        </w:r>
                      </w:p>
                    </w:txbxContent>
                  </v:textbox>
                </v:roundrect>
                <v:roundrect id="_x0000_s1048" style="position:absolute;left:41104;top:11710;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h+sIA&#10;AADcAAAADwAAAGRycy9kb3ducmV2LnhtbESPQWsCMRSE7wX/Q3hCbzWr6CKrUUQqeGtXxfNj80wW&#10;Ny/LJnW3/fWNUOhxmJlvmPV2cI14UBdqzwqmkwwEceV1zUbB5Xx4W4IIEVlj45kUfFOA7Wb0ssZC&#10;+55LepyiEQnCoUAFNsa2kDJUlhyGiW+Jk3fzncOYZGek7rBPcNfIWZbl0mHNacFiS3tL1f305RQY&#10;bXfl54cp3zMzD5eYz/Cnvyr1Oh52KxCRhvgf/msftYJ5voD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eH6wgAAANwAAAAPAAAAAAAAAAAAAAAAAJgCAABkcnMvZG93&#10;bnJldi54bWxQSwUGAAAAAAQABAD1AAAAhwMAAAAA&#10;" fillcolor="#e36c0a" strokecolor="#974706">
                  <v:textbox>
                    <w:txbxContent>
                      <w:p w14:paraId="4F2E6EEC" w14:textId="77777777" w:rsidR="00D1128E" w:rsidRDefault="00D1128E" w:rsidP="00336C16">
                        <w:pPr>
                          <w:spacing w:after="0" w:line="240" w:lineRule="auto"/>
                          <w:jc w:val="center"/>
                          <w:rPr>
                            <w:b/>
                            <w:color w:val="FFFFFF"/>
                            <w:sz w:val="16"/>
                            <w:szCs w:val="16"/>
                          </w:rPr>
                        </w:pPr>
                        <w:r>
                          <w:rPr>
                            <w:b/>
                            <w:color w:val="FFFFFF"/>
                            <w:sz w:val="16"/>
                            <w:szCs w:val="16"/>
                          </w:rPr>
                          <w:t>Fondų fondas</w:t>
                        </w:r>
                      </w:p>
                    </w:txbxContent>
                  </v:textbox>
                </v:roundrect>
                <v:oval id="_x0000_s1049" style="position:absolute;left:23810;top:15915;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UUsYA&#10;AADcAAAADwAAAGRycy9kb3ducmV2LnhtbESPQWvCQBSE70L/w/KE3nSjBJWYTSilRcWD1HrQ22v2&#10;NQnNvg3ZbUz/fVcQPA4z8w2T5oNpRE+dqy0rmE0jEMSF1TWXCk6f75MVCOeRNTaWScEfOcizp1GK&#10;ibZX/qD+6EsRIOwSVFB53yZSuqIig25qW+LgfdvOoA+yK6Xu8BrgppHzKFpIgzWHhQpbeq2o+Dn+&#10;GgXzy+Fr3+7izdnHrtnsdxGutm9KPY+HlzUIT4N/hO/trVYQL5ZwOx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UUsYAAADcAAAADwAAAAAAAAAAAAAAAACYAgAAZHJz&#10;L2Rvd25yZXYueG1sUEsFBgAAAAAEAAQA9QAAAIsDAAAAAA==&#10;" fillcolor="#ffc000" strokecolor="#974706">
                  <v:textbox>
                    <w:txbxContent>
                      <w:p w14:paraId="268CC852" w14:textId="77777777" w:rsidR="00D1128E" w:rsidRPr="00873719" w:rsidRDefault="00D1128E" w:rsidP="001A5AF6">
                        <w:pPr>
                          <w:jc w:val="center"/>
                          <w:rPr>
                            <w:b/>
                            <w:color w:val="FFFFFF"/>
                            <w:lang w:val="lt-LT"/>
                          </w:rPr>
                        </w:pPr>
                        <w:r>
                          <w:rPr>
                            <w:b/>
                            <w:color w:val="FFFFFF"/>
                            <w:sz w:val="18"/>
                            <w:lang w:val="lt-LT"/>
                          </w:rPr>
                          <w:t>Finansinė priemonė</w:t>
                        </w:r>
                      </w:p>
                      <w:p w14:paraId="01EDB71A" w14:textId="77777777" w:rsidR="00D1128E" w:rsidRPr="00873719" w:rsidRDefault="00D1128E" w:rsidP="00336C16">
                        <w:pPr>
                          <w:jc w:val="center"/>
                          <w:rPr>
                            <w:b/>
                            <w:color w:val="FFFFFF"/>
                            <w:lang w:val="lt-LT"/>
                          </w:rPr>
                        </w:pPr>
                      </w:p>
                    </w:txbxContent>
                  </v:textbox>
                </v:oval>
                <v:shapetype id="_x0000_t32" coordsize="21600,21600" o:spt="32" o:oned="t" path="m,l21600,21600e" filled="f">
                  <v:path arrowok="t" fillok="f" o:connecttype="none"/>
                  <o:lock v:ext="edit" shapetype="t"/>
                </v:shapetype>
                <v:shape id="AutoShape 22" o:spid="_x0000_s1050" type="#_x0000_t32" style="position:absolute;left:10047;top:9769;width:17;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AutoShape 23" o:spid="_x0000_s1051" type="#_x0000_t32" style="position:absolute;left:10014;top:22393;width:50;height:7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1LsEAAADcAAAADwAAAGRycy9kb3ducmV2LnhtbERPz2vCMBS+C/sfwht403Ti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rUuwQAAANwAAAAPAAAAAAAAAAAAAAAA&#10;AKECAABkcnMvZG93bnJldi54bWxQSwUGAAAAAAQABAD5AAAAjwMAAAAA&#10;">
                  <v:stroke endarrow="block"/>
                </v:shape>
                <v:shape id="AutoShape 24" o:spid="_x0000_s1052" type="#_x0000_t32" style="position:absolute;left:29511;top:22359;width:4;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shape id="AutoShape 25" o:spid="_x0000_s1053" type="#_x0000_t32" style="position:absolute;left:29489;top:27993;width:26;height:1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OwsMAAADcAAAADwAAAGRycy9kb3ducmV2LnhtbESPQWsCMRSE7wX/Q3iCt5pVbJ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jsLDAAAA3AAAAA8AAAAAAAAAAAAA&#10;AAAAoQIAAGRycy9kb3ducmV2LnhtbFBLBQYAAAAABAAEAPkAAACRAwAAAAA=&#10;">
                  <v:stroke endarrow="block"/>
                </v:shape>
                <v:shape id="AutoShape 26" o:spid="_x0000_s1054" type="#_x0000_t32" style="position:absolute;left:29511;top:9769;width:4;height:6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4/b8AAADaAAAADwAAAGRycy9kb3ducmV2LnhtbERPTWvDMAy9D/ofjAq7Lc4KGyOLW7pC&#10;oexS1hXao4i1xDSWQ+zFyb+vA4OdxON9qtyMthUD9d44VvCc5SCIK6cN1wrO3/unNxA+IGtsHZOC&#10;iTxs1ouHEgvtIn/RcAq1SCHsC1TQhNAVUvqqIYs+cx1x4n5cbzEk2NdS9xhTuG3lKs9fpUXDqaHB&#10;jnYNVbfTr1Vg4tEM3WEXPz4vV68jmenFGaUel+P2HUSgMfyL/9wHnebD/Mp85f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i4/b8AAADaAAAADwAAAAAAAAAAAAAAAACh&#10;AgAAZHJzL2Rvd25yZXYueG1sUEsFBgAAAAAEAAQA+QAAAI0DAAAAAA==&#10;">
                  <v:stroke endarrow="block"/>
                </v:shape>
                <v:shape id="AutoShape 27" o:spid="_x0000_s1055" type="#_x0000_t32" style="position:absolute;left:48194;top:14130;width:28;height:1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misAAAADaAAAADwAAAGRycy9kb3ducmV2LnhtbESPT4vCMBTE78J+h/AW9qapgiLVKCos&#10;iBfxD+weH82zDTYvpck29dtvBMHjMDO/YZbr3taio9YbxwrGowwEceG04VLB9fI9nIPwAVlj7ZgU&#10;PMjDevUxWGKuXeQTdedQigRhn6OCKoQml9IXFVn0I9cQJ+/mWoshybaUusWY4LaWkyybSYuG00KF&#10;De0qKu7nP6vAxKPpmv0ubg8/v15HMo+pM0p9ffabBYhAfXiHX+29VjCB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JorAAAAA2gAAAA8AAAAAAAAAAAAAAAAA&#10;oQIAAGRycy9kb3ducmV2LnhtbFBLBQYAAAAABAAEAPkAAACOAwAAAAA=&#10;">
                  <v:stroke endarrow="block"/>
                </v:shape>
                <v:shape id="AutoShape 28" o:spid="_x0000_s1056" type="#_x0000_t32" style="position:absolute;left:48176;top:22411;width:18;height:2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AutoShape 29" o:spid="_x0000_s1057" type="#_x0000_t32" style="position:absolute;left:48163;top:27401;width:13;height:24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IwcQAAADcAAAADwAAAGRycy9kb3ducmV2LnhtbESPS2vDMBCE74X8B7GB3ho5p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4jBxAAAANwAAAAPAAAAAAAAAAAA&#10;AAAAAKECAABkcnMvZG93bnJldi54bWxQSwUGAAAAAAQABAD5AAAAkgMAAAAA&#10;">
                  <v:stroke endarrow="block"/>
                </v:shape>
                <v:shape id="AutoShape 30" o:spid="_x0000_s1058" type="#_x0000_t32" style="position:absolute;left:48176;top:27401;width:34;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roundrect id="_x0000_s1059" style="position:absolute;left:2929;top:1800;width:14232;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gfsEA&#10;AADcAAAADwAAAGRycy9kb3ducmV2LnhtbERPz2vCMBS+D/wfwhN2m+lkdNI1lSkWdtPVXbw9mre2&#10;rHmpSVbrf28OgseP73e+nkwvRnK+s6zgdZGAIK6t7rhR8HMsX1YgfEDW2FsmBVfysC5mTzlm2l74&#10;m8YqNCKGsM9QQRvCkEnp65YM+oUdiCP3a53BEKFrpHZ4ieGml8skSaXBjmNDiwNtW6r/qn+j4Ny5&#10;Tbm17lCnabU7+v2px+Gk1PN8+vwAEWgKD/Hd/aUVvL3HtfFMPAK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IH7BAAAA3AAAAA8AAAAAAAAAAAAAAAAAmAIAAGRycy9kb3du&#10;cmV2LnhtbFBLBQYAAAAABAAEAPUAAACGAwAAAAA=&#10;" fillcolor="white [3201]" strokecolor="#f79646 [3209]" strokeweight="2pt">
                  <v:textbox>
                    <w:txbxContent>
                      <w:p w14:paraId="73A0F53E" w14:textId="77777777" w:rsidR="00D1128E" w:rsidRDefault="00D1128E" w:rsidP="00336C16">
                        <w:pPr>
                          <w:pStyle w:val="prastasistinklapis"/>
                          <w:jc w:val="center"/>
                        </w:pPr>
                        <w:r>
                          <w:rPr>
                            <w:rFonts w:ascii="Calibri" w:eastAsia="Calibri" w:hAnsi="Calibri"/>
                            <w:b/>
                            <w:bCs/>
                            <w:sz w:val="16"/>
                            <w:szCs w:val="16"/>
                            <w:lang w:val="en-US"/>
                          </w:rPr>
                          <w:t>I STRUKTŪRA</w:t>
                        </w:r>
                      </w:p>
                    </w:txbxContent>
                  </v:textbox>
                </v:roundrect>
                <v:roundrect id="_x0000_s1060" style="position:absolute;left:21941;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F5cQA&#10;AADcAAAADwAAAGRycy9kb3ducmV2LnhtbESPQWvCQBSE70L/w/IK3nRTKbFNXUMbKvRWTXrx9sg+&#10;k2D2bbq7avz33YLgcZiZb5hVPppenMn5zrKCp3kCgri2uuNGwU+1mb2A8AFZY2+ZFFzJQ75+mKww&#10;0/bCOzqXoRERwj5DBW0IQyalr1sy6Od2II7ewTqDIUrXSO3wEuGml4skSaXBjuNCiwMVLdXH8mQU&#10;/HbuY1NYt63TtPys/Pe+x2Gv1PRxfH8DEWgM9/Ct/aUVPC9f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heXEAAAA3AAAAA8AAAAAAAAAAAAAAAAAmAIAAGRycy9k&#10;b3ducmV2LnhtbFBLBQYAAAAABAAEAPUAAACJAwAAAAA=&#10;" fillcolor="white [3201]" strokecolor="#f79646 [3209]" strokeweight="2pt">
                  <v:textbox>
                    <w:txbxContent>
                      <w:p w14:paraId="28514968" w14:textId="77777777" w:rsidR="00D1128E" w:rsidRDefault="00D1128E" w:rsidP="00336C16">
                        <w:pPr>
                          <w:pStyle w:val="prastasistinklapis"/>
                          <w:jc w:val="center"/>
                        </w:pPr>
                        <w:r>
                          <w:rPr>
                            <w:rFonts w:ascii="Calibri" w:eastAsia="Calibri" w:hAnsi="Calibri"/>
                            <w:b/>
                            <w:bCs/>
                            <w:sz w:val="16"/>
                            <w:szCs w:val="16"/>
                          </w:rPr>
                          <w:t>II STRUKTŪRA</w:t>
                        </w:r>
                      </w:p>
                    </w:txbxContent>
                  </v:textbox>
                </v:roundrect>
                <v:roundrect id="_x0000_s1061" style="position:absolute;left:4110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MA&#10;AADbAAAADwAAAGRycy9kb3ducmV2LnhtbESPwWrDMBBE74H8g9hAb7GcFExwo4Q2NNBbU7sX3xZr&#10;a5taK0dSbffvq0Ahx2Fm3jD742x6MZLznWUFmyQFQVxb3XGj4LM8r3cgfEDW2FsmBb/k4XhYLvaY&#10;azvxB41FaESEsM9RQRvCkEvp65YM+sQOxNH7ss5giNI1UjucItz0cpummTTYcVxocaBTS/V38WMU&#10;XDv3cj5Zd6mzrHgt/XvV41Ap9bCan59ABJrDPfzfftMKHrdw+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o/cMAAADbAAAADwAAAAAAAAAAAAAAAACYAgAAZHJzL2Rv&#10;d25yZXYueG1sUEsFBgAAAAAEAAQA9QAAAIgDAAAAAA==&#10;" fillcolor="white [3201]" strokecolor="#f79646 [3209]" strokeweight="2pt">
                  <v:textbox>
                    <w:txbxContent>
                      <w:p w14:paraId="4EB8B44A" w14:textId="77777777" w:rsidR="00D1128E" w:rsidRDefault="00D1128E" w:rsidP="00336C16">
                        <w:pPr>
                          <w:pStyle w:val="prastasistinklapis"/>
                          <w:jc w:val="center"/>
                        </w:pPr>
                        <w:r>
                          <w:rPr>
                            <w:rFonts w:ascii="Calibri" w:eastAsia="Calibri" w:hAnsi="Calibri"/>
                            <w:b/>
                            <w:bCs/>
                            <w:sz w:val="16"/>
                            <w:szCs w:val="16"/>
                          </w:rPr>
                          <w:t>III STRUKTŪRA</w:t>
                        </w:r>
                      </w:p>
                    </w:txbxContent>
                  </v:textbox>
                </v:roundrect>
                <v:shape id="AutoShape 26" o:spid="_x0000_s1062" type="#_x0000_t32" style="position:absolute;left:48210;top:9769;width:12;height:1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oval id="Oval 165" o:spid="_x0000_s1063" style="position:absolute;left:4365;top:15954;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MOsMA&#10;AADcAAAADwAAAGRycy9kb3ducmV2LnhtbERPTWvCQBC9C/6HZYTedGNIRWJWKdJixENRe6i3MTsm&#10;odnZkN1q+u9doeBtHu9zslVvGnGlztWWFUwnEQjiwuqaSwVfx4/xHITzyBoby6TgjxyslsNBhqm2&#10;N97T9eBLEULYpaig8r5NpXRFRQbdxLbEgbvYzqAPsCul7vAWwk0j4yiaSYM1h4YKW1pXVPwcfo2C&#10;+PR53rXbZPPtE9dsdtsI5/m7Ui+j/m0BwlPvn+J/d67D/Nkr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5MOsMAAADcAAAADwAAAAAAAAAAAAAAAACYAgAAZHJzL2Rv&#10;d25yZXYueG1sUEsFBgAAAAAEAAQA9QAAAIgDAAAAAA==&#10;" fillcolor="#ffc000" strokecolor="#974706">
                  <v:textbox>
                    <w:txbxContent>
                      <w:p w14:paraId="776FB9DE"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43A7E6D"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v:oval id="_x0000_s1064" style="position:absolute;left:42495;top:15972;width:11399;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STcQA&#10;AADcAAAADwAAAGRycy9kb3ducmV2LnhtbERPTWvCQBC9F/oflil4qxuDBIluQpGWKB5K1YPeptlp&#10;EpqdDdk1Sf99t1DwNo/3OZt8Mq0YqHeNZQWLeQSCuLS64UrB+fT2vALhPLLG1jIp+CEHefb4sMFU&#10;25E/aDj6SoQQdikqqL3vUildWZNBN7cdceC+bG/QB9hXUvc4hnDTyjiKEmmw4dBQY0fbmsrv480o&#10;iK/vn4duvywufuna4rCPcLV7VWr2NL2sQXia/F38797pMD9J4O+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0k3EAAAA3AAAAA8AAAAAAAAAAAAAAAAAmAIAAGRycy9k&#10;b3ducmV2LnhtbFBLBQYAAAAABAAEAPUAAACJAwAAAAA=&#10;" fillcolor="#ffc000" strokecolor="#974706">
                  <v:textbox>
                    <w:txbxContent>
                      <w:p w14:paraId="5621665E"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5A61093A" w14:textId="77777777" w:rsidR="00D1128E" w:rsidRDefault="00D1128E"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w10:anchorlock/>
              </v:group>
            </w:pict>
          </mc:Fallback>
        </mc:AlternateContent>
      </w:r>
    </w:p>
    <w:p w14:paraId="6E41987A" w14:textId="3943587C" w:rsidR="00931CAF" w:rsidRPr="00C97275" w:rsidRDefault="00931CAF" w:rsidP="00931CAF">
      <w:pPr>
        <w:pStyle w:val="Antrat"/>
        <w:rPr>
          <w:lang w:val="lt-LT"/>
        </w:rPr>
      </w:pPr>
      <w:bookmarkStart w:id="21" w:name="_Toc19105287"/>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3</w:t>
      </w:r>
      <w:r w:rsidRPr="00C97275">
        <w:rPr>
          <w:lang w:val="lt-LT"/>
        </w:rPr>
        <w:fldChar w:fldCharType="end"/>
      </w:r>
      <w:r w:rsidRPr="00C97275">
        <w:rPr>
          <w:lang w:val="lt-LT"/>
        </w:rPr>
        <w:t>. Galimos finansinės priemonės įgyvendinimo struktūros.</w:t>
      </w:r>
      <w:bookmarkEnd w:id="21"/>
    </w:p>
    <w:p w14:paraId="658380BF" w14:textId="77777777" w:rsidR="00336C16" w:rsidRPr="00C97275" w:rsidRDefault="00873719" w:rsidP="00336C16">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Pirmoji</w:t>
      </w:r>
      <w:r w:rsidR="00336C16" w:rsidRPr="00C97275">
        <w:rPr>
          <w:rFonts w:ascii="Georgia" w:hAnsi="Georgia" w:cs="Arial"/>
          <w:color w:val="000000"/>
          <w:sz w:val="20"/>
          <w:szCs w:val="20"/>
          <w:lang w:val="lt-LT"/>
        </w:rPr>
        <w:t xml:space="preserve"> struktūra vadovaujančiai institucijai suteikia galimybę tiesiogiai įgyvendinti finansinę priemonę. Tai yra naudinga tais atvejais, kai jai reikia finansuoti didelių, pavienių projektų įgyvendinimą, nes leidžia sutaupyti daug laiko ir resursų dėl tiesioginio valdymo galimybės. Šios alternatyvos trūkumai</w:t>
      </w:r>
      <w:r w:rsidR="001C20A9" w:rsidRPr="00C97275">
        <w:rPr>
          <w:rFonts w:ascii="Georgia" w:hAnsi="Georgia" w:cs="Arial"/>
          <w:color w:val="000000"/>
          <w:sz w:val="20"/>
          <w:szCs w:val="20"/>
          <w:lang w:val="lt-LT"/>
        </w:rPr>
        <w:t xml:space="preserve"> – </w:t>
      </w:r>
      <w:r w:rsidR="00336C16" w:rsidRPr="00C97275">
        <w:rPr>
          <w:rFonts w:ascii="Georgia" w:hAnsi="Georgia" w:cs="Arial"/>
          <w:color w:val="000000"/>
          <w:sz w:val="20"/>
          <w:szCs w:val="20"/>
          <w:lang w:val="lt-LT"/>
        </w:rPr>
        <w:t>ją</w:t>
      </w:r>
      <w:r w:rsidR="001C20A9" w:rsidRPr="00C97275">
        <w:rPr>
          <w:rFonts w:ascii="Georgia" w:hAnsi="Georgia" w:cs="Arial"/>
          <w:color w:val="000000"/>
          <w:sz w:val="20"/>
          <w:szCs w:val="20"/>
          <w:lang w:val="lt-LT"/>
        </w:rPr>
        <w:t xml:space="preserve"> </w:t>
      </w:r>
      <w:r w:rsidR="00336C16" w:rsidRPr="00C97275">
        <w:rPr>
          <w:rFonts w:ascii="Georgia" w:hAnsi="Georgia" w:cs="Arial"/>
          <w:color w:val="000000"/>
          <w:sz w:val="20"/>
          <w:szCs w:val="20"/>
          <w:lang w:val="lt-LT"/>
        </w:rPr>
        <w:t>sunku įgyvendinti praktikoje kai projektas turi daug galutinių paramos gavėjų, pavyzdžiui</w:t>
      </w:r>
      <w:r w:rsidR="001C20A9" w:rsidRPr="00C97275">
        <w:rPr>
          <w:rFonts w:ascii="Georgia" w:hAnsi="Georgia" w:cs="Arial"/>
          <w:color w:val="000000"/>
          <w:sz w:val="20"/>
          <w:szCs w:val="20"/>
          <w:lang w:val="lt-LT"/>
        </w:rPr>
        <w:t>,</w:t>
      </w:r>
      <w:r w:rsidR="00336C16" w:rsidRPr="00C97275">
        <w:rPr>
          <w:rFonts w:ascii="Georgia" w:hAnsi="Georgia" w:cs="Arial"/>
          <w:color w:val="000000"/>
          <w:sz w:val="20"/>
          <w:szCs w:val="20"/>
          <w:lang w:val="lt-LT"/>
        </w:rPr>
        <w:t xml:space="preserve"> daugiabučių </w:t>
      </w:r>
      <w:r w:rsidR="001C20A9" w:rsidRPr="00C97275">
        <w:rPr>
          <w:rFonts w:ascii="Georgia" w:hAnsi="Georgia" w:cs="Arial"/>
          <w:color w:val="000000"/>
          <w:sz w:val="20"/>
          <w:szCs w:val="20"/>
          <w:lang w:val="lt-LT"/>
        </w:rPr>
        <w:t xml:space="preserve">modernizavimo </w:t>
      </w:r>
      <w:r w:rsidR="00336C16" w:rsidRPr="00C97275">
        <w:rPr>
          <w:rFonts w:ascii="Georgia" w:hAnsi="Georgia" w:cs="Arial"/>
          <w:color w:val="000000"/>
          <w:sz w:val="20"/>
          <w:szCs w:val="20"/>
          <w:lang w:val="lt-LT"/>
        </w:rPr>
        <w:t xml:space="preserve">atveju, taip pat visas funkcijas turi atlikti pati vadovaujančioji institucija (tarp įgyvendinamų funkcijų būtina paminėti ir lėšų surinkimą paskolų atveju, kuris gali užsitęsti ilgiau nei konkretaus periodo išlaidų tinkamumo laikotarpis). Ši alternatyva turi labai ribotas galimybes užtikrinti papildomų lėšų pritraukimą. Šios alternatyvos atveju </w:t>
      </w:r>
      <w:r w:rsidR="001C20A9" w:rsidRPr="00C97275">
        <w:rPr>
          <w:rFonts w:ascii="Georgia" w:hAnsi="Georgia" w:cs="Arial"/>
          <w:color w:val="000000"/>
          <w:sz w:val="20"/>
          <w:szCs w:val="20"/>
          <w:lang w:val="lt-LT"/>
        </w:rPr>
        <w:t>v</w:t>
      </w:r>
      <w:r w:rsidR="00336C16" w:rsidRPr="00C97275">
        <w:rPr>
          <w:rFonts w:ascii="Georgia" w:hAnsi="Georgia" w:cs="Arial"/>
          <w:color w:val="000000"/>
          <w:sz w:val="20"/>
          <w:szCs w:val="20"/>
          <w:lang w:val="lt-LT"/>
        </w:rPr>
        <w:t>adovaujančioji institucija yra laikoma paramos gavėju.</w:t>
      </w:r>
    </w:p>
    <w:p w14:paraId="00EF061E"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p>
    <w:p w14:paraId="6CCA617F"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Pagal antrą</w:t>
      </w:r>
      <w:r w:rsidR="001C20A9" w:rsidRPr="00C97275">
        <w:rPr>
          <w:rFonts w:ascii="Georgia" w:hAnsi="Georgia" w:cs="Arial"/>
          <w:color w:val="000000"/>
          <w:sz w:val="20"/>
          <w:szCs w:val="20"/>
          <w:lang w:val="lt-LT"/>
        </w:rPr>
        <w:t>ją</w:t>
      </w:r>
      <w:r w:rsidRPr="00C97275">
        <w:rPr>
          <w:rFonts w:ascii="Georgia" w:hAnsi="Georgia" w:cs="Arial"/>
          <w:color w:val="000000"/>
          <w:sz w:val="20"/>
          <w:szCs w:val="20"/>
          <w:lang w:val="lt-LT"/>
        </w:rPr>
        <w:t xml:space="preserve"> struktūrą finansinė priemonė yra įgyvendinama per finansinių priemonių valdytojus. Vadovaujančioji institucija pastaruosius atrenka, t.y. paveda vykdyti tam tikras užduotis aukščiau nurodytais </w:t>
      </w:r>
      <w:r w:rsidR="00E731B2" w:rsidRPr="00C97275">
        <w:rPr>
          <w:rFonts w:ascii="Georgia" w:hAnsi="Georgia" w:cs="Arial"/>
          <w:color w:val="000000"/>
          <w:sz w:val="20"/>
          <w:szCs w:val="20"/>
          <w:lang w:val="lt-LT"/>
        </w:rPr>
        <w:t xml:space="preserve">Bendrųjų </w:t>
      </w:r>
      <w:r w:rsidRPr="00C97275">
        <w:rPr>
          <w:rFonts w:ascii="Georgia" w:hAnsi="Georgia" w:cs="Arial"/>
          <w:color w:val="000000"/>
          <w:sz w:val="20"/>
          <w:szCs w:val="20"/>
          <w:lang w:val="lt-LT"/>
        </w:rPr>
        <w:t>nuostatų reglamento 38</w:t>
      </w:r>
      <w:r w:rsidR="001C20A9" w:rsidRPr="00C97275">
        <w:rPr>
          <w:rFonts w:ascii="Georgia" w:hAnsi="Georgia" w:cs="Arial"/>
          <w:color w:val="000000"/>
          <w:sz w:val="20"/>
          <w:szCs w:val="20"/>
          <w:lang w:val="lt-LT"/>
        </w:rPr>
        <w:t>.</w:t>
      </w:r>
      <w:r w:rsidRPr="00C97275">
        <w:rPr>
          <w:rFonts w:ascii="Georgia" w:hAnsi="Georgia" w:cs="Arial"/>
          <w:color w:val="000000"/>
          <w:sz w:val="20"/>
          <w:szCs w:val="20"/>
          <w:lang w:val="lt-LT"/>
        </w:rPr>
        <w:t>4</w:t>
      </w:r>
      <w:r w:rsidR="001C20A9" w:rsidRPr="00C97275">
        <w:rPr>
          <w:rFonts w:ascii="Georgia" w:hAnsi="Georgia" w:cs="Arial"/>
          <w:color w:val="000000"/>
          <w:sz w:val="20"/>
          <w:szCs w:val="20"/>
          <w:lang w:val="lt-LT"/>
        </w:rPr>
        <w:t xml:space="preserve"> (a) – (c) </w:t>
      </w:r>
      <w:r w:rsidRPr="00C97275">
        <w:rPr>
          <w:rFonts w:ascii="Georgia" w:hAnsi="Georgia" w:cs="Arial"/>
          <w:color w:val="000000"/>
          <w:sz w:val="20"/>
          <w:szCs w:val="20"/>
          <w:lang w:val="lt-LT"/>
        </w:rPr>
        <w:t>punkt</w:t>
      </w:r>
      <w:r w:rsidR="001C20A9" w:rsidRPr="00C97275">
        <w:rPr>
          <w:rFonts w:ascii="Georgia" w:hAnsi="Georgia" w:cs="Arial"/>
          <w:color w:val="000000"/>
          <w:sz w:val="20"/>
          <w:szCs w:val="20"/>
          <w:lang w:val="lt-LT"/>
        </w:rPr>
        <w:t>uose</w:t>
      </w:r>
      <w:r w:rsidRPr="00C97275">
        <w:rPr>
          <w:rFonts w:ascii="Georgia" w:hAnsi="Georgia" w:cs="Arial"/>
          <w:color w:val="000000"/>
          <w:sz w:val="20"/>
          <w:szCs w:val="20"/>
          <w:lang w:val="lt-LT"/>
        </w:rPr>
        <w:t xml:space="preserve"> nurodytais būdais. Pagrindinis jos apribojimas, kad vadovaujantis Bendr</w:t>
      </w:r>
      <w:r w:rsidR="00E731B2" w:rsidRPr="00C97275">
        <w:rPr>
          <w:rFonts w:ascii="Georgia" w:hAnsi="Georgia" w:cs="Arial"/>
          <w:color w:val="000000"/>
          <w:sz w:val="20"/>
          <w:szCs w:val="20"/>
          <w:lang w:val="lt-LT"/>
        </w:rPr>
        <w:t>ųjų</w:t>
      </w:r>
      <w:r w:rsidRPr="00C97275">
        <w:rPr>
          <w:rFonts w:ascii="Georgia" w:hAnsi="Georgia" w:cs="Arial"/>
          <w:color w:val="000000"/>
          <w:sz w:val="20"/>
          <w:szCs w:val="20"/>
          <w:lang w:val="lt-LT"/>
        </w:rPr>
        <w:t xml:space="preserve"> nuostatų reglamento 38</w:t>
      </w:r>
      <w:r w:rsidR="001C20A9" w:rsidRPr="00C97275">
        <w:rPr>
          <w:rFonts w:ascii="Georgia" w:hAnsi="Georgia" w:cs="Arial"/>
          <w:color w:val="000000"/>
          <w:sz w:val="20"/>
          <w:szCs w:val="20"/>
          <w:lang w:val="lt-LT"/>
        </w:rPr>
        <w:t>.</w:t>
      </w:r>
      <w:r w:rsidRPr="00C97275">
        <w:rPr>
          <w:rFonts w:ascii="Georgia" w:hAnsi="Georgia" w:cs="Arial"/>
          <w:color w:val="000000"/>
          <w:sz w:val="20"/>
          <w:szCs w:val="20"/>
          <w:lang w:val="lt-LT"/>
        </w:rPr>
        <w:t xml:space="preserve">5 </w:t>
      </w:r>
      <w:r w:rsidR="001C20A9" w:rsidRPr="00C97275">
        <w:rPr>
          <w:rFonts w:ascii="Georgia" w:hAnsi="Georgia" w:cs="Arial"/>
          <w:color w:val="000000"/>
          <w:sz w:val="20"/>
          <w:szCs w:val="20"/>
          <w:lang w:val="lt-LT"/>
        </w:rPr>
        <w:t xml:space="preserve">punktu </w:t>
      </w:r>
      <w:r w:rsidRPr="00C97275">
        <w:rPr>
          <w:rFonts w:ascii="Georgia" w:hAnsi="Georgia" w:cs="Arial"/>
          <w:color w:val="000000"/>
          <w:sz w:val="20"/>
          <w:szCs w:val="20"/>
          <w:lang w:val="lt-LT"/>
        </w:rPr>
        <w:t xml:space="preserve">nėra galimybės priemonės įgyvendinimui pasitelkti finansinių tarpininkų, tokia galimybė minima tik </w:t>
      </w:r>
      <w:r w:rsidR="001C20A9" w:rsidRPr="00C97275">
        <w:rPr>
          <w:rFonts w:ascii="Georgia" w:hAnsi="Georgia" w:cs="Arial"/>
          <w:color w:val="000000"/>
          <w:sz w:val="20"/>
          <w:szCs w:val="20"/>
          <w:lang w:val="lt-LT"/>
        </w:rPr>
        <w:t>f</w:t>
      </w:r>
      <w:r w:rsidRPr="00C97275">
        <w:rPr>
          <w:rFonts w:ascii="Georgia" w:hAnsi="Georgia" w:cs="Arial"/>
          <w:color w:val="000000"/>
          <w:sz w:val="20"/>
          <w:szCs w:val="20"/>
          <w:lang w:val="lt-LT"/>
        </w:rPr>
        <w:t xml:space="preserve">ondų fondo steigimo atveju. Ši alternatyva yra galimybė įgyvendinti finansinę priemonę kai viena institucija gali užtikrinti visos finansinės priemonės įgyvendinimą (projektų atranką ir finansavimą) ir kai tikėtinas papildomų lėšų pritraukimas gali būti užtikrinamas </w:t>
      </w:r>
      <w:r w:rsidR="009E2E51" w:rsidRPr="00C97275">
        <w:rPr>
          <w:rFonts w:ascii="Georgia" w:hAnsi="Georgia" w:cs="Arial"/>
          <w:color w:val="000000"/>
          <w:sz w:val="20"/>
          <w:szCs w:val="20"/>
          <w:lang w:val="lt-LT"/>
        </w:rPr>
        <w:t xml:space="preserve">tuo pačiu </w:t>
      </w:r>
      <w:r w:rsidRPr="00C97275">
        <w:rPr>
          <w:rFonts w:ascii="Georgia" w:hAnsi="Georgia" w:cs="Arial"/>
          <w:color w:val="000000"/>
          <w:sz w:val="20"/>
          <w:szCs w:val="20"/>
          <w:lang w:val="lt-LT"/>
        </w:rPr>
        <w:t xml:space="preserve">būdu. </w:t>
      </w:r>
    </w:p>
    <w:p w14:paraId="2B0B329C"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p>
    <w:p w14:paraId="67A15838" w14:textId="77777777" w:rsidR="00336C16" w:rsidRPr="00C97275" w:rsidRDefault="00336C16" w:rsidP="00336C16">
      <w:pPr>
        <w:autoSpaceDE w:val="0"/>
        <w:autoSpaceDN w:val="0"/>
        <w:adjustRightInd w:val="0"/>
        <w:spacing w:after="0"/>
        <w:jc w:val="both"/>
        <w:rPr>
          <w:rFonts w:ascii="Georgia" w:hAnsi="Georgia" w:cs="Arial"/>
          <w:color w:val="000000"/>
          <w:sz w:val="20"/>
          <w:szCs w:val="20"/>
          <w:lang w:val="lt-LT"/>
        </w:rPr>
      </w:pPr>
      <w:r w:rsidRPr="00C97275">
        <w:rPr>
          <w:rFonts w:ascii="Georgia" w:hAnsi="Georgia" w:cs="Arial"/>
          <w:color w:val="000000"/>
          <w:sz w:val="20"/>
          <w:szCs w:val="20"/>
          <w:lang w:val="lt-LT"/>
        </w:rPr>
        <w:t xml:space="preserve">Trečioji struktūra leidžia vadovaujančiai institucijai įgyvendinti finansinę priemonę pasinaudojant fondų fondo valdytojo pagalba. </w:t>
      </w:r>
      <w:r w:rsidR="009E2E51" w:rsidRPr="00C97275">
        <w:rPr>
          <w:rFonts w:ascii="Georgia" w:hAnsi="Georgia" w:cs="Arial"/>
          <w:color w:val="000000"/>
          <w:sz w:val="20"/>
          <w:szCs w:val="20"/>
          <w:lang w:val="lt-LT"/>
        </w:rPr>
        <w:t>Kaip nustatyta</w:t>
      </w:r>
      <w:r w:rsidRPr="00C97275">
        <w:rPr>
          <w:rFonts w:ascii="Georgia" w:hAnsi="Georgia" w:cs="Arial"/>
          <w:color w:val="000000"/>
          <w:sz w:val="20"/>
          <w:szCs w:val="20"/>
          <w:lang w:val="lt-LT"/>
        </w:rPr>
        <w:t xml:space="preserve"> Bendr</w:t>
      </w:r>
      <w:r w:rsidR="00E731B2" w:rsidRPr="00C97275">
        <w:rPr>
          <w:rFonts w:ascii="Georgia" w:hAnsi="Georgia" w:cs="Arial"/>
          <w:color w:val="000000"/>
          <w:sz w:val="20"/>
          <w:szCs w:val="20"/>
          <w:lang w:val="lt-LT"/>
        </w:rPr>
        <w:t>ųjų</w:t>
      </w:r>
      <w:r w:rsidRPr="00C97275">
        <w:rPr>
          <w:rFonts w:ascii="Georgia" w:hAnsi="Georgia" w:cs="Arial"/>
          <w:color w:val="000000"/>
          <w:sz w:val="20"/>
          <w:szCs w:val="20"/>
          <w:lang w:val="lt-LT"/>
        </w:rPr>
        <w:t xml:space="preserve"> nuostatų reglamento 38.4(b)</w:t>
      </w:r>
      <w:r w:rsidR="009E2E51" w:rsidRPr="00C97275">
        <w:rPr>
          <w:rFonts w:ascii="Georgia" w:hAnsi="Georgia" w:cs="Arial"/>
          <w:color w:val="000000"/>
          <w:sz w:val="20"/>
          <w:szCs w:val="20"/>
          <w:lang w:val="lt-LT"/>
        </w:rPr>
        <w:t xml:space="preserve"> punkte, </w:t>
      </w:r>
      <w:r w:rsidRPr="00C97275">
        <w:rPr>
          <w:rFonts w:ascii="Georgia" w:hAnsi="Georgia" w:cs="Arial"/>
          <w:color w:val="000000"/>
          <w:sz w:val="20"/>
          <w:szCs w:val="20"/>
          <w:lang w:val="lt-LT"/>
        </w:rPr>
        <w:t>vadovaujančiajai institucijai yra sudarytos kelios galimybės atrinkti fondų fondo valdytoją</w:t>
      </w:r>
      <w:r w:rsidR="009E2E51" w:rsidRPr="00C97275">
        <w:rPr>
          <w:rFonts w:ascii="Georgia" w:hAnsi="Georgia" w:cs="Arial"/>
          <w:color w:val="000000"/>
          <w:sz w:val="20"/>
          <w:szCs w:val="20"/>
          <w:lang w:val="lt-LT"/>
        </w:rPr>
        <w:t xml:space="preserve">. </w:t>
      </w:r>
      <w:r w:rsidRPr="00C97275">
        <w:rPr>
          <w:rFonts w:ascii="Georgia" w:hAnsi="Georgia" w:cs="Arial"/>
          <w:color w:val="000000"/>
          <w:sz w:val="20"/>
          <w:szCs w:val="20"/>
          <w:lang w:val="lt-LT"/>
        </w:rPr>
        <w:t xml:space="preserve">Šios alternatyvos atveju yra plačiausios galimybės įgyvendinti ir derinti skirtingas finansines priemones pasitelkiant </w:t>
      </w:r>
      <w:r w:rsidR="009E2E51" w:rsidRPr="00C97275">
        <w:rPr>
          <w:rFonts w:ascii="Georgia" w:hAnsi="Georgia" w:cs="Arial"/>
          <w:color w:val="000000"/>
          <w:sz w:val="20"/>
          <w:szCs w:val="20"/>
          <w:lang w:val="lt-LT"/>
        </w:rPr>
        <w:t>f</w:t>
      </w:r>
      <w:r w:rsidRPr="00C97275">
        <w:rPr>
          <w:rFonts w:ascii="Georgia" w:hAnsi="Georgia" w:cs="Arial"/>
          <w:color w:val="000000"/>
          <w:sz w:val="20"/>
          <w:szCs w:val="20"/>
          <w:lang w:val="lt-LT"/>
        </w:rPr>
        <w:t xml:space="preserve">ondų fondo valdytoją. </w:t>
      </w:r>
      <w:r w:rsidR="009E2E51" w:rsidRPr="00C97275">
        <w:rPr>
          <w:rFonts w:ascii="Georgia" w:hAnsi="Georgia" w:cs="Arial"/>
          <w:color w:val="000000"/>
          <w:sz w:val="20"/>
          <w:szCs w:val="20"/>
          <w:lang w:val="lt-LT"/>
        </w:rPr>
        <w:t>Ši alternatyva taip pat leidžia</w:t>
      </w:r>
      <w:r w:rsidRPr="00C97275">
        <w:rPr>
          <w:rFonts w:ascii="Georgia" w:hAnsi="Georgia" w:cs="Arial"/>
          <w:color w:val="000000"/>
          <w:sz w:val="20"/>
          <w:szCs w:val="20"/>
          <w:lang w:val="lt-LT"/>
        </w:rPr>
        <w:t xml:space="preserve"> ieškoti tinkamiausio</w:t>
      </w:r>
      <w:r w:rsidR="009E2E51" w:rsidRPr="00C97275">
        <w:rPr>
          <w:rFonts w:ascii="Georgia" w:hAnsi="Georgia" w:cs="Arial"/>
          <w:color w:val="000000"/>
          <w:sz w:val="20"/>
          <w:szCs w:val="20"/>
          <w:lang w:val="lt-LT"/>
        </w:rPr>
        <w:t>s</w:t>
      </w:r>
      <w:r w:rsidRPr="00C97275">
        <w:rPr>
          <w:rFonts w:ascii="Georgia" w:hAnsi="Georgia" w:cs="Arial"/>
          <w:color w:val="000000"/>
          <w:sz w:val="20"/>
          <w:szCs w:val="20"/>
          <w:lang w:val="lt-LT"/>
        </w:rPr>
        <w:t xml:space="preserve"> konkrečios finansinės priemonės įgyvendinimo schemos, kadangi </w:t>
      </w:r>
      <w:r w:rsidR="009E2E51" w:rsidRPr="00C97275">
        <w:rPr>
          <w:rFonts w:ascii="Georgia" w:hAnsi="Georgia" w:cs="Arial"/>
          <w:color w:val="000000"/>
          <w:sz w:val="20"/>
          <w:szCs w:val="20"/>
          <w:lang w:val="lt-LT"/>
        </w:rPr>
        <w:t>f</w:t>
      </w:r>
      <w:r w:rsidRPr="00C97275">
        <w:rPr>
          <w:rFonts w:ascii="Georgia" w:hAnsi="Georgia" w:cs="Arial"/>
          <w:color w:val="000000"/>
          <w:sz w:val="20"/>
          <w:szCs w:val="20"/>
          <w:lang w:val="lt-LT"/>
        </w:rPr>
        <w:t>ondų fondo valdytojas gali finansines priemones įgyvendinti pats tiesiogiai arba dalį įgyvendinimo užduočių pavesti vykdyt</w:t>
      </w:r>
      <w:r w:rsidR="009E2E51" w:rsidRPr="00C97275">
        <w:rPr>
          <w:rFonts w:ascii="Georgia" w:hAnsi="Georgia" w:cs="Arial"/>
          <w:color w:val="000000"/>
          <w:sz w:val="20"/>
          <w:szCs w:val="20"/>
          <w:lang w:val="lt-LT"/>
        </w:rPr>
        <w:t>i</w:t>
      </w:r>
      <w:r w:rsidRPr="00C97275">
        <w:rPr>
          <w:rFonts w:ascii="Georgia" w:hAnsi="Georgia" w:cs="Arial"/>
          <w:color w:val="000000"/>
          <w:sz w:val="20"/>
          <w:szCs w:val="20"/>
          <w:lang w:val="lt-LT"/>
        </w:rPr>
        <w:t xml:space="preserve"> finansiniams tarpininkams</w:t>
      </w:r>
      <w:r w:rsidR="009E2E51" w:rsidRPr="00C97275">
        <w:rPr>
          <w:rFonts w:ascii="Georgia" w:hAnsi="Georgia" w:cs="Arial"/>
          <w:color w:val="000000"/>
          <w:sz w:val="20"/>
          <w:szCs w:val="20"/>
          <w:lang w:val="lt-LT"/>
        </w:rPr>
        <w:t xml:space="preserve"> (kaip tai numatyta Bendrųjų nuostatų reglamento 38.5 punkte), be to, fondų fondo valdytojas gali derinti skirtingas finansines priemones</w:t>
      </w:r>
      <w:r w:rsidRPr="00C97275">
        <w:rPr>
          <w:rFonts w:ascii="Georgia" w:hAnsi="Georgia" w:cs="Arial"/>
          <w:color w:val="000000"/>
          <w:sz w:val="20"/>
          <w:szCs w:val="20"/>
          <w:lang w:val="lt-LT"/>
        </w:rPr>
        <w:t xml:space="preserve">. Tiesioginis (be finansinių tarpininkų) užduočių </w:t>
      </w:r>
      <w:r w:rsidRPr="00C97275">
        <w:rPr>
          <w:rFonts w:ascii="Georgia" w:hAnsi="Georgia" w:cs="Arial"/>
          <w:color w:val="000000"/>
          <w:sz w:val="20"/>
          <w:szCs w:val="20"/>
          <w:lang w:val="lt-LT"/>
        </w:rPr>
        <w:lastRenderedPageBreak/>
        <w:t>vykdymas tikslingas tuomet, kai finansiniai tarpininkai nedalyvauja savo lėšomis, kai finansiniai tarpininkai nesuinteresuoti finansinės priemonės įgyvendinimu arba kai yra rinkos nepakankamumas, t.y. finansiniai tarpininkai nepadengia visos numatytos finansinės priemonės įgyvendinimo.</w:t>
      </w:r>
    </w:p>
    <w:p w14:paraId="33C25C79" w14:textId="77777777" w:rsidR="00336C16" w:rsidRPr="00C97275" w:rsidRDefault="00336C16" w:rsidP="00336C16">
      <w:pPr>
        <w:autoSpaceDE w:val="0"/>
        <w:autoSpaceDN w:val="0"/>
        <w:adjustRightInd w:val="0"/>
        <w:spacing w:after="0" w:line="240" w:lineRule="auto"/>
        <w:jc w:val="both"/>
        <w:rPr>
          <w:rFonts w:ascii="Georgia" w:hAnsi="Georgia" w:cs="Arial"/>
          <w:color w:val="000000"/>
          <w:sz w:val="20"/>
          <w:szCs w:val="20"/>
          <w:lang w:val="lt-LT"/>
        </w:rPr>
      </w:pPr>
    </w:p>
    <w:p w14:paraId="426258A9" w14:textId="77777777" w:rsidR="00336C16" w:rsidRPr="00C97275" w:rsidRDefault="00336C16" w:rsidP="00336C16">
      <w:pPr>
        <w:rPr>
          <w:rFonts w:ascii="Georgia" w:hAnsi="Georgia"/>
          <w:lang w:val="lt-LT"/>
        </w:rPr>
      </w:pPr>
      <w:r w:rsidRPr="00C97275">
        <w:rPr>
          <w:rFonts w:ascii="Georgia" w:hAnsi="Georgia"/>
          <w:lang w:val="lt-LT"/>
        </w:rPr>
        <w:br w:type="page"/>
      </w:r>
    </w:p>
    <w:p w14:paraId="65234B03" w14:textId="74BA2FA3" w:rsidR="005A0219" w:rsidRPr="00C97275" w:rsidRDefault="005A0219" w:rsidP="00162BF5">
      <w:pPr>
        <w:pStyle w:val="Antrat1"/>
        <w:numPr>
          <w:ilvl w:val="0"/>
          <w:numId w:val="76"/>
        </w:numPr>
        <w:ind w:left="426"/>
        <w:rPr>
          <w:rFonts w:eastAsia="Times New Roman"/>
          <w:lang w:val="lt-LT"/>
        </w:rPr>
      </w:pPr>
      <w:bookmarkStart w:id="22" w:name="_Toc25594642"/>
      <w:r w:rsidRPr="00C97275">
        <w:rPr>
          <w:rFonts w:eastAsia="Times New Roman"/>
          <w:lang w:val="lt-LT"/>
        </w:rPr>
        <w:lastRenderedPageBreak/>
        <w:t>Rinkos nepakankamumo analizė</w:t>
      </w:r>
      <w:bookmarkEnd w:id="22"/>
    </w:p>
    <w:p w14:paraId="1601A2C9" w14:textId="77777777" w:rsidR="005A0219" w:rsidRPr="00C97275" w:rsidRDefault="005A0219" w:rsidP="00162BF5">
      <w:pPr>
        <w:pStyle w:val="Antrat2"/>
        <w:numPr>
          <w:ilvl w:val="1"/>
          <w:numId w:val="69"/>
        </w:numPr>
        <w:ind w:left="851"/>
        <w:rPr>
          <w:rFonts w:ascii="Georgia" w:eastAsia="Times New Roman" w:hAnsi="Georgia"/>
          <w:lang w:val="lt-LT"/>
        </w:rPr>
      </w:pPr>
      <w:bookmarkStart w:id="23" w:name="_Toc25594643"/>
      <w:r w:rsidRPr="00C97275">
        <w:rPr>
          <w:rFonts w:ascii="Georgia" w:eastAsia="Times New Roman" w:hAnsi="Georgia"/>
          <w:lang w:val="lt-LT"/>
        </w:rPr>
        <w:t>Sektoriaus infrastruktūros, naudojamos viešųjų paslaugų teikimui, apžvalga</w:t>
      </w:r>
      <w:bookmarkEnd w:id="23"/>
    </w:p>
    <w:p w14:paraId="57CEB3B0" w14:textId="77777777" w:rsidR="005A0219" w:rsidRPr="00C97275" w:rsidRDefault="005A0219" w:rsidP="0063781D">
      <w:pPr>
        <w:keepNext/>
        <w:keepLines/>
        <w:numPr>
          <w:ilvl w:val="2"/>
          <w:numId w:val="2"/>
        </w:numPr>
        <w:spacing w:before="200" w:after="240" w:line="240" w:lineRule="auto"/>
        <w:ind w:left="851" w:hanging="851"/>
        <w:jc w:val="both"/>
        <w:outlineLvl w:val="1"/>
        <w:rPr>
          <w:rFonts w:ascii="Georgia" w:eastAsia="Times New Roman" w:hAnsi="Georgia" w:cs="Arial Unicode MS"/>
          <w:b/>
          <w:i/>
          <w:color w:val="821A1A"/>
          <w:sz w:val="28"/>
          <w:szCs w:val="28"/>
          <w:lang w:val="lt-LT"/>
        </w:rPr>
      </w:pPr>
      <w:bookmarkStart w:id="24" w:name="_Toc25594644"/>
      <w:r w:rsidRPr="00C97275">
        <w:rPr>
          <w:rFonts w:ascii="Georgia" w:eastAsia="Times New Roman" w:hAnsi="Georgia" w:cs="Arial Unicode MS"/>
          <w:b/>
          <w:i/>
          <w:color w:val="821A1A"/>
          <w:sz w:val="28"/>
          <w:szCs w:val="28"/>
          <w:lang w:val="lt-LT"/>
        </w:rPr>
        <w:t>Viešieji pastatai</w:t>
      </w:r>
      <w:bookmarkEnd w:id="24"/>
    </w:p>
    <w:p w14:paraId="2FD04965" w14:textId="6CC06094" w:rsidR="005A0219" w:rsidRPr="00C97275" w:rsidRDefault="005A0219" w:rsidP="00BA7CAB">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Remiantis Lietuvos Respublikos nekilnojamo turto registro įregistruotų statinių apskaitos duomenimis, 2017 m. sausio 1</w:t>
      </w:r>
      <w:r w:rsidR="00BA7CAB" w:rsidRPr="00C97275">
        <w:rPr>
          <w:rFonts w:ascii="Georgia" w:eastAsia="Georgia" w:hAnsi="Georgia" w:cs="Georgia"/>
          <w:sz w:val="20"/>
          <w:szCs w:val="20"/>
          <w:lang w:val="lt-LT"/>
        </w:rPr>
        <w:t xml:space="preserve"> </w:t>
      </w:r>
      <w:r w:rsidRPr="00C97275">
        <w:rPr>
          <w:rFonts w:ascii="Georgia" w:eastAsia="Georgia" w:hAnsi="Georgia" w:cs="Georgia"/>
          <w:sz w:val="20"/>
          <w:szCs w:val="20"/>
          <w:lang w:val="lt-LT"/>
        </w:rPr>
        <w:t>d. valstybei priklausė 5</w:t>
      </w:r>
      <w:r w:rsidR="00BA7CAB" w:rsidRPr="00C97275">
        <w:rPr>
          <w:rFonts w:ascii="Georgia" w:eastAsia="Georgia" w:hAnsi="Georgia" w:cs="Georgia"/>
          <w:sz w:val="20"/>
          <w:szCs w:val="20"/>
          <w:lang w:val="lt-LT"/>
        </w:rPr>
        <w:t xml:space="preserve"> </w:t>
      </w:r>
      <w:r w:rsidRPr="00C97275">
        <w:rPr>
          <w:rFonts w:ascii="Georgia" w:eastAsia="Georgia" w:hAnsi="Georgia" w:cs="Georgia"/>
          <w:sz w:val="20"/>
          <w:szCs w:val="20"/>
          <w:lang w:val="lt-LT"/>
        </w:rPr>
        <w:t>316 pastatai, savivaldybėms – 7 506 pastatai, kitiems savininkams – 28 499 pastatai. Taigi valstybei ir savivaldybėms nuosavybės teise priklauso apie 31 proc. visų viešųjų pastatų Lietuvoje.  Pagal pateiktus duomenis vidutinis valstybės ir savivaldybių nuosavybės teise valdomo pastato dydis yra apie</w:t>
      </w:r>
      <w:r w:rsidR="00BA7CAB" w:rsidRPr="00C97275">
        <w:rPr>
          <w:rFonts w:ascii="Georgia" w:eastAsia="Georgia" w:hAnsi="Georgia" w:cs="Georgia"/>
          <w:sz w:val="20"/>
          <w:szCs w:val="20"/>
          <w:lang w:val="lt-LT"/>
        </w:rPr>
        <w:t xml:space="preserve"> </w:t>
      </w:r>
      <w:r w:rsidRPr="00C97275">
        <w:rPr>
          <w:rFonts w:ascii="Georgia" w:eastAsia="Georgia" w:hAnsi="Georgia" w:cs="Georgia"/>
          <w:sz w:val="20"/>
          <w:szCs w:val="20"/>
          <w:lang w:val="lt-LT"/>
        </w:rPr>
        <w:t>1 209 m</w:t>
      </w:r>
      <w:r w:rsidRPr="00C97275">
        <w:rPr>
          <w:rFonts w:ascii="Georgia" w:eastAsia="Georgia" w:hAnsi="Georgia" w:cs="Georgia"/>
          <w:sz w:val="20"/>
          <w:szCs w:val="20"/>
          <w:vertAlign w:val="superscript"/>
          <w:lang w:val="lt-LT"/>
        </w:rPr>
        <w:t>2</w:t>
      </w:r>
      <w:r w:rsidRPr="00C97275">
        <w:rPr>
          <w:rFonts w:ascii="Georgia" w:eastAsia="Georgia" w:hAnsi="Georgia" w:cs="Georgia"/>
          <w:sz w:val="20"/>
          <w:szCs w:val="20"/>
          <w:lang w:val="lt-LT"/>
        </w:rPr>
        <w:t>. Centrinės valdžios ir savivaldybių pastatų fonde savivaldybių pastatai sudaro 59 proc., o centrinės valdžios pastatai – 41 proc.</w:t>
      </w:r>
    </w:p>
    <w:p w14:paraId="649C7517" w14:textId="67D51869" w:rsidR="005A0219" w:rsidRPr="00C97275" w:rsidRDefault="005A0219" w:rsidP="005A0219">
      <w:pPr>
        <w:spacing w:before="120" w:after="120" w:line="240" w:lineRule="auto"/>
        <w:rPr>
          <w:rFonts w:ascii="Georgia" w:eastAsia="PMingLiU" w:hAnsi="Georgia" w:cs="Georgia"/>
          <w:b/>
          <w:bCs/>
          <w:color w:val="A32020"/>
          <w:sz w:val="20"/>
          <w:szCs w:val="20"/>
          <w:lang w:val="lt-LT"/>
        </w:rPr>
      </w:pPr>
      <w:bookmarkStart w:id="25" w:name="_Toc455735500"/>
      <w:bookmarkStart w:id="26" w:name="_Toc19105218"/>
      <w:r w:rsidRPr="00C97275">
        <w:rPr>
          <w:rFonts w:ascii="Georgia" w:eastAsia="PMingLiU" w:hAnsi="Georgia" w:cs="Georgia"/>
          <w:b/>
          <w:bCs/>
          <w:color w:val="A32020"/>
          <w:sz w:val="20"/>
          <w:szCs w:val="20"/>
          <w:lang w:val="lt-LT"/>
        </w:rPr>
        <w:t xml:space="preserve">Lentelė </w:t>
      </w:r>
      <w:r w:rsidRPr="00C97275">
        <w:rPr>
          <w:rFonts w:ascii="Georgia" w:eastAsia="PMingLiU" w:hAnsi="Georgia" w:cs="Georgia"/>
          <w:b/>
          <w:bCs/>
          <w:color w:val="A32020"/>
          <w:sz w:val="20"/>
          <w:szCs w:val="20"/>
          <w:lang w:val="lt-LT"/>
        </w:rPr>
        <w:fldChar w:fldCharType="begin"/>
      </w:r>
      <w:r w:rsidRPr="00C97275">
        <w:rPr>
          <w:rFonts w:ascii="Georgia" w:eastAsia="PMingLiU" w:hAnsi="Georgia" w:cs="Georgia"/>
          <w:b/>
          <w:bCs/>
          <w:color w:val="A32020"/>
          <w:sz w:val="20"/>
          <w:szCs w:val="20"/>
          <w:lang w:val="lt-LT"/>
        </w:rPr>
        <w:instrText xml:space="preserve"> SEQ Lentelė \* ARABIC </w:instrText>
      </w:r>
      <w:r w:rsidRPr="00C97275">
        <w:rPr>
          <w:rFonts w:ascii="Georgia" w:eastAsia="PMingLiU" w:hAnsi="Georgia" w:cs="Georgia"/>
          <w:b/>
          <w:bCs/>
          <w:color w:val="A32020"/>
          <w:sz w:val="20"/>
          <w:szCs w:val="20"/>
          <w:lang w:val="lt-LT"/>
        </w:rPr>
        <w:fldChar w:fldCharType="separate"/>
      </w:r>
      <w:r w:rsidR="001028BC" w:rsidRPr="00C97275">
        <w:rPr>
          <w:rFonts w:ascii="Georgia" w:eastAsia="PMingLiU" w:hAnsi="Georgia" w:cs="Georgia"/>
          <w:b/>
          <w:bCs/>
          <w:noProof/>
          <w:color w:val="A32020"/>
          <w:sz w:val="20"/>
          <w:szCs w:val="20"/>
          <w:lang w:val="lt-LT"/>
        </w:rPr>
        <w:t>5</w:t>
      </w:r>
      <w:r w:rsidRPr="00C97275">
        <w:rPr>
          <w:rFonts w:ascii="Georgia" w:eastAsia="PMingLiU" w:hAnsi="Georgia" w:cs="Georgia"/>
          <w:b/>
          <w:bCs/>
          <w:color w:val="A32020"/>
          <w:sz w:val="20"/>
          <w:szCs w:val="20"/>
          <w:lang w:val="lt-LT"/>
        </w:rPr>
        <w:fldChar w:fldCharType="end"/>
      </w:r>
      <w:r w:rsidRPr="00C97275">
        <w:rPr>
          <w:rFonts w:ascii="Georgia" w:eastAsia="PMingLiU" w:hAnsi="Georgia" w:cs="Georgia"/>
          <w:b/>
          <w:bCs/>
          <w:color w:val="A32020"/>
          <w:sz w:val="20"/>
          <w:szCs w:val="20"/>
          <w:lang w:val="lt-LT"/>
        </w:rPr>
        <w:t>. Viešųjų pastatų skaičius ir tipai</w:t>
      </w:r>
      <w:bookmarkEnd w:id="25"/>
      <w:bookmarkEnd w:id="26"/>
    </w:p>
    <w:tbl>
      <w:tblPr>
        <w:tblStyle w:val="LightList-Accent21"/>
        <w:tblW w:w="5000" w:type="pct"/>
        <w:tblLayout w:type="fixed"/>
        <w:tblLook w:val="04A0" w:firstRow="1" w:lastRow="0" w:firstColumn="1" w:lastColumn="0" w:noHBand="0" w:noVBand="1"/>
      </w:tblPr>
      <w:tblGrid>
        <w:gridCol w:w="2120"/>
        <w:gridCol w:w="1155"/>
        <w:gridCol w:w="1327"/>
        <w:gridCol w:w="1170"/>
        <w:gridCol w:w="1152"/>
        <w:gridCol w:w="1190"/>
        <w:gridCol w:w="1128"/>
      </w:tblGrid>
      <w:tr w:rsidR="00CB4D9D" w:rsidRPr="00C97275" w14:paraId="11805D72" w14:textId="77777777" w:rsidTr="00F9357D">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1147" w:type="pct"/>
            <w:vMerge w:val="restart"/>
            <w:tcBorders>
              <w:top w:val="single" w:sz="8" w:space="0" w:color="D62E1C"/>
              <w:left w:val="single" w:sz="8" w:space="0" w:color="D62E1C"/>
              <w:bottom w:val="nil"/>
              <w:right w:val="nil"/>
            </w:tcBorders>
            <w:hideMark/>
          </w:tcPr>
          <w:p w14:paraId="6144E58B" w14:textId="77777777" w:rsidR="005A0219" w:rsidRPr="00C97275" w:rsidRDefault="005A0219" w:rsidP="005A0219">
            <w:pPr>
              <w:jc w:val="center"/>
              <w:rPr>
                <w:rFonts w:ascii="Georgia" w:eastAsia="Georgia" w:hAnsi="Georgia" w:cs="Arial Unicode MS"/>
                <w:sz w:val="18"/>
                <w:szCs w:val="18"/>
              </w:rPr>
            </w:pPr>
            <w:r w:rsidRPr="00C97275">
              <w:rPr>
                <w:rFonts w:ascii="Georgia" w:eastAsia="Georgia" w:hAnsi="Georgia" w:cs="Arial Unicode MS"/>
                <w:sz w:val="18"/>
                <w:szCs w:val="18"/>
              </w:rPr>
              <w:t>Pastatų paskirtis</w:t>
            </w:r>
          </w:p>
        </w:tc>
        <w:tc>
          <w:tcPr>
            <w:tcW w:w="1343" w:type="pct"/>
            <w:gridSpan w:val="2"/>
            <w:tcBorders>
              <w:top w:val="single" w:sz="8" w:space="0" w:color="D62E1C"/>
              <w:left w:val="nil"/>
              <w:bottom w:val="nil"/>
              <w:right w:val="nil"/>
            </w:tcBorders>
            <w:hideMark/>
          </w:tcPr>
          <w:p w14:paraId="2B26FECE"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Centrinės valdžios nuosavybė</w:t>
            </w:r>
          </w:p>
        </w:tc>
        <w:tc>
          <w:tcPr>
            <w:tcW w:w="1256" w:type="pct"/>
            <w:gridSpan w:val="2"/>
            <w:tcBorders>
              <w:top w:val="single" w:sz="8" w:space="0" w:color="D62E1C"/>
              <w:left w:val="nil"/>
              <w:bottom w:val="nil"/>
              <w:right w:val="nil"/>
            </w:tcBorders>
            <w:hideMark/>
          </w:tcPr>
          <w:p w14:paraId="120A019A"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Savivaldybių nuosavybė</w:t>
            </w:r>
          </w:p>
        </w:tc>
        <w:tc>
          <w:tcPr>
            <w:tcW w:w="1254" w:type="pct"/>
            <w:gridSpan w:val="2"/>
            <w:tcBorders>
              <w:top w:val="single" w:sz="8" w:space="0" w:color="D62E1C"/>
              <w:left w:val="nil"/>
              <w:bottom w:val="nil"/>
              <w:right w:val="single" w:sz="8" w:space="0" w:color="D62E1C"/>
            </w:tcBorders>
            <w:hideMark/>
          </w:tcPr>
          <w:p w14:paraId="24EC1F7A"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Kita nuosavybė</w:t>
            </w:r>
          </w:p>
        </w:tc>
      </w:tr>
      <w:tr w:rsidR="00CB4D9D" w:rsidRPr="00C97275" w14:paraId="084BEFED" w14:textId="77777777" w:rsidTr="00F9357D">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147" w:type="pct"/>
            <w:vMerge/>
            <w:tcBorders>
              <w:top w:val="single" w:sz="8" w:space="0" w:color="D62E1C"/>
              <w:left w:val="single" w:sz="8" w:space="0" w:color="D62E1C"/>
              <w:bottom w:val="nil"/>
              <w:right w:val="nil"/>
            </w:tcBorders>
            <w:vAlign w:val="center"/>
            <w:hideMark/>
          </w:tcPr>
          <w:p w14:paraId="048D94E4" w14:textId="77777777" w:rsidR="005A0219" w:rsidRPr="00C97275" w:rsidRDefault="005A0219" w:rsidP="005A0219">
            <w:pPr>
              <w:rPr>
                <w:rFonts w:ascii="Georgia" w:eastAsia="Georgia" w:hAnsi="Georgia" w:cs="Arial Unicode MS"/>
                <w:sz w:val="18"/>
                <w:szCs w:val="18"/>
              </w:rPr>
            </w:pPr>
          </w:p>
        </w:tc>
        <w:tc>
          <w:tcPr>
            <w:tcW w:w="625" w:type="pct"/>
            <w:tcBorders>
              <w:top w:val="nil"/>
              <w:left w:val="nil"/>
              <w:bottom w:val="nil"/>
              <w:right w:val="nil"/>
            </w:tcBorders>
            <w:hideMark/>
          </w:tcPr>
          <w:p w14:paraId="4695A454"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Skaičius, vnt.</w:t>
            </w:r>
          </w:p>
        </w:tc>
        <w:tc>
          <w:tcPr>
            <w:tcW w:w="717" w:type="pct"/>
            <w:tcBorders>
              <w:top w:val="nil"/>
              <w:left w:val="nil"/>
              <w:bottom w:val="nil"/>
              <w:right w:val="nil"/>
            </w:tcBorders>
            <w:hideMark/>
          </w:tcPr>
          <w:p w14:paraId="75CDF883"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vertAlign w:val="superscript"/>
              </w:rPr>
            </w:pPr>
            <w:r w:rsidRPr="00C97275">
              <w:rPr>
                <w:rFonts w:ascii="Georgia" w:eastAsia="Georgia" w:hAnsi="Georgia" w:cs="Arial Unicode MS"/>
                <w:sz w:val="18"/>
                <w:szCs w:val="18"/>
              </w:rPr>
              <w:t>Plotas, m</w:t>
            </w:r>
            <w:r w:rsidRPr="00C97275">
              <w:rPr>
                <w:rFonts w:ascii="Georgia" w:eastAsia="Georgia" w:hAnsi="Georgia" w:cs="Arial Unicode MS"/>
                <w:sz w:val="18"/>
                <w:szCs w:val="18"/>
                <w:vertAlign w:val="superscript"/>
              </w:rPr>
              <w:t>2</w:t>
            </w:r>
          </w:p>
        </w:tc>
        <w:tc>
          <w:tcPr>
            <w:tcW w:w="633" w:type="pct"/>
            <w:tcBorders>
              <w:top w:val="nil"/>
              <w:left w:val="nil"/>
              <w:bottom w:val="nil"/>
              <w:right w:val="nil"/>
            </w:tcBorders>
            <w:hideMark/>
          </w:tcPr>
          <w:p w14:paraId="79C3BD29"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Skaičius, vnt.</w:t>
            </w:r>
          </w:p>
        </w:tc>
        <w:tc>
          <w:tcPr>
            <w:tcW w:w="623" w:type="pct"/>
            <w:tcBorders>
              <w:top w:val="nil"/>
              <w:left w:val="nil"/>
              <w:bottom w:val="nil"/>
              <w:right w:val="nil"/>
            </w:tcBorders>
            <w:hideMark/>
          </w:tcPr>
          <w:p w14:paraId="653CCC99"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Plotas, m</w:t>
            </w:r>
            <w:r w:rsidRPr="00C97275">
              <w:rPr>
                <w:rFonts w:ascii="Georgia" w:eastAsia="Georgia" w:hAnsi="Georgia" w:cs="Arial Unicode MS"/>
                <w:sz w:val="18"/>
                <w:szCs w:val="18"/>
                <w:vertAlign w:val="superscript"/>
              </w:rPr>
              <w:t>2</w:t>
            </w:r>
          </w:p>
        </w:tc>
        <w:tc>
          <w:tcPr>
            <w:tcW w:w="644" w:type="pct"/>
            <w:tcBorders>
              <w:top w:val="nil"/>
              <w:left w:val="nil"/>
              <w:bottom w:val="nil"/>
              <w:right w:val="nil"/>
            </w:tcBorders>
            <w:hideMark/>
          </w:tcPr>
          <w:p w14:paraId="6881E96A"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Skaičius, vnt.</w:t>
            </w:r>
          </w:p>
        </w:tc>
        <w:tc>
          <w:tcPr>
            <w:tcW w:w="610" w:type="pct"/>
            <w:tcBorders>
              <w:top w:val="nil"/>
              <w:left w:val="nil"/>
              <w:bottom w:val="nil"/>
              <w:right w:val="single" w:sz="8" w:space="0" w:color="D62E1C"/>
            </w:tcBorders>
            <w:hideMark/>
          </w:tcPr>
          <w:p w14:paraId="5AE46D8F"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C97275">
              <w:rPr>
                <w:rFonts w:ascii="Georgia" w:eastAsia="Georgia" w:hAnsi="Georgia" w:cs="Arial Unicode MS"/>
                <w:sz w:val="18"/>
                <w:szCs w:val="18"/>
              </w:rPr>
              <w:t>Plotas, m</w:t>
            </w:r>
            <w:r w:rsidRPr="00C97275">
              <w:rPr>
                <w:rFonts w:ascii="Georgia" w:eastAsia="Georgia" w:hAnsi="Georgia" w:cs="Arial Unicode MS"/>
                <w:sz w:val="18"/>
                <w:szCs w:val="18"/>
                <w:vertAlign w:val="superscript"/>
              </w:rPr>
              <w:t>2</w:t>
            </w:r>
          </w:p>
        </w:tc>
      </w:tr>
      <w:tr w:rsidR="00CB4D9D" w:rsidRPr="00C97275" w14:paraId="00F7C680" w14:textId="77777777" w:rsidTr="00F9357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47" w:type="pct"/>
            <w:tcBorders>
              <w:right w:val="nil"/>
            </w:tcBorders>
            <w:hideMark/>
          </w:tcPr>
          <w:p w14:paraId="64401CEE" w14:textId="77777777" w:rsidR="005A0219" w:rsidRPr="00C97275" w:rsidRDefault="005A0219" w:rsidP="005A0219">
            <w:pPr>
              <w:rPr>
                <w:rFonts w:ascii="Georgia" w:eastAsia="Georgia" w:hAnsi="Georgia" w:cs="Arial Unicode MS"/>
                <w:sz w:val="18"/>
                <w:szCs w:val="18"/>
              </w:rPr>
            </w:pPr>
            <w:r w:rsidRPr="00C97275">
              <w:rPr>
                <w:rFonts w:ascii="Georgia" w:eastAsia="Georgia" w:hAnsi="Georgia" w:cs="Arial Unicode MS"/>
                <w:sz w:val="18"/>
                <w:szCs w:val="18"/>
              </w:rPr>
              <w:t>Gyvenamieji namai įvairioms socialinėms grupėms</w:t>
            </w:r>
          </w:p>
        </w:tc>
        <w:tc>
          <w:tcPr>
            <w:tcW w:w="625" w:type="pct"/>
            <w:tcBorders>
              <w:top w:val="single" w:sz="8" w:space="0" w:color="C0504D"/>
              <w:left w:val="nil"/>
              <w:bottom w:val="single" w:sz="8" w:space="0" w:color="C0504D"/>
              <w:right w:val="nil"/>
            </w:tcBorders>
            <w:shd w:val="clear" w:color="auto" w:fill="auto"/>
            <w:vAlign w:val="center"/>
            <w:hideMark/>
          </w:tcPr>
          <w:p w14:paraId="0AA2BB65"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305</w:t>
            </w:r>
          </w:p>
        </w:tc>
        <w:tc>
          <w:tcPr>
            <w:tcW w:w="717" w:type="pct"/>
            <w:tcBorders>
              <w:top w:val="single" w:sz="8" w:space="0" w:color="C0504D"/>
              <w:left w:val="nil"/>
              <w:bottom w:val="single" w:sz="8" w:space="0" w:color="C0504D"/>
              <w:right w:val="nil"/>
            </w:tcBorders>
            <w:shd w:val="clear" w:color="auto" w:fill="auto"/>
            <w:vAlign w:val="center"/>
            <w:hideMark/>
          </w:tcPr>
          <w:p w14:paraId="1FFBB88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759 941</w:t>
            </w:r>
          </w:p>
        </w:tc>
        <w:tc>
          <w:tcPr>
            <w:tcW w:w="633" w:type="pct"/>
            <w:tcBorders>
              <w:top w:val="single" w:sz="8" w:space="0" w:color="C0504D"/>
              <w:left w:val="nil"/>
              <w:bottom w:val="single" w:sz="8" w:space="0" w:color="C0504D"/>
              <w:right w:val="nil"/>
            </w:tcBorders>
            <w:shd w:val="clear" w:color="auto" w:fill="auto"/>
            <w:vAlign w:val="center"/>
            <w:hideMark/>
          </w:tcPr>
          <w:p w14:paraId="16E20A27"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283</w:t>
            </w:r>
          </w:p>
        </w:tc>
        <w:tc>
          <w:tcPr>
            <w:tcW w:w="623" w:type="pct"/>
            <w:tcBorders>
              <w:top w:val="single" w:sz="8" w:space="0" w:color="C0504D"/>
              <w:left w:val="nil"/>
              <w:bottom w:val="single" w:sz="8" w:space="0" w:color="C0504D"/>
              <w:right w:val="nil"/>
            </w:tcBorders>
            <w:shd w:val="clear" w:color="auto" w:fill="auto"/>
            <w:vAlign w:val="center"/>
            <w:hideMark/>
          </w:tcPr>
          <w:p w14:paraId="78AC331C"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330 177</w:t>
            </w:r>
          </w:p>
        </w:tc>
        <w:tc>
          <w:tcPr>
            <w:tcW w:w="644" w:type="pct"/>
            <w:tcBorders>
              <w:top w:val="single" w:sz="8" w:space="0" w:color="C0504D"/>
              <w:left w:val="nil"/>
              <w:bottom w:val="single" w:sz="8" w:space="0" w:color="C0504D"/>
              <w:right w:val="nil"/>
            </w:tcBorders>
            <w:shd w:val="clear" w:color="auto" w:fill="auto"/>
            <w:vAlign w:val="center"/>
            <w:hideMark/>
          </w:tcPr>
          <w:p w14:paraId="0131BB2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1 257</w:t>
            </w:r>
          </w:p>
        </w:tc>
        <w:tc>
          <w:tcPr>
            <w:tcW w:w="610" w:type="pct"/>
            <w:tcBorders>
              <w:top w:val="single" w:sz="8" w:space="0" w:color="C0504D"/>
              <w:left w:val="nil"/>
              <w:bottom w:val="single" w:sz="8" w:space="0" w:color="C0504D"/>
              <w:right w:val="single" w:sz="8" w:space="0" w:color="C0504D"/>
            </w:tcBorders>
            <w:shd w:val="clear" w:color="auto" w:fill="auto"/>
            <w:vAlign w:val="center"/>
            <w:hideMark/>
          </w:tcPr>
          <w:p w14:paraId="6BE6668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2 537 422</w:t>
            </w:r>
          </w:p>
        </w:tc>
      </w:tr>
      <w:tr w:rsidR="00CB4D9D" w:rsidRPr="00C97275" w14:paraId="39A7971D" w14:textId="77777777" w:rsidTr="00F9357D">
        <w:trPr>
          <w:trHeight w:val="577"/>
        </w:trPr>
        <w:tc>
          <w:tcPr>
            <w:cnfStyle w:val="001000000000" w:firstRow="0" w:lastRow="0" w:firstColumn="1" w:lastColumn="0" w:oddVBand="0" w:evenVBand="0" w:oddHBand="0" w:evenHBand="0" w:firstRowFirstColumn="0" w:firstRowLastColumn="0" w:lastRowFirstColumn="0" w:lastRowLastColumn="0"/>
            <w:tcW w:w="1147" w:type="pct"/>
            <w:tcBorders>
              <w:top w:val="nil"/>
              <w:left w:val="single" w:sz="8" w:space="0" w:color="D62E1C"/>
              <w:bottom w:val="nil"/>
              <w:right w:val="nil"/>
            </w:tcBorders>
            <w:hideMark/>
          </w:tcPr>
          <w:p w14:paraId="3C86D4C6" w14:textId="77777777" w:rsidR="005A0219" w:rsidRPr="00C97275" w:rsidRDefault="005A0219" w:rsidP="005A0219">
            <w:pPr>
              <w:rPr>
                <w:rFonts w:ascii="Georgia" w:eastAsia="Georgia" w:hAnsi="Georgia" w:cs="Arial Unicode MS"/>
                <w:sz w:val="18"/>
                <w:szCs w:val="18"/>
              </w:rPr>
            </w:pPr>
            <w:r w:rsidRPr="00C97275">
              <w:rPr>
                <w:rFonts w:ascii="Georgia" w:eastAsia="Georgia" w:hAnsi="Georgia" w:cs="Arial Unicode MS"/>
                <w:sz w:val="18"/>
                <w:szCs w:val="18"/>
              </w:rPr>
              <w:t>Administracinės</w:t>
            </w:r>
          </w:p>
        </w:tc>
        <w:tc>
          <w:tcPr>
            <w:tcW w:w="625" w:type="pct"/>
            <w:tcBorders>
              <w:top w:val="nil"/>
              <w:left w:val="nil"/>
              <w:bottom w:val="nil"/>
              <w:right w:val="nil"/>
            </w:tcBorders>
            <w:shd w:val="clear" w:color="auto" w:fill="auto"/>
            <w:vAlign w:val="center"/>
            <w:hideMark/>
          </w:tcPr>
          <w:p w14:paraId="1B9D7338"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1 424</w:t>
            </w:r>
          </w:p>
        </w:tc>
        <w:tc>
          <w:tcPr>
            <w:tcW w:w="717" w:type="pct"/>
            <w:tcBorders>
              <w:top w:val="nil"/>
              <w:left w:val="nil"/>
              <w:bottom w:val="nil"/>
              <w:right w:val="nil"/>
            </w:tcBorders>
            <w:shd w:val="clear" w:color="auto" w:fill="auto"/>
            <w:vAlign w:val="center"/>
            <w:hideMark/>
          </w:tcPr>
          <w:p w14:paraId="0259EEA2"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1 448 383</w:t>
            </w:r>
          </w:p>
        </w:tc>
        <w:tc>
          <w:tcPr>
            <w:tcW w:w="633" w:type="pct"/>
            <w:tcBorders>
              <w:top w:val="nil"/>
              <w:left w:val="nil"/>
              <w:bottom w:val="nil"/>
              <w:right w:val="nil"/>
            </w:tcBorders>
            <w:shd w:val="clear" w:color="auto" w:fill="auto"/>
            <w:vAlign w:val="center"/>
            <w:hideMark/>
          </w:tcPr>
          <w:p w14:paraId="4F2474A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751</w:t>
            </w:r>
          </w:p>
        </w:tc>
        <w:tc>
          <w:tcPr>
            <w:tcW w:w="623" w:type="pct"/>
            <w:tcBorders>
              <w:top w:val="nil"/>
              <w:left w:val="nil"/>
              <w:bottom w:val="nil"/>
              <w:right w:val="nil"/>
            </w:tcBorders>
            <w:shd w:val="clear" w:color="auto" w:fill="auto"/>
            <w:vAlign w:val="center"/>
            <w:hideMark/>
          </w:tcPr>
          <w:p w14:paraId="449CD0B0"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440 775</w:t>
            </w:r>
          </w:p>
        </w:tc>
        <w:tc>
          <w:tcPr>
            <w:tcW w:w="644" w:type="pct"/>
            <w:tcBorders>
              <w:top w:val="nil"/>
              <w:left w:val="nil"/>
              <w:bottom w:val="nil"/>
              <w:right w:val="nil"/>
            </w:tcBorders>
            <w:shd w:val="clear" w:color="auto" w:fill="auto"/>
            <w:vAlign w:val="center"/>
            <w:hideMark/>
          </w:tcPr>
          <w:p w14:paraId="4EFED77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7 784</w:t>
            </w:r>
          </w:p>
        </w:tc>
        <w:tc>
          <w:tcPr>
            <w:tcW w:w="610" w:type="pct"/>
            <w:tcBorders>
              <w:top w:val="nil"/>
              <w:left w:val="nil"/>
              <w:bottom w:val="nil"/>
              <w:right w:val="single" w:sz="8" w:space="0" w:color="C0504D"/>
            </w:tcBorders>
            <w:shd w:val="clear" w:color="auto" w:fill="auto"/>
            <w:vAlign w:val="center"/>
            <w:hideMark/>
          </w:tcPr>
          <w:p w14:paraId="219DB14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7 364 290</w:t>
            </w:r>
          </w:p>
        </w:tc>
      </w:tr>
      <w:tr w:rsidR="00CB4D9D" w:rsidRPr="00C97275" w14:paraId="42551865" w14:textId="77777777" w:rsidTr="00F9357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47" w:type="pct"/>
            <w:tcBorders>
              <w:right w:val="nil"/>
            </w:tcBorders>
            <w:hideMark/>
          </w:tcPr>
          <w:p w14:paraId="6D5CF997" w14:textId="77777777" w:rsidR="005A0219" w:rsidRPr="00C97275" w:rsidRDefault="005A0219" w:rsidP="005A0219">
            <w:pPr>
              <w:rPr>
                <w:rFonts w:ascii="Georgia" w:eastAsia="Georgia" w:hAnsi="Georgia" w:cs="Arial Unicode MS"/>
                <w:sz w:val="18"/>
                <w:szCs w:val="18"/>
              </w:rPr>
            </w:pPr>
            <w:r w:rsidRPr="00C97275">
              <w:rPr>
                <w:rFonts w:ascii="Georgia" w:eastAsia="Georgia" w:hAnsi="Georgia" w:cs="Arial Unicode MS"/>
                <w:sz w:val="18"/>
                <w:szCs w:val="18"/>
              </w:rPr>
              <w:t>Kultūros, mokslo ir sporto</w:t>
            </w:r>
          </w:p>
        </w:tc>
        <w:tc>
          <w:tcPr>
            <w:tcW w:w="625" w:type="pct"/>
            <w:tcBorders>
              <w:top w:val="single" w:sz="8" w:space="0" w:color="C0504D"/>
              <w:left w:val="nil"/>
              <w:bottom w:val="single" w:sz="8" w:space="0" w:color="C0504D"/>
              <w:right w:val="nil"/>
            </w:tcBorders>
            <w:shd w:val="clear" w:color="auto" w:fill="auto"/>
            <w:vAlign w:val="center"/>
            <w:hideMark/>
          </w:tcPr>
          <w:p w14:paraId="22E00FB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1 043</w:t>
            </w:r>
          </w:p>
        </w:tc>
        <w:tc>
          <w:tcPr>
            <w:tcW w:w="717" w:type="pct"/>
            <w:tcBorders>
              <w:top w:val="single" w:sz="8" w:space="0" w:color="C0504D"/>
              <w:left w:val="nil"/>
              <w:bottom w:val="single" w:sz="8" w:space="0" w:color="C0504D"/>
              <w:right w:val="nil"/>
            </w:tcBorders>
            <w:shd w:val="clear" w:color="auto" w:fill="auto"/>
            <w:vAlign w:val="center"/>
            <w:hideMark/>
          </w:tcPr>
          <w:p w14:paraId="08C6BA4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2 374 897</w:t>
            </w:r>
          </w:p>
        </w:tc>
        <w:tc>
          <w:tcPr>
            <w:tcW w:w="633" w:type="pct"/>
            <w:tcBorders>
              <w:top w:val="single" w:sz="8" w:space="0" w:color="C0504D"/>
              <w:left w:val="nil"/>
              <w:bottom w:val="single" w:sz="8" w:space="0" w:color="C0504D"/>
              <w:right w:val="nil"/>
            </w:tcBorders>
            <w:shd w:val="clear" w:color="auto" w:fill="auto"/>
            <w:vAlign w:val="center"/>
            <w:hideMark/>
          </w:tcPr>
          <w:p w14:paraId="4AE488B0"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4 231</w:t>
            </w:r>
          </w:p>
        </w:tc>
        <w:tc>
          <w:tcPr>
            <w:tcW w:w="623" w:type="pct"/>
            <w:tcBorders>
              <w:top w:val="single" w:sz="8" w:space="0" w:color="C0504D"/>
              <w:left w:val="nil"/>
              <w:bottom w:val="single" w:sz="8" w:space="0" w:color="C0504D"/>
              <w:right w:val="nil"/>
            </w:tcBorders>
            <w:shd w:val="clear" w:color="auto" w:fill="auto"/>
            <w:vAlign w:val="center"/>
            <w:hideMark/>
          </w:tcPr>
          <w:p w14:paraId="3C5C947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6 777 808</w:t>
            </w:r>
          </w:p>
        </w:tc>
        <w:tc>
          <w:tcPr>
            <w:tcW w:w="644" w:type="pct"/>
            <w:tcBorders>
              <w:top w:val="single" w:sz="8" w:space="0" w:color="C0504D"/>
              <w:left w:val="nil"/>
              <w:bottom w:val="single" w:sz="8" w:space="0" w:color="C0504D"/>
              <w:right w:val="nil"/>
            </w:tcBorders>
            <w:shd w:val="clear" w:color="auto" w:fill="auto"/>
            <w:vAlign w:val="center"/>
            <w:hideMark/>
          </w:tcPr>
          <w:p w14:paraId="46B777FC"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2 160</w:t>
            </w:r>
          </w:p>
        </w:tc>
        <w:tc>
          <w:tcPr>
            <w:tcW w:w="610" w:type="pct"/>
            <w:tcBorders>
              <w:top w:val="single" w:sz="8" w:space="0" w:color="C0504D"/>
              <w:left w:val="nil"/>
              <w:bottom w:val="single" w:sz="8" w:space="0" w:color="C0504D"/>
              <w:right w:val="single" w:sz="8" w:space="0" w:color="C0504D"/>
            </w:tcBorders>
            <w:shd w:val="clear" w:color="auto" w:fill="auto"/>
            <w:vAlign w:val="center"/>
            <w:hideMark/>
          </w:tcPr>
          <w:p w14:paraId="0782DC96"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2 147 871</w:t>
            </w:r>
          </w:p>
        </w:tc>
      </w:tr>
      <w:tr w:rsidR="00CB4D9D" w:rsidRPr="00C97275" w14:paraId="66430AA8" w14:textId="77777777" w:rsidTr="00F9357D">
        <w:trPr>
          <w:trHeight w:val="349"/>
        </w:trPr>
        <w:tc>
          <w:tcPr>
            <w:cnfStyle w:val="001000000000" w:firstRow="0" w:lastRow="0" w:firstColumn="1" w:lastColumn="0" w:oddVBand="0" w:evenVBand="0" w:oddHBand="0" w:evenHBand="0" w:firstRowFirstColumn="0" w:firstRowLastColumn="0" w:lastRowFirstColumn="0" w:lastRowLastColumn="0"/>
            <w:tcW w:w="1147" w:type="pct"/>
            <w:tcBorders>
              <w:top w:val="nil"/>
              <w:left w:val="single" w:sz="8" w:space="0" w:color="D62E1C"/>
              <w:bottom w:val="nil"/>
              <w:right w:val="nil"/>
            </w:tcBorders>
            <w:hideMark/>
          </w:tcPr>
          <w:p w14:paraId="5595B37B" w14:textId="77777777" w:rsidR="005A0219" w:rsidRPr="00C97275" w:rsidRDefault="005A0219" w:rsidP="005A0219">
            <w:pPr>
              <w:rPr>
                <w:rFonts w:ascii="Georgia" w:eastAsia="Georgia" w:hAnsi="Georgia" w:cs="Arial Unicode MS"/>
                <w:sz w:val="18"/>
                <w:szCs w:val="18"/>
              </w:rPr>
            </w:pPr>
            <w:r w:rsidRPr="00C97275">
              <w:rPr>
                <w:rFonts w:ascii="Georgia" w:eastAsia="Georgia" w:hAnsi="Georgia" w:cs="Arial Unicode MS"/>
                <w:sz w:val="18"/>
                <w:szCs w:val="18"/>
              </w:rPr>
              <w:t>Gydymo</w:t>
            </w:r>
          </w:p>
        </w:tc>
        <w:tc>
          <w:tcPr>
            <w:tcW w:w="625" w:type="pct"/>
            <w:tcBorders>
              <w:top w:val="nil"/>
              <w:left w:val="nil"/>
              <w:bottom w:val="nil"/>
              <w:right w:val="nil"/>
            </w:tcBorders>
            <w:shd w:val="clear" w:color="auto" w:fill="auto"/>
            <w:vAlign w:val="center"/>
            <w:hideMark/>
          </w:tcPr>
          <w:p w14:paraId="6B1358E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371</w:t>
            </w:r>
          </w:p>
        </w:tc>
        <w:tc>
          <w:tcPr>
            <w:tcW w:w="717" w:type="pct"/>
            <w:tcBorders>
              <w:top w:val="nil"/>
              <w:left w:val="nil"/>
              <w:bottom w:val="nil"/>
              <w:right w:val="nil"/>
            </w:tcBorders>
            <w:shd w:val="clear" w:color="auto" w:fill="auto"/>
            <w:vAlign w:val="center"/>
            <w:hideMark/>
          </w:tcPr>
          <w:p w14:paraId="6045E92F"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956 846</w:t>
            </w:r>
          </w:p>
        </w:tc>
        <w:tc>
          <w:tcPr>
            <w:tcW w:w="633" w:type="pct"/>
            <w:tcBorders>
              <w:top w:val="nil"/>
              <w:left w:val="nil"/>
              <w:bottom w:val="nil"/>
              <w:right w:val="nil"/>
            </w:tcBorders>
            <w:shd w:val="clear" w:color="auto" w:fill="auto"/>
            <w:vAlign w:val="center"/>
            <w:hideMark/>
          </w:tcPr>
          <w:p w14:paraId="750F9F7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610</w:t>
            </w:r>
          </w:p>
        </w:tc>
        <w:tc>
          <w:tcPr>
            <w:tcW w:w="623" w:type="pct"/>
            <w:tcBorders>
              <w:top w:val="nil"/>
              <w:left w:val="nil"/>
              <w:bottom w:val="nil"/>
              <w:right w:val="nil"/>
            </w:tcBorders>
            <w:shd w:val="clear" w:color="auto" w:fill="auto"/>
            <w:vAlign w:val="center"/>
            <w:hideMark/>
          </w:tcPr>
          <w:p w14:paraId="7366826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1 116 157</w:t>
            </w:r>
          </w:p>
        </w:tc>
        <w:tc>
          <w:tcPr>
            <w:tcW w:w="644" w:type="pct"/>
            <w:tcBorders>
              <w:top w:val="nil"/>
              <w:left w:val="nil"/>
              <w:bottom w:val="nil"/>
              <w:right w:val="nil"/>
            </w:tcBorders>
            <w:shd w:val="clear" w:color="auto" w:fill="auto"/>
            <w:vAlign w:val="center"/>
            <w:hideMark/>
          </w:tcPr>
          <w:p w14:paraId="3EA6B84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843</w:t>
            </w:r>
          </w:p>
        </w:tc>
        <w:tc>
          <w:tcPr>
            <w:tcW w:w="610" w:type="pct"/>
            <w:tcBorders>
              <w:top w:val="nil"/>
              <w:left w:val="nil"/>
              <w:bottom w:val="nil"/>
              <w:right w:val="single" w:sz="8" w:space="0" w:color="C0504D"/>
            </w:tcBorders>
            <w:shd w:val="clear" w:color="auto" w:fill="auto"/>
            <w:vAlign w:val="center"/>
            <w:hideMark/>
          </w:tcPr>
          <w:p w14:paraId="1CF7B76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815 883</w:t>
            </w:r>
          </w:p>
        </w:tc>
      </w:tr>
      <w:tr w:rsidR="00CB4D9D" w:rsidRPr="00C97275" w14:paraId="6A5768B5" w14:textId="77777777" w:rsidTr="00F9357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47" w:type="pct"/>
            <w:tcBorders>
              <w:right w:val="nil"/>
            </w:tcBorders>
            <w:hideMark/>
          </w:tcPr>
          <w:p w14:paraId="34FCC9FD" w14:textId="77777777" w:rsidR="005A0219" w:rsidRPr="00C97275" w:rsidRDefault="005A0219" w:rsidP="005A0219">
            <w:pPr>
              <w:rPr>
                <w:rFonts w:ascii="Georgia" w:eastAsia="Georgia" w:hAnsi="Georgia" w:cs="Arial Unicode MS"/>
                <w:sz w:val="18"/>
                <w:szCs w:val="18"/>
              </w:rPr>
            </w:pPr>
            <w:r w:rsidRPr="00C97275">
              <w:rPr>
                <w:rFonts w:ascii="Georgia" w:eastAsia="Georgia" w:hAnsi="Georgia" w:cs="Arial Unicode MS"/>
                <w:sz w:val="18"/>
                <w:szCs w:val="18"/>
              </w:rPr>
              <w:t>Specialiosios, religinės ir kitos paskirties pastatai</w:t>
            </w:r>
          </w:p>
        </w:tc>
        <w:tc>
          <w:tcPr>
            <w:tcW w:w="625" w:type="pct"/>
            <w:tcBorders>
              <w:top w:val="single" w:sz="8" w:space="0" w:color="C0504D"/>
              <w:left w:val="nil"/>
              <w:bottom w:val="single" w:sz="8" w:space="0" w:color="C0504D"/>
              <w:right w:val="nil"/>
            </w:tcBorders>
            <w:shd w:val="clear" w:color="auto" w:fill="auto"/>
            <w:vAlign w:val="center"/>
            <w:hideMark/>
          </w:tcPr>
          <w:p w14:paraId="60DDCB85"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2 173</w:t>
            </w:r>
          </w:p>
        </w:tc>
        <w:tc>
          <w:tcPr>
            <w:tcW w:w="717" w:type="pct"/>
            <w:tcBorders>
              <w:top w:val="single" w:sz="8" w:space="0" w:color="C0504D"/>
              <w:left w:val="nil"/>
              <w:bottom w:val="single" w:sz="8" w:space="0" w:color="C0504D"/>
              <w:right w:val="nil"/>
            </w:tcBorders>
            <w:shd w:val="clear" w:color="auto" w:fill="auto"/>
            <w:vAlign w:val="center"/>
            <w:hideMark/>
          </w:tcPr>
          <w:p w14:paraId="37D59AA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1 093 663</w:t>
            </w:r>
          </w:p>
        </w:tc>
        <w:tc>
          <w:tcPr>
            <w:tcW w:w="633" w:type="pct"/>
            <w:tcBorders>
              <w:top w:val="single" w:sz="8" w:space="0" w:color="C0504D"/>
              <w:left w:val="nil"/>
              <w:bottom w:val="single" w:sz="8" w:space="0" w:color="C0504D"/>
              <w:right w:val="nil"/>
            </w:tcBorders>
            <w:shd w:val="clear" w:color="auto" w:fill="auto"/>
            <w:vAlign w:val="center"/>
            <w:hideMark/>
          </w:tcPr>
          <w:p w14:paraId="189A3995"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1 631</w:t>
            </w:r>
          </w:p>
        </w:tc>
        <w:tc>
          <w:tcPr>
            <w:tcW w:w="623" w:type="pct"/>
            <w:tcBorders>
              <w:top w:val="single" w:sz="8" w:space="0" w:color="C0504D"/>
              <w:left w:val="nil"/>
              <w:bottom w:val="single" w:sz="8" w:space="0" w:color="C0504D"/>
              <w:right w:val="nil"/>
            </w:tcBorders>
            <w:shd w:val="clear" w:color="auto" w:fill="auto"/>
            <w:vAlign w:val="center"/>
            <w:hideMark/>
          </w:tcPr>
          <w:p w14:paraId="6F9FBEDA"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209 340</w:t>
            </w:r>
          </w:p>
        </w:tc>
        <w:tc>
          <w:tcPr>
            <w:tcW w:w="644" w:type="pct"/>
            <w:tcBorders>
              <w:top w:val="single" w:sz="8" w:space="0" w:color="C0504D"/>
              <w:left w:val="nil"/>
              <w:bottom w:val="single" w:sz="8" w:space="0" w:color="C0504D"/>
              <w:right w:val="nil"/>
            </w:tcBorders>
            <w:shd w:val="clear" w:color="auto" w:fill="auto"/>
            <w:vAlign w:val="center"/>
            <w:hideMark/>
          </w:tcPr>
          <w:p w14:paraId="5E699419"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16 455</w:t>
            </w:r>
          </w:p>
        </w:tc>
        <w:tc>
          <w:tcPr>
            <w:tcW w:w="610" w:type="pct"/>
            <w:tcBorders>
              <w:top w:val="single" w:sz="8" w:space="0" w:color="C0504D"/>
              <w:left w:val="nil"/>
              <w:bottom w:val="single" w:sz="8" w:space="0" w:color="C0504D"/>
              <w:right w:val="single" w:sz="8" w:space="0" w:color="C0504D"/>
            </w:tcBorders>
            <w:shd w:val="clear" w:color="auto" w:fill="auto"/>
            <w:vAlign w:val="center"/>
            <w:hideMark/>
          </w:tcPr>
          <w:p w14:paraId="13637A4C"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2 841 004</w:t>
            </w:r>
          </w:p>
        </w:tc>
      </w:tr>
      <w:tr w:rsidR="00CB4D9D" w:rsidRPr="00C97275" w14:paraId="4883EE45" w14:textId="77777777" w:rsidTr="00F9357D">
        <w:trPr>
          <w:trHeight w:val="357"/>
        </w:trPr>
        <w:tc>
          <w:tcPr>
            <w:cnfStyle w:val="001000000000" w:firstRow="0" w:lastRow="0" w:firstColumn="1" w:lastColumn="0" w:oddVBand="0" w:evenVBand="0" w:oddHBand="0" w:evenHBand="0" w:firstRowFirstColumn="0" w:firstRowLastColumn="0" w:lastRowFirstColumn="0" w:lastRowLastColumn="0"/>
            <w:tcW w:w="1147" w:type="pct"/>
            <w:tcBorders>
              <w:top w:val="nil"/>
              <w:left w:val="single" w:sz="8" w:space="0" w:color="D62E1C"/>
              <w:bottom w:val="single" w:sz="8" w:space="0" w:color="D62E1C"/>
              <w:right w:val="nil"/>
            </w:tcBorders>
            <w:hideMark/>
          </w:tcPr>
          <w:p w14:paraId="3658E350" w14:textId="77777777" w:rsidR="005A0219" w:rsidRPr="00C97275" w:rsidRDefault="005A0219" w:rsidP="005A0219">
            <w:pPr>
              <w:rPr>
                <w:rFonts w:ascii="Georgia" w:eastAsia="Georgia" w:hAnsi="Georgia" w:cs="Arial Unicode MS"/>
                <w:sz w:val="18"/>
                <w:szCs w:val="18"/>
              </w:rPr>
            </w:pPr>
            <w:r w:rsidRPr="00C97275">
              <w:rPr>
                <w:rFonts w:ascii="Georgia" w:eastAsia="Georgia" w:hAnsi="Georgia" w:cs="Arial Unicode MS"/>
                <w:sz w:val="18"/>
                <w:szCs w:val="18"/>
              </w:rPr>
              <w:t>Iš viso:</w:t>
            </w:r>
          </w:p>
        </w:tc>
        <w:tc>
          <w:tcPr>
            <w:tcW w:w="625" w:type="pct"/>
            <w:tcBorders>
              <w:top w:val="nil"/>
              <w:left w:val="nil"/>
              <w:bottom w:val="single" w:sz="8" w:space="0" w:color="C0504D"/>
              <w:right w:val="nil"/>
            </w:tcBorders>
            <w:shd w:val="clear" w:color="auto" w:fill="auto"/>
            <w:vAlign w:val="center"/>
            <w:hideMark/>
          </w:tcPr>
          <w:p w14:paraId="0B153BB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5 316</w:t>
            </w:r>
          </w:p>
        </w:tc>
        <w:tc>
          <w:tcPr>
            <w:tcW w:w="717" w:type="pct"/>
            <w:tcBorders>
              <w:top w:val="nil"/>
              <w:left w:val="nil"/>
              <w:bottom w:val="single" w:sz="8" w:space="0" w:color="C0504D"/>
              <w:right w:val="nil"/>
            </w:tcBorders>
            <w:shd w:val="clear" w:color="auto" w:fill="auto"/>
            <w:vAlign w:val="center"/>
            <w:hideMark/>
          </w:tcPr>
          <w:p w14:paraId="489FE804"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6 633 730</w:t>
            </w:r>
          </w:p>
        </w:tc>
        <w:tc>
          <w:tcPr>
            <w:tcW w:w="633" w:type="pct"/>
            <w:tcBorders>
              <w:top w:val="nil"/>
              <w:left w:val="nil"/>
              <w:bottom w:val="single" w:sz="8" w:space="0" w:color="C0504D"/>
              <w:right w:val="nil"/>
            </w:tcBorders>
            <w:shd w:val="clear" w:color="auto" w:fill="auto"/>
            <w:vAlign w:val="center"/>
            <w:hideMark/>
          </w:tcPr>
          <w:p w14:paraId="3994BED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7 506</w:t>
            </w:r>
          </w:p>
        </w:tc>
        <w:tc>
          <w:tcPr>
            <w:tcW w:w="623" w:type="pct"/>
            <w:tcBorders>
              <w:top w:val="nil"/>
              <w:left w:val="nil"/>
              <w:bottom w:val="single" w:sz="8" w:space="0" w:color="C0504D"/>
              <w:right w:val="nil"/>
            </w:tcBorders>
            <w:shd w:val="clear" w:color="auto" w:fill="auto"/>
            <w:vAlign w:val="center"/>
            <w:hideMark/>
          </w:tcPr>
          <w:p w14:paraId="1A6917D8"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8 874 257</w:t>
            </w:r>
          </w:p>
        </w:tc>
        <w:tc>
          <w:tcPr>
            <w:tcW w:w="644" w:type="pct"/>
            <w:tcBorders>
              <w:top w:val="nil"/>
              <w:left w:val="nil"/>
              <w:bottom w:val="single" w:sz="8" w:space="0" w:color="C0504D"/>
              <w:right w:val="nil"/>
            </w:tcBorders>
            <w:shd w:val="clear" w:color="auto" w:fill="auto"/>
            <w:vAlign w:val="center"/>
            <w:hideMark/>
          </w:tcPr>
          <w:p w14:paraId="4CC46A9F"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28 499</w:t>
            </w:r>
          </w:p>
        </w:tc>
        <w:tc>
          <w:tcPr>
            <w:tcW w:w="610" w:type="pct"/>
            <w:tcBorders>
              <w:top w:val="nil"/>
              <w:left w:val="nil"/>
              <w:bottom w:val="single" w:sz="8" w:space="0" w:color="C0504D"/>
              <w:right w:val="single" w:sz="8" w:space="0" w:color="C0504D"/>
            </w:tcBorders>
            <w:shd w:val="clear" w:color="auto" w:fill="auto"/>
            <w:vAlign w:val="center"/>
            <w:hideMark/>
          </w:tcPr>
          <w:p w14:paraId="263B3599"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C97275">
              <w:rPr>
                <w:rFonts w:ascii="Georgia" w:eastAsia="Georgia" w:hAnsi="Georgia" w:cs="Arial Unicode MS"/>
                <w:color w:val="000000"/>
                <w:sz w:val="18"/>
                <w:szCs w:val="18"/>
              </w:rPr>
              <w:t>15 706 470</w:t>
            </w:r>
          </w:p>
        </w:tc>
      </w:tr>
    </w:tbl>
    <w:p w14:paraId="0858B60B" w14:textId="77777777" w:rsidR="005A0219" w:rsidRPr="00C97275" w:rsidRDefault="005A0219" w:rsidP="005A0219">
      <w:pPr>
        <w:spacing w:after="160" w:line="240" w:lineRule="auto"/>
        <w:jc w:val="both"/>
        <w:rPr>
          <w:rFonts w:ascii="Georgia" w:eastAsia="Georgia" w:hAnsi="Georgia" w:cs="Arial Unicode MS"/>
          <w:b/>
          <w:iCs/>
          <w:color w:val="821A1A"/>
          <w:sz w:val="20"/>
          <w:szCs w:val="18"/>
          <w:lang w:val="lt-LT"/>
        </w:rPr>
      </w:pPr>
      <w:r w:rsidRPr="00C97275">
        <w:rPr>
          <w:rFonts w:ascii="Georgia" w:eastAsia="Georgia" w:hAnsi="Georgia" w:cs="Georgia"/>
          <w:i/>
          <w:iCs/>
          <w:color w:val="821A1A"/>
          <w:sz w:val="20"/>
          <w:szCs w:val="20"/>
          <w:lang w:val="lt-LT"/>
        </w:rPr>
        <w:t xml:space="preserve">Šaltinis: VĮ Registrų centras (2017 m. sausio 1 d.) </w:t>
      </w:r>
    </w:p>
    <w:p w14:paraId="4E4C89D4"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Žemiau esančioje lentelėje žemiau pateiktas viešųjų pastatų pasiskirstymas pagal statybos metus. </w:t>
      </w:r>
    </w:p>
    <w:p w14:paraId="69506EF1" w14:textId="77777777" w:rsidR="005A0219" w:rsidRPr="00C97275" w:rsidRDefault="005A0219" w:rsidP="005A0219">
      <w:pPr>
        <w:autoSpaceDE w:val="0"/>
        <w:autoSpaceDN w:val="0"/>
        <w:adjustRightInd w:val="0"/>
        <w:spacing w:after="0" w:line="240" w:lineRule="auto"/>
        <w:ind w:left="426"/>
        <w:jc w:val="both"/>
        <w:rPr>
          <w:rFonts w:ascii="Georgia" w:eastAsia="Georgia" w:hAnsi="Georgia" w:cs="Georgia"/>
          <w:sz w:val="20"/>
          <w:szCs w:val="20"/>
          <w:lang w:val="lt-LT"/>
        </w:rPr>
      </w:pPr>
    </w:p>
    <w:p w14:paraId="4DBD0717" w14:textId="08128F47" w:rsidR="005A0219" w:rsidRPr="00C97275" w:rsidRDefault="005A0219" w:rsidP="005A0219">
      <w:pPr>
        <w:spacing w:before="120" w:after="120" w:line="240" w:lineRule="auto"/>
        <w:rPr>
          <w:rFonts w:ascii="Georgia" w:eastAsia="PMingLiU" w:hAnsi="Georgia" w:cs="Georgia"/>
          <w:b/>
          <w:bCs/>
          <w:color w:val="A32020"/>
          <w:sz w:val="20"/>
          <w:szCs w:val="20"/>
          <w:lang w:val="lt-LT"/>
        </w:rPr>
      </w:pPr>
      <w:bookmarkStart w:id="27" w:name="_Toc455735501"/>
      <w:bookmarkStart w:id="28" w:name="_Toc19105219"/>
      <w:r w:rsidRPr="00C97275">
        <w:rPr>
          <w:rFonts w:ascii="Georgia" w:eastAsia="PMingLiU" w:hAnsi="Georgia" w:cs="Georgia"/>
          <w:b/>
          <w:bCs/>
          <w:color w:val="A32020"/>
          <w:sz w:val="20"/>
          <w:szCs w:val="20"/>
          <w:lang w:val="lt-LT"/>
        </w:rPr>
        <w:t xml:space="preserve">Lentelė </w:t>
      </w:r>
      <w:r w:rsidRPr="00C97275">
        <w:rPr>
          <w:rFonts w:ascii="Georgia" w:eastAsia="PMingLiU" w:hAnsi="Georgia" w:cs="Georgia"/>
          <w:b/>
          <w:bCs/>
          <w:color w:val="A32020"/>
          <w:sz w:val="20"/>
          <w:szCs w:val="20"/>
          <w:lang w:val="lt-LT"/>
        </w:rPr>
        <w:fldChar w:fldCharType="begin"/>
      </w:r>
      <w:r w:rsidRPr="00C97275">
        <w:rPr>
          <w:rFonts w:ascii="Georgia" w:eastAsia="PMingLiU" w:hAnsi="Georgia" w:cs="Georgia"/>
          <w:b/>
          <w:bCs/>
          <w:color w:val="A32020"/>
          <w:sz w:val="20"/>
          <w:szCs w:val="20"/>
          <w:lang w:val="lt-LT"/>
        </w:rPr>
        <w:instrText xml:space="preserve"> SEQ Lentelė \* ARABIC </w:instrText>
      </w:r>
      <w:r w:rsidRPr="00C97275">
        <w:rPr>
          <w:rFonts w:ascii="Georgia" w:eastAsia="PMingLiU" w:hAnsi="Georgia" w:cs="Georgia"/>
          <w:b/>
          <w:bCs/>
          <w:color w:val="A32020"/>
          <w:sz w:val="20"/>
          <w:szCs w:val="20"/>
          <w:lang w:val="lt-LT"/>
        </w:rPr>
        <w:fldChar w:fldCharType="separate"/>
      </w:r>
      <w:r w:rsidR="001028BC" w:rsidRPr="00C97275">
        <w:rPr>
          <w:rFonts w:ascii="Georgia" w:eastAsia="PMingLiU" w:hAnsi="Georgia" w:cs="Georgia"/>
          <w:b/>
          <w:bCs/>
          <w:noProof/>
          <w:color w:val="A32020"/>
          <w:sz w:val="20"/>
          <w:szCs w:val="20"/>
          <w:lang w:val="lt-LT"/>
        </w:rPr>
        <w:t>6</w:t>
      </w:r>
      <w:r w:rsidRPr="00C97275">
        <w:rPr>
          <w:rFonts w:ascii="Georgia" w:eastAsia="PMingLiU" w:hAnsi="Georgia" w:cs="Georgia"/>
          <w:b/>
          <w:bCs/>
          <w:color w:val="A32020"/>
          <w:sz w:val="20"/>
          <w:szCs w:val="20"/>
          <w:lang w:val="lt-LT"/>
        </w:rPr>
        <w:fldChar w:fldCharType="end"/>
      </w:r>
      <w:r w:rsidRPr="00C97275">
        <w:rPr>
          <w:rFonts w:ascii="Georgia" w:eastAsia="PMingLiU" w:hAnsi="Georgia" w:cs="Georgia"/>
          <w:b/>
          <w:bCs/>
          <w:color w:val="A32020"/>
          <w:sz w:val="20"/>
          <w:szCs w:val="20"/>
          <w:lang w:val="lt-LT"/>
        </w:rPr>
        <w:t>. Viešosios paskirties pastatų pasiskirstymas pagal statybos metus</w:t>
      </w:r>
      <w:bookmarkEnd w:id="27"/>
      <w:bookmarkEnd w:id="28"/>
      <w:r w:rsidRPr="00C97275">
        <w:rPr>
          <w:rFonts w:ascii="Georgia" w:eastAsia="PMingLiU" w:hAnsi="Georgia" w:cs="Georgia"/>
          <w:b/>
          <w:bCs/>
          <w:color w:val="A32020"/>
          <w:sz w:val="20"/>
          <w:szCs w:val="20"/>
          <w:lang w:val="lt-LT"/>
        </w:rPr>
        <w:t xml:space="preserve"> </w:t>
      </w:r>
    </w:p>
    <w:tbl>
      <w:tblPr>
        <w:tblStyle w:val="LightList-Accent21"/>
        <w:tblW w:w="5000" w:type="pct"/>
        <w:tblLayout w:type="fixed"/>
        <w:tblLook w:val="04A0" w:firstRow="1" w:lastRow="0" w:firstColumn="1" w:lastColumn="0" w:noHBand="0" w:noVBand="1"/>
      </w:tblPr>
      <w:tblGrid>
        <w:gridCol w:w="1371"/>
        <w:gridCol w:w="896"/>
        <w:gridCol w:w="1054"/>
        <w:gridCol w:w="895"/>
        <w:gridCol w:w="1020"/>
        <w:gridCol w:w="904"/>
        <w:gridCol w:w="1113"/>
        <w:gridCol w:w="924"/>
        <w:gridCol w:w="1065"/>
      </w:tblGrid>
      <w:tr w:rsidR="00415ADA" w:rsidRPr="00C97275" w14:paraId="31E8EBFE" w14:textId="77777777" w:rsidTr="0063781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742" w:type="pct"/>
            <w:hideMark/>
          </w:tcPr>
          <w:p w14:paraId="67C5DAA4" w14:textId="77777777" w:rsidR="005A0219" w:rsidRPr="00C97275" w:rsidRDefault="005A0219" w:rsidP="005A0219">
            <w:pPr>
              <w:autoSpaceDE w:val="0"/>
              <w:autoSpaceDN w:val="0"/>
              <w:adjustRightInd w:val="0"/>
              <w:rPr>
                <w:rFonts w:ascii="Georgia" w:eastAsia="Georgia" w:hAnsi="Georgia" w:cs="Arial"/>
                <w:sz w:val="16"/>
                <w:szCs w:val="16"/>
              </w:rPr>
            </w:pPr>
            <w:r w:rsidRPr="00C97275">
              <w:rPr>
                <w:rFonts w:ascii="Georgia" w:eastAsia="Georgia" w:hAnsi="Georgia" w:cs="Arial"/>
                <w:sz w:val="16"/>
                <w:szCs w:val="16"/>
              </w:rPr>
              <w:t xml:space="preserve">Pastato tipas </w:t>
            </w:r>
          </w:p>
        </w:tc>
        <w:tc>
          <w:tcPr>
            <w:tcW w:w="1055" w:type="pct"/>
            <w:gridSpan w:val="2"/>
            <w:hideMark/>
          </w:tcPr>
          <w:p w14:paraId="2C61A4E3"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Iki 1940 m.</w:t>
            </w:r>
          </w:p>
        </w:tc>
        <w:tc>
          <w:tcPr>
            <w:tcW w:w="1036" w:type="pct"/>
            <w:gridSpan w:val="2"/>
            <w:hideMark/>
          </w:tcPr>
          <w:p w14:paraId="38FF741A"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1941–1960</w:t>
            </w:r>
          </w:p>
        </w:tc>
        <w:tc>
          <w:tcPr>
            <w:tcW w:w="1091" w:type="pct"/>
            <w:gridSpan w:val="2"/>
            <w:hideMark/>
          </w:tcPr>
          <w:p w14:paraId="3B15E8E8"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1961–1990</w:t>
            </w:r>
          </w:p>
        </w:tc>
        <w:tc>
          <w:tcPr>
            <w:tcW w:w="1077" w:type="pct"/>
            <w:gridSpan w:val="2"/>
            <w:hideMark/>
          </w:tcPr>
          <w:p w14:paraId="5294CF7E"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1991 m. ir vėliau</w:t>
            </w:r>
          </w:p>
        </w:tc>
      </w:tr>
      <w:tr w:rsidR="0063781D" w:rsidRPr="00C97275" w14:paraId="4E814171" w14:textId="77777777" w:rsidTr="0063781D">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000" w:firstRow="0" w:lastRow="0" w:firstColumn="1" w:lastColumn="0" w:oddVBand="0" w:evenVBand="0" w:oddHBand="0" w:evenHBand="0" w:firstRowFirstColumn="0" w:firstRowLastColumn="0" w:lastRowFirstColumn="0" w:lastRowLastColumn="0"/>
            <w:tcW w:w="742" w:type="pct"/>
          </w:tcPr>
          <w:p w14:paraId="4FB2333C" w14:textId="77777777" w:rsidR="005A0219" w:rsidRPr="00C97275" w:rsidRDefault="005A0219" w:rsidP="005A0219">
            <w:pPr>
              <w:autoSpaceDE w:val="0"/>
              <w:autoSpaceDN w:val="0"/>
              <w:adjustRightInd w:val="0"/>
              <w:rPr>
                <w:rFonts w:ascii="Georgia" w:eastAsia="Georgia" w:hAnsi="Georgia" w:cs="Arial"/>
                <w:sz w:val="16"/>
                <w:szCs w:val="16"/>
              </w:rPr>
            </w:pPr>
          </w:p>
        </w:tc>
        <w:tc>
          <w:tcPr>
            <w:tcW w:w="485" w:type="pct"/>
            <w:hideMark/>
          </w:tcPr>
          <w:p w14:paraId="026454F9"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Pastatų skaičius</w:t>
            </w:r>
          </w:p>
        </w:tc>
        <w:tc>
          <w:tcPr>
            <w:tcW w:w="569" w:type="pct"/>
            <w:hideMark/>
          </w:tcPr>
          <w:p w14:paraId="5E1C9591"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Bendras plotas m</w:t>
            </w:r>
            <w:r w:rsidRPr="00C97275">
              <w:rPr>
                <w:rFonts w:ascii="Georgia" w:eastAsia="Georgia" w:hAnsi="Georgia" w:cs="Arial"/>
                <w:sz w:val="16"/>
                <w:szCs w:val="16"/>
                <w:vertAlign w:val="superscript"/>
              </w:rPr>
              <w:t>2</w:t>
            </w:r>
          </w:p>
        </w:tc>
        <w:tc>
          <w:tcPr>
            <w:tcW w:w="484" w:type="pct"/>
            <w:hideMark/>
          </w:tcPr>
          <w:p w14:paraId="09A2D5F7"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Pastatų skaičius</w:t>
            </w:r>
          </w:p>
        </w:tc>
        <w:tc>
          <w:tcPr>
            <w:tcW w:w="551" w:type="pct"/>
            <w:hideMark/>
          </w:tcPr>
          <w:p w14:paraId="46F719A1"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Bendras plotas m</w:t>
            </w:r>
            <w:r w:rsidRPr="00C97275">
              <w:rPr>
                <w:rFonts w:ascii="Georgia" w:eastAsia="Georgia" w:hAnsi="Georgia" w:cs="Arial"/>
                <w:sz w:val="16"/>
                <w:szCs w:val="16"/>
                <w:vertAlign w:val="superscript"/>
              </w:rPr>
              <w:t>2</w:t>
            </w:r>
          </w:p>
        </w:tc>
        <w:tc>
          <w:tcPr>
            <w:tcW w:w="489" w:type="pct"/>
            <w:hideMark/>
          </w:tcPr>
          <w:p w14:paraId="109F1879"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Pastatų skaičius</w:t>
            </w:r>
          </w:p>
        </w:tc>
        <w:tc>
          <w:tcPr>
            <w:tcW w:w="602" w:type="pct"/>
            <w:hideMark/>
          </w:tcPr>
          <w:p w14:paraId="427A8B69"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Bendras plotas m</w:t>
            </w:r>
            <w:r w:rsidRPr="00C97275">
              <w:rPr>
                <w:rFonts w:ascii="Georgia" w:eastAsia="Georgia" w:hAnsi="Georgia" w:cs="Arial"/>
                <w:sz w:val="16"/>
                <w:szCs w:val="16"/>
                <w:vertAlign w:val="superscript"/>
              </w:rPr>
              <w:t>2</w:t>
            </w:r>
          </w:p>
        </w:tc>
        <w:tc>
          <w:tcPr>
            <w:tcW w:w="500" w:type="pct"/>
            <w:hideMark/>
          </w:tcPr>
          <w:p w14:paraId="7243107C"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Pastatų skaičius</w:t>
            </w:r>
          </w:p>
        </w:tc>
        <w:tc>
          <w:tcPr>
            <w:tcW w:w="576" w:type="pct"/>
            <w:hideMark/>
          </w:tcPr>
          <w:p w14:paraId="11DC60FB"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C97275">
              <w:rPr>
                <w:rFonts w:ascii="Georgia" w:eastAsia="Georgia" w:hAnsi="Georgia" w:cs="Arial"/>
                <w:sz w:val="16"/>
                <w:szCs w:val="16"/>
              </w:rPr>
              <w:t>Bendras plotas m</w:t>
            </w:r>
            <w:r w:rsidRPr="00C97275">
              <w:rPr>
                <w:rFonts w:ascii="Georgia" w:eastAsia="Georgia" w:hAnsi="Georgia" w:cs="Arial"/>
                <w:sz w:val="16"/>
                <w:szCs w:val="16"/>
                <w:vertAlign w:val="superscript"/>
              </w:rPr>
              <w:t>2</w:t>
            </w:r>
          </w:p>
        </w:tc>
      </w:tr>
      <w:tr w:rsidR="00150010" w:rsidRPr="00C97275" w14:paraId="31168C88" w14:textId="77777777" w:rsidTr="0077117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42" w:type="pct"/>
            <w:hideMark/>
          </w:tcPr>
          <w:p w14:paraId="4FB87819" w14:textId="77777777" w:rsidR="005A0219" w:rsidRPr="00C97275" w:rsidRDefault="005A0219" w:rsidP="005A0219">
            <w:pPr>
              <w:autoSpaceDE w:val="0"/>
              <w:autoSpaceDN w:val="0"/>
              <w:adjustRightInd w:val="0"/>
              <w:rPr>
                <w:rFonts w:ascii="Georgia" w:eastAsia="Georgia" w:hAnsi="Georgia" w:cs="Arial"/>
                <w:sz w:val="16"/>
                <w:szCs w:val="16"/>
              </w:rPr>
            </w:pPr>
            <w:r w:rsidRPr="00C97275">
              <w:rPr>
                <w:rFonts w:ascii="Georgia" w:eastAsia="Georgia" w:hAnsi="Georgia" w:cs="Arial Unicode MS"/>
                <w:sz w:val="16"/>
                <w:szCs w:val="16"/>
              </w:rPr>
              <w:t>Gyvenamieji namai įvairioms socialinėms grupėms</w:t>
            </w:r>
          </w:p>
        </w:tc>
        <w:tc>
          <w:tcPr>
            <w:tcW w:w="485" w:type="pct"/>
            <w:tcBorders>
              <w:top w:val="single" w:sz="8" w:space="0" w:color="C0504D"/>
              <w:left w:val="nil"/>
              <w:bottom w:val="single" w:sz="8" w:space="0" w:color="C0504D"/>
              <w:right w:val="nil"/>
            </w:tcBorders>
            <w:shd w:val="clear" w:color="auto" w:fill="auto"/>
            <w:vAlign w:val="center"/>
            <w:hideMark/>
          </w:tcPr>
          <w:p w14:paraId="72E42E1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285</w:t>
            </w:r>
          </w:p>
        </w:tc>
        <w:tc>
          <w:tcPr>
            <w:tcW w:w="569" w:type="pct"/>
            <w:tcBorders>
              <w:top w:val="single" w:sz="8" w:space="0" w:color="C0504D"/>
              <w:left w:val="nil"/>
              <w:bottom w:val="single" w:sz="8" w:space="0" w:color="C0504D"/>
              <w:right w:val="nil"/>
            </w:tcBorders>
            <w:shd w:val="clear" w:color="auto" w:fill="auto"/>
            <w:vAlign w:val="center"/>
            <w:hideMark/>
          </w:tcPr>
          <w:p w14:paraId="36C8645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163 473</w:t>
            </w:r>
          </w:p>
        </w:tc>
        <w:tc>
          <w:tcPr>
            <w:tcW w:w="484" w:type="pct"/>
            <w:tcBorders>
              <w:top w:val="single" w:sz="8" w:space="0" w:color="C0504D"/>
              <w:left w:val="nil"/>
              <w:bottom w:val="single" w:sz="8" w:space="0" w:color="C0504D"/>
              <w:right w:val="nil"/>
            </w:tcBorders>
            <w:shd w:val="clear" w:color="auto" w:fill="auto"/>
            <w:vAlign w:val="center"/>
            <w:hideMark/>
          </w:tcPr>
          <w:p w14:paraId="40BD7A5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136</w:t>
            </w:r>
          </w:p>
        </w:tc>
        <w:tc>
          <w:tcPr>
            <w:tcW w:w="551" w:type="pct"/>
            <w:tcBorders>
              <w:top w:val="single" w:sz="8" w:space="0" w:color="C0504D"/>
              <w:left w:val="nil"/>
              <w:bottom w:val="single" w:sz="8" w:space="0" w:color="C0504D"/>
              <w:right w:val="nil"/>
            </w:tcBorders>
            <w:shd w:val="clear" w:color="auto" w:fill="auto"/>
            <w:vAlign w:val="center"/>
            <w:hideMark/>
          </w:tcPr>
          <w:p w14:paraId="400AA88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143 473</w:t>
            </w:r>
          </w:p>
        </w:tc>
        <w:tc>
          <w:tcPr>
            <w:tcW w:w="489" w:type="pct"/>
            <w:tcBorders>
              <w:top w:val="single" w:sz="8" w:space="0" w:color="C0504D"/>
              <w:left w:val="nil"/>
              <w:bottom w:val="single" w:sz="8" w:space="0" w:color="C0504D"/>
              <w:right w:val="nil"/>
            </w:tcBorders>
            <w:shd w:val="clear" w:color="auto" w:fill="auto"/>
            <w:vAlign w:val="center"/>
            <w:hideMark/>
          </w:tcPr>
          <w:p w14:paraId="73EF3B58"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1 284</w:t>
            </w:r>
          </w:p>
        </w:tc>
        <w:tc>
          <w:tcPr>
            <w:tcW w:w="602" w:type="pct"/>
            <w:tcBorders>
              <w:top w:val="single" w:sz="8" w:space="0" w:color="C0504D"/>
              <w:left w:val="nil"/>
              <w:bottom w:val="single" w:sz="8" w:space="0" w:color="C0504D"/>
              <w:right w:val="nil"/>
            </w:tcBorders>
            <w:shd w:val="clear" w:color="auto" w:fill="auto"/>
            <w:vAlign w:val="center"/>
            <w:hideMark/>
          </w:tcPr>
          <w:p w14:paraId="3BC4A10B"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3 139 412</w:t>
            </w:r>
          </w:p>
        </w:tc>
        <w:tc>
          <w:tcPr>
            <w:tcW w:w="500" w:type="pct"/>
            <w:tcBorders>
              <w:top w:val="single" w:sz="8" w:space="0" w:color="C0504D"/>
              <w:left w:val="nil"/>
              <w:bottom w:val="single" w:sz="8" w:space="0" w:color="C0504D"/>
              <w:right w:val="nil"/>
            </w:tcBorders>
            <w:shd w:val="clear" w:color="auto" w:fill="auto"/>
            <w:vAlign w:val="center"/>
            <w:hideMark/>
          </w:tcPr>
          <w:p w14:paraId="0163096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140</w:t>
            </w:r>
          </w:p>
        </w:tc>
        <w:tc>
          <w:tcPr>
            <w:tcW w:w="576" w:type="pct"/>
            <w:tcBorders>
              <w:top w:val="single" w:sz="8" w:space="0" w:color="C0504D"/>
              <w:left w:val="nil"/>
              <w:bottom w:val="single" w:sz="8" w:space="0" w:color="C0504D"/>
              <w:right w:val="single" w:sz="8" w:space="0" w:color="C0504D"/>
            </w:tcBorders>
            <w:shd w:val="clear" w:color="auto" w:fill="auto"/>
            <w:vAlign w:val="center"/>
            <w:hideMark/>
          </w:tcPr>
          <w:p w14:paraId="4F6D59B0"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181 178</w:t>
            </w:r>
          </w:p>
        </w:tc>
      </w:tr>
      <w:tr w:rsidR="00150010" w:rsidRPr="00C97275" w14:paraId="5D50AC3A" w14:textId="77777777" w:rsidTr="0077117B">
        <w:trPr>
          <w:trHeight w:val="162"/>
        </w:trPr>
        <w:tc>
          <w:tcPr>
            <w:cnfStyle w:val="001000000000" w:firstRow="0" w:lastRow="0" w:firstColumn="1" w:lastColumn="0" w:oddVBand="0" w:evenVBand="0" w:oddHBand="0" w:evenHBand="0" w:firstRowFirstColumn="0" w:firstRowLastColumn="0" w:lastRowFirstColumn="0" w:lastRowLastColumn="0"/>
            <w:tcW w:w="742" w:type="pct"/>
            <w:hideMark/>
          </w:tcPr>
          <w:p w14:paraId="491A094F" w14:textId="07FE24EC" w:rsidR="005A0219" w:rsidRPr="00C97275" w:rsidRDefault="005A0219" w:rsidP="005A0219">
            <w:pPr>
              <w:autoSpaceDE w:val="0"/>
              <w:autoSpaceDN w:val="0"/>
              <w:adjustRightInd w:val="0"/>
              <w:rPr>
                <w:rFonts w:ascii="Georgia" w:eastAsia="Georgia" w:hAnsi="Georgia" w:cs="Arial"/>
                <w:sz w:val="16"/>
                <w:szCs w:val="16"/>
              </w:rPr>
            </w:pPr>
            <w:r w:rsidRPr="00C97275">
              <w:rPr>
                <w:rFonts w:ascii="Georgia" w:eastAsia="Georgia" w:hAnsi="Georgia" w:cs="Arial"/>
                <w:sz w:val="16"/>
                <w:szCs w:val="16"/>
              </w:rPr>
              <w:t>Administraci</w:t>
            </w:r>
            <w:r w:rsidR="00415ADA" w:rsidRPr="00C97275">
              <w:rPr>
                <w:rFonts w:ascii="Georgia" w:eastAsia="Georgia" w:hAnsi="Georgia" w:cs="Arial"/>
                <w:sz w:val="16"/>
                <w:szCs w:val="16"/>
              </w:rPr>
              <w:t>-</w:t>
            </w:r>
            <w:r w:rsidRPr="00C97275">
              <w:rPr>
                <w:rFonts w:ascii="Georgia" w:eastAsia="Georgia" w:hAnsi="Georgia" w:cs="Arial"/>
                <w:sz w:val="16"/>
                <w:szCs w:val="16"/>
              </w:rPr>
              <w:t xml:space="preserve">niai pastatai </w:t>
            </w:r>
          </w:p>
        </w:tc>
        <w:tc>
          <w:tcPr>
            <w:tcW w:w="485" w:type="pct"/>
            <w:tcBorders>
              <w:top w:val="nil"/>
              <w:left w:val="nil"/>
              <w:bottom w:val="nil"/>
              <w:right w:val="nil"/>
            </w:tcBorders>
            <w:shd w:val="clear" w:color="auto" w:fill="auto"/>
            <w:vAlign w:val="center"/>
            <w:hideMark/>
          </w:tcPr>
          <w:p w14:paraId="06E3F59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1 527</w:t>
            </w:r>
          </w:p>
        </w:tc>
        <w:tc>
          <w:tcPr>
            <w:tcW w:w="569" w:type="pct"/>
            <w:tcBorders>
              <w:top w:val="nil"/>
              <w:left w:val="nil"/>
              <w:bottom w:val="nil"/>
              <w:right w:val="nil"/>
            </w:tcBorders>
            <w:shd w:val="clear" w:color="auto" w:fill="auto"/>
            <w:vAlign w:val="center"/>
            <w:hideMark/>
          </w:tcPr>
          <w:p w14:paraId="725260A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1 181 839</w:t>
            </w:r>
          </w:p>
        </w:tc>
        <w:tc>
          <w:tcPr>
            <w:tcW w:w="484" w:type="pct"/>
            <w:tcBorders>
              <w:top w:val="nil"/>
              <w:left w:val="nil"/>
              <w:bottom w:val="nil"/>
              <w:right w:val="nil"/>
            </w:tcBorders>
            <w:shd w:val="clear" w:color="auto" w:fill="auto"/>
            <w:vAlign w:val="center"/>
            <w:hideMark/>
          </w:tcPr>
          <w:p w14:paraId="5D53A21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810</w:t>
            </w:r>
          </w:p>
        </w:tc>
        <w:tc>
          <w:tcPr>
            <w:tcW w:w="551" w:type="pct"/>
            <w:tcBorders>
              <w:top w:val="nil"/>
              <w:left w:val="nil"/>
              <w:bottom w:val="nil"/>
              <w:right w:val="nil"/>
            </w:tcBorders>
            <w:shd w:val="clear" w:color="auto" w:fill="auto"/>
            <w:vAlign w:val="center"/>
            <w:hideMark/>
          </w:tcPr>
          <w:p w14:paraId="6C7F27A5"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512 755</w:t>
            </w:r>
          </w:p>
        </w:tc>
        <w:tc>
          <w:tcPr>
            <w:tcW w:w="489" w:type="pct"/>
            <w:tcBorders>
              <w:top w:val="nil"/>
              <w:left w:val="nil"/>
              <w:bottom w:val="nil"/>
              <w:right w:val="nil"/>
            </w:tcBorders>
            <w:shd w:val="clear" w:color="auto" w:fill="auto"/>
            <w:vAlign w:val="center"/>
            <w:hideMark/>
          </w:tcPr>
          <w:p w14:paraId="6520E178"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6 068</w:t>
            </w:r>
          </w:p>
        </w:tc>
        <w:tc>
          <w:tcPr>
            <w:tcW w:w="602" w:type="pct"/>
            <w:tcBorders>
              <w:top w:val="nil"/>
              <w:left w:val="nil"/>
              <w:bottom w:val="nil"/>
              <w:right w:val="nil"/>
            </w:tcBorders>
            <w:shd w:val="clear" w:color="auto" w:fill="auto"/>
            <w:vAlign w:val="center"/>
            <w:hideMark/>
          </w:tcPr>
          <w:p w14:paraId="3976B49A"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5 485 324</w:t>
            </w:r>
          </w:p>
        </w:tc>
        <w:tc>
          <w:tcPr>
            <w:tcW w:w="500" w:type="pct"/>
            <w:tcBorders>
              <w:top w:val="nil"/>
              <w:left w:val="nil"/>
              <w:bottom w:val="nil"/>
              <w:right w:val="nil"/>
            </w:tcBorders>
            <w:shd w:val="clear" w:color="auto" w:fill="auto"/>
            <w:vAlign w:val="center"/>
            <w:hideMark/>
          </w:tcPr>
          <w:p w14:paraId="19FB4307"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1 554</w:t>
            </w:r>
          </w:p>
        </w:tc>
        <w:tc>
          <w:tcPr>
            <w:tcW w:w="576" w:type="pct"/>
            <w:tcBorders>
              <w:top w:val="nil"/>
              <w:left w:val="nil"/>
              <w:bottom w:val="nil"/>
              <w:right w:val="single" w:sz="8" w:space="0" w:color="C0504D"/>
            </w:tcBorders>
            <w:shd w:val="clear" w:color="auto" w:fill="auto"/>
            <w:vAlign w:val="center"/>
            <w:hideMark/>
          </w:tcPr>
          <w:p w14:paraId="5747172B"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2 073 535</w:t>
            </w:r>
          </w:p>
        </w:tc>
      </w:tr>
      <w:tr w:rsidR="00150010" w:rsidRPr="00C97275" w14:paraId="415AB28E" w14:textId="77777777" w:rsidTr="0077117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42" w:type="pct"/>
            <w:hideMark/>
          </w:tcPr>
          <w:p w14:paraId="7AEC2494" w14:textId="77777777" w:rsidR="005A0219" w:rsidRPr="00C97275" w:rsidRDefault="005A0219" w:rsidP="005A0219">
            <w:pPr>
              <w:autoSpaceDE w:val="0"/>
              <w:autoSpaceDN w:val="0"/>
              <w:adjustRightInd w:val="0"/>
              <w:rPr>
                <w:rFonts w:ascii="Georgia" w:eastAsia="Georgia" w:hAnsi="Georgia" w:cs="Arial"/>
                <w:sz w:val="16"/>
                <w:szCs w:val="16"/>
              </w:rPr>
            </w:pPr>
            <w:r w:rsidRPr="00C97275">
              <w:rPr>
                <w:rFonts w:ascii="Georgia" w:eastAsia="Georgia" w:hAnsi="Georgia" w:cs="Arial"/>
                <w:sz w:val="16"/>
                <w:szCs w:val="16"/>
              </w:rPr>
              <w:t xml:space="preserve">Kultūros, švietimo, sporto reikmėms naudojami pastatai </w:t>
            </w:r>
          </w:p>
        </w:tc>
        <w:tc>
          <w:tcPr>
            <w:tcW w:w="485" w:type="pct"/>
            <w:tcBorders>
              <w:top w:val="single" w:sz="8" w:space="0" w:color="C0504D"/>
              <w:left w:val="nil"/>
              <w:bottom w:val="single" w:sz="8" w:space="0" w:color="C0504D"/>
              <w:right w:val="nil"/>
            </w:tcBorders>
            <w:shd w:val="clear" w:color="auto" w:fill="auto"/>
            <w:vAlign w:val="center"/>
            <w:hideMark/>
          </w:tcPr>
          <w:p w14:paraId="5044371A"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1 560</w:t>
            </w:r>
          </w:p>
        </w:tc>
        <w:tc>
          <w:tcPr>
            <w:tcW w:w="569" w:type="pct"/>
            <w:tcBorders>
              <w:top w:val="single" w:sz="8" w:space="0" w:color="C0504D"/>
              <w:left w:val="nil"/>
              <w:bottom w:val="single" w:sz="8" w:space="0" w:color="C0504D"/>
              <w:right w:val="nil"/>
            </w:tcBorders>
            <w:shd w:val="clear" w:color="auto" w:fill="auto"/>
            <w:vAlign w:val="center"/>
            <w:hideMark/>
          </w:tcPr>
          <w:p w14:paraId="6402CBAA"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1 448 521</w:t>
            </w:r>
          </w:p>
        </w:tc>
        <w:tc>
          <w:tcPr>
            <w:tcW w:w="484" w:type="pct"/>
            <w:tcBorders>
              <w:top w:val="single" w:sz="8" w:space="0" w:color="C0504D"/>
              <w:left w:val="nil"/>
              <w:bottom w:val="single" w:sz="8" w:space="0" w:color="C0504D"/>
              <w:right w:val="nil"/>
            </w:tcBorders>
            <w:shd w:val="clear" w:color="auto" w:fill="auto"/>
            <w:vAlign w:val="center"/>
            <w:hideMark/>
          </w:tcPr>
          <w:p w14:paraId="5A4C3630"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644</w:t>
            </w:r>
          </w:p>
        </w:tc>
        <w:tc>
          <w:tcPr>
            <w:tcW w:w="551" w:type="pct"/>
            <w:tcBorders>
              <w:top w:val="single" w:sz="8" w:space="0" w:color="C0504D"/>
              <w:left w:val="nil"/>
              <w:bottom w:val="single" w:sz="8" w:space="0" w:color="C0504D"/>
              <w:right w:val="nil"/>
            </w:tcBorders>
            <w:shd w:val="clear" w:color="auto" w:fill="auto"/>
            <w:vAlign w:val="center"/>
            <w:hideMark/>
          </w:tcPr>
          <w:p w14:paraId="38C7ABD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599 934</w:t>
            </w:r>
          </w:p>
        </w:tc>
        <w:tc>
          <w:tcPr>
            <w:tcW w:w="489" w:type="pct"/>
            <w:tcBorders>
              <w:top w:val="single" w:sz="8" w:space="0" w:color="C0504D"/>
              <w:left w:val="nil"/>
              <w:bottom w:val="single" w:sz="8" w:space="0" w:color="C0504D"/>
              <w:right w:val="nil"/>
            </w:tcBorders>
            <w:shd w:val="clear" w:color="auto" w:fill="auto"/>
            <w:vAlign w:val="center"/>
            <w:hideMark/>
          </w:tcPr>
          <w:p w14:paraId="5F17961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4 676</w:t>
            </w:r>
          </w:p>
        </w:tc>
        <w:tc>
          <w:tcPr>
            <w:tcW w:w="602" w:type="pct"/>
            <w:tcBorders>
              <w:top w:val="single" w:sz="8" w:space="0" w:color="C0504D"/>
              <w:left w:val="nil"/>
              <w:bottom w:val="single" w:sz="8" w:space="0" w:color="C0504D"/>
              <w:right w:val="nil"/>
            </w:tcBorders>
            <w:shd w:val="clear" w:color="auto" w:fill="auto"/>
            <w:vAlign w:val="center"/>
            <w:hideMark/>
          </w:tcPr>
          <w:p w14:paraId="26E4F0E8"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7 859 768</w:t>
            </w:r>
          </w:p>
        </w:tc>
        <w:tc>
          <w:tcPr>
            <w:tcW w:w="500" w:type="pct"/>
            <w:tcBorders>
              <w:top w:val="single" w:sz="8" w:space="0" w:color="C0504D"/>
              <w:left w:val="nil"/>
              <w:bottom w:val="single" w:sz="8" w:space="0" w:color="C0504D"/>
              <w:right w:val="nil"/>
            </w:tcBorders>
            <w:shd w:val="clear" w:color="auto" w:fill="auto"/>
            <w:vAlign w:val="center"/>
            <w:hideMark/>
          </w:tcPr>
          <w:p w14:paraId="37FAA8E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554</w:t>
            </w:r>
          </w:p>
        </w:tc>
        <w:tc>
          <w:tcPr>
            <w:tcW w:w="576" w:type="pct"/>
            <w:tcBorders>
              <w:top w:val="single" w:sz="8" w:space="0" w:color="C0504D"/>
              <w:left w:val="nil"/>
              <w:bottom w:val="single" w:sz="8" w:space="0" w:color="C0504D"/>
              <w:right w:val="single" w:sz="8" w:space="0" w:color="C0504D"/>
            </w:tcBorders>
            <w:shd w:val="clear" w:color="auto" w:fill="auto"/>
            <w:vAlign w:val="center"/>
            <w:hideMark/>
          </w:tcPr>
          <w:p w14:paraId="262DAD36"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1 392 334</w:t>
            </w:r>
          </w:p>
        </w:tc>
      </w:tr>
      <w:tr w:rsidR="00150010" w:rsidRPr="00C97275" w14:paraId="58897ADD" w14:textId="77777777" w:rsidTr="0077117B">
        <w:trPr>
          <w:trHeight w:val="161"/>
        </w:trPr>
        <w:tc>
          <w:tcPr>
            <w:cnfStyle w:val="001000000000" w:firstRow="0" w:lastRow="0" w:firstColumn="1" w:lastColumn="0" w:oddVBand="0" w:evenVBand="0" w:oddHBand="0" w:evenHBand="0" w:firstRowFirstColumn="0" w:firstRowLastColumn="0" w:lastRowFirstColumn="0" w:lastRowLastColumn="0"/>
            <w:tcW w:w="742" w:type="pct"/>
            <w:hideMark/>
          </w:tcPr>
          <w:p w14:paraId="4F80C56E" w14:textId="77777777" w:rsidR="005A0219" w:rsidRPr="00C97275" w:rsidRDefault="005A0219" w:rsidP="005A0219">
            <w:pPr>
              <w:autoSpaceDE w:val="0"/>
              <w:autoSpaceDN w:val="0"/>
              <w:adjustRightInd w:val="0"/>
              <w:rPr>
                <w:rFonts w:ascii="Georgia" w:eastAsia="Georgia" w:hAnsi="Georgia" w:cs="Arial"/>
                <w:sz w:val="16"/>
                <w:szCs w:val="16"/>
              </w:rPr>
            </w:pPr>
            <w:r w:rsidRPr="00C97275">
              <w:rPr>
                <w:rFonts w:ascii="Georgia" w:eastAsia="Georgia" w:hAnsi="Georgia" w:cs="Arial"/>
                <w:sz w:val="16"/>
                <w:szCs w:val="16"/>
              </w:rPr>
              <w:t xml:space="preserve">Medicinos reikmėms naudojami pastatai </w:t>
            </w:r>
          </w:p>
        </w:tc>
        <w:tc>
          <w:tcPr>
            <w:tcW w:w="485" w:type="pct"/>
            <w:tcBorders>
              <w:top w:val="nil"/>
              <w:left w:val="nil"/>
              <w:bottom w:val="nil"/>
              <w:right w:val="nil"/>
            </w:tcBorders>
            <w:shd w:val="clear" w:color="auto" w:fill="auto"/>
            <w:vAlign w:val="center"/>
            <w:hideMark/>
          </w:tcPr>
          <w:p w14:paraId="1A22F09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412</w:t>
            </w:r>
          </w:p>
        </w:tc>
        <w:tc>
          <w:tcPr>
            <w:tcW w:w="569" w:type="pct"/>
            <w:tcBorders>
              <w:top w:val="nil"/>
              <w:left w:val="nil"/>
              <w:bottom w:val="nil"/>
              <w:right w:val="nil"/>
            </w:tcBorders>
            <w:shd w:val="clear" w:color="auto" w:fill="auto"/>
            <w:vAlign w:val="center"/>
            <w:hideMark/>
          </w:tcPr>
          <w:p w14:paraId="4975A734"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384 450</w:t>
            </w:r>
          </w:p>
        </w:tc>
        <w:tc>
          <w:tcPr>
            <w:tcW w:w="484" w:type="pct"/>
            <w:tcBorders>
              <w:top w:val="nil"/>
              <w:left w:val="nil"/>
              <w:bottom w:val="nil"/>
              <w:right w:val="nil"/>
            </w:tcBorders>
            <w:shd w:val="clear" w:color="auto" w:fill="auto"/>
            <w:vAlign w:val="center"/>
            <w:hideMark/>
          </w:tcPr>
          <w:p w14:paraId="419C4C82"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193</w:t>
            </w:r>
          </w:p>
        </w:tc>
        <w:tc>
          <w:tcPr>
            <w:tcW w:w="551" w:type="pct"/>
            <w:tcBorders>
              <w:top w:val="nil"/>
              <w:left w:val="nil"/>
              <w:bottom w:val="nil"/>
              <w:right w:val="nil"/>
            </w:tcBorders>
            <w:shd w:val="clear" w:color="auto" w:fill="auto"/>
            <w:vAlign w:val="center"/>
            <w:hideMark/>
          </w:tcPr>
          <w:p w14:paraId="242FF02B"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120 933</w:t>
            </w:r>
          </w:p>
        </w:tc>
        <w:tc>
          <w:tcPr>
            <w:tcW w:w="489" w:type="pct"/>
            <w:tcBorders>
              <w:top w:val="nil"/>
              <w:left w:val="nil"/>
              <w:bottom w:val="nil"/>
              <w:right w:val="nil"/>
            </w:tcBorders>
            <w:shd w:val="clear" w:color="auto" w:fill="auto"/>
            <w:vAlign w:val="center"/>
            <w:hideMark/>
          </w:tcPr>
          <w:p w14:paraId="5E1D6C6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987</w:t>
            </w:r>
          </w:p>
        </w:tc>
        <w:tc>
          <w:tcPr>
            <w:tcW w:w="602" w:type="pct"/>
            <w:tcBorders>
              <w:top w:val="nil"/>
              <w:left w:val="nil"/>
              <w:bottom w:val="nil"/>
              <w:right w:val="nil"/>
            </w:tcBorders>
            <w:shd w:val="clear" w:color="auto" w:fill="auto"/>
            <w:vAlign w:val="center"/>
            <w:hideMark/>
          </w:tcPr>
          <w:p w14:paraId="29D46989"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1 876 698</w:t>
            </w:r>
          </w:p>
        </w:tc>
        <w:tc>
          <w:tcPr>
            <w:tcW w:w="500" w:type="pct"/>
            <w:tcBorders>
              <w:top w:val="nil"/>
              <w:left w:val="nil"/>
              <w:bottom w:val="nil"/>
              <w:right w:val="nil"/>
            </w:tcBorders>
            <w:shd w:val="clear" w:color="auto" w:fill="auto"/>
            <w:vAlign w:val="center"/>
            <w:hideMark/>
          </w:tcPr>
          <w:p w14:paraId="54E1767F"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232</w:t>
            </w:r>
          </w:p>
        </w:tc>
        <w:tc>
          <w:tcPr>
            <w:tcW w:w="576" w:type="pct"/>
            <w:tcBorders>
              <w:top w:val="nil"/>
              <w:left w:val="nil"/>
              <w:bottom w:val="nil"/>
              <w:right w:val="single" w:sz="8" w:space="0" w:color="C0504D"/>
            </w:tcBorders>
            <w:shd w:val="clear" w:color="auto" w:fill="auto"/>
            <w:vAlign w:val="center"/>
            <w:hideMark/>
          </w:tcPr>
          <w:p w14:paraId="688BDC2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506 804</w:t>
            </w:r>
          </w:p>
        </w:tc>
      </w:tr>
      <w:tr w:rsidR="00150010" w:rsidRPr="00C97275" w14:paraId="3C2EEFC7" w14:textId="77777777" w:rsidTr="0077117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42" w:type="pct"/>
            <w:hideMark/>
          </w:tcPr>
          <w:p w14:paraId="2D3B610E" w14:textId="77777777" w:rsidR="005A0219" w:rsidRPr="00C97275" w:rsidRDefault="005A0219" w:rsidP="005A0219">
            <w:pPr>
              <w:autoSpaceDE w:val="0"/>
              <w:autoSpaceDN w:val="0"/>
              <w:adjustRightInd w:val="0"/>
              <w:rPr>
                <w:rFonts w:ascii="Georgia" w:eastAsia="Georgia" w:hAnsi="Georgia" w:cs="Arial"/>
                <w:sz w:val="16"/>
                <w:szCs w:val="16"/>
              </w:rPr>
            </w:pPr>
            <w:r w:rsidRPr="00C97275">
              <w:rPr>
                <w:rFonts w:ascii="Georgia" w:eastAsia="Georgia" w:hAnsi="Georgia" w:cs="Arial Unicode MS"/>
                <w:sz w:val="16"/>
                <w:szCs w:val="16"/>
              </w:rPr>
              <w:lastRenderedPageBreak/>
              <w:t>Specialiosios, religinės ir kitos paskirties pastatai</w:t>
            </w:r>
          </w:p>
        </w:tc>
        <w:tc>
          <w:tcPr>
            <w:tcW w:w="485" w:type="pct"/>
            <w:tcBorders>
              <w:top w:val="single" w:sz="8" w:space="0" w:color="C0504D"/>
              <w:left w:val="nil"/>
              <w:bottom w:val="single" w:sz="8" w:space="0" w:color="C0504D"/>
              <w:right w:val="nil"/>
            </w:tcBorders>
            <w:shd w:val="clear" w:color="auto" w:fill="auto"/>
            <w:vAlign w:val="center"/>
            <w:hideMark/>
          </w:tcPr>
          <w:p w14:paraId="5A0717B9"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1 998</w:t>
            </w:r>
          </w:p>
        </w:tc>
        <w:tc>
          <w:tcPr>
            <w:tcW w:w="569" w:type="pct"/>
            <w:tcBorders>
              <w:top w:val="single" w:sz="8" w:space="0" w:color="C0504D"/>
              <w:left w:val="nil"/>
              <w:bottom w:val="single" w:sz="8" w:space="0" w:color="C0504D"/>
              <w:right w:val="nil"/>
            </w:tcBorders>
            <w:shd w:val="clear" w:color="auto" w:fill="auto"/>
            <w:vAlign w:val="center"/>
            <w:hideMark/>
          </w:tcPr>
          <w:p w14:paraId="5D25F28A"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656 806</w:t>
            </w:r>
          </w:p>
        </w:tc>
        <w:tc>
          <w:tcPr>
            <w:tcW w:w="484" w:type="pct"/>
            <w:tcBorders>
              <w:top w:val="single" w:sz="8" w:space="0" w:color="C0504D"/>
              <w:left w:val="nil"/>
              <w:bottom w:val="single" w:sz="8" w:space="0" w:color="C0504D"/>
              <w:right w:val="nil"/>
            </w:tcBorders>
            <w:shd w:val="clear" w:color="auto" w:fill="auto"/>
            <w:vAlign w:val="center"/>
            <w:hideMark/>
          </w:tcPr>
          <w:p w14:paraId="13D68C46"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1 237</w:t>
            </w:r>
          </w:p>
        </w:tc>
        <w:tc>
          <w:tcPr>
            <w:tcW w:w="551" w:type="pct"/>
            <w:tcBorders>
              <w:top w:val="single" w:sz="8" w:space="0" w:color="C0504D"/>
              <w:left w:val="nil"/>
              <w:bottom w:val="single" w:sz="8" w:space="0" w:color="C0504D"/>
              <w:right w:val="nil"/>
            </w:tcBorders>
            <w:shd w:val="clear" w:color="auto" w:fill="auto"/>
            <w:vAlign w:val="center"/>
            <w:hideMark/>
          </w:tcPr>
          <w:p w14:paraId="28D021B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233 451</w:t>
            </w:r>
          </w:p>
        </w:tc>
        <w:tc>
          <w:tcPr>
            <w:tcW w:w="489" w:type="pct"/>
            <w:tcBorders>
              <w:top w:val="single" w:sz="8" w:space="0" w:color="C0504D"/>
              <w:left w:val="nil"/>
              <w:bottom w:val="single" w:sz="8" w:space="0" w:color="C0504D"/>
              <w:right w:val="nil"/>
            </w:tcBorders>
            <w:shd w:val="clear" w:color="auto" w:fill="auto"/>
            <w:vAlign w:val="center"/>
            <w:hideMark/>
          </w:tcPr>
          <w:p w14:paraId="53AB0E00"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12 626</w:t>
            </w:r>
          </w:p>
        </w:tc>
        <w:tc>
          <w:tcPr>
            <w:tcW w:w="602" w:type="pct"/>
            <w:tcBorders>
              <w:top w:val="single" w:sz="8" w:space="0" w:color="C0504D"/>
              <w:left w:val="nil"/>
              <w:bottom w:val="single" w:sz="8" w:space="0" w:color="C0504D"/>
              <w:right w:val="nil"/>
            </w:tcBorders>
            <w:shd w:val="clear" w:color="auto" w:fill="auto"/>
            <w:vAlign w:val="center"/>
            <w:hideMark/>
          </w:tcPr>
          <w:p w14:paraId="6444F4A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2 527 351</w:t>
            </w:r>
          </w:p>
        </w:tc>
        <w:tc>
          <w:tcPr>
            <w:tcW w:w="500" w:type="pct"/>
            <w:tcBorders>
              <w:top w:val="single" w:sz="8" w:space="0" w:color="C0504D"/>
              <w:left w:val="nil"/>
              <w:bottom w:val="single" w:sz="8" w:space="0" w:color="C0504D"/>
              <w:right w:val="nil"/>
            </w:tcBorders>
            <w:shd w:val="clear" w:color="auto" w:fill="auto"/>
            <w:vAlign w:val="center"/>
            <w:hideMark/>
          </w:tcPr>
          <w:p w14:paraId="4469D480"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4 398</w:t>
            </w:r>
          </w:p>
        </w:tc>
        <w:tc>
          <w:tcPr>
            <w:tcW w:w="576" w:type="pct"/>
            <w:tcBorders>
              <w:top w:val="single" w:sz="8" w:space="0" w:color="C0504D"/>
              <w:left w:val="nil"/>
              <w:bottom w:val="single" w:sz="8" w:space="0" w:color="C0504D"/>
              <w:right w:val="single" w:sz="8" w:space="0" w:color="C0504D"/>
            </w:tcBorders>
            <w:shd w:val="clear" w:color="auto" w:fill="auto"/>
            <w:vAlign w:val="center"/>
            <w:hideMark/>
          </w:tcPr>
          <w:p w14:paraId="2B0A10B0"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726 408</w:t>
            </w:r>
          </w:p>
        </w:tc>
      </w:tr>
      <w:tr w:rsidR="00150010" w:rsidRPr="00C97275" w14:paraId="3B84BEB1" w14:textId="77777777" w:rsidTr="0077117B">
        <w:trPr>
          <w:trHeight w:val="64"/>
        </w:trPr>
        <w:tc>
          <w:tcPr>
            <w:cnfStyle w:val="001000000000" w:firstRow="0" w:lastRow="0" w:firstColumn="1" w:lastColumn="0" w:oddVBand="0" w:evenVBand="0" w:oddHBand="0" w:evenHBand="0" w:firstRowFirstColumn="0" w:firstRowLastColumn="0" w:lastRowFirstColumn="0" w:lastRowLastColumn="0"/>
            <w:tcW w:w="742" w:type="pct"/>
            <w:hideMark/>
          </w:tcPr>
          <w:p w14:paraId="6FB175D7" w14:textId="77777777" w:rsidR="005A0219" w:rsidRPr="00C97275" w:rsidRDefault="005A0219" w:rsidP="005A0219">
            <w:pPr>
              <w:autoSpaceDE w:val="0"/>
              <w:autoSpaceDN w:val="0"/>
              <w:adjustRightInd w:val="0"/>
              <w:rPr>
                <w:rFonts w:ascii="Georgia" w:eastAsia="Georgia" w:hAnsi="Georgia" w:cs="Arial"/>
                <w:sz w:val="16"/>
                <w:szCs w:val="16"/>
              </w:rPr>
            </w:pPr>
            <w:r w:rsidRPr="00C97275">
              <w:rPr>
                <w:rFonts w:ascii="Georgia" w:eastAsia="Georgia" w:hAnsi="Georgia" w:cs="Arial"/>
                <w:sz w:val="16"/>
                <w:szCs w:val="16"/>
              </w:rPr>
              <w:t xml:space="preserve">Iš viso </w:t>
            </w:r>
          </w:p>
        </w:tc>
        <w:tc>
          <w:tcPr>
            <w:tcW w:w="485" w:type="pct"/>
            <w:tcBorders>
              <w:top w:val="nil"/>
              <w:left w:val="nil"/>
              <w:bottom w:val="single" w:sz="8" w:space="0" w:color="C0504D"/>
              <w:right w:val="nil"/>
            </w:tcBorders>
            <w:shd w:val="clear" w:color="auto" w:fill="auto"/>
            <w:vAlign w:val="center"/>
            <w:hideMark/>
          </w:tcPr>
          <w:p w14:paraId="06029D10"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5 782</w:t>
            </w:r>
          </w:p>
        </w:tc>
        <w:tc>
          <w:tcPr>
            <w:tcW w:w="569" w:type="pct"/>
            <w:tcBorders>
              <w:top w:val="nil"/>
              <w:left w:val="nil"/>
              <w:bottom w:val="single" w:sz="8" w:space="0" w:color="C0504D"/>
              <w:right w:val="nil"/>
            </w:tcBorders>
            <w:shd w:val="clear" w:color="auto" w:fill="auto"/>
            <w:vAlign w:val="center"/>
            <w:hideMark/>
          </w:tcPr>
          <w:p w14:paraId="2D502E47"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3 835 089</w:t>
            </w:r>
          </w:p>
        </w:tc>
        <w:tc>
          <w:tcPr>
            <w:tcW w:w="484" w:type="pct"/>
            <w:tcBorders>
              <w:top w:val="nil"/>
              <w:left w:val="nil"/>
              <w:bottom w:val="single" w:sz="8" w:space="0" w:color="C0504D"/>
              <w:right w:val="nil"/>
            </w:tcBorders>
            <w:shd w:val="clear" w:color="auto" w:fill="auto"/>
            <w:vAlign w:val="center"/>
            <w:hideMark/>
          </w:tcPr>
          <w:p w14:paraId="780C2DD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3 020</w:t>
            </w:r>
          </w:p>
        </w:tc>
        <w:tc>
          <w:tcPr>
            <w:tcW w:w="551" w:type="pct"/>
            <w:tcBorders>
              <w:top w:val="nil"/>
              <w:left w:val="nil"/>
              <w:bottom w:val="single" w:sz="8" w:space="0" w:color="C0504D"/>
              <w:right w:val="nil"/>
            </w:tcBorders>
            <w:shd w:val="clear" w:color="auto" w:fill="auto"/>
            <w:vAlign w:val="center"/>
            <w:hideMark/>
          </w:tcPr>
          <w:p w14:paraId="0648497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1 610 546</w:t>
            </w:r>
          </w:p>
        </w:tc>
        <w:tc>
          <w:tcPr>
            <w:tcW w:w="489" w:type="pct"/>
            <w:tcBorders>
              <w:top w:val="nil"/>
              <w:left w:val="nil"/>
              <w:bottom w:val="single" w:sz="8" w:space="0" w:color="C0504D"/>
              <w:right w:val="nil"/>
            </w:tcBorders>
            <w:shd w:val="clear" w:color="auto" w:fill="auto"/>
            <w:vAlign w:val="center"/>
            <w:hideMark/>
          </w:tcPr>
          <w:p w14:paraId="1E37D79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25 641</w:t>
            </w:r>
          </w:p>
        </w:tc>
        <w:tc>
          <w:tcPr>
            <w:tcW w:w="602" w:type="pct"/>
            <w:tcBorders>
              <w:top w:val="nil"/>
              <w:left w:val="nil"/>
              <w:bottom w:val="single" w:sz="8" w:space="0" w:color="C0504D"/>
              <w:right w:val="nil"/>
            </w:tcBorders>
            <w:shd w:val="clear" w:color="auto" w:fill="auto"/>
            <w:vAlign w:val="center"/>
            <w:hideMark/>
          </w:tcPr>
          <w:p w14:paraId="5F558E05"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20 888 553</w:t>
            </w:r>
          </w:p>
        </w:tc>
        <w:tc>
          <w:tcPr>
            <w:tcW w:w="500" w:type="pct"/>
            <w:tcBorders>
              <w:top w:val="nil"/>
              <w:left w:val="nil"/>
              <w:bottom w:val="single" w:sz="8" w:space="0" w:color="C0504D"/>
              <w:right w:val="nil"/>
            </w:tcBorders>
            <w:shd w:val="clear" w:color="auto" w:fill="auto"/>
            <w:vAlign w:val="center"/>
            <w:hideMark/>
          </w:tcPr>
          <w:p w14:paraId="7036466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6 878</w:t>
            </w:r>
          </w:p>
        </w:tc>
        <w:tc>
          <w:tcPr>
            <w:tcW w:w="576" w:type="pct"/>
            <w:tcBorders>
              <w:top w:val="nil"/>
              <w:left w:val="nil"/>
              <w:bottom w:val="single" w:sz="8" w:space="0" w:color="C0504D"/>
              <w:right w:val="single" w:sz="8" w:space="0" w:color="C0504D"/>
            </w:tcBorders>
            <w:shd w:val="clear" w:color="auto" w:fill="auto"/>
            <w:vAlign w:val="center"/>
            <w:hideMark/>
          </w:tcPr>
          <w:p w14:paraId="6D38EA6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4 880 259</w:t>
            </w:r>
          </w:p>
        </w:tc>
      </w:tr>
    </w:tbl>
    <w:p w14:paraId="6E946756" w14:textId="77777777" w:rsidR="005A0219" w:rsidRPr="00C97275" w:rsidRDefault="005A0219" w:rsidP="005A0219">
      <w:pPr>
        <w:spacing w:after="160"/>
        <w:jc w:val="both"/>
        <w:rPr>
          <w:rFonts w:ascii="Georgia" w:eastAsia="Georgia" w:hAnsi="Georgia" w:cs="Georgia"/>
          <w:iCs/>
          <w:color w:val="821A1A"/>
          <w:sz w:val="20"/>
          <w:szCs w:val="20"/>
          <w:lang w:val="lt-LT"/>
        </w:rPr>
      </w:pPr>
      <w:r w:rsidRPr="00C97275">
        <w:rPr>
          <w:rFonts w:ascii="Georgia" w:eastAsia="Georgia" w:hAnsi="Georgia" w:cs="Georgia"/>
          <w:i/>
          <w:iCs/>
          <w:color w:val="821A1A"/>
          <w:sz w:val="20"/>
          <w:szCs w:val="20"/>
          <w:lang w:val="lt-LT"/>
        </w:rPr>
        <w:t>Šaltinis: VĮ Registrų centras (2017 m. sausio 1 d.)</w:t>
      </w:r>
    </w:p>
    <w:p w14:paraId="4E4D42AE"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62 proc. visų viešosios paskirties pastatų buvo pastatyti 1961–1990 m. laikotarpiu, kai vyravo plytinių ir stambiaplokščių pastatų statyba. Pasitaiko ir medinių konstrukcijų pastatų. Šių pastatų išorinių atitvarų šiluminės varžos charakteristikos prastos, neatitinka esamų normatyvinių reikalavimų. Juose eksploatuojama pasenusi ir neefektyvi šildymo sistema, nepakeisti žemo šilumos perdavimo koeficiento langai, inžinerinė ir mechaninė įranga susidėvėjusi. Šiluminės energijos sąnaudos, išreikštos kilovatvalandėmis patalpų naudingojo ploto vienam kvadratiniam metrui, šiuose pastatuose sudaro nuo 160-610 kWh/m</w:t>
      </w:r>
      <w:r w:rsidRPr="00C97275">
        <w:rPr>
          <w:rFonts w:ascii="Georgia" w:eastAsia="Georgia" w:hAnsi="Georgia" w:cs="Georgia"/>
          <w:sz w:val="20"/>
          <w:szCs w:val="20"/>
          <w:vertAlign w:val="superscript"/>
          <w:lang w:val="lt-LT"/>
        </w:rPr>
        <w:t>2</w:t>
      </w:r>
      <w:r w:rsidRPr="00C97275">
        <w:rPr>
          <w:rFonts w:ascii="Georgia" w:eastAsia="Georgia" w:hAnsi="Georgia" w:cs="Georgia"/>
          <w:sz w:val="20"/>
          <w:szCs w:val="20"/>
          <w:lang w:val="lt-LT"/>
        </w:rPr>
        <w:t xml:space="preserve"> per metus, o šie pastatai priskiriami E, F ir G pastato energinio naudingumo klasėms. Šių pastatų šildymui per metus vidutiniškai suvartojama apie 2 300 GWh šilumos energijos.</w:t>
      </w:r>
    </w:p>
    <w:p w14:paraId="0503F18B"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03561D4B"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Iki 1990 m. statyti pastatai atitiko tuo metu keliamus statybų reikalavimus, tačiau šiandien šie reikalavimai yra 3–5 kartus griežtesni; pvz., 1959–1990 m. gyvenamųjų namų išorinių pertvarų šilumos perdavimo koeficientas buvo apytiksliai 1,1–1,3 W/(m</w:t>
      </w:r>
      <w:r w:rsidRPr="00C97275">
        <w:rPr>
          <w:rFonts w:ascii="Georgia" w:eastAsia="Georgia" w:hAnsi="Georgia" w:cs="Georgia"/>
          <w:sz w:val="20"/>
          <w:szCs w:val="20"/>
          <w:vertAlign w:val="superscript"/>
          <w:lang w:val="lt-LT"/>
        </w:rPr>
        <w:t>2</w:t>
      </w:r>
      <w:r w:rsidRPr="00C97275">
        <w:rPr>
          <w:rFonts w:ascii="Georgia" w:eastAsia="Georgia" w:hAnsi="Georgia" w:cs="Georgia"/>
          <w:sz w:val="20"/>
          <w:szCs w:val="20"/>
          <w:lang w:val="lt-LT"/>
        </w:rPr>
        <w:t>K), o dabar šis rodiklis yra 0,2 W/(m</w:t>
      </w:r>
      <w:r w:rsidRPr="00C97275">
        <w:rPr>
          <w:rFonts w:ascii="Georgia" w:eastAsia="Georgia" w:hAnsi="Georgia" w:cs="Georgia"/>
          <w:sz w:val="20"/>
          <w:szCs w:val="20"/>
          <w:vertAlign w:val="superscript"/>
          <w:lang w:val="lt-LT"/>
        </w:rPr>
        <w:t>2</w:t>
      </w:r>
      <w:r w:rsidRPr="00C97275">
        <w:rPr>
          <w:rFonts w:ascii="Georgia" w:eastAsia="Georgia" w:hAnsi="Georgia" w:cs="Georgia"/>
          <w:sz w:val="20"/>
          <w:szCs w:val="20"/>
          <w:lang w:val="lt-LT"/>
        </w:rPr>
        <w:t xml:space="preserve">K) arba 5 kartus mažesnis. Įvertinus tai, akivaizdu, kad dėl blogai apšiltintų pertvarų (stogo, išorinių sienų, grindų ir langų) didžiausią dalį sudaro pastatai, kuriuose patenkinamai temperatūrai pastato viduje užtikrinti suvartojama labai daug šilumos. </w:t>
      </w:r>
    </w:p>
    <w:p w14:paraId="19AE77C7"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5535C33E"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Žemiau lentelėje pateikiamas viešųjų pastatų teritorinis pasiskirstymas pagal naudojimo paskirtį ir nuosavybės formą.</w:t>
      </w:r>
    </w:p>
    <w:p w14:paraId="0A8FF2F9" w14:textId="77777777" w:rsidR="005A0219" w:rsidRPr="00C97275" w:rsidRDefault="005A0219" w:rsidP="005A0219">
      <w:pPr>
        <w:autoSpaceDE w:val="0"/>
        <w:autoSpaceDN w:val="0"/>
        <w:adjustRightInd w:val="0"/>
        <w:spacing w:after="0" w:line="240" w:lineRule="auto"/>
        <w:ind w:left="1560"/>
        <w:jc w:val="both"/>
        <w:rPr>
          <w:rFonts w:ascii="Georgia" w:eastAsia="Georgia" w:hAnsi="Georgia" w:cs="Georgia"/>
          <w:sz w:val="20"/>
          <w:szCs w:val="20"/>
          <w:lang w:val="lt-LT"/>
        </w:rPr>
      </w:pPr>
    </w:p>
    <w:p w14:paraId="4F68FEF1" w14:textId="19DCBD0D" w:rsidR="005A0219" w:rsidRPr="00C97275" w:rsidRDefault="005A0219" w:rsidP="005A0219">
      <w:pPr>
        <w:spacing w:after="160" w:line="240" w:lineRule="auto"/>
        <w:jc w:val="both"/>
        <w:rPr>
          <w:rFonts w:ascii="Georgia" w:eastAsia="Georgia" w:hAnsi="Georgia" w:cs="Arial Unicode MS"/>
          <w:i/>
          <w:iCs/>
          <w:color w:val="821A1A"/>
          <w:sz w:val="20"/>
          <w:szCs w:val="18"/>
          <w:lang w:val="lt-LT"/>
        </w:rPr>
      </w:pPr>
      <w:bookmarkStart w:id="29" w:name="_Toc19105220"/>
      <w:bookmarkStart w:id="30" w:name="_Toc455735502"/>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7</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Georgia"/>
          <w:i/>
          <w:iCs/>
          <w:color w:val="821A1A"/>
          <w:sz w:val="20"/>
          <w:szCs w:val="20"/>
          <w:lang w:val="lt-LT"/>
        </w:rPr>
        <w:t>Viešųjų pastatų teritorinis pasiskirstymas</w:t>
      </w:r>
      <w:bookmarkEnd w:id="29"/>
      <w:r w:rsidRPr="00C97275">
        <w:rPr>
          <w:rFonts w:ascii="Georgia" w:eastAsia="Georgia" w:hAnsi="Georgia" w:cs="Georgia"/>
          <w:i/>
          <w:iCs/>
          <w:color w:val="821A1A"/>
          <w:sz w:val="20"/>
          <w:szCs w:val="20"/>
          <w:lang w:val="lt-LT"/>
        </w:rPr>
        <w:t xml:space="preserve"> </w:t>
      </w:r>
      <w:bookmarkEnd w:id="30"/>
    </w:p>
    <w:tbl>
      <w:tblPr>
        <w:tblStyle w:val="LightList-Accent21"/>
        <w:tblW w:w="5230" w:type="pct"/>
        <w:tblLayout w:type="fixed"/>
        <w:tblCellMar>
          <w:left w:w="28" w:type="dxa"/>
          <w:right w:w="28" w:type="dxa"/>
        </w:tblCellMar>
        <w:tblLook w:val="04A0" w:firstRow="1" w:lastRow="0" w:firstColumn="1" w:lastColumn="0" w:noHBand="0" w:noVBand="1"/>
      </w:tblPr>
      <w:tblGrid>
        <w:gridCol w:w="1447"/>
        <w:gridCol w:w="708"/>
        <w:gridCol w:w="922"/>
        <w:gridCol w:w="669"/>
        <w:gridCol w:w="751"/>
        <w:gridCol w:w="781"/>
        <w:gridCol w:w="857"/>
        <w:gridCol w:w="844"/>
        <w:gridCol w:w="851"/>
        <w:gridCol w:w="847"/>
        <w:gridCol w:w="823"/>
      </w:tblGrid>
      <w:tr w:rsidR="00486F4A" w:rsidRPr="00C97275" w14:paraId="0C5EC88F" w14:textId="77777777" w:rsidTr="00AA4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 w:type="pct"/>
            <w:vMerge w:val="restart"/>
            <w:tcBorders>
              <w:top w:val="single" w:sz="8" w:space="0" w:color="D62E1C"/>
              <w:left w:val="single" w:sz="8" w:space="0" w:color="D62E1C"/>
              <w:bottom w:val="nil"/>
              <w:right w:val="nil"/>
            </w:tcBorders>
            <w:hideMark/>
          </w:tcPr>
          <w:p w14:paraId="0A093E25" w14:textId="77777777" w:rsidR="005A0219" w:rsidRPr="00C97275" w:rsidRDefault="005A0219" w:rsidP="005A0219">
            <w:pPr>
              <w:keepNext/>
              <w:jc w:val="center"/>
              <w:rPr>
                <w:rFonts w:ascii="Georgia" w:eastAsia="Times New Roman" w:hAnsi="Georgia" w:cs="Arial Unicode MS"/>
                <w:sz w:val="20"/>
                <w:szCs w:val="20"/>
                <w:lang w:eastAsia="lt-LT"/>
              </w:rPr>
            </w:pPr>
            <w:r w:rsidRPr="00C97275">
              <w:rPr>
                <w:rFonts w:ascii="Georgia" w:eastAsia="Times New Roman" w:hAnsi="Georgia" w:cs="Arial Unicode MS"/>
                <w:sz w:val="20"/>
                <w:szCs w:val="20"/>
                <w:lang w:eastAsia="lt-LT"/>
              </w:rPr>
              <w:t>Apskritis</w:t>
            </w:r>
          </w:p>
        </w:tc>
        <w:tc>
          <w:tcPr>
            <w:tcW w:w="858" w:type="pct"/>
            <w:gridSpan w:val="2"/>
            <w:tcBorders>
              <w:top w:val="single" w:sz="8" w:space="0" w:color="D62E1C"/>
              <w:left w:val="nil"/>
              <w:bottom w:val="nil"/>
              <w:right w:val="nil"/>
            </w:tcBorders>
            <w:hideMark/>
          </w:tcPr>
          <w:p w14:paraId="1FA1B5B6" w14:textId="488AC032"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C97275">
              <w:rPr>
                <w:rFonts w:ascii="Georgia" w:eastAsia="Times New Roman" w:hAnsi="Georgia" w:cs="Arial Unicode MS"/>
                <w:sz w:val="20"/>
                <w:szCs w:val="20"/>
                <w:lang w:eastAsia="lt-LT"/>
              </w:rPr>
              <w:t>Administraci</w:t>
            </w:r>
            <w:r w:rsidR="00BE5A85" w:rsidRPr="00C97275">
              <w:rPr>
                <w:rFonts w:ascii="Georgia" w:eastAsia="Times New Roman" w:hAnsi="Georgia" w:cs="Arial Unicode MS"/>
                <w:sz w:val="20"/>
                <w:szCs w:val="20"/>
                <w:lang w:eastAsia="lt-LT"/>
              </w:rPr>
              <w:t>-</w:t>
            </w:r>
            <w:r w:rsidRPr="00C97275">
              <w:rPr>
                <w:rFonts w:ascii="Georgia" w:eastAsia="Times New Roman" w:hAnsi="Georgia" w:cs="Arial Unicode MS"/>
                <w:sz w:val="20"/>
                <w:szCs w:val="20"/>
                <w:lang w:eastAsia="lt-LT"/>
              </w:rPr>
              <w:t>nės paskirties pastatai</w:t>
            </w:r>
          </w:p>
        </w:tc>
        <w:tc>
          <w:tcPr>
            <w:tcW w:w="747" w:type="pct"/>
            <w:gridSpan w:val="2"/>
            <w:tcBorders>
              <w:top w:val="single" w:sz="8" w:space="0" w:color="D62E1C"/>
              <w:left w:val="nil"/>
              <w:bottom w:val="nil"/>
              <w:right w:val="nil"/>
            </w:tcBorders>
            <w:hideMark/>
          </w:tcPr>
          <w:p w14:paraId="19C4B74C"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C97275">
              <w:rPr>
                <w:rFonts w:ascii="Georgia" w:eastAsia="Georgia" w:hAnsi="Georgia" w:cs="Arial Unicode MS"/>
                <w:sz w:val="20"/>
                <w:szCs w:val="20"/>
              </w:rPr>
              <w:t>Kultūros, mokslo ir sporto paskirties pastatai</w:t>
            </w:r>
          </w:p>
        </w:tc>
        <w:tc>
          <w:tcPr>
            <w:tcW w:w="862" w:type="pct"/>
            <w:gridSpan w:val="2"/>
            <w:tcBorders>
              <w:top w:val="single" w:sz="8" w:space="0" w:color="D62E1C"/>
              <w:left w:val="nil"/>
              <w:bottom w:val="nil"/>
              <w:right w:val="nil"/>
            </w:tcBorders>
            <w:hideMark/>
          </w:tcPr>
          <w:p w14:paraId="2AB8B095"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C97275">
              <w:rPr>
                <w:rFonts w:ascii="Georgia" w:eastAsia="Times New Roman" w:hAnsi="Georgia" w:cs="Arial Unicode MS"/>
                <w:sz w:val="20"/>
                <w:szCs w:val="20"/>
                <w:lang w:eastAsia="lt-LT"/>
              </w:rPr>
              <w:t>Gydymo paskirties pastatai</w:t>
            </w:r>
          </w:p>
        </w:tc>
        <w:tc>
          <w:tcPr>
            <w:tcW w:w="892" w:type="pct"/>
            <w:gridSpan w:val="2"/>
            <w:tcBorders>
              <w:top w:val="single" w:sz="8" w:space="0" w:color="D62E1C"/>
              <w:left w:val="nil"/>
              <w:bottom w:val="nil"/>
              <w:right w:val="nil"/>
            </w:tcBorders>
            <w:hideMark/>
          </w:tcPr>
          <w:p w14:paraId="0A5B1308"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C97275">
              <w:rPr>
                <w:rFonts w:ascii="Georgia" w:eastAsia="Georgia" w:hAnsi="Georgia" w:cs="Arial Unicode MS"/>
                <w:sz w:val="20"/>
                <w:szCs w:val="20"/>
              </w:rPr>
              <w:t>Gyvenamieji namai įvairioms socialinėms grupėms</w:t>
            </w:r>
          </w:p>
        </w:tc>
        <w:tc>
          <w:tcPr>
            <w:tcW w:w="877" w:type="pct"/>
            <w:gridSpan w:val="2"/>
            <w:tcBorders>
              <w:top w:val="single" w:sz="8" w:space="0" w:color="D62E1C"/>
              <w:left w:val="nil"/>
              <w:bottom w:val="nil"/>
              <w:right w:val="single" w:sz="8" w:space="0" w:color="D62E1C"/>
            </w:tcBorders>
            <w:hideMark/>
          </w:tcPr>
          <w:p w14:paraId="62F5D7A5"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C97275">
              <w:rPr>
                <w:rFonts w:ascii="Georgia" w:eastAsia="Georgia" w:hAnsi="Georgia" w:cs="Arial Unicode MS"/>
                <w:sz w:val="20"/>
                <w:szCs w:val="20"/>
              </w:rPr>
              <w:t>Specialiosios, religinės ir kitos paskirties pastatai</w:t>
            </w:r>
          </w:p>
        </w:tc>
      </w:tr>
      <w:tr w:rsidR="0063781D" w:rsidRPr="00C97275" w14:paraId="6A4C1E34" w14:textId="77777777" w:rsidTr="00AA4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 w:type="pct"/>
            <w:vMerge/>
            <w:tcBorders>
              <w:top w:val="single" w:sz="8" w:space="0" w:color="D62E1C"/>
              <w:left w:val="single" w:sz="8" w:space="0" w:color="D62E1C"/>
              <w:bottom w:val="nil"/>
              <w:right w:val="nil"/>
            </w:tcBorders>
            <w:vAlign w:val="center"/>
            <w:hideMark/>
          </w:tcPr>
          <w:p w14:paraId="2B40D3D7" w14:textId="77777777" w:rsidR="005A0219" w:rsidRPr="00C97275" w:rsidRDefault="005A0219" w:rsidP="005A0219">
            <w:pPr>
              <w:rPr>
                <w:rFonts w:ascii="Georgia" w:eastAsia="Times New Roman" w:hAnsi="Georgia" w:cs="Arial Unicode MS"/>
                <w:sz w:val="20"/>
                <w:szCs w:val="20"/>
                <w:lang w:eastAsia="lt-LT"/>
              </w:rPr>
            </w:pPr>
          </w:p>
        </w:tc>
        <w:tc>
          <w:tcPr>
            <w:tcW w:w="373" w:type="pct"/>
            <w:tcBorders>
              <w:top w:val="nil"/>
              <w:left w:val="nil"/>
              <w:bottom w:val="nil"/>
              <w:right w:val="nil"/>
            </w:tcBorders>
            <w:hideMark/>
          </w:tcPr>
          <w:p w14:paraId="710BBA4A"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Valsty-bės</w:t>
            </w:r>
          </w:p>
        </w:tc>
        <w:tc>
          <w:tcPr>
            <w:tcW w:w="485" w:type="pct"/>
            <w:tcBorders>
              <w:top w:val="nil"/>
              <w:left w:val="nil"/>
              <w:bottom w:val="nil"/>
              <w:right w:val="nil"/>
            </w:tcBorders>
            <w:hideMark/>
          </w:tcPr>
          <w:p w14:paraId="69F6AB41"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Savival-dybių</w:t>
            </w:r>
          </w:p>
        </w:tc>
        <w:tc>
          <w:tcPr>
            <w:tcW w:w="352" w:type="pct"/>
            <w:tcBorders>
              <w:top w:val="nil"/>
              <w:left w:val="nil"/>
              <w:bottom w:val="nil"/>
              <w:right w:val="nil"/>
            </w:tcBorders>
            <w:hideMark/>
          </w:tcPr>
          <w:p w14:paraId="3714DEEA"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Valsty-bės</w:t>
            </w:r>
          </w:p>
        </w:tc>
        <w:tc>
          <w:tcPr>
            <w:tcW w:w="395" w:type="pct"/>
            <w:tcBorders>
              <w:top w:val="nil"/>
              <w:left w:val="nil"/>
              <w:bottom w:val="nil"/>
              <w:right w:val="nil"/>
            </w:tcBorders>
            <w:hideMark/>
          </w:tcPr>
          <w:p w14:paraId="36B88BFA"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Savival-dybių</w:t>
            </w:r>
          </w:p>
        </w:tc>
        <w:tc>
          <w:tcPr>
            <w:tcW w:w="411" w:type="pct"/>
            <w:tcBorders>
              <w:top w:val="nil"/>
              <w:left w:val="nil"/>
              <w:bottom w:val="nil"/>
              <w:right w:val="nil"/>
            </w:tcBorders>
            <w:hideMark/>
          </w:tcPr>
          <w:p w14:paraId="60DECEE9"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Valsty-bės</w:t>
            </w:r>
          </w:p>
        </w:tc>
        <w:tc>
          <w:tcPr>
            <w:tcW w:w="451" w:type="pct"/>
            <w:tcBorders>
              <w:top w:val="nil"/>
              <w:left w:val="nil"/>
              <w:bottom w:val="nil"/>
              <w:right w:val="nil"/>
            </w:tcBorders>
            <w:hideMark/>
          </w:tcPr>
          <w:p w14:paraId="5EB4995C"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Savival-dybių</w:t>
            </w:r>
          </w:p>
        </w:tc>
        <w:tc>
          <w:tcPr>
            <w:tcW w:w="444" w:type="pct"/>
            <w:tcBorders>
              <w:top w:val="nil"/>
              <w:left w:val="nil"/>
              <w:bottom w:val="nil"/>
              <w:right w:val="nil"/>
            </w:tcBorders>
            <w:hideMark/>
          </w:tcPr>
          <w:p w14:paraId="516C3AA8" w14:textId="4A69C89A"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Valsty</w:t>
            </w:r>
            <w:r w:rsidR="00BE5A85" w:rsidRPr="00C97275">
              <w:rPr>
                <w:rFonts w:ascii="Georgia" w:eastAsia="Times New Roman" w:hAnsi="Georgia" w:cs="Arial Unicode MS"/>
                <w:sz w:val="18"/>
                <w:szCs w:val="20"/>
                <w:lang w:eastAsia="lt-LT"/>
              </w:rPr>
              <w:t>-</w:t>
            </w:r>
            <w:r w:rsidRPr="00C97275">
              <w:rPr>
                <w:rFonts w:ascii="Georgia" w:eastAsia="Times New Roman" w:hAnsi="Georgia" w:cs="Arial Unicode MS"/>
                <w:sz w:val="18"/>
                <w:szCs w:val="20"/>
                <w:lang w:eastAsia="lt-LT"/>
              </w:rPr>
              <w:t>bės</w:t>
            </w:r>
          </w:p>
        </w:tc>
        <w:tc>
          <w:tcPr>
            <w:tcW w:w="448" w:type="pct"/>
            <w:tcBorders>
              <w:top w:val="nil"/>
              <w:left w:val="nil"/>
              <w:bottom w:val="nil"/>
              <w:right w:val="nil"/>
            </w:tcBorders>
            <w:hideMark/>
          </w:tcPr>
          <w:p w14:paraId="40132FE0"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Savival-dybių</w:t>
            </w:r>
          </w:p>
        </w:tc>
        <w:tc>
          <w:tcPr>
            <w:tcW w:w="446" w:type="pct"/>
            <w:tcBorders>
              <w:top w:val="nil"/>
              <w:left w:val="nil"/>
              <w:bottom w:val="nil"/>
              <w:right w:val="nil"/>
            </w:tcBorders>
            <w:hideMark/>
          </w:tcPr>
          <w:p w14:paraId="3B206CFB" w14:textId="117ED952"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Valsty</w:t>
            </w:r>
            <w:r w:rsidR="00BE5A85" w:rsidRPr="00C97275">
              <w:rPr>
                <w:rFonts w:ascii="Georgia" w:eastAsia="Times New Roman" w:hAnsi="Georgia" w:cs="Arial Unicode MS"/>
                <w:sz w:val="18"/>
                <w:szCs w:val="20"/>
                <w:lang w:eastAsia="lt-LT"/>
              </w:rPr>
              <w:t>-</w:t>
            </w:r>
            <w:r w:rsidRPr="00C97275">
              <w:rPr>
                <w:rFonts w:ascii="Georgia" w:eastAsia="Times New Roman" w:hAnsi="Georgia" w:cs="Arial Unicode MS"/>
                <w:sz w:val="18"/>
                <w:szCs w:val="20"/>
                <w:lang w:eastAsia="lt-LT"/>
              </w:rPr>
              <w:t>bės</w:t>
            </w:r>
          </w:p>
        </w:tc>
        <w:tc>
          <w:tcPr>
            <w:tcW w:w="434" w:type="pct"/>
            <w:tcBorders>
              <w:top w:val="nil"/>
              <w:left w:val="nil"/>
              <w:bottom w:val="nil"/>
              <w:right w:val="single" w:sz="8" w:space="0" w:color="D62E1C"/>
            </w:tcBorders>
            <w:hideMark/>
          </w:tcPr>
          <w:p w14:paraId="6601B365" w14:textId="77777777" w:rsidR="005A0219" w:rsidRPr="00C97275"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C97275">
              <w:rPr>
                <w:rFonts w:ascii="Georgia" w:eastAsia="Times New Roman" w:hAnsi="Georgia" w:cs="Arial Unicode MS"/>
                <w:sz w:val="18"/>
                <w:szCs w:val="20"/>
                <w:lang w:eastAsia="lt-LT"/>
              </w:rPr>
              <w:t>Savival-dybių</w:t>
            </w:r>
          </w:p>
        </w:tc>
      </w:tr>
      <w:tr w:rsidR="00486F4A" w:rsidRPr="00C97275" w14:paraId="0380EBEA"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052F9C0B"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Alytaus</w:t>
            </w:r>
          </w:p>
        </w:tc>
        <w:tc>
          <w:tcPr>
            <w:tcW w:w="373" w:type="pct"/>
            <w:tcBorders>
              <w:top w:val="single" w:sz="8" w:space="0" w:color="C0504D"/>
              <w:left w:val="nil"/>
              <w:bottom w:val="single" w:sz="8" w:space="0" w:color="C0504D"/>
              <w:right w:val="nil"/>
            </w:tcBorders>
            <w:shd w:val="clear" w:color="auto" w:fill="auto"/>
            <w:vAlign w:val="center"/>
            <w:hideMark/>
          </w:tcPr>
          <w:p w14:paraId="0E81FBBC"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98</w:t>
            </w:r>
          </w:p>
        </w:tc>
        <w:tc>
          <w:tcPr>
            <w:tcW w:w="485" w:type="pct"/>
            <w:tcBorders>
              <w:top w:val="single" w:sz="8" w:space="0" w:color="C0504D"/>
              <w:left w:val="nil"/>
              <w:bottom w:val="single" w:sz="8" w:space="0" w:color="C0504D"/>
              <w:right w:val="nil"/>
            </w:tcBorders>
            <w:shd w:val="clear" w:color="auto" w:fill="auto"/>
            <w:vAlign w:val="center"/>
            <w:hideMark/>
          </w:tcPr>
          <w:p w14:paraId="2BA3157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41</w:t>
            </w:r>
          </w:p>
        </w:tc>
        <w:tc>
          <w:tcPr>
            <w:tcW w:w="352" w:type="pct"/>
            <w:tcBorders>
              <w:top w:val="single" w:sz="8" w:space="0" w:color="C0504D"/>
              <w:left w:val="nil"/>
              <w:bottom w:val="single" w:sz="8" w:space="0" w:color="C0504D"/>
              <w:right w:val="nil"/>
            </w:tcBorders>
            <w:shd w:val="clear" w:color="auto" w:fill="auto"/>
            <w:vAlign w:val="center"/>
            <w:hideMark/>
          </w:tcPr>
          <w:p w14:paraId="2A7A6818"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42</w:t>
            </w:r>
          </w:p>
        </w:tc>
        <w:tc>
          <w:tcPr>
            <w:tcW w:w="395" w:type="pct"/>
            <w:tcBorders>
              <w:top w:val="single" w:sz="8" w:space="0" w:color="C0504D"/>
              <w:left w:val="nil"/>
              <w:bottom w:val="single" w:sz="8" w:space="0" w:color="C0504D"/>
              <w:right w:val="nil"/>
            </w:tcBorders>
            <w:shd w:val="clear" w:color="auto" w:fill="auto"/>
            <w:vAlign w:val="center"/>
            <w:hideMark/>
          </w:tcPr>
          <w:p w14:paraId="34F8249B"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243</w:t>
            </w:r>
          </w:p>
        </w:tc>
        <w:tc>
          <w:tcPr>
            <w:tcW w:w="411" w:type="pct"/>
            <w:tcBorders>
              <w:top w:val="single" w:sz="8" w:space="0" w:color="C0504D"/>
              <w:left w:val="nil"/>
              <w:bottom w:val="single" w:sz="8" w:space="0" w:color="C0504D"/>
              <w:right w:val="nil"/>
            </w:tcBorders>
            <w:shd w:val="clear" w:color="auto" w:fill="auto"/>
            <w:vAlign w:val="center"/>
            <w:hideMark/>
          </w:tcPr>
          <w:p w14:paraId="2EA1178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25</w:t>
            </w:r>
          </w:p>
        </w:tc>
        <w:tc>
          <w:tcPr>
            <w:tcW w:w="451" w:type="pct"/>
            <w:tcBorders>
              <w:top w:val="single" w:sz="8" w:space="0" w:color="C0504D"/>
              <w:left w:val="nil"/>
              <w:bottom w:val="single" w:sz="8" w:space="0" w:color="C0504D"/>
              <w:right w:val="nil"/>
            </w:tcBorders>
            <w:shd w:val="clear" w:color="auto" w:fill="auto"/>
            <w:vAlign w:val="center"/>
            <w:hideMark/>
          </w:tcPr>
          <w:p w14:paraId="750FE82F"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55</w:t>
            </w:r>
          </w:p>
        </w:tc>
        <w:tc>
          <w:tcPr>
            <w:tcW w:w="444" w:type="pct"/>
            <w:tcBorders>
              <w:top w:val="single" w:sz="8" w:space="0" w:color="C0504D"/>
              <w:left w:val="nil"/>
              <w:bottom w:val="single" w:sz="8" w:space="0" w:color="C0504D"/>
              <w:right w:val="nil"/>
            </w:tcBorders>
            <w:shd w:val="clear" w:color="auto" w:fill="auto"/>
            <w:vAlign w:val="center"/>
            <w:hideMark/>
          </w:tcPr>
          <w:p w14:paraId="7E4B4CFB"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C97275">
              <w:rPr>
                <w:rFonts w:ascii="Georgia" w:eastAsia="Georgia" w:hAnsi="Georgia" w:cs="Arial Unicode MS"/>
                <w:color w:val="000000"/>
                <w:sz w:val="16"/>
                <w:szCs w:val="16"/>
              </w:rPr>
              <w:t>11</w:t>
            </w:r>
          </w:p>
        </w:tc>
        <w:tc>
          <w:tcPr>
            <w:tcW w:w="448" w:type="pct"/>
            <w:tcBorders>
              <w:top w:val="single" w:sz="8" w:space="0" w:color="C0504D"/>
              <w:left w:val="nil"/>
              <w:bottom w:val="single" w:sz="8" w:space="0" w:color="C0504D"/>
              <w:right w:val="nil"/>
            </w:tcBorders>
            <w:shd w:val="clear" w:color="auto" w:fill="auto"/>
            <w:vAlign w:val="center"/>
            <w:hideMark/>
          </w:tcPr>
          <w:p w14:paraId="29D52768"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17</w:t>
            </w:r>
          </w:p>
        </w:tc>
        <w:tc>
          <w:tcPr>
            <w:tcW w:w="446" w:type="pct"/>
            <w:tcBorders>
              <w:top w:val="single" w:sz="8" w:space="0" w:color="C0504D"/>
              <w:left w:val="nil"/>
              <w:bottom w:val="single" w:sz="8" w:space="0" w:color="C0504D"/>
              <w:right w:val="nil"/>
            </w:tcBorders>
            <w:shd w:val="clear" w:color="auto" w:fill="auto"/>
            <w:vAlign w:val="center"/>
            <w:hideMark/>
          </w:tcPr>
          <w:p w14:paraId="71557BBF"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154</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77794CB6"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136</w:t>
            </w:r>
          </w:p>
        </w:tc>
      </w:tr>
      <w:tr w:rsidR="0063781D" w:rsidRPr="00C97275" w14:paraId="217599FD"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03E724FC"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Kauno</w:t>
            </w:r>
          </w:p>
        </w:tc>
        <w:tc>
          <w:tcPr>
            <w:tcW w:w="373" w:type="pct"/>
            <w:tcBorders>
              <w:top w:val="nil"/>
              <w:left w:val="nil"/>
              <w:bottom w:val="nil"/>
              <w:right w:val="nil"/>
            </w:tcBorders>
            <w:shd w:val="clear" w:color="auto" w:fill="auto"/>
            <w:vAlign w:val="center"/>
            <w:hideMark/>
          </w:tcPr>
          <w:p w14:paraId="55829B22"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223</w:t>
            </w:r>
          </w:p>
        </w:tc>
        <w:tc>
          <w:tcPr>
            <w:tcW w:w="485" w:type="pct"/>
            <w:tcBorders>
              <w:top w:val="nil"/>
              <w:left w:val="nil"/>
              <w:bottom w:val="nil"/>
              <w:right w:val="nil"/>
            </w:tcBorders>
            <w:shd w:val="clear" w:color="auto" w:fill="auto"/>
            <w:vAlign w:val="center"/>
            <w:hideMark/>
          </w:tcPr>
          <w:p w14:paraId="0E863B0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131</w:t>
            </w:r>
          </w:p>
        </w:tc>
        <w:tc>
          <w:tcPr>
            <w:tcW w:w="352" w:type="pct"/>
            <w:tcBorders>
              <w:top w:val="nil"/>
              <w:left w:val="nil"/>
              <w:bottom w:val="nil"/>
              <w:right w:val="nil"/>
            </w:tcBorders>
            <w:shd w:val="clear" w:color="auto" w:fill="auto"/>
            <w:vAlign w:val="center"/>
            <w:hideMark/>
          </w:tcPr>
          <w:p w14:paraId="4E941114"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250</w:t>
            </w:r>
          </w:p>
        </w:tc>
        <w:tc>
          <w:tcPr>
            <w:tcW w:w="395" w:type="pct"/>
            <w:tcBorders>
              <w:top w:val="nil"/>
              <w:left w:val="nil"/>
              <w:bottom w:val="nil"/>
              <w:right w:val="nil"/>
            </w:tcBorders>
            <w:shd w:val="clear" w:color="auto" w:fill="auto"/>
            <w:vAlign w:val="center"/>
            <w:hideMark/>
          </w:tcPr>
          <w:p w14:paraId="215FFE50"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714</w:t>
            </w:r>
          </w:p>
        </w:tc>
        <w:tc>
          <w:tcPr>
            <w:tcW w:w="411" w:type="pct"/>
            <w:tcBorders>
              <w:top w:val="nil"/>
              <w:left w:val="nil"/>
              <w:bottom w:val="nil"/>
              <w:right w:val="nil"/>
            </w:tcBorders>
            <w:shd w:val="clear" w:color="auto" w:fill="auto"/>
            <w:vAlign w:val="center"/>
            <w:hideMark/>
          </w:tcPr>
          <w:p w14:paraId="7AAC18E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90</w:t>
            </w:r>
          </w:p>
        </w:tc>
        <w:tc>
          <w:tcPr>
            <w:tcW w:w="451" w:type="pct"/>
            <w:tcBorders>
              <w:top w:val="nil"/>
              <w:left w:val="nil"/>
              <w:bottom w:val="nil"/>
              <w:right w:val="nil"/>
            </w:tcBorders>
            <w:shd w:val="clear" w:color="auto" w:fill="auto"/>
            <w:vAlign w:val="center"/>
            <w:hideMark/>
          </w:tcPr>
          <w:p w14:paraId="37454272"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108</w:t>
            </w:r>
          </w:p>
        </w:tc>
        <w:tc>
          <w:tcPr>
            <w:tcW w:w="444" w:type="pct"/>
            <w:tcBorders>
              <w:top w:val="nil"/>
              <w:left w:val="nil"/>
              <w:bottom w:val="nil"/>
              <w:right w:val="nil"/>
            </w:tcBorders>
            <w:shd w:val="clear" w:color="auto" w:fill="auto"/>
            <w:vAlign w:val="center"/>
            <w:hideMark/>
          </w:tcPr>
          <w:p w14:paraId="7712DD1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65</w:t>
            </w:r>
          </w:p>
        </w:tc>
        <w:tc>
          <w:tcPr>
            <w:tcW w:w="448" w:type="pct"/>
            <w:tcBorders>
              <w:top w:val="nil"/>
              <w:left w:val="nil"/>
              <w:bottom w:val="nil"/>
              <w:right w:val="nil"/>
            </w:tcBorders>
            <w:shd w:val="clear" w:color="auto" w:fill="auto"/>
            <w:vAlign w:val="center"/>
            <w:hideMark/>
          </w:tcPr>
          <w:p w14:paraId="29B9893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30</w:t>
            </w:r>
          </w:p>
        </w:tc>
        <w:tc>
          <w:tcPr>
            <w:tcW w:w="446" w:type="pct"/>
            <w:tcBorders>
              <w:top w:val="nil"/>
              <w:left w:val="nil"/>
              <w:bottom w:val="nil"/>
              <w:right w:val="nil"/>
            </w:tcBorders>
            <w:shd w:val="clear" w:color="auto" w:fill="auto"/>
            <w:vAlign w:val="center"/>
            <w:hideMark/>
          </w:tcPr>
          <w:p w14:paraId="4DD2AB9F"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551</w:t>
            </w:r>
          </w:p>
        </w:tc>
        <w:tc>
          <w:tcPr>
            <w:tcW w:w="434" w:type="pct"/>
            <w:tcBorders>
              <w:top w:val="nil"/>
              <w:left w:val="nil"/>
              <w:bottom w:val="nil"/>
              <w:right w:val="single" w:sz="8" w:space="0" w:color="C0504D"/>
            </w:tcBorders>
            <w:shd w:val="clear" w:color="auto" w:fill="auto"/>
            <w:vAlign w:val="center"/>
            <w:hideMark/>
          </w:tcPr>
          <w:p w14:paraId="260ED10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255</w:t>
            </w:r>
          </w:p>
        </w:tc>
      </w:tr>
      <w:tr w:rsidR="00486F4A" w:rsidRPr="00C97275" w14:paraId="7F79F84E"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37A14B56"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Klaipėdos</w:t>
            </w:r>
          </w:p>
        </w:tc>
        <w:tc>
          <w:tcPr>
            <w:tcW w:w="373" w:type="pct"/>
            <w:tcBorders>
              <w:top w:val="single" w:sz="8" w:space="0" w:color="C0504D"/>
              <w:left w:val="nil"/>
              <w:bottom w:val="single" w:sz="8" w:space="0" w:color="C0504D"/>
              <w:right w:val="nil"/>
            </w:tcBorders>
            <w:shd w:val="clear" w:color="auto" w:fill="auto"/>
            <w:vAlign w:val="center"/>
            <w:hideMark/>
          </w:tcPr>
          <w:p w14:paraId="41D4069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141</w:t>
            </w:r>
          </w:p>
        </w:tc>
        <w:tc>
          <w:tcPr>
            <w:tcW w:w="485" w:type="pct"/>
            <w:tcBorders>
              <w:top w:val="single" w:sz="8" w:space="0" w:color="C0504D"/>
              <w:left w:val="nil"/>
              <w:bottom w:val="single" w:sz="8" w:space="0" w:color="C0504D"/>
              <w:right w:val="nil"/>
            </w:tcBorders>
            <w:shd w:val="clear" w:color="auto" w:fill="auto"/>
            <w:vAlign w:val="center"/>
            <w:hideMark/>
          </w:tcPr>
          <w:p w14:paraId="7E0CF13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56</w:t>
            </w:r>
          </w:p>
        </w:tc>
        <w:tc>
          <w:tcPr>
            <w:tcW w:w="352" w:type="pct"/>
            <w:tcBorders>
              <w:top w:val="single" w:sz="8" w:space="0" w:color="C0504D"/>
              <w:left w:val="nil"/>
              <w:bottom w:val="single" w:sz="8" w:space="0" w:color="C0504D"/>
              <w:right w:val="nil"/>
            </w:tcBorders>
            <w:shd w:val="clear" w:color="auto" w:fill="auto"/>
            <w:vAlign w:val="center"/>
            <w:hideMark/>
          </w:tcPr>
          <w:p w14:paraId="518DE30E"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115</w:t>
            </w:r>
          </w:p>
        </w:tc>
        <w:tc>
          <w:tcPr>
            <w:tcW w:w="395" w:type="pct"/>
            <w:tcBorders>
              <w:top w:val="single" w:sz="8" w:space="0" w:color="C0504D"/>
              <w:left w:val="nil"/>
              <w:bottom w:val="single" w:sz="8" w:space="0" w:color="C0504D"/>
              <w:right w:val="nil"/>
            </w:tcBorders>
            <w:shd w:val="clear" w:color="auto" w:fill="auto"/>
            <w:vAlign w:val="center"/>
            <w:hideMark/>
          </w:tcPr>
          <w:p w14:paraId="4B4C6C79"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447</w:t>
            </w:r>
          </w:p>
        </w:tc>
        <w:tc>
          <w:tcPr>
            <w:tcW w:w="411" w:type="pct"/>
            <w:tcBorders>
              <w:top w:val="single" w:sz="8" w:space="0" w:color="C0504D"/>
              <w:left w:val="nil"/>
              <w:bottom w:val="single" w:sz="8" w:space="0" w:color="C0504D"/>
              <w:right w:val="nil"/>
            </w:tcBorders>
            <w:shd w:val="clear" w:color="auto" w:fill="auto"/>
            <w:vAlign w:val="center"/>
            <w:hideMark/>
          </w:tcPr>
          <w:p w14:paraId="4DEA365F"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46</w:t>
            </w:r>
          </w:p>
        </w:tc>
        <w:tc>
          <w:tcPr>
            <w:tcW w:w="451" w:type="pct"/>
            <w:tcBorders>
              <w:top w:val="single" w:sz="8" w:space="0" w:color="C0504D"/>
              <w:left w:val="nil"/>
              <w:bottom w:val="single" w:sz="8" w:space="0" w:color="C0504D"/>
              <w:right w:val="nil"/>
            </w:tcBorders>
            <w:shd w:val="clear" w:color="auto" w:fill="auto"/>
            <w:vAlign w:val="center"/>
            <w:hideMark/>
          </w:tcPr>
          <w:p w14:paraId="2D34C13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65</w:t>
            </w:r>
          </w:p>
        </w:tc>
        <w:tc>
          <w:tcPr>
            <w:tcW w:w="444" w:type="pct"/>
            <w:tcBorders>
              <w:top w:val="single" w:sz="8" w:space="0" w:color="C0504D"/>
              <w:left w:val="nil"/>
              <w:bottom w:val="single" w:sz="8" w:space="0" w:color="C0504D"/>
              <w:right w:val="nil"/>
            </w:tcBorders>
            <w:shd w:val="clear" w:color="auto" w:fill="auto"/>
            <w:vAlign w:val="center"/>
            <w:hideMark/>
          </w:tcPr>
          <w:p w14:paraId="5BE61C1F"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32</w:t>
            </w:r>
          </w:p>
        </w:tc>
        <w:tc>
          <w:tcPr>
            <w:tcW w:w="448" w:type="pct"/>
            <w:tcBorders>
              <w:top w:val="single" w:sz="8" w:space="0" w:color="C0504D"/>
              <w:left w:val="nil"/>
              <w:bottom w:val="single" w:sz="8" w:space="0" w:color="C0504D"/>
              <w:right w:val="nil"/>
            </w:tcBorders>
            <w:shd w:val="clear" w:color="auto" w:fill="auto"/>
            <w:vAlign w:val="center"/>
            <w:hideMark/>
          </w:tcPr>
          <w:p w14:paraId="25D1BEBC"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23</w:t>
            </w:r>
          </w:p>
        </w:tc>
        <w:tc>
          <w:tcPr>
            <w:tcW w:w="446" w:type="pct"/>
            <w:tcBorders>
              <w:top w:val="single" w:sz="8" w:space="0" w:color="C0504D"/>
              <w:left w:val="nil"/>
              <w:bottom w:val="single" w:sz="8" w:space="0" w:color="C0504D"/>
              <w:right w:val="nil"/>
            </w:tcBorders>
            <w:shd w:val="clear" w:color="auto" w:fill="auto"/>
            <w:vAlign w:val="center"/>
            <w:hideMark/>
          </w:tcPr>
          <w:p w14:paraId="7A8EF43B"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196</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593C75A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185</w:t>
            </w:r>
          </w:p>
        </w:tc>
      </w:tr>
      <w:tr w:rsidR="0063781D" w:rsidRPr="00C97275" w14:paraId="05EBB2D4"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0537BF7A"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Marijampolės</w:t>
            </w:r>
          </w:p>
        </w:tc>
        <w:tc>
          <w:tcPr>
            <w:tcW w:w="373" w:type="pct"/>
            <w:tcBorders>
              <w:top w:val="nil"/>
              <w:left w:val="nil"/>
              <w:bottom w:val="nil"/>
              <w:right w:val="nil"/>
            </w:tcBorders>
            <w:shd w:val="clear" w:color="auto" w:fill="auto"/>
            <w:vAlign w:val="center"/>
            <w:hideMark/>
          </w:tcPr>
          <w:p w14:paraId="46B9579A"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62</w:t>
            </w:r>
          </w:p>
        </w:tc>
        <w:tc>
          <w:tcPr>
            <w:tcW w:w="485" w:type="pct"/>
            <w:tcBorders>
              <w:top w:val="nil"/>
              <w:left w:val="nil"/>
              <w:bottom w:val="nil"/>
              <w:right w:val="nil"/>
            </w:tcBorders>
            <w:shd w:val="clear" w:color="auto" w:fill="auto"/>
            <w:vAlign w:val="center"/>
            <w:hideMark/>
          </w:tcPr>
          <w:p w14:paraId="4F629632"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61</w:t>
            </w:r>
          </w:p>
        </w:tc>
        <w:tc>
          <w:tcPr>
            <w:tcW w:w="352" w:type="pct"/>
            <w:tcBorders>
              <w:top w:val="nil"/>
              <w:left w:val="nil"/>
              <w:bottom w:val="nil"/>
              <w:right w:val="nil"/>
            </w:tcBorders>
            <w:shd w:val="clear" w:color="auto" w:fill="auto"/>
            <w:vAlign w:val="center"/>
            <w:hideMark/>
          </w:tcPr>
          <w:p w14:paraId="1428E18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31</w:t>
            </w:r>
          </w:p>
        </w:tc>
        <w:tc>
          <w:tcPr>
            <w:tcW w:w="395" w:type="pct"/>
            <w:tcBorders>
              <w:top w:val="nil"/>
              <w:left w:val="nil"/>
              <w:bottom w:val="nil"/>
              <w:right w:val="nil"/>
            </w:tcBorders>
            <w:shd w:val="clear" w:color="auto" w:fill="auto"/>
            <w:vAlign w:val="center"/>
            <w:hideMark/>
          </w:tcPr>
          <w:p w14:paraId="7F61621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311</w:t>
            </w:r>
          </w:p>
        </w:tc>
        <w:tc>
          <w:tcPr>
            <w:tcW w:w="411" w:type="pct"/>
            <w:tcBorders>
              <w:top w:val="nil"/>
              <w:left w:val="nil"/>
              <w:bottom w:val="nil"/>
              <w:right w:val="nil"/>
            </w:tcBorders>
            <w:shd w:val="clear" w:color="auto" w:fill="auto"/>
            <w:vAlign w:val="center"/>
            <w:hideMark/>
          </w:tcPr>
          <w:p w14:paraId="55FE03D2"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w:t>
            </w:r>
          </w:p>
        </w:tc>
        <w:tc>
          <w:tcPr>
            <w:tcW w:w="451" w:type="pct"/>
            <w:tcBorders>
              <w:top w:val="nil"/>
              <w:left w:val="nil"/>
              <w:bottom w:val="nil"/>
              <w:right w:val="nil"/>
            </w:tcBorders>
            <w:shd w:val="clear" w:color="auto" w:fill="auto"/>
            <w:vAlign w:val="center"/>
            <w:hideMark/>
          </w:tcPr>
          <w:p w14:paraId="0CE570E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42</w:t>
            </w:r>
          </w:p>
        </w:tc>
        <w:tc>
          <w:tcPr>
            <w:tcW w:w="444" w:type="pct"/>
            <w:tcBorders>
              <w:top w:val="nil"/>
              <w:left w:val="nil"/>
              <w:bottom w:val="nil"/>
              <w:right w:val="nil"/>
            </w:tcBorders>
            <w:shd w:val="clear" w:color="auto" w:fill="auto"/>
            <w:vAlign w:val="center"/>
            <w:hideMark/>
          </w:tcPr>
          <w:p w14:paraId="5929DB3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15</w:t>
            </w:r>
          </w:p>
        </w:tc>
        <w:tc>
          <w:tcPr>
            <w:tcW w:w="448" w:type="pct"/>
            <w:tcBorders>
              <w:top w:val="nil"/>
              <w:left w:val="nil"/>
              <w:bottom w:val="nil"/>
              <w:right w:val="nil"/>
            </w:tcBorders>
            <w:shd w:val="clear" w:color="auto" w:fill="auto"/>
            <w:vAlign w:val="center"/>
            <w:hideMark/>
          </w:tcPr>
          <w:p w14:paraId="35CB796A"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12</w:t>
            </w:r>
          </w:p>
        </w:tc>
        <w:tc>
          <w:tcPr>
            <w:tcW w:w="446" w:type="pct"/>
            <w:tcBorders>
              <w:top w:val="nil"/>
              <w:left w:val="nil"/>
              <w:bottom w:val="nil"/>
              <w:right w:val="nil"/>
            </w:tcBorders>
            <w:shd w:val="clear" w:color="auto" w:fill="auto"/>
            <w:vAlign w:val="center"/>
            <w:hideMark/>
          </w:tcPr>
          <w:p w14:paraId="59FDA655"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128</w:t>
            </w:r>
          </w:p>
        </w:tc>
        <w:tc>
          <w:tcPr>
            <w:tcW w:w="434" w:type="pct"/>
            <w:tcBorders>
              <w:top w:val="nil"/>
              <w:left w:val="nil"/>
              <w:bottom w:val="nil"/>
              <w:right w:val="single" w:sz="8" w:space="0" w:color="C0504D"/>
            </w:tcBorders>
            <w:shd w:val="clear" w:color="auto" w:fill="auto"/>
            <w:vAlign w:val="center"/>
            <w:hideMark/>
          </w:tcPr>
          <w:p w14:paraId="72E2E80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202</w:t>
            </w:r>
          </w:p>
        </w:tc>
      </w:tr>
      <w:tr w:rsidR="00486F4A" w:rsidRPr="00C97275" w14:paraId="29D7B52A"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3E382CAF"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Panevėžio</w:t>
            </w:r>
          </w:p>
        </w:tc>
        <w:tc>
          <w:tcPr>
            <w:tcW w:w="373" w:type="pct"/>
            <w:tcBorders>
              <w:top w:val="single" w:sz="8" w:space="0" w:color="C0504D"/>
              <w:left w:val="nil"/>
              <w:bottom w:val="single" w:sz="8" w:space="0" w:color="C0504D"/>
              <w:right w:val="nil"/>
            </w:tcBorders>
            <w:shd w:val="clear" w:color="auto" w:fill="auto"/>
            <w:vAlign w:val="center"/>
            <w:hideMark/>
          </w:tcPr>
          <w:p w14:paraId="0C16FBDC"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110</w:t>
            </w:r>
          </w:p>
        </w:tc>
        <w:tc>
          <w:tcPr>
            <w:tcW w:w="485" w:type="pct"/>
            <w:tcBorders>
              <w:top w:val="single" w:sz="8" w:space="0" w:color="C0504D"/>
              <w:left w:val="nil"/>
              <w:bottom w:val="single" w:sz="8" w:space="0" w:color="C0504D"/>
              <w:right w:val="nil"/>
            </w:tcBorders>
            <w:shd w:val="clear" w:color="auto" w:fill="auto"/>
            <w:vAlign w:val="center"/>
            <w:hideMark/>
          </w:tcPr>
          <w:p w14:paraId="68C8E8EE"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80</w:t>
            </w:r>
          </w:p>
        </w:tc>
        <w:tc>
          <w:tcPr>
            <w:tcW w:w="352" w:type="pct"/>
            <w:tcBorders>
              <w:top w:val="single" w:sz="8" w:space="0" w:color="C0504D"/>
              <w:left w:val="nil"/>
              <w:bottom w:val="single" w:sz="8" w:space="0" w:color="C0504D"/>
              <w:right w:val="nil"/>
            </w:tcBorders>
            <w:shd w:val="clear" w:color="auto" w:fill="auto"/>
            <w:vAlign w:val="center"/>
            <w:hideMark/>
          </w:tcPr>
          <w:p w14:paraId="7E9CF3A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49</w:t>
            </w:r>
          </w:p>
        </w:tc>
        <w:tc>
          <w:tcPr>
            <w:tcW w:w="395" w:type="pct"/>
            <w:tcBorders>
              <w:top w:val="single" w:sz="8" w:space="0" w:color="C0504D"/>
              <w:left w:val="nil"/>
              <w:bottom w:val="single" w:sz="8" w:space="0" w:color="C0504D"/>
              <w:right w:val="nil"/>
            </w:tcBorders>
            <w:shd w:val="clear" w:color="auto" w:fill="auto"/>
            <w:vAlign w:val="center"/>
            <w:hideMark/>
          </w:tcPr>
          <w:p w14:paraId="663B93BF"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426</w:t>
            </w:r>
          </w:p>
        </w:tc>
        <w:tc>
          <w:tcPr>
            <w:tcW w:w="411" w:type="pct"/>
            <w:tcBorders>
              <w:top w:val="single" w:sz="8" w:space="0" w:color="C0504D"/>
              <w:left w:val="nil"/>
              <w:bottom w:val="single" w:sz="8" w:space="0" w:color="C0504D"/>
              <w:right w:val="nil"/>
            </w:tcBorders>
            <w:shd w:val="clear" w:color="auto" w:fill="auto"/>
            <w:vAlign w:val="center"/>
            <w:hideMark/>
          </w:tcPr>
          <w:p w14:paraId="169FF70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34</w:t>
            </w:r>
          </w:p>
        </w:tc>
        <w:tc>
          <w:tcPr>
            <w:tcW w:w="451" w:type="pct"/>
            <w:tcBorders>
              <w:top w:val="single" w:sz="8" w:space="0" w:color="C0504D"/>
              <w:left w:val="nil"/>
              <w:bottom w:val="single" w:sz="8" w:space="0" w:color="C0504D"/>
              <w:right w:val="nil"/>
            </w:tcBorders>
            <w:shd w:val="clear" w:color="auto" w:fill="auto"/>
            <w:vAlign w:val="center"/>
            <w:hideMark/>
          </w:tcPr>
          <w:p w14:paraId="11D3BB6E"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47</w:t>
            </w:r>
          </w:p>
        </w:tc>
        <w:tc>
          <w:tcPr>
            <w:tcW w:w="444" w:type="pct"/>
            <w:tcBorders>
              <w:top w:val="single" w:sz="8" w:space="0" w:color="C0504D"/>
              <w:left w:val="nil"/>
              <w:bottom w:val="single" w:sz="8" w:space="0" w:color="C0504D"/>
              <w:right w:val="nil"/>
            </w:tcBorders>
            <w:shd w:val="clear" w:color="auto" w:fill="auto"/>
            <w:vAlign w:val="center"/>
            <w:hideMark/>
          </w:tcPr>
          <w:p w14:paraId="02CA2B2E"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32</w:t>
            </w:r>
          </w:p>
        </w:tc>
        <w:tc>
          <w:tcPr>
            <w:tcW w:w="448" w:type="pct"/>
            <w:tcBorders>
              <w:top w:val="single" w:sz="8" w:space="0" w:color="C0504D"/>
              <w:left w:val="nil"/>
              <w:bottom w:val="single" w:sz="8" w:space="0" w:color="C0504D"/>
              <w:right w:val="nil"/>
            </w:tcBorders>
            <w:shd w:val="clear" w:color="auto" w:fill="auto"/>
            <w:vAlign w:val="center"/>
            <w:hideMark/>
          </w:tcPr>
          <w:p w14:paraId="20E72A60"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25</w:t>
            </w:r>
          </w:p>
        </w:tc>
        <w:tc>
          <w:tcPr>
            <w:tcW w:w="446" w:type="pct"/>
            <w:tcBorders>
              <w:top w:val="single" w:sz="8" w:space="0" w:color="C0504D"/>
              <w:left w:val="nil"/>
              <w:bottom w:val="single" w:sz="8" w:space="0" w:color="C0504D"/>
              <w:right w:val="nil"/>
            </w:tcBorders>
            <w:shd w:val="clear" w:color="auto" w:fill="auto"/>
            <w:vAlign w:val="center"/>
            <w:hideMark/>
          </w:tcPr>
          <w:p w14:paraId="5F51743A"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144</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52E4AD4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138</w:t>
            </w:r>
          </w:p>
        </w:tc>
      </w:tr>
      <w:tr w:rsidR="0063781D" w:rsidRPr="00C97275" w14:paraId="0EAA396A"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534DCD38"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Šiaulių</w:t>
            </w:r>
          </w:p>
        </w:tc>
        <w:tc>
          <w:tcPr>
            <w:tcW w:w="373" w:type="pct"/>
            <w:tcBorders>
              <w:top w:val="nil"/>
              <w:left w:val="nil"/>
              <w:bottom w:val="nil"/>
              <w:right w:val="nil"/>
            </w:tcBorders>
            <w:shd w:val="clear" w:color="auto" w:fill="auto"/>
            <w:vAlign w:val="center"/>
            <w:hideMark/>
          </w:tcPr>
          <w:p w14:paraId="6AC6C9B0"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200</w:t>
            </w:r>
          </w:p>
        </w:tc>
        <w:tc>
          <w:tcPr>
            <w:tcW w:w="485" w:type="pct"/>
            <w:tcBorders>
              <w:top w:val="nil"/>
              <w:left w:val="nil"/>
              <w:bottom w:val="nil"/>
              <w:right w:val="nil"/>
            </w:tcBorders>
            <w:shd w:val="clear" w:color="auto" w:fill="auto"/>
            <w:vAlign w:val="center"/>
            <w:hideMark/>
          </w:tcPr>
          <w:p w14:paraId="673457C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125</w:t>
            </w:r>
          </w:p>
        </w:tc>
        <w:tc>
          <w:tcPr>
            <w:tcW w:w="352" w:type="pct"/>
            <w:tcBorders>
              <w:top w:val="nil"/>
              <w:left w:val="nil"/>
              <w:bottom w:val="nil"/>
              <w:right w:val="nil"/>
            </w:tcBorders>
            <w:shd w:val="clear" w:color="auto" w:fill="auto"/>
            <w:vAlign w:val="center"/>
            <w:hideMark/>
          </w:tcPr>
          <w:p w14:paraId="5E193ED8"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83</w:t>
            </w:r>
          </w:p>
        </w:tc>
        <w:tc>
          <w:tcPr>
            <w:tcW w:w="395" w:type="pct"/>
            <w:tcBorders>
              <w:top w:val="nil"/>
              <w:left w:val="nil"/>
              <w:bottom w:val="nil"/>
              <w:right w:val="nil"/>
            </w:tcBorders>
            <w:shd w:val="clear" w:color="auto" w:fill="auto"/>
            <w:vAlign w:val="center"/>
            <w:hideMark/>
          </w:tcPr>
          <w:p w14:paraId="098CC97A"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534</w:t>
            </w:r>
          </w:p>
        </w:tc>
        <w:tc>
          <w:tcPr>
            <w:tcW w:w="411" w:type="pct"/>
            <w:tcBorders>
              <w:top w:val="nil"/>
              <w:left w:val="nil"/>
              <w:bottom w:val="nil"/>
              <w:right w:val="nil"/>
            </w:tcBorders>
            <w:shd w:val="clear" w:color="auto" w:fill="auto"/>
            <w:vAlign w:val="center"/>
            <w:hideMark/>
          </w:tcPr>
          <w:p w14:paraId="7919FB19"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44</w:t>
            </w:r>
          </w:p>
        </w:tc>
        <w:tc>
          <w:tcPr>
            <w:tcW w:w="451" w:type="pct"/>
            <w:tcBorders>
              <w:top w:val="nil"/>
              <w:left w:val="nil"/>
              <w:bottom w:val="nil"/>
              <w:right w:val="nil"/>
            </w:tcBorders>
            <w:shd w:val="clear" w:color="auto" w:fill="auto"/>
            <w:vAlign w:val="center"/>
            <w:hideMark/>
          </w:tcPr>
          <w:p w14:paraId="74C2ED9B"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54</w:t>
            </w:r>
          </w:p>
        </w:tc>
        <w:tc>
          <w:tcPr>
            <w:tcW w:w="444" w:type="pct"/>
            <w:tcBorders>
              <w:top w:val="nil"/>
              <w:left w:val="nil"/>
              <w:bottom w:val="nil"/>
              <w:right w:val="nil"/>
            </w:tcBorders>
            <w:shd w:val="clear" w:color="auto" w:fill="auto"/>
            <w:vAlign w:val="center"/>
            <w:hideMark/>
          </w:tcPr>
          <w:p w14:paraId="7522598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24</w:t>
            </w:r>
          </w:p>
        </w:tc>
        <w:tc>
          <w:tcPr>
            <w:tcW w:w="448" w:type="pct"/>
            <w:tcBorders>
              <w:top w:val="nil"/>
              <w:left w:val="nil"/>
              <w:bottom w:val="nil"/>
              <w:right w:val="nil"/>
            </w:tcBorders>
            <w:shd w:val="clear" w:color="auto" w:fill="auto"/>
            <w:vAlign w:val="center"/>
            <w:hideMark/>
          </w:tcPr>
          <w:p w14:paraId="41D08FF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54</w:t>
            </w:r>
          </w:p>
        </w:tc>
        <w:tc>
          <w:tcPr>
            <w:tcW w:w="446" w:type="pct"/>
            <w:tcBorders>
              <w:top w:val="nil"/>
              <w:left w:val="nil"/>
              <w:bottom w:val="nil"/>
              <w:right w:val="nil"/>
            </w:tcBorders>
            <w:shd w:val="clear" w:color="auto" w:fill="auto"/>
            <w:vAlign w:val="center"/>
            <w:hideMark/>
          </w:tcPr>
          <w:p w14:paraId="7930CCED"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175</w:t>
            </w:r>
          </w:p>
        </w:tc>
        <w:tc>
          <w:tcPr>
            <w:tcW w:w="434" w:type="pct"/>
            <w:tcBorders>
              <w:top w:val="nil"/>
              <w:left w:val="nil"/>
              <w:bottom w:val="nil"/>
              <w:right w:val="single" w:sz="8" w:space="0" w:color="C0504D"/>
            </w:tcBorders>
            <w:shd w:val="clear" w:color="auto" w:fill="auto"/>
            <w:vAlign w:val="center"/>
            <w:hideMark/>
          </w:tcPr>
          <w:p w14:paraId="60328F24"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138</w:t>
            </w:r>
          </w:p>
        </w:tc>
      </w:tr>
      <w:tr w:rsidR="00486F4A" w:rsidRPr="00C97275" w14:paraId="2674BD0C"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3369491D"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Tauragės</w:t>
            </w:r>
          </w:p>
        </w:tc>
        <w:tc>
          <w:tcPr>
            <w:tcW w:w="373" w:type="pct"/>
            <w:tcBorders>
              <w:top w:val="single" w:sz="8" w:space="0" w:color="C0504D"/>
              <w:left w:val="nil"/>
              <w:bottom w:val="single" w:sz="8" w:space="0" w:color="C0504D"/>
              <w:right w:val="nil"/>
            </w:tcBorders>
            <w:shd w:val="clear" w:color="auto" w:fill="auto"/>
            <w:vAlign w:val="center"/>
            <w:hideMark/>
          </w:tcPr>
          <w:p w14:paraId="69269A7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60</w:t>
            </w:r>
          </w:p>
        </w:tc>
        <w:tc>
          <w:tcPr>
            <w:tcW w:w="485" w:type="pct"/>
            <w:tcBorders>
              <w:top w:val="single" w:sz="8" w:space="0" w:color="C0504D"/>
              <w:left w:val="nil"/>
              <w:bottom w:val="single" w:sz="8" w:space="0" w:color="C0504D"/>
              <w:right w:val="nil"/>
            </w:tcBorders>
            <w:shd w:val="clear" w:color="auto" w:fill="auto"/>
            <w:vAlign w:val="center"/>
            <w:hideMark/>
          </w:tcPr>
          <w:p w14:paraId="09002178"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30</w:t>
            </w:r>
          </w:p>
        </w:tc>
        <w:tc>
          <w:tcPr>
            <w:tcW w:w="352" w:type="pct"/>
            <w:tcBorders>
              <w:top w:val="single" w:sz="8" w:space="0" w:color="C0504D"/>
              <w:left w:val="nil"/>
              <w:bottom w:val="single" w:sz="8" w:space="0" w:color="C0504D"/>
              <w:right w:val="nil"/>
            </w:tcBorders>
            <w:shd w:val="clear" w:color="auto" w:fill="auto"/>
            <w:vAlign w:val="center"/>
            <w:hideMark/>
          </w:tcPr>
          <w:p w14:paraId="6510BD7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19</w:t>
            </w:r>
          </w:p>
        </w:tc>
        <w:tc>
          <w:tcPr>
            <w:tcW w:w="395" w:type="pct"/>
            <w:tcBorders>
              <w:top w:val="single" w:sz="8" w:space="0" w:color="C0504D"/>
              <w:left w:val="nil"/>
              <w:bottom w:val="single" w:sz="8" w:space="0" w:color="C0504D"/>
              <w:right w:val="nil"/>
            </w:tcBorders>
            <w:shd w:val="clear" w:color="auto" w:fill="auto"/>
            <w:vAlign w:val="center"/>
            <w:hideMark/>
          </w:tcPr>
          <w:p w14:paraId="4E40E235"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218</w:t>
            </w:r>
          </w:p>
        </w:tc>
        <w:tc>
          <w:tcPr>
            <w:tcW w:w="411" w:type="pct"/>
            <w:tcBorders>
              <w:top w:val="single" w:sz="8" w:space="0" w:color="C0504D"/>
              <w:left w:val="nil"/>
              <w:bottom w:val="single" w:sz="8" w:space="0" w:color="C0504D"/>
              <w:right w:val="nil"/>
            </w:tcBorders>
            <w:shd w:val="clear" w:color="auto" w:fill="auto"/>
            <w:vAlign w:val="center"/>
            <w:hideMark/>
          </w:tcPr>
          <w:p w14:paraId="2A32E7A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w:t>
            </w:r>
          </w:p>
        </w:tc>
        <w:tc>
          <w:tcPr>
            <w:tcW w:w="451" w:type="pct"/>
            <w:tcBorders>
              <w:top w:val="single" w:sz="8" w:space="0" w:color="C0504D"/>
              <w:left w:val="nil"/>
              <w:bottom w:val="single" w:sz="8" w:space="0" w:color="C0504D"/>
              <w:right w:val="nil"/>
            </w:tcBorders>
            <w:shd w:val="clear" w:color="auto" w:fill="auto"/>
            <w:vAlign w:val="center"/>
            <w:hideMark/>
          </w:tcPr>
          <w:p w14:paraId="7DED56F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26</w:t>
            </w:r>
          </w:p>
        </w:tc>
        <w:tc>
          <w:tcPr>
            <w:tcW w:w="444" w:type="pct"/>
            <w:tcBorders>
              <w:top w:val="single" w:sz="8" w:space="0" w:color="C0504D"/>
              <w:left w:val="nil"/>
              <w:bottom w:val="single" w:sz="8" w:space="0" w:color="C0504D"/>
              <w:right w:val="nil"/>
            </w:tcBorders>
            <w:shd w:val="clear" w:color="auto" w:fill="auto"/>
            <w:vAlign w:val="center"/>
            <w:hideMark/>
          </w:tcPr>
          <w:p w14:paraId="152F350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w:t>
            </w:r>
          </w:p>
        </w:tc>
        <w:tc>
          <w:tcPr>
            <w:tcW w:w="448" w:type="pct"/>
            <w:tcBorders>
              <w:top w:val="single" w:sz="8" w:space="0" w:color="C0504D"/>
              <w:left w:val="nil"/>
              <w:bottom w:val="single" w:sz="8" w:space="0" w:color="C0504D"/>
              <w:right w:val="nil"/>
            </w:tcBorders>
            <w:shd w:val="clear" w:color="auto" w:fill="auto"/>
            <w:vAlign w:val="center"/>
            <w:hideMark/>
          </w:tcPr>
          <w:p w14:paraId="4F111C0A"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26</w:t>
            </w:r>
          </w:p>
        </w:tc>
        <w:tc>
          <w:tcPr>
            <w:tcW w:w="446" w:type="pct"/>
            <w:tcBorders>
              <w:top w:val="single" w:sz="8" w:space="0" w:color="C0504D"/>
              <w:left w:val="nil"/>
              <w:bottom w:val="single" w:sz="8" w:space="0" w:color="C0504D"/>
              <w:right w:val="nil"/>
            </w:tcBorders>
            <w:shd w:val="clear" w:color="auto" w:fill="auto"/>
            <w:vAlign w:val="center"/>
            <w:hideMark/>
          </w:tcPr>
          <w:p w14:paraId="5E6D79B5"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75</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28E2F8EF"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134</w:t>
            </w:r>
          </w:p>
        </w:tc>
      </w:tr>
      <w:tr w:rsidR="0063781D" w:rsidRPr="00C97275" w14:paraId="077713A4"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67852F21"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Telšių</w:t>
            </w:r>
          </w:p>
        </w:tc>
        <w:tc>
          <w:tcPr>
            <w:tcW w:w="373" w:type="pct"/>
            <w:tcBorders>
              <w:top w:val="nil"/>
              <w:left w:val="nil"/>
              <w:bottom w:val="nil"/>
              <w:right w:val="nil"/>
            </w:tcBorders>
            <w:shd w:val="clear" w:color="auto" w:fill="auto"/>
            <w:vAlign w:val="center"/>
            <w:hideMark/>
          </w:tcPr>
          <w:p w14:paraId="7B6DE08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56</w:t>
            </w:r>
          </w:p>
        </w:tc>
        <w:tc>
          <w:tcPr>
            <w:tcW w:w="485" w:type="pct"/>
            <w:tcBorders>
              <w:top w:val="nil"/>
              <w:left w:val="nil"/>
              <w:bottom w:val="nil"/>
              <w:right w:val="nil"/>
            </w:tcBorders>
            <w:shd w:val="clear" w:color="auto" w:fill="auto"/>
            <w:vAlign w:val="center"/>
            <w:hideMark/>
          </w:tcPr>
          <w:p w14:paraId="414C59B7"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56</w:t>
            </w:r>
          </w:p>
        </w:tc>
        <w:tc>
          <w:tcPr>
            <w:tcW w:w="352" w:type="pct"/>
            <w:tcBorders>
              <w:top w:val="nil"/>
              <w:left w:val="nil"/>
              <w:bottom w:val="nil"/>
              <w:right w:val="nil"/>
            </w:tcBorders>
            <w:shd w:val="clear" w:color="auto" w:fill="auto"/>
            <w:vAlign w:val="center"/>
            <w:hideMark/>
          </w:tcPr>
          <w:p w14:paraId="291A88E4"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44</w:t>
            </w:r>
          </w:p>
        </w:tc>
        <w:tc>
          <w:tcPr>
            <w:tcW w:w="395" w:type="pct"/>
            <w:tcBorders>
              <w:top w:val="nil"/>
              <w:left w:val="nil"/>
              <w:bottom w:val="nil"/>
              <w:right w:val="nil"/>
            </w:tcBorders>
            <w:shd w:val="clear" w:color="auto" w:fill="auto"/>
            <w:vAlign w:val="center"/>
            <w:hideMark/>
          </w:tcPr>
          <w:p w14:paraId="7A024A4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217</w:t>
            </w:r>
          </w:p>
        </w:tc>
        <w:tc>
          <w:tcPr>
            <w:tcW w:w="411" w:type="pct"/>
            <w:tcBorders>
              <w:top w:val="nil"/>
              <w:left w:val="nil"/>
              <w:bottom w:val="nil"/>
              <w:right w:val="nil"/>
            </w:tcBorders>
            <w:shd w:val="clear" w:color="auto" w:fill="auto"/>
            <w:vAlign w:val="center"/>
            <w:hideMark/>
          </w:tcPr>
          <w:p w14:paraId="44E84927"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15</w:t>
            </w:r>
          </w:p>
        </w:tc>
        <w:tc>
          <w:tcPr>
            <w:tcW w:w="451" w:type="pct"/>
            <w:tcBorders>
              <w:top w:val="nil"/>
              <w:left w:val="nil"/>
              <w:bottom w:val="nil"/>
              <w:right w:val="nil"/>
            </w:tcBorders>
            <w:shd w:val="clear" w:color="auto" w:fill="auto"/>
            <w:vAlign w:val="center"/>
            <w:hideMark/>
          </w:tcPr>
          <w:p w14:paraId="1E4B426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45</w:t>
            </w:r>
          </w:p>
        </w:tc>
        <w:tc>
          <w:tcPr>
            <w:tcW w:w="444" w:type="pct"/>
            <w:tcBorders>
              <w:top w:val="nil"/>
              <w:left w:val="nil"/>
              <w:bottom w:val="nil"/>
              <w:right w:val="nil"/>
            </w:tcBorders>
            <w:shd w:val="clear" w:color="auto" w:fill="auto"/>
            <w:vAlign w:val="center"/>
            <w:hideMark/>
          </w:tcPr>
          <w:p w14:paraId="483F05B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11</w:t>
            </w:r>
          </w:p>
        </w:tc>
        <w:tc>
          <w:tcPr>
            <w:tcW w:w="448" w:type="pct"/>
            <w:tcBorders>
              <w:top w:val="nil"/>
              <w:left w:val="nil"/>
              <w:bottom w:val="nil"/>
              <w:right w:val="nil"/>
            </w:tcBorders>
            <w:shd w:val="clear" w:color="auto" w:fill="auto"/>
            <w:vAlign w:val="center"/>
            <w:hideMark/>
          </w:tcPr>
          <w:p w14:paraId="34CC16D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13</w:t>
            </w:r>
          </w:p>
        </w:tc>
        <w:tc>
          <w:tcPr>
            <w:tcW w:w="446" w:type="pct"/>
            <w:tcBorders>
              <w:top w:val="nil"/>
              <w:left w:val="nil"/>
              <w:bottom w:val="nil"/>
              <w:right w:val="nil"/>
            </w:tcBorders>
            <w:shd w:val="clear" w:color="auto" w:fill="auto"/>
            <w:vAlign w:val="center"/>
            <w:hideMark/>
          </w:tcPr>
          <w:p w14:paraId="14947D7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59</w:t>
            </w:r>
          </w:p>
        </w:tc>
        <w:tc>
          <w:tcPr>
            <w:tcW w:w="434" w:type="pct"/>
            <w:tcBorders>
              <w:top w:val="nil"/>
              <w:left w:val="nil"/>
              <w:bottom w:val="nil"/>
              <w:right w:val="single" w:sz="8" w:space="0" w:color="C0504D"/>
            </w:tcBorders>
            <w:shd w:val="clear" w:color="auto" w:fill="auto"/>
            <w:vAlign w:val="center"/>
            <w:hideMark/>
          </w:tcPr>
          <w:p w14:paraId="1F9DE56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115</w:t>
            </w:r>
          </w:p>
        </w:tc>
      </w:tr>
      <w:tr w:rsidR="00486F4A" w:rsidRPr="00C97275" w14:paraId="4E02B198"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7E391EEA"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 xml:space="preserve">Utenos </w:t>
            </w:r>
          </w:p>
        </w:tc>
        <w:tc>
          <w:tcPr>
            <w:tcW w:w="373" w:type="pct"/>
            <w:tcBorders>
              <w:top w:val="single" w:sz="8" w:space="0" w:color="C0504D"/>
              <w:left w:val="nil"/>
              <w:bottom w:val="single" w:sz="8" w:space="0" w:color="C0504D"/>
              <w:right w:val="nil"/>
            </w:tcBorders>
            <w:shd w:val="clear" w:color="auto" w:fill="auto"/>
            <w:vAlign w:val="center"/>
            <w:hideMark/>
          </w:tcPr>
          <w:p w14:paraId="7063FAE1"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86</w:t>
            </w:r>
          </w:p>
        </w:tc>
        <w:tc>
          <w:tcPr>
            <w:tcW w:w="485" w:type="pct"/>
            <w:tcBorders>
              <w:top w:val="single" w:sz="8" w:space="0" w:color="C0504D"/>
              <w:left w:val="nil"/>
              <w:bottom w:val="single" w:sz="8" w:space="0" w:color="C0504D"/>
              <w:right w:val="nil"/>
            </w:tcBorders>
            <w:shd w:val="clear" w:color="auto" w:fill="auto"/>
            <w:vAlign w:val="center"/>
            <w:hideMark/>
          </w:tcPr>
          <w:p w14:paraId="469C7DF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60</w:t>
            </w:r>
          </w:p>
        </w:tc>
        <w:tc>
          <w:tcPr>
            <w:tcW w:w="352" w:type="pct"/>
            <w:tcBorders>
              <w:top w:val="single" w:sz="8" w:space="0" w:color="C0504D"/>
              <w:left w:val="nil"/>
              <w:bottom w:val="single" w:sz="8" w:space="0" w:color="C0504D"/>
              <w:right w:val="nil"/>
            </w:tcBorders>
            <w:shd w:val="clear" w:color="auto" w:fill="auto"/>
            <w:vAlign w:val="center"/>
            <w:hideMark/>
          </w:tcPr>
          <w:p w14:paraId="7C98C8FC"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55</w:t>
            </w:r>
          </w:p>
        </w:tc>
        <w:tc>
          <w:tcPr>
            <w:tcW w:w="395" w:type="pct"/>
            <w:tcBorders>
              <w:top w:val="single" w:sz="8" w:space="0" w:color="C0504D"/>
              <w:left w:val="nil"/>
              <w:bottom w:val="single" w:sz="8" w:space="0" w:color="C0504D"/>
              <w:right w:val="nil"/>
            </w:tcBorders>
            <w:shd w:val="clear" w:color="auto" w:fill="auto"/>
            <w:vAlign w:val="center"/>
            <w:hideMark/>
          </w:tcPr>
          <w:p w14:paraId="0C637977"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303</w:t>
            </w:r>
          </w:p>
        </w:tc>
        <w:tc>
          <w:tcPr>
            <w:tcW w:w="411" w:type="pct"/>
            <w:tcBorders>
              <w:top w:val="single" w:sz="8" w:space="0" w:color="C0504D"/>
              <w:left w:val="nil"/>
              <w:bottom w:val="single" w:sz="8" w:space="0" w:color="C0504D"/>
              <w:right w:val="nil"/>
            </w:tcBorders>
            <w:shd w:val="clear" w:color="auto" w:fill="auto"/>
            <w:vAlign w:val="center"/>
            <w:hideMark/>
          </w:tcPr>
          <w:p w14:paraId="5F377EE7"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14</w:t>
            </w:r>
          </w:p>
        </w:tc>
        <w:tc>
          <w:tcPr>
            <w:tcW w:w="451" w:type="pct"/>
            <w:tcBorders>
              <w:top w:val="single" w:sz="8" w:space="0" w:color="C0504D"/>
              <w:left w:val="nil"/>
              <w:bottom w:val="single" w:sz="8" w:space="0" w:color="C0504D"/>
              <w:right w:val="nil"/>
            </w:tcBorders>
            <w:shd w:val="clear" w:color="auto" w:fill="auto"/>
            <w:vAlign w:val="center"/>
            <w:hideMark/>
          </w:tcPr>
          <w:p w14:paraId="6F0C585B"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38</w:t>
            </w:r>
          </w:p>
        </w:tc>
        <w:tc>
          <w:tcPr>
            <w:tcW w:w="444" w:type="pct"/>
            <w:tcBorders>
              <w:top w:val="single" w:sz="8" w:space="0" w:color="C0504D"/>
              <w:left w:val="nil"/>
              <w:bottom w:val="single" w:sz="8" w:space="0" w:color="C0504D"/>
              <w:right w:val="nil"/>
            </w:tcBorders>
            <w:shd w:val="clear" w:color="auto" w:fill="auto"/>
            <w:vAlign w:val="center"/>
            <w:hideMark/>
          </w:tcPr>
          <w:p w14:paraId="47A67F3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18</w:t>
            </w:r>
          </w:p>
        </w:tc>
        <w:tc>
          <w:tcPr>
            <w:tcW w:w="448" w:type="pct"/>
            <w:tcBorders>
              <w:top w:val="single" w:sz="8" w:space="0" w:color="C0504D"/>
              <w:left w:val="nil"/>
              <w:bottom w:val="single" w:sz="8" w:space="0" w:color="C0504D"/>
              <w:right w:val="nil"/>
            </w:tcBorders>
            <w:shd w:val="clear" w:color="auto" w:fill="auto"/>
            <w:vAlign w:val="center"/>
            <w:hideMark/>
          </w:tcPr>
          <w:p w14:paraId="596C1B7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23</w:t>
            </w:r>
          </w:p>
        </w:tc>
        <w:tc>
          <w:tcPr>
            <w:tcW w:w="446" w:type="pct"/>
            <w:tcBorders>
              <w:top w:val="single" w:sz="8" w:space="0" w:color="C0504D"/>
              <w:left w:val="nil"/>
              <w:bottom w:val="single" w:sz="8" w:space="0" w:color="C0504D"/>
              <w:right w:val="nil"/>
            </w:tcBorders>
            <w:shd w:val="clear" w:color="auto" w:fill="auto"/>
            <w:vAlign w:val="center"/>
            <w:hideMark/>
          </w:tcPr>
          <w:p w14:paraId="2366183E"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178</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1EBCD9F8"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100</w:t>
            </w:r>
          </w:p>
        </w:tc>
      </w:tr>
      <w:tr w:rsidR="0063781D" w:rsidRPr="00C97275" w14:paraId="0D6AC818"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single" w:sz="8" w:space="0" w:color="D62E1C"/>
              <w:right w:val="nil"/>
            </w:tcBorders>
            <w:hideMark/>
          </w:tcPr>
          <w:p w14:paraId="5863FE64" w14:textId="77777777" w:rsidR="005A0219" w:rsidRPr="00C97275" w:rsidRDefault="005A0219" w:rsidP="005A0219">
            <w:pPr>
              <w:rPr>
                <w:rFonts w:ascii="Georgia" w:eastAsia="Times New Roman" w:hAnsi="Georgia" w:cs="Arial Unicode MS"/>
                <w:sz w:val="18"/>
                <w:szCs w:val="18"/>
                <w:lang w:eastAsia="lt-LT"/>
              </w:rPr>
            </w:pPr>
            <w:r w:rsidRPr="00C97275">
              <w:rPr>
                <w:rFonts w:ascii="Georgia" w:eastAsia="Times New Roman" w:hAnsi="Georgia" w:cs="Arial Unicode MS"/>
                <w:sz w:val="18"/>
                <w:szCs w:val="18"/>
                <w:lang w:eastAsia="lt-LT"/>
              </w:rPr>
              <w:t>Vilniaus</w:t>
            </w:r>
          </w:p>
        </w:tc>
        <w:tc>
          <w:tcPr>
            <w:tcW w:w="373" w:type="pct"/>
            <w:tcBorders>
              <w:top w:val="nil"/>
              <w:left w:val="nil"/>
              <w:bottom w:val="single" w:sz="8" w:space="0" w:color="C0504D"/>
              <w:right w:val="nil"/>
            </w:tcBorders>
            <w:shd w:val="clear" w:color="auto" w:fill="auto"/>
            <w:vAlign w:val="center"/>
            <w:hideMark/>
          </w:tcPr>
          <w:p w14:paraId="0F232AEE"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388</w:t>
            </w:r>
          </w:p>
        </w:tc>
        <w:tc>
          <w:tcPr>
            <w:tcW w:w="485" w:type="pct"/>
            <w:tcBorders>
              <w:top w:val="nil"/>
              <w:left w:val="nil"/>
              <w:bottom w:val="single" w:sz="8" w:space="0" w:color="C0504D"/>
              <w:right w:val="nil"/>
            </w:tcBorders>
            <w:shd w:val="clear" w:color="auto" w:fill="auto"/>
            <w:vAlign w:val="center"/>
            <w:hideMark/>
          </w:tcPr>
          <w:p w14:paraId="5332B5D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111</w:t>
            </w:r>
          </w:p>
        </w:tc>
        <w:tc>
          <w:tcPr>
            <w:tcW w:w="352" w:type="pct"/>
            <w:tcBorders>
              <w:top w:val="nil"/>
              <w:left w:val="nil"/>
              <w:bottom w:val="single" w:sz="8" w:space="0" w:color="C0504D"/>
              <w:right w:val="nil"/>
            </w:tcBorders>
            <w:shd w:val="clear" w:color="auto" w:fill="auto"/>
            <w:vAlign w:val="center"/>
            <w:hideMark/>
          </w:tcPr>
          <w:p w14:paraId="5B75E618"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355</w:t>
            </w:r>
          </w:p>
        </w:tc>
        <w:tc>
          <w:tcPr>
            <w:tcW w:w="395" w:type="pct"/>
            <w:tcBorders>
              <w:top w:val="nil"/>
              <w:left w:val="nil"/>
              <w:bottom w:val="single" w:sz="8" w:space="0" w:color="C0504D"/>
              <w:right w:val="nil"/>
            </w:tcBorders>
            <w:shd w:val="clear" w:color="auto" w:fill="auto"/>
            <w:vAlign w:val="center"/>
            <w:hideMark/>
          </w:tcPr>
          <w:p w14:paraId="55091862"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818</w:t>
            </w:r>
          </w:p>
        </w:tc>
        <w:tc>
          <w:tcPr>
            <w:tcW w:w="411" w:type="pct"/>
            <w:tcBorders>
              <w:top w:val="nil"/>
              <w:left w:val="nil"/>
              <w:bottom w:val="single" w:sz="8" w:space="0" w:color="C0504D"/>
              <w:right w:val="nil"/>
            </w:tcBorders>
            <w:shd w:val="clear" w:color="auto" w:fill="auto"/>
            <w:vAlign w:val="center"/>
            <w:hideMark/>
          </w:tcPr>
          <w:p w14:paraId="58F9567F"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96</w:t>
            </w:r>
          </w:p>
        </w:tc>
        <w:tc>
          <w:tcPr>
            <w:tcW w:w="451" w:type="pct"/>
            <w:tcBorders>
              <w:top w:val="nil"/>
              <w:left w:val="nil"/>
              <w:bottom w:val="single" w:sz="8" w:space="0" w:color="C0504D"/>
              <w:right w:val="nil"/>
            </w:tcBorders>
            <w:shd w:val="clear" w:color="auto" w:fill="auto"/>
            <w:vAlign w:val="center"/>
            <w:hideMark/>
          </w:tcPr>
          <w:p w14:paraId="7078196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130</w:t>
            </w:r>
          </w:p>
        </w:tc>
        <w:tc>
          <w:tcPr>
            <w:tcW w:w="444" w:type="pct"/>
            <w:tcBorders>
              <w:top w:val="nil"/>
              <w:left w:val="nil"/>
              <w:bottom w:val="single" w:sz="8" w:space="0" w:color="C0504D"/>
              <w:right w:val="nil"/>
            </w:tcBorders>
            <w:shd w:val="clear" w:color="auto" w:fill="auto"/>
            <w:vAlign w:val="center"/>
            <w:hideMark/>
          </w:tcPr>
          <w:p w14:paraId="4A7296DF"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91</w:t>
            </w:r>
          </w:p>
        </w:tc>
        <w:tc>
          <w:tcPr>
            <w:tcW w:w="448" w:type="pct"/>
            <w:tcBorders>
              <w:top w:val="nil"/>
              <w:left w:val="nil"/>
              <w:bottom w:val="single" w:sz="8" w:space="0" w:color="C0504D"/>
              <w:right w:val="nil"/>
            </w:tcBorders>
            <w:shd w:val="clear" w:color="auto" w:fill="auto"/>
            <w:vAlign w:val="center"/>
            <w:hideMark/>
          </w:tcPr>
          <w:p w14:paraId="2912D3F0"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60</w:t>
            </w:r>
          </w:p>
        </w:tc>
        <w:tc>
          <w:tcPr>
            <w:tcW w:w="446" w:type="pct"/>
            <w:tcBorders>
              <w:top w:val="nil"/>
              <w:left w:val="nil"/>
              <w:bottom w:val="single" w:sz="8" w:space="0" w:color="C0504D"/>
              <w:right w:val="nil"/>
            </w:tcBorders>
            <w:shd w:val="clear" w:color="auto" w:fill="auto"/>
            <w:vAlign w:val="center"/>
            <w:hideMark/>
          </w:tcPr>
          <w:p w14:paraId="5259596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513</w:t>
            </w:r>
          </w:p>
        </w:tc>
        <w:tc>
          <w:tcPr>
            <w:tcW w:w="434" w:type="pct"/>
            <w:tcBorders>
              <w:top w:val="nil"/>
              <w:left w:val="nil"/>
              <w:bottom w:val="single" w:sz="8" w:space="0" w:color="C0504D"/>
              <w:right w:val="single" w:sz="8" w:space="0" w:color="C0504D"/>
            </w:tcBorders>
            <w:shd w:val="clear" w:color="auto" w:fill="auto"/>
            <w:vAlign w:val="center"/>
            <w:hideMark/>
          </w:tcPr>
          <w:p w14:paraId="48C6CB1C"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228</w:t>
            </w:r>
          </w:p>
        </w:tc>
      </w:tr>
    </w:tbl>
    <w:p w14:paraId="548AE8CE" w14:textId="77777777" w:rsidR="005A0219" w:rsidRPr="00C97275" w:rsidRDefault="005A0219" w:rsidP="005A0219">
      <w:pPr>
        <w:spacing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t xml:space="preserve">Šaltinis: VĮ Registrų centras (2017 m. sausio 1 d.) </w:t>
      </w:r>
    </w:p>
    <w:p w14:paraId="7012077E"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7EB652BF" w14:textId="77777777" w:rsidR="005A0219" w:rsidRPr="00C97275" w:rsidRDefault="005A0219" w:rsidP="005A0219">
      <w:pPr>
        <w:keepNext/>
        <w:keepLines/>
        <w:numPr>
          <w:ilvl w:val="2"/>
          <w:numId w:val="2"/>
        </w:numPr>
        <w:spacing w:before="200" w:after="240" w:line="240" w:lineRule="auto"/>
        <w:ind w:left="1077" w:hanging="1077"/>
        <w:outlineLvl w:val="1"/>
        <w:rPr>
          <w:rFonts w:ascii="Georgia" w:eastAsia="Times New Roman" w:hAnsi="Georgia" w:cs="Arial Unicode MS"/>
          <w:b/>
          <w:i/>
          <w:color w:val="821A1A"/>
          <w:sz w:val="32"/>
          <w:szCs w:val="26"/>
          <w:lang w:val="lt-LT"/>
        </w:rPr>
      </w:pPr>
      <w:bookmarkStart w:id="31" w:name="_Toc25594645"/>
      <w:r w:rsidRPr="00C97275">
        <w:rPr>
          <w:rFonts w:ascii="Georgia" w:eastAsia="Times New Roman" w:hAnsi="Georgia" w:cs="Arial Unicode MS"/>
          <w:b/>
          <w:i/>
          <w:color w:val="821A1A"/>
          <w:sz w:val="32"/>
          <w:szCs w:val="26"/>
          <w:lang w:val="lt-LT"/>
        </w:rPr>
        <w:t>Daugiabučiai namai</w:t>
      </w:r>
      <w:bookmarkEnd w:id="31"/>
    </w:p>
    <w:p w14:paraId="339171D5" w14:textId="2B46025B" w:rsidR="005A0219" w:rsidRPr="00C97275" w:rsidRDefault="005A0219" w:rsidP="0063781D">
      <w:pPr>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Daugiabučių namų atnaujinimo (modernizavimo) programoje</w:t>
      </w:r>
      <w:r w:rsidRPr="00C97275">
        <w:rPr>
          <w:rFonts w:ascii="Georgia" w:eastAsia="Georgia" w:hAnsi="Georgia" w:cs="Georgia"/>
          <w:color w:val="000000"/>
          <w:sz w:val="20"/>
          <w:szCs w:val="20"/>
          <w:vertAlign w:val="superscript"/>
          <w:lang w:val="lt-LT"/>
        </w:rPr>
        <w:footnoteReference w:id="7"/>
      </w:r>
      <w:r w:rsidRPr="00C97275">
        <w:rPr>
          <w:rFonts w:ascii="Georgia" w:eastAsia="Georgia" w:hAnsi="Georgia" w:cs="Georgia"/>
          <w:sz w:val="20"/>
          <w:szCs w:val="20"/>
          <w:lang w:val="lt-LT"/>
        </w:rPr>
        <w:t xml:space="preserve"> nurodyta, kad 2009 metų pabaigoje Lietuvoje buvo 37 267 daugiabučiai namai (</w:t>
      </w:r>
      <w:r w:rsidR="00247C5A" w:rsidRPr="00C97275">
        <w:rPr>
          <w:rFonts w:ascii="Georgia" w:eastAsia="Georgia" w:hAnsi="Georgia" w:cs="Georgia"/>
          <w:sz w:val="20"/>
          <w:szCs w:val="20"/>
          <w:lang w:val="lt-LT"/>
        </w:rPr>
        <w:t>trijų</w:t>
      </w:r>
      <w:r w:rsidRPr="00C97275">
        <w:rPr>
          <w:rFonts w:ascii="Georgia" w:eastAsia="Georgia" w:hAnsi="Georgia" w:cs="Georgia"/>
          <w:sz w:val="20"/>
          <w:szCs w:val="20"/>
          <w:lang w:val="lt-LT"/>
        </w:rPr>
        <w:t xml:space="preserve"> ir daugiau butų), iš jų apie 35 000 pastatyti pagal iki </w:t>
      </w:r>
      <w:r w:rsidRPr="00C97275">
        <w:rPr>
          <w:rFonts w:ascii="Georgia" w:eastAsia="Georgia" w:hAnsi="Georgia" w:cs="Georgia"/>
          <w:sz w:val="20"/>
          <w:szCs w:val="20"/>
          <w:lang w:val="lt-LT"/>
        </w:rPr>
        <w:lastRenderedPageBreak/>
        <w:t>1993 metų galiojusius statybos techninius normatyvus. Vidutinio daugiabučio ploto skaičiavimui buvo pasirinkti iki 1992 metų pastatyti daugiabučiai. Vidutinis daugiabučio plotas yra apie 1</w:t>
      </w:r>
      <w:r w:rsidR="00415ADA" w:rsidRPr="00C97275">
        <w:rPr>
          <w:rFonts w:ascii="Georgia" w:eastAsia="Georgia" w:hAnsi="Georgia" w:cs="Georgia"/>
          <w:sz w:val="20"/>
          <w:szCs w:val="20"/>
          <w:lang w:val="lt-LT"/>
        </w:rPr>
        <w:t xml:space="preserve"> </w:t>
      </w:r>
      <w:r w:rsidRPr="00C97275">
        <w:rPr>
          <w:rFonts w:ascii="Georgia" w:eastAsia="Georgia" w:hAnsi="Georgia" w:cs="Georgia"/>
          <w:sz w:val="20"/>
          <w:szCs w:val="20"/>
          <w:lang w:val="lt-LT"/>
        </w:rPr>
        <w:t>287 m². Žemiau esančioje lentelėje pateikiama daugiabučių namų, suskirstytų pagal statybos metus, statistika.</w:t>
      </w:r>
    </w:p>
    <w:p w14:paraId="6DC8C960" w14:textId="5F4930AF" w:rsidR="005A0219" w:rsidRPr="00C97275" w:rsidRDefault="005A0219" w:rsidP="005A0219">
      <w:pPr>
        <w:spacing w:after="160" w:line="240" w:lineRule="auto"/>
        <w:jc w:val="both"/>
        <w:rPr>
          <w:rFonts w:ascii="Georgia" w:eastAsia="Georgia" w:hAnsi="Georgia" w:cs="Arial Unicode MS"/>
          <w:i/>
          <w:iCs/>
          <w:color w:val="821A1A"/>
          <w:sz w:val="20"/>
          <w:szCs w:val="18"/>
          <w:lang w:val="lt-LT"/>
        </w:rPr>
      </w:pPr>
      <w:bookmarkStart w:id="32" w:name="_Toc455735503"/>
      <w:bookmarkStart w:id="33" w:name="_Toc19105221"/>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8</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Georgia"/>
          <w:i/>
          <w:iCs/>
          <w:color w:val="821A1A"/>
          <w:sz w:val="20"/>
          <w:szCs w:val="20"/>
          <w:lang w:val="lt-LT"/>
        </w:rPr>
        <w:t>Daugiabučiai namai pagal statybos metus.</w:t>
      </w:r>
      <w:bookmarkEnd w:id="32"/>
      <w:bookmarkEnd w:id="33"/>
    </w:p>
    <w:tbl>
      <w:tblPr>
        <w:tblStyle w:val="LightList-Accent21"/>
        <w:tblW w:w="4966" w:type="pct"/>
        <w:tblLook w:val="04A0" w:firstRow="1" w:lastRow="0" w:firstColumn="1" w:lastColumn="0" w:noHBand="0" w:noVBand="1"/>
      </w:tblPr>
      <w:tblGrid>
        <w:gridCol w:w="2608"/>
        <w:gridCol w:w="1841"/>
        <w:gridCol w:w="1560"/>
        <w:gridCol w:w="1698"/>
        <w:gridCol w:w="1472"/>
      </w:tblGrid>
      <w:tr w:rsidR="005A0219" w:rsidRPr="00C97275" w14:paraId="22B930E1" w14:textId="77777777" w:rsidTr="0063781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20" w:type="pct"/>
            <w:vMerge w:val="restart"/>
            <w:hideMark/>
          </w:tcPr>
          <w:p w14:paraId="4AE24F47" w14:textId="77777777" w:rsidR="005A0219" w:rsidRPr="00C97275" w:rsidRDefault="005A0219" w:rsidP="005A0219">
            <w:pPr>
              <w:tabs>
                <w:tab w:val="left" w:pos="-3227"/>
                <w:tab w:val="center" w:pos="-3085"/>
              </w:tabs>
              <w:jc w:val="center"/>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Statybos metai</w:t>
            </w:r>
          </w:p>
        </w:tc>
        <w:tc>
          <w:tcPr>
            <w:tcW w:w="1853" w:type="pct"/>
            <w:gridSpan w:val="2"/>
            <w:hideMark/>
          </w:tcPr>
          <w:p w14:paraId="670823BE" w14:textId="77777777" w:rsidR="005A0219" w:rsidRPr="00C97275" w:rsidRDefault="005A0219" w:rsidP="005A0219">
            <w:pPr>
              <w:tabs>
                <w:tab w:val="left" w:pos="-5377"/>
                <w:tab w:val="center" w:pos="-5235"/>
              </w:tabs>
              <w:ind w:firstLine="1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Namų skaičius</w:t>
            </w:r>
          </w:p>
        </w:tc>
        <w:tc>
          <w:tcPr>
            <w:tcW w:w="1727" w:type="pct"/>
            <w:gridSpan w:val="2"/>
            <w:hideMark/>
          </w:tcPr>
          <w:p w14:paraId="3E501EC5"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 xml:space="preserve">Bendrasis plotas </w:t>
            </w:r>
          </w:p>
        </w:tc>
      </w:tr>
      <w:tr w:rsidR="005A0219" w:rsidRPr="00C97275" w14:paraId="4B21A515" w14:textId="77777777" w:rsidTr="0063781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20" w:type="pct"/>
            <w:vMerge/>
            <w:hideMark/>
          </w:tcPr>
          <w:p w14:paraId="3594DBE4" w14:textId="77777777" w:rsidR="005A0219" w:rsidRPr="00C97275" w:rsidRDefault="005A0219" w:rsidP="005A0219">
            <w:pPr>
              <w:rPr>
                <w:rFonts w:ascii="Georgia" w:eastAsia="Times New Roman" w:hAnsi="Georgia" w:cs="Times New Roman"/>
                <w:sz w:val="20"/>
                <w:szCs w:val="20"/>
                <w:lang w:eastAsia="lt-LT"/>
              </w:rPr>
            </w:pPr>
          </w:p>
        </w:tc>
        <w:tc>
          <w:tcPr>
            <w:tcW w:w="1003" w:type="pct"/>
            <w:hideMark/>
          </w:tcPr>
          <w:p w14:paraId="2AC47D7D" w14:textId="77777777" w:rsidR="005A0219" w:rsidRPr="00C97275" w:rsidRDefault="005A0219" w:rsidP="005A0219">
            <w:pPr>
              <w:tabs>
                <w:tab w:val="left" w:pos="-5235"/>
              </w:tabs>
              <w:ind w:firstLine="10"/>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vienetais</w:t>
            </w:r>
          </w:p>
        </w:tc>
        <w:tc>
          <w:tcPr>
            <w:tcW w:w="850" w:type="pct"/>
            <w:hideMark/>
          </w:tcPr>
          <w:p w14:paraId="4F0EFF13" w14:textId="77777777" w:rsidR="005A0219" w:rsidRPr="00C97275" w:rsidRDefault="005A0219" w:rsidP="005A0219">
            <w:pPr>
              <w:tabs>
                <w:tab w:val="center" w:pos="-7276"/>
                <w:tab w:val="left" w:pos="-7134"/>
              </w:tabs>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procentais</w:t>
            </w:r>
          </w:p>
        </w:tc>
        <w:tc>
          <w:tcPr>
            <w:tcW w:w="925" w:type="pct"/>
            <w:hideMark/>
          </w:tcPr>
          <w:p w14:paraId="0D5C4D81"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kv. metrais</w:t>
            </w:r>
          </w:p>
        </w:tc>
        <w:tc>
          <w:tcPr>
            <w:tcW w:w="802" w:type="pct"/>
            <w:hideMark/>
          </w:tcPr>
          <w:p w14:paraId="2915F9EC" w14:textId="77777777" w:rsidR="005A0219" w:rsidRPr="00C97275" w:rsidRDefault="005A0219" w:rsidP="005A0219">
            <w:pPr>
              <w:tabs>
                <w:tab w:val="left" w:pos="-11074"/>
                <w:tab w:val="center" w:pos="-10932"/>
              </w:tabs>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procentais</w:t>
            </w:r>
          </w:p>
        </w:tc>
      </w:tr>
      <w:tr w:rsidR="00300FF4" w:rsidRPr="00C97275" w14:paraId="169B2307" w14:textId="77777777" w:rsidTr="00776D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64C6E201" w14:textId="77777777" w:rsidR="005A0219" w:rsidRPr="00C97275" w:rsidRDefault="005A0219" w:rsidP="005A0219">
            <w:pPr>
              <w:tabs>
                <w:tab w:val="center" w:pos="567"/>
                <w:tab w:val="left" w:pos="1080"/>
              </w:tabs>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Iki 1940 metų</w:t>
            </w:r>
          </w:p>
        </w:tc>
        <w:tc>
          <w:tcPr>
            <w:tcW w:w="1003" w:type="pct"/>
            <w:tcBorders>
              <w:top w:val="single" w:sz="8" w:space="0" w:color="C0504D"/>
              <w:left w:val="nil"/>
              <w:bottom w:val="single" w:sz="8" w:space="0" w:color="C0504D"/>
              <w:right w:val="nil"/>
            </w:tcBorders>
            <w:shd w:val="clear" w:color="auto" w:fill="auto"/>
            <w:vAlign w:val="center"/>
            <w:hideMark/>
          </w:tcPr>
          <w:p w14:paraId="3CD9363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10 229</w:t>
            </w:r>
          </w:p>
        </w:tc>
        <w:tc>
          <w:tcPr>
            <w:tcW w:w="850" w:type="pct"/>
            <w:tcBorders>
              <w:top w:val="single" w:sz="8" w:space="0" w:color="C0504D"/>
              <w:left w:val="nil"/>
              <w:bottom w:val="single" w:sz="8" w:space="0" w:color="C0504D"/>
              <w:right w:val="nil"/>
            </w:tcBorders>
            <w:shd w:val="clear" w:color="auto" w:fill="auto"/>
            <w:vAlign w:val="center"/>
            <w:hideMark/>
          </w:tcPr>
          <w:p w14:paraId="74021E31"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27,0%</w:t>
            </w:r>
          </w:p>
        </w:tc>
        <w:tc>
          <w:tcPr>
            <w:tcW w:w="925" w:type="pct"/>
            <w:tcBorders>
              <w:top w:val="single" w:sz="8" w:space="0" w:color="C0504D"/>
              <w:left w:val="nil"/>
              <w:bottom w:val="single" w:sz="8" w:space="0" w:color="C0504D"/>
              <w:right w:val="nil"/>
            </w:tcBorders>
            <w:shd w:val="clear" w:color="auto" w:fill="auto"/>
            <w:vAlign w:val="center"/>
            <w:hideMark/>
          </w:tcPr>
          <w:p w14:paraId="104D36D0"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3 885 470</w:t>
            </w:r>
          </w:p>
        </w:tc>
        <w:tc>
          <w:tcPr>
            <w:tcW w:w="802" w:type="pct"/>
            <w:tcBorders>
              <w:top w:val="single" w:sz="8" w:space="0" w:color="C0504D"/>
              <w:left w:val="nil"/>
              <w:bottom w:val="single" w:sz="8" w:space="0" w:color="C0504D"/>
              <w:right w:val="single" w:sz="8" w:space="0" w:color="C0504D"/>
            </w:tcBorders>
            <w:shd w:val="clear" w:color="auto" w:fill="auto"/>
            <w:vAlign w:val="center"/>
            <w:hideMark/>
          </w:tcPr>
          <w:p w14:paraId="7D3C8A86"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7,3%</w:t>
            </w:r>
          </w:p>
        </w:tc>
      </w:tr>
      <w:tr w:rsidR="00A9390E" w:rsidRPr="00C97275" w14:paraId="414EA133" w14:textId="77777777" w:rsidTr="00831E09">
        <w:trPr>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589B9032" w14:textId="77777777" w:rsidR="005A0219" w:rsidRPr="00C97275" w:rsidRDefault="005A0219" w:rsidP="005A0219">
            <w:pPr>
              <w:tabs>
                <w:tab w:val="center" w:pos="-3085"/>
              </w:tabs>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1941−1960 metai</w:t>
            </w:r>
          </w:p>
        </w:tc>
        <w:tc>
          <w:tcPr>
            <w:tcW w:w="1003" w:type="pct"/>
            <w:tcBorders>
              <w:top w:val="nil"/>
              <w:left w:val="nil"/>
              <w:bottom w:val="nil"/>
              <w:right w:val="nil"/>
            </w:tcBorders>
            <w:shd w:val="clear" w:color="auto" w:fill="auto"/>
            <w:vAlign w:val="center"/>
            <w:hideMark/>
          </w:tcPr>
          <w:p w14:paraId="62F7A108"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3 747</w:t>
            </w:r>
          </w:p>
        </w:tc>
        <w:tc>
          <w:tcPr>
            <w:tcW w:w="850" w:type="pct"/>
            <w:tcBorders>
              <w:top w:val="nil"/>
              <w:left w:val="nil"/>
              <w:bottom w:val="single" w:sz="8" w:space="0" w:color="C0504D"/>
              <w:right w:val="nil"/>
            </w:tcBorders>
            <w:shd w:val="clear" w:color="auto" w:fill="auto"/>
            <w:vAlign w:val="center"/>
            <w:hideMark/>
          </w:tcPr>
          <w:p w14:paraId="50E9AC10"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9,9%</w:t>
            </w:r>
          </w:p>
        </w:tc>
        <w:tc>
          <w:tcPr>
            <w:tcW w:w="925" w:type="pct"/>
            <w:tcBorders>
              <w:top w:val="nil"/>
              <w:left w:val="nil"/>
              <w:bottom w:val="nil"/>
              <w:right w:val="nil"/>
            </w:tcBorders>
            <w:shd w:val="clear" w:color="auto" w:fill="auto"/>
            <w:vAlign w:val="center"/>
            <w:hideMark/>
          </w:tcPr>
          <w:p w14:paraId="2F7ABAD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2 304 923</w:t>
            </w:r>
          </w:p>
        </w:tc>
        <w:tc>
          <w:tcPr>
            <w:tcW w:w="802" w:type="pct"/>
            <w:tcBorders>
              <w:top w:val="nil"/>
              <w:left w:val="nil"/>
              <w:bottom w:val="single" w:sz="8" w:space="0" w:color="C0504D"/>
              <w:right w:val="single" w:sz="8" w:space="0" w:color="C0504D"/>
            </w:tcBorders>
            <w:shd w:val="clear" w:color="auto" w:fill="auto"/>
            <w:vAlign w:val="center"/>
            <w:hideMark/>
          </w:tcPr>
          <w:p w14:paraId="125E28C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4,3%</w:t>
            </w:r>
          </w:p>
        </w:tc>
      </w:tr>
      <w:tr w:rsidR="00A9390E" w:rsidRPr="00C97275" w14:paraId="0742EDBB" w14:textId="77777777" w:rsidTr="00831E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008AEBA3" w14:textId="77777777" w:rsidR="005A0219" w:rsidRPr="00C97275" w:rsidRDefault="005A0219" w:rsidP="005A0219">
            <w:pPr>
              <w:tabs>
                <w:tab w:val="center" w:pos="-3085"/>
              </w:tabs>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1961−1990 metai</w:t>
            </w:r>
          </w:p>
        </w:tc>
        <w:tc>
          <w:tcPr>
            <w:tcW w:w="1003" w:type="pct"/>
            <w:tcBorders>
              <w:top w:val="single" w:sz="8" w:space="0" w:color="C0504D"/>
              <w:left w:val="nil"/>
              <w:bottom w:val="single" w:sz="8" w:space="0" w:color="C0504D"/>
              <w:right w:val="nil"/>
            </w:tcBorders>
            <w:shd w:val="clear" w:color="auto" w:fill="auto"/>
            <w:vAlign w:val="center"/>
            <w:hideMark/>
          </w:tcPr>
          <w:p w14:paraId="6C7E71F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20 253</w:t>
            </w:r>
          </w:p>
        </w:tc>
        <w:tc>
          <w:tcPr>
            <w:tcW w:w="850" w:type="pct"/>
            <w:tcBorders>
              <w:top w:val="nil"/>
              <w:left w:val="nil"/>
              <w:bottom w:val="single" w:sz="8" w:space="0" w:color="C0504D"/>
              <w:right w:val="nil"/>
            </w:tcBorders>
            <w:shd w:val="clear" w:color="auto" w:fill="auto"/>
            <w:vAlign w:val="center"/>
            <w:hideMark/>
          </w:tcPr>
          <w:p w14:paraId="49E772A4"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53,4%</w:t>
            </w:r>
          </w:p>
        </w:tc>
        <w:tc>
          <w:tcPr>
            <w:tcW w:w="925" w:type="pct"/>
            <w:tcBorders>
              <w:top w:val="single" w:sz="8" w:space="0" w:color="C0504D"/>
              <w:left w:val="nil"/>
              <w:bottom w:val="single" w:sz="8" w:space="0" w:color="C0504D"/>
              <w:right w:val="nil"/>
            </w:tcBorders>
            <w:shd w:val="clear" w:color="auto" w:fill="auto"/>
            <w:vAlign w:val="center"/>
            <w:hideMark/>
          </w:tcPr>
          <w:p w14:paraId="4F25D578"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37 520 552</w:t>
            </w:r>
          </w:p>
        </w:tc>
        <w:tc>
          <w:tcPr>
            <w:tcW w:w="802" w:type="pct"/>
            <w:tcBorders>
              <w:top w:val="nil"/>
              <w:left w:val="nil"/>
              <w:bottom w:val="single" w:sz="8" w:space="0" w:color="C0504D"/>
              <w:right w:val="single" w:sz="8" w:space="0" w:color="C0504D"/>
            </w:tcBorders>
            <w:shd w:val="clear" w:color="auto" w:fill="auto"/>
            <w:vAlign w:val="center"/>
            <w:hideMark/>
          </w:tcPr>
          <w:p w14:paraId="797B38E7"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70,1%</w:t>
            </w:r>
          </w:p>
        </w:tc>
      </w:tr>
      <w:tr w:rsidR="00A9390E" w:rsidRPr="00C97275" w14:paraId="3909DCC6" w14:textId="77777777" w:rsidTr="00831E09">
        <w:trPr>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2DA6E37F" w14:textId="77777777" w:rsidR="005A0219" w:rsidRPr="00C97275" w:rsidRDefault="005A0219" w:rsidP="005A0219">
            <w:pPr>
              <w:tabs>
                <w:tab w:val="center" w:pos="-3085"/>
              </w:tabs>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1991 metai ir vėliau</w:t>
            </w:r>
          </w:p>
        </w:tc>
        <w:tc>
          <w:tcPr>
            <w:tcW w:w="1003" w:type="pct"/>
            <w:tcBorders>
              <w:top w:val="nil"/>
              <w:left w:val="nil"/>
              <w:bottom w:val="nil"/>
              <w:right w:val="nil"/>
            </w:tcBorders>
            <w:shd w:val="clear" w:color="auto" w:fill="auto"/>
            <w:vAlign w:val="center"/>
            <w:hideMark/>
          </w:tcPr>
          <w:p w14:paraId="76723A5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3 696</w:t>
            </w:r>
          </w:p>
        </w:tc>
        <w:tc>
          <w:tcPr>
            <w:tcW w:w="850" w:type="pct"/>
            <w:tcBorders>
              <w:top w:val="nil"/>
              <w:left w:val="nil"/>
              <w:bottom w:val="single" w:sz="8" w:space="0" w:color="C0504D"/>
              <w:right w:val="nil"/>
            </w:tcBorders>
            <w:shd w:val="clear" w:color="auto" w:fill="auto"/>
            <w:vAlign w:val="center"/>
            <w:hideMark/>
          </w:tcPr>
          <w:p w14:paraId="1734956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9,7%</w:t>
            </w:r>
          </w:p>
        </w:tc>
        <w:tc>
          <w:tcPr>
            <w:tcW w:w="925" w:type="pct"/>
            <w:tcBorders>
              <w:top w:val="nil"/>
              <w:left w:val="nil"/>
              <w:bottom w:val="nil"/>
              <w:right w:val="nil"/>
            </w:tcBorders>
            <w:shd w:val="clear" w:color="auto" w:fill="auto"/>
            <w:vAlign w:val="center"/>
            <w:hideMark/>
          </w:tcPr>
          <w:p w14:paraId="5753CDF5"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9 840 582</w:t>
            </w:r>
          </w:p>
        </w:tc>
        <w:tc>
          <w:tcPr>
            <w:tcW w:w="802" w:type="pct"/>
            <w:tcBorders>
              <w:top w:val="nil"/>
              <w:left w:val="nil"/>
              <w:bottom w:val="single" w:sz="8" w:space="0" w:color="C0504D"/>
              <w:right w:val="single" w:sz="8" w:space="0" w:color="C0504D"/>
            </w:tcBorders>
            <w:shd w:val="clear" w:color="auto" w:fill="auto"/>
            <w:vAlign w:val="center"/>
            <w:hideMark/>
          </w:tcPr>
          <w:p w14:paraId="4511056C"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18,4%</w:t>
            </w:r>
          </w:p>
        </w:tc>
      </w:tr>
      <w:tr w:rsidR="00A9390E" w:rsidRPr="00C97275" w14:paraId="7DC2C9A8" w14:textId="77777777" w:rsidTr="00831E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4A6757EB" w14:textId="77777777" w:rsidR="005A0219" w:rsidRPr="00C97275" w:rsidRDefault="005A0219" w:rsidP="005A0219">
            <w:pPr>
              <w:tabs>
                <w:tab w:val="center" w:pos="567"/>
                <w:tab w:val="left" w:pos="1080"/>
              </w:tabs>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Iš viso</w:t>
            </w:r>
          </w:p>
        </w:tc>
        <w:tc>
          <w:tcPr>
            <w:tcW w:w="1003" w:type="pct"/>
            <w:tcBorders>
              <w:top w:val="single" w:sz="8" w:space="0" w:color="C0504D"/>
              <w:left w:val="nil"/>
              <w:bottom w:val="single" w:sz="8" w:space="0" w:color="C0504D"/>
              <w:right w:val="nil"/>
            </w:tcBorders>
            <w:shd w:val="clear" w:color="auto" w:fill="auto"/>
            <w:vAlign w:val="center"/>
            <w:hideMark/>
          </w:tcPr>
          <w:p w14:paraId="79A4B0D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37 925</w:t>
            </w:r>
          </w:p>
        </w:tc>
        <w:tc>
          <w:tcPr>
            <w:tcW w:w="850" w:type="pct"/>
            <w:tcBorders>
              <w:top w:val="nil"/>
              <w:left w:val="nil"/>
              <w:bottom w:val="single" w:sz="8" w:space="0" w:color="C0504D"/>
              <w:right w:val="nil"/>
            </w:tcBorders>
            <w:shd w:val="clear" w:color="auto" w:fill="auto"/>
            <w:vAlign w:val="center"/>
            <w:hideMark/>
          </w:tcPr>
          <w:p w14:paraId="3E219D45"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100,0%</w:t>
            </w:r>
          </w:p>
        </w:tc>
        <w:tc>
          <w:tcPr>
            <w:tcW w:w="925" w:type="pct"/>
            <w:tcBorders>
              <w:top w:val="single" w:sz="8" w:space="0" w:color="C0504D"/>
              <w:left w:val="nil"/>
              <w:bottom w:val="single" w:sz="8" w:space="0" w:color="C0504D"/>
              <w:right w:val="nil"/>
            </w:tcBorders>
            <w:shd w:val="clear" w:color="auto" w:fill="auto"/>
            <w:vAlign w:val="center"/>
            <w:hideMark/>
          </w:tcPr>
          <w:p w14:paraId="2A9B467F"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53 551 527</w:t>
            </w:r>
          </w:p>
        </w:tc>
        <w:tc>
          <w:tcPr>
            <w:tcW w:w="802" w:type="pct"/>
            <w:tcBorders>
              <w:top w:val="nil"/>
              <w:left w:val="nil"/>
              <w:bottom w:val="single" w:sz="8" w:space="0" w:color="C0504D"/>
              <w:right w:val="single" w:sz="8" w:space="0" w:color="C0504D"/>
            </w:tcBorders>
            <w:shd w:val="clear" w:color="auto" w:fill="auto"/>
            <w:vAlign w:val="center"/>
            <w:hideMark/>
          </w:tcPr>
          <w:p w14:paraId="21EC353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C97275">
              <w:rPr>
                <w:rFonts w:ascii="Georgia" w:eastAsia="Georgia" w:hAnsi="Georgia" w:cs="Arial Unicode MS"/>
                <w:color w:val="000000"/>
                <w:sz w:val="20"/>
                <w:szCs w:val="20"/>
              </w:rPr>
              <w:t>100,0%</w:t>
            </w:r>
          </w:p>
        </w:tc>
      </w:tr>
    </w:tbl>
    <w:p w14:paraId="34BF3F32" w14:textId="77777777" w:rsidR="005A0219" w:rsidRPr="00C97275" w:rsidRDefault="005A0219" w:rsidP="005A0219">
      <w:pPr>
        <w:spacing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t xml:space="preserve">Šaltinis: VĮ Registrų centras (2017 m. sausio 1 d.) </w:t>
      </w:r>
    </w:p>
    <w:p w14:paraId="27E84319" w14:textId="37D528D0" w:rsidR="005A0219" w:rsidRPr="00C97275" w:rsidRDefault="005A0219" w:rsidP="0063781D">
      <w:pPr>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Remiantis šios lentelės duomenimis, apie 60 procentų daugiabučių namų pastatyti per 1961-1993 m. laikotarpį, kai vyravo plytinių ir stambiaplokščių tipinių daugiabučių namų statyba ir buvo taikomi kiti statybos techniniai normatyvai. Šių namų išorinių atitvarų šiluminės varžos charakteristikos prastos, neatitinka esamų normatyvinių reikalavimų. Šiluminės energijos sąnaudos šiuose namuose siekia 160–180 kWh/m² per metus, o naujos statybos namuose, statytuose po 1993 metų, – 80–90 kWh/m² per metus. </w:t>
      </w:r>
      <w:r w:rsidRPr="00C97275">
        <w:rPr>
          <w:rFonts w:ascii="Georgia" w:eastAsia="Georgia" w:hAnsi="Georgia" w:cs="Arial Unicode MS"/>
          <w:sz w:val="20"/>
          <w:szCs w:val="20"/>
          <w:lang w:val="lt-LT"/>
        </w:rPr>
        <w:t>Šiluminės energijos sąnaudos daugiabučiuose namuose, pastatytuose pagal galiojusius iki 1993 metų statybos techninius normatyvus – apie 5 000 GWh per metus.</w:t>
      </w:r>
    </w:p>
    <w:p w14:paraId="1462D912" w14:textId="0DA8B205" w:rsidR="005A0219" w:rsidRPr="00C97275" w:rsidRDefault="005A0219" w:rsidP="0063781D">
      <w:pPr>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Šiluminės energijos kaina, Lietuvos šilumos tiekėjų asociacijos duomenimis, per 2007–2012 metus nuolat didėjo nuo 0,04 eurų  iki  0,077 eurų už kWh (arba 1,9 karto), tačiau nuo 2012 m. kaina pradėjo pastoviai kristi ir 201</w:t>
      </w:r>
      <w:r w:rsidR="00415ADA" w:rsidRPr="00C97275">
        <w:rPr>
          <w:rFonts w:ascii="Georgia" w:eastAsia="Georgia" w:hAnsi="Georgia" w:cs="Georgia"/>
          <w:sz w:val="20"/>
          <w:szCs w:val="20"/>
          <w:lang w:val="lt-LT"/>
        </w:rPr>
        <w:t>7</w:t>
      </w:r>
      <w:r w:rsidRPr="00C97275">
        <w:rPr>
          <w:rFonts w:ascii="Georgia" w:eastAsia="Georgia" w:hAnsi="Georgia" w:cs="Georgia"/>
          <w:sz w:val="20"/>
          <w:szCs w:val="20"/>
          <w:lang w:val="lt-LT"/>
        </w:rPr>
        <w:t xml:space="preserve"> m. </w:t>
      </w:r>
      <w:r w:rsidR="00415ADA" w:rsidRPr="00C97275">
        <w:rPr>
          <w:rFonts w:ascii="Georgia" w:eastAsia="Georgia" w:hAnsi="Georgia" w:cs="Georgia"/>
          <w:sz w:val="20"/>
          <w:szCs w:val="20"/>
          <w:lang w:val="lt-LT"/>
        </w:rPr>
        <w:t xml:space="preserve">lapkričio </w:t>
      </w:r>
      <w:r w:rsidRPr="00C97275">
        <w:rPr>
          <w:rFonts w:ascii="Georgia" w:eastAsia="Georgia" w:hAnsi="Georgia" w:cs="Georgia"/>
          <w:sz w:val="20"/>
          <w:szCs w:val="20"/>
          <w:lang w:val="lt-LT"/>
        </w:rPr>
        <w:t>mėnesį pasiekė 0,05 eurų už kWh</w:t>
      </w:r>
      <w:r w:rsidR="00415ADA" w:rsidRPr="00C97275">
        <w:rPr>
          <w:rFonts w:ascii="Georgia" w:eastAsia="Georgia" w:hAnsi="Georgia" w:cs="Georgia"/>
          <w:sz w:val="20"/>
          <w:szCs w:val="20"/>
          <w:lang w:val="lt-LT"/>
        </w:rPr>
        <w:t xml:space="preserve"> </w:t>
      </w:r>
      <w:r w:rsidRPr="00C97275">
        <w:rPr>
          <w:rFonts w:ascii="Georgia" w:eastAsia="Georgia" w:hAnsi="Georgia" w:cs="Georgia"/>
          <w:sz w:val="20"/>
          <w:szCs w:val="20"/>
          <w:lang w:val="lt-LT"/>
        </w:rPr>
        <w:t>lygį</w:t>
      </w:r>
      <w:r w:rsidRPr="00C97275">
        <w:rPr>
          <w:rFonts w:ascii="Georgia" w:eastAsia="Georgia" w:hAnsi="Georgia" w:cs="Georgia"/>
          <w:color w:val="000000"/>
          <w:sz w:val="20"/>
          <w:szCs w:val="20"/>
          <w:vertAlign w:val="superscript"/>
          <w:lang w:val="lt-LT"/>
        </w:rPr>
        <w:footnoteReference w:id="8"/>
      </w:r>
      <w:r w:rsidRPr="00C97275">
        <w:rPr>
          <w:rFonts w:ascii="Georgia" w:eastAsia="Georgia" w:hAnsi="Georgia" w:cs="Georgia"/>
          <w:sz w:val="20"/>
          <w:szCs w:val="20"/>
          <w:lang w:val="lt-LT"/>
        </w:rPr>
        <w:t>. Pagal situacijos būsto sektoriuje 2016 metų tyrimą</w:t>
      </w:r>
      <w:r w:rsidRPr="00C97275">
        <w:rPr>
          <w:rFonts w:ascii="Georgia" w:eastAsia="Georgia" w:hAnsi="Georgia" w:cs="Georgia"/>
          <w:color w:val="000000"/>
          <w:sz w:val="20"/>
          <w:szCs w:val="20"/>
          <w:vertAlign w:val="superscript"/>
          <w:lang w:val="lt-LT"/>
        </w:rPr>
        <w:footnoteReference w:id="9"/>
      </w:r>
      <w:r w:rsidRPr="00C97275">
        <w:rPr>
          <w:rFonts w:ascii="Georgia" w:eastAsia="Georgia" w:hAnsi="Georgia" w:cs="Arial Unicode MS"/>
          <w:color w:val="000000"/>
          <w:sz w:val="20"/>
          <w:szCs w:val="20"/>
          <w:vertAlign w:val="superscript"/>
          <w:lang w:val="lt-LT"/>
        </w:rPr>
        <w:t xml:space="preserve"> </w:t>
      </w:r>
      <w:r w:rsidRPr="00C97275">
        <w:rPr>
          <w:rFonts w:ascii="Georgia" w:eastAsia="Georgia" w:hAnsi="Georgia" w:cs="Georgia"/>
          <w:sz w:val="20"/>
          <w:szCs w:val="20"/>
          <w:lang w:val="lt-LT"/>
        </w:rPr>
        <w:t>tik trečdalis gyventojų būstą kuriame gyveno vertino kaip gerą arba labai gerą.</w:t>
      </w:r>
    </w:p>
    <w:p w14:paraId="1DD40085" w14:textId="77777777" w:rsidR="005A0219" w:rsidRPr="00C97275" w:rsidRDefault="005A0219" w:rsidP="005A0219">
      <w:pPr>
        <w:keepNext/>
        <w:keepLines/>
        <w:numPr>
          <w:ilvl w:val="2"/>
          <w:numId w:val="2"/>
        </w:numPr>
        <w:spacing w:before="200" w:after="240" w:line="240" w:lineRule="auto"/>
        <w:ind w:left="1077" w:hanging="1077"/>
        <w:outlineLvl w:val="1"/>
        <w:rPr>
          <w:rFonts w:ascii="Georgia" w:eastAsia="Times New Roman" w:hAnsi="Georgia" w:cs="Arial Unicode MS"/>
          <w:b/>
          <w:i/>
          <w:color w:val="821A1A"/>
          <w:sz w:val="32"/>
          <w:szCs w:val="26"/>
          <w:lang w:val="lt-LT"/>
        </w:rPr>
      </w:pPr>
      <w:bookmarkStart w:id="34" w:name="_Toc393381208"/>
      <w:bookmarkStart w:id="35" w:name="_Toc25594646"/>
      <w:r w:rsidRPr="00C97275">
        <w:rPr>
          <w:rFonts w:ascii="Georgia" w:eastAsia="Times New Roman" w:hAnsi="Georgia" w:cs="Arial Unicode MS"/>
          <w:b/>
          <w:i/>
          <w:color w:val="821A1A"/>
          <w:sz w:val="32"/>
          <w:szCs w:val="26"/>
          <w:lang w:val="lt-LT"/>
        </w:rPr>
        <w:t>Gatvių apšvietimas</w:t>
      </w:r>
      <w:bookmarkEnd w:id="34"/>
      <w:bookmarkEnd w:id="35"/>
    </w:p>
    <w:p w14:paraId="6924BD5D" w14:textId="2D4B8D86"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Lietuvoje nėra centralizuotos gatvių apšvietimo įrangos duomenų bazės, todėl šiam ex-ante vertinimui buvo pasitelkta Energetikos ministerijos pateikta informacija, kuri buvo surinkta iš savivaldybių</w:t>
      </w:r>
      <w:r w:rsidRPr="00C97275">
        <w:rPr>
          <w:rFonts w:ascii="Georgia" w:eastAsia="Georgia" w:hAnsi="Georgia" w:cs="Georgia"/>
          <w:color w:val="000000"/>
          <w:sz w:val="20"/>
          <w:szCs w:val="20"/>
          <w:vertAlign w:val="superscript"/>
          <w:lang w:val="lt-LT"/>
        </w:rPr>
        <w:footnoteReference w:id="10"/>
      </w:r>
      <w:r w:rsidRPr="00C97275">
        <w:rPr>
          <w:rFonts w:ascii="Georgia" w:eastAsia="Georgia" w:hAnsi="Georgia" w:cs="Georgia"/>
          <w:sz w:val="20"/>
          <w:szCs w:val="20"/>
          <w:lang w:val="lt-LT"/>
        </w:rPr>
        <w:t>. Lietuvoje yra apie 186 tūkst. šviestuvų, iš kurių apie 9 tūkst. šviestuvų eksploatuoja Lietuvos geležinkeliai (Lietuvos geležinkelių apšvietimas išskiriamas dėl šių tinklų specifikos, be to, tai nėra gatvių apšvietimas). Apie 50 tūkst. šviestuvų yra Vilniuje</w:t>
      </w:r>
      <w:r w:rsidRPr="00C97275">
        <w:rPr>
          <w:rFonts w:ascii="Georgia" w:eastAsia="Georgia" w:hAnsi="Georgia" w:cs="Georgia"/>
          <w:color w:val="000000"/>
          <w:sz w:val="20"/>
          <w:szCs w:val="20"/>
          <w:vertAlign w:val="superscript"/>
          <w:lang w:val="lt-LT"/>
        </w:rPr>
        <w:footnoteReference w:id="11"/>
      </w:r>
      <w:r w:rsidRPr="00C97275">
        <w:rPr>
          <w:rFonts w:ascii="Georgia" w:eastAsia="Georgia" w:hAnsi="Georgia" w:cs="Georgia"/>
          <w:sz w:val="20"/>
          <w:szCs w:val="20"/>
          <w:lang w:val="lt-LT"/>
        </w:rPr>
        <w:t>, iš kurių 40</w:t>
      </w:r>
      <w:r w:rsidR="00415ADA" w:rsidRPr="00C97275">
        <w:rPr>
          <w:rFonts w:ascii="Georgia" w:eastAsia="Georgia" w:hAnsi="Georgia" w:cs="Georgia"/>
          <w:sz w:val="20"/>
          <w:szCs w:val="20"/>
          <w:lang w:val="lt-LT"/>
        </w:rPr>
        <w:t xml:space="preserve"> </w:t>
      </w:r>
      <w:r w:rsidRPr="00C97275">
        <w:rPr>
          <w:rFonts w:ascii="Georgia" w:eastAsia="Georgia" w:hAnsi="Georgia" w:cs="Georgia"/>
          <w:sz w:val="20"/>
          <w:szCs w:val="20"/>
          <w:lang w:val="lt-LT"/>
        </w:rPr>
        <w:t xml:space="preserve">605 ketinama renovuoti įgyvendinant „Vilniaus miesto gatvių apšvietimo sistemos modernizavimo projektą“. Iki 2017 m. spalio 10 d. buvo renkamos finansavimo paraiškos ir pasiūlymai, o iki gruodžio mėnesio </w:t>
      </w:r>
      <w:r w:rsidR="004A2480" w:rsidRPr="00C97275">
        <w:rPr>
          <w:rFonts w:ascii="Georgia" w:eastAsia="Georgia" w:hAnsi="Georgia" w:cs="Georgia"/>
          <w:sz w:val="20"/>
          <w:szCs w:val="20"/>
          <w:lang w:val="lt-LT"/>
        </w:rPr>
        <w:t xml:space="preserve">pabaigos </w:t>
      </w:r>
      <w:r w:rsidRPr="00C97275">
        <w:rPr>
          <w:rFonts w:ascii="Georgia" w:eastAsia="Georgia" w:hAnsi="Georgia" w:cs="Georgia"/>
          <w:sz w:val="20"/>
          <w:szCs w:val="20"/>
          <w:lang w:val="lt-LT"/>
        </w:rPr>
        <w:t xml:space="preserve">ketinama išsirinkti galimus finansuotojus. Numatoma projekto vertė siekia </w:t>
      </w:r>
      <w:r w:rsidR="00934BBB" w:rsidRPr="00C97275">
        <w:rPr>
          <w:rFonts w:ascii="Georgia" w:eastAsia="Georgia" w:hAnsi="Georgia" w:cs="Georgia"/>
          <w:sz w:val="20"/>
          <w:szCs w:val="20"/>
          <w:lang w:val="lt-LT"/>
        </w:rPr>
        <w:t>21</w:t>
      </w:r>
      <w:r w:rsidRPr="00C97275">
        <w:rPr>
          <w:rFonts w:ascii="Georgia" w:eastAsia="Georgia" w:hAnsi="Georgia" w:cs="Georgia"/>
          <w:sz w:val="20"/>
          <w:szCs w:val="20"/>
          <w:lang w:val="lt-LT"/>
        </w:rPr>
        <w:t>,60 mln. eurų</w:t>
      </w:r>
      <w:r w:rsidR="00934BBB" w:rsidRPr="00C97275">
        <w:rPr>
          <w:rStyle w:val="Puslapioinaosnuoroda"/>
          <w:rFonts w:ascii="Georgia" w:eastAsia="Georgia" w:hAnsi="Georgia" w:cs="Georgia"/>
          <w:sz w:val="20"/>
          <w:szCs w:val="20"/>
          <w:lang w:val="lt-LT"/>
        </w:rPr>
        <w:footnoteReference w:id="12"/>
      </w:r>
      <w:r w:rsidRPr="00C97275">
        <w:rPr>
          <w:rFonts w:ascii="Georgia" w:eastAsia="Georgia" w:hAnsi="Georgia" w:cs="Georgia"/>
          <w:sz w:val="20"/>
          <w:szCs w:val="20"/>
          <w:lang w:val="lt-LT"/>
        </w:rPr>
        <w:t xml:space="preserve">, o trukmė – </w:t>
      </w:r>
      <w:r w:rsidR="004A2480" w:rsidRPr="00C97275">
        <w:rPr>
          <w:rFonts w:ascii="Georgia" w:eastAsia="Georgia" w:hAnsi="Georgia" w:cs="Georgia"/>
          <w:sz w:val="20"/>
          <w:szCs w:val="20"/>
          <w:lang w:val="lt-LT"/>
        </w:rPr>
        <w:t xml:space="preserve">treji </w:t>
      </w:r>
      <w:r w:rsidRPr="00C97275">
        <w:rPr>
          <w:rFonts w:ascii="Georgia" w:eastAsia="Georgia" w:hAnsi="Georgia" w:cs="Georgia"/>
          <w:sz w:val="20"/>
          <w:szCs w:val="20"/>
          <w:lang w:val="lt-LT"/>
        </w:rPr>
        <w:t xml:space="preserve">metai.   </w:t>
      </w:r>
    </w:p>
    <w:p w14:paraId="41818AD4" w14:textId="77777777" w:rsidR="005A0219" w:rsidRPr="00C97275" w:rsidRDefault="005A0219" w:rsidP="005A0219">
      <w:pPr>
        <w:autoSpaceDE w:val="0"/>
        <w:autoSpaceDN w:val="0"/>
        <w:adjustRightInd w:val="0"/>
        <w:spacing w:after="0" w:line="240" w:lineRule="auto"/>
        <w:ind w:left="426"/>
        <w:jc w:val="both"/>
        <w:rPr>
          <w:rFonts w:ascii="Georgia" w:eastAsia="Georgia" w:hAnsi="Georgia" w:cs="Georgia"/>
          <w:sz w:val="20"/>
          <w:szCs w:val="20"/>
          <w:lang w:val="lt-LT"/>
        </w:rPr>
      </w:pPr>
    </w:p>
    <w:p w14:paraId="21B7AC07" w14:textId="7444B352"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Kaip aprašyta KPMG studijoje, gatvių apšvietimo įrangos metinis elektros suvartojimas Lietuvoje, sudaro apie 103,5 GWh, o gatvės (ir geležinkelių) apšvietimo tinklo ilgis visoje Lietuvoje yra 10 500 km (kabelinės linijos sudaro 46 %, o oro linijos - 54 %). 2012 m. buvo pakeista daugiau kaip 39 000 lempų; vien tik Vilniaus m. savivaldybėje buvo pakeista daugiau kaip 8 200 vienetų. Vidutinis lempos naudojimo laikas yra apie 3,6 metai, nors kai kuriose savivaldybėse lempų naudojimo laikotarpis svyruoja nuo 1,3 iki 8 metų. Naujų natrio lempų (kurios Lietuvoje sudaro 83 % visų gatvių apšvietimui naudojamų lempų) gamintojo nurodytas naudojimo laikas yra 3,3–6,6 metų. Tuo tarpu LED lempų gyvavimo laikotarpis yra iki 23 metų (jei lempa veikia 12 valandų per dieną 365 dienas per metus). 2012 m. gatvių apšvietimo įrangos Lietuvoje atnaujinimo sąnaudos sudarė apytiksliai 1,8 mln. eurų ir didžioji išlaidų dalis tenka šviestuvų pirkimui (beveik 26 % visų išlaidų) ir naujiems šviestuvų stulpams (beveik 32 % visų išlaidų). Apskaičiuota, kad 2012 m. elektros sąnaudos gatvių apšvietimui ir techninės priežiūros sąnaudos sudarė 13,6 mln. eurų. Didžiausią išlaidų dalį sudarė išlaidos suvartotai elektros energijai. Duomenys rodo, kad apšvietimo įrangos ir elektros įrangos remonto sąnaudos buvo beveik 2 kartus didesnės už apšvietimo įrangos ir elektros įrangos priežiūros sąnaudas. Tai patvirtina, </w:t>
      </w:r>
      <w:r w:rsidRPr="00C97275">
        <w:rPr>
          <w:rFonts w:ascii="Georgia" w:eastAsia="Georgia" w:hAnsi="Georgia" w:cs="Georgia"/>
          <w:sz w:val="20"/>
          <w:szCs w:val="20"/>
          <w:lang w:val="lt-LT"/>
        </w:rPr>
        <w:lastRenderedPageBreak/>
        <w:t>kad gatvių apšvietimo įranga yra pasenusi ir šioje srityje yra būtinos investicijos. Savivaldybių pateikti duomenys rodo, kad nėra galimybės automatiškai reguliuoti apšvietimo intensyvumo ir (arba) automatiškai aptikti šviestuvų gedimų. Visi apšvietimo intensyvumo reguliavimai yra atliekami mechaniškai, o šviestuvų gedimai yra nustatomi per vizualinę apžiūrą.</w:t>
      </w:r>
    </w:p>
    <w:p w14:paraId="0AA043F5" w14:textId="089CE1CF" w:rsidR="00D67984" w:rsidRPr="00C97275" w:rsidRDefault="00D67984" w:rsidP="005A0219">
      <w:pPr>
        <w:autoSpaceDE w:val="0"/>
        <w:autoSpaceDN w:val="0"/>
        <w:adjustRightInd w:val="0"/>
        <w:spacing w:after="0" w:line="240" w:lineRule="auto"/>
        <w:jc w:val="both"/>
        <w:rPr>
          <w:rFonts w:ascii="Georgia" w:eastAsia="Georgia" w:hAnsi="Georgia" w:cs="Georgia"/>
          <w:sz w:val="20"/>
          <w:szCs w:val="20"/>
          <w:lang w:val="lt-LT"/>
        </w:rPr>
      </w:pPr>
    </w:p>
    <w:p w14:paraId="4C958A8F" w14:textId="468127AC" w:rsidR="006C75FE" w:rsidRPr="00C97275" w:rsidRDefault="00D67984"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Dalis savivaldybių šiuo metu taupo išlaidas elektros energijai dirbtinai sumažindamos veikiančių šviestuvų skaičių</w:t>
      </w:r>
      <w:r w:rsidR="008B57EC" w:rsidRPr="00C97275">
        <w:rPr>
          <w:rFonts w:ascii="Georgia" w:eastAsia="Georgia" w:hAnsi="Georgia" w:cs="Georgia"/>
          <w:sz w:val="20"/>
          <w:szCs w:val="20"/>
          <w:lang w:val="lt-LT"/>
        </w:rPr>
        <w:t xml:space="preserve"> (pvz.</w:t>
      </w:r>
      <w:r w:rsidR="006C75FE" w:rsidRPr="00C97275">
        <w:rPr>
          <w:rFonts w:ascii="Georgia" w:eastAsia="Georgia" w:hAnsi="Georgia" w:cs="Georgia"/>
          <w:sz w:val="20"/>
          <w:szCs w:val="20"/>
          <w:lang w:val="lt-LT"/>
        </w:rPr>
        <w:t>,</w:t>
      </w:r>
      <w:r w:rsidR="008B57EC" w:rsidRPr="00C97275">
        <w:rPr>
          <w:rFonts w:ascii="Georgia" w:eastAsia="Georgia" w:hAnsi="Georgia" w:cs="Georgia"/>
          <w:sz w:val="20"/>
          <w:szCs w:val="20"/>
          <w:lang w:val="lt-LT"/>
        </w:rPr>
        <w:t xml:space="preserve"> dega tik kas antras ar net kas trečias šviestuvas)</w:t>
      </w:r>
      <w:r w:rsidRPr="00C97275">
        <w:rPr>
          <w:rFonts w:ascii="Georgia" w:eastAsia="Georgia" w:hAnsi="Georgia" w:cs="Georgia"/>
          <w:sz w:val="20"/>
          <w:szCs w:val="20"/>
          <w:lang w:val="lt-LT"/>
        </w:rPr>
        <w:t xml:space="preserve"> ar sutrumpindamos švietimo laiką</w:t>
      </w:r>
      <w:r w:rsidR="006C75FE" w:rsidRPr="00C97275">
        <w:rPr>
          <w:rFonts w:ascii="Georgia" w:eastAsia="Georgia" w:hAnsi="Georgia" w:cs="Georgia"/>
          <w:sz w:val="20"/>
          <w:szCs w:val="20"/>
          <w:lang w:val="lt-LT"/>
        </w:rPr>
        <w:t xml:space="preserve"> (pvz., tamsiuoju paros metu neapšviečiamos mažesnės gyvenvientės ar nuošalesnės gatvės)</w:t>
      </w:r>
      <w:r w:rsidRPr="00C97275">
        <w:rPr>
          <w:rFonts w:ascii="Georgia" w:eastAsia="Georgia" w:hAnsi="Georgia" w:cs="Georgia"/>
          <w:sz w:val="20"/>
          <w:szCs w:val="20"/>
          <w:lang w:val="lt-LT"/>
        </w:rPr>
        <w:t>. T</w:t>
      </w:r>
      <w:r w:rsidR="00FC1119" w:rsidRPr="00C97275">
        <w:rPr>
          <w:rFonts w:ascii="Georgia" w:eastAsia="Georgia" w:hAnsi="Georgia" w:cs="Georgia"/>
          <w:sz w:val="20"/>
          <w:szCs w:val="20"/>
          <w:lang w:val="lt-LT"/>
        </w:rPr>
        <w:t>okia pakankamai plačiai paplitusi praktika</w:t>
      </w:r>
      <w:r w:rsidRPr="00C97275">
        <w:rPr>
          <w:rFonts w:ascii="Georgia" w:eastAsia="Georgia" w:hAnsi="Georgia" w:cs="Georgia"/>
          <w:sz w:val="20"/>
          <w:szCs w:val="20"/>
          <w:lang w:val="lt-LT"/>
        </w:rPr>
        <w:t xml:space="preserve"> ne tik neigiamai veikia avaringumą keliuose, didina nusikalstamumą</w:t>
      </w:r>
      <w:r w:rsidR="006C75FE" w:rsidRPr="00C97275">
        <w:rPr>
          <w:rFonts w:ascii="Georgia" w:eastAsia="Georgia" w:hAnsi="Georgia" w:cs="Georgia"/>
          <w:sz w:val="20"/>
          <w:szCs w:val="20"/>
          <w:lang w:val="lt-LT"/>
        </w:rPr>
        <w:t>,</w:t>
      </w:r>
      <w:r w:rsidRPr="00C97275">
        <w:rPr>
          <w:rFonts w:ascii="Georgia" w:eastAsia="Georgia" w:hAnsi="Georgia" w:cs="Georgia"/>
          <w:sz w:val="20"/>
          <w:szCs w:val="20"/>
          <w:lang w:val="lt-LT"/>
        </w:rPr>
        <w:t xml:space="preserve"> bet ir neigiamai veikia gatvių apšvietimo projektų atsiperkamumą. </w:t>
      </w:r>
    </w:p>
    <w:p w14:paraId="56260334" w14:textId="01664A9C" w:rsidR="006C75FE" w:rsidRPr="00C97275" w:rsidRDefault="006C75FE" w:rsidP="005A0219">
      <w:pPr>
        <w:autoSpaceDE w:val="0"/>
        <w:autoSpaceDN w:val="0"/>
        <w:adjustRightInd w:val="0"/>
        <w:spacing w:after="0" w:line="240" w:lineRule="auto"/>
        <w:jc w:val="both"/>
        <w:rPr>
          <w:rFonts w:ascii="Georgia" w:eastAsia="Georgia" w:hAnsi="Georgia" w:cs="Georgia"/>
          <w:sz w:val="20"/>
          <w:szCs w:val="20"/>
          <w:lang w:val="lt-LT"/>
        </w:rPr>
      </w:pPr>
    </w:p>
    <w:p w14:paraId="4C490116" w14:textId="468C6B50" w:rsidR="006C75FE" w:rsidRPr="00C97275" w:rsidRDefault="006C75FE"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Jei gatvių apšvietimo projektas sutaupytų 50 proc. elektros energijos kiekio,</w:t>
      </w:r>
      <w:r w:rsidR="00A93D12" w:rsidRPr="00C97275">
        <w:rPr>
          <w:rFonts w:ascii="Georgia" w:eastAsia="Georgia" w:hAnsi="Georgia" w:cs="Georgia"/>
          <w:sz w:val="20"/>
          <w:szCs w:val="20"/>
          <w:lang w:val="lt-LT"/>
        </w:rPr>
        <w:t xml:space="preserve"> kuris būtų sunaudotas šviečiant visiems įrengtiems šviestuvams,</w:t>
      </w:r>
      <w:r w:rsidRPr="00C97275">
        <w:rPr>
          <w:rFonts w:ascii="Georgia" w:eastAsia="Georgia" w:hAnsi="Georgia" w:cs="Georgia"/>
          <w:sz w:val="20"/>
          <w:szCs w:val="20"/>
          <w:lang w:val="lt-LT"/>
        </w:rPr>
        <w:t xml:space="preserve"> tai tokį pati efektą galima pasiekti </w:t>
      </w:r>
      <w:r w:rsidR="006179E2" w:rsidRPr="00C97275">
        <w:rPr>
          <w:rFonts w:ascii="Georgia" w:eastAsia="Georgia" w:hAnsi="Georgia" w:cs="Georgia"/>
          <w:sz w:val="20"/>
          <w:szCs w:val="20"/>
          <w:lang w:val="lt-LT"/>
        </w:rPr>
        <w:t xml:space="preserve">ir </w:t>
      </w:r>
      <w:r w:rsidRPr="00C97275">
        <w:rPr>
          <w:rFonts w:ascii="Georgia" w:eastAsia="Georgia" w:hAnsi="Georgia" w:cs="Georgia"/>
          <w:sz w:val="20"/>
          <w:szCs w:val="20"/>
          <w:lang w:val="lt-LT"/>
        </w:rPr>
        <w:t>įjungiant tik kas antrą šviestuvą.</w:t>
      </w:r>
    </w:p>
    <w:p w14:paraId="64A54852" w14:textId="77777777" w:rsidR="006C75FE" w:rsidRPr="00C97275" w:rsidRDefault="006C75FE" w:rsidP="005A0219">
      <w:pPr>
        <w:autoSpaceDE w:val="0"/>
        <w:autoSpaceDN w:val="0"/>
        <w:adjustRightInd w:val="0"/>
        <w:spacing w:after="0" w:line="240" w:lineRule="auto"/>
        <w:jc w:val="both"/>
        <w:rPr>
          <w:rFonts w:ascii="Georgia" w:eastAsia="Georgia" w:hAnsi="Georgia" w:cs="Georgia"/>
          <w:sz w:val="20"/>
          <w:szCs w:val="20"/>
          <w:lang w:val="lt-LT"/>
        </w:rPr>
      </w:pPr>
    </w:p>
    <w:p w14:paraId="058F6917" w14:textId="63DBB91D" w:rsidR="00D67984" w:rsidRPr="00C97275" w:rsidRDefault="00D67984"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Savivaldybės yra linkusios lyginti </w:t>
      </w:r>
      <w:r w:rsidR="00A93D12" w:rsidRPr="00C97275">
        <w:rPr>
          <w:rFonts w:ascii="Georgia" w:eastAsia="Georgia" w:hAnsi="Georgia" w:cs="Georgia"/>
          <w:sz w:val="20"/>
          <w:szCs w:val="20"/>
          <w:lang w:val="lt-LT"/>
        </w:rPr>
        <w:t xml:space="preserve"> šiuo metu patiriamas</w:t>
      </w:r>
      <w:r w:rsidR="006C75FE" w:rsidRPr="00C97275">
        <w:rPr>
          <w:rFonts w:ascii="Georgia" w:eastAsia="Georgia" w:hAnsi="Georgia" w:cs="Georgia"/>
          <w:sz w:val="20"/>
          <w:szCs w:val="20"/>
          <w:lang w:val="lt-LT"/>
        </w:rPr>
        <w:t xml:space="preserve"> </w:t>
      </w:r>
      <w:r w:rsidRPr="00C97275">
        <w:rPr>
          <w:rFonts w:ascii="Georgia" w:eastAsia="Georgia" w:hAnsi="Georgia" w:cs="Georgia"/>
          <w:sz w:val="20"/>
          <w:szCs w:val="20"/>
          <w:lang w:val="lt-LT"/>
        </w:rPr>
        <w:t xml:space="preserve"> išlaidas dirbtinai sumažintam elektros energijos kiekiui su elektros energijos kiekiu, kuris būtų suvartotas po gatvių apšvietimo tinklų atnaujinimo</w:t>
      </w:r>
      <w:r w:rsidR="006C75FE" w:rsidRPr="00C97275">
        <w:rPr>
          <w:rFonts w:ascii="Georgia" w:eastAsia="Georgia" w:hAnsi="Georgia" w:cs="Georgia"/>
          <w:sz w:val="20"/>
          <w:szCs w:val="20"/>
          <w:lang w:val="lt-LT"/>
        </w:rPr>
        <w:t xml:space="preserve"> tinkamai apšviečiant gatves</w:t>
      </w:r>
      <w:r w:rsidRPr="00C97275">
        <w:rPr>
          <w:rFonts w:ascii="Georgia" w:eastAsia="Georgia" w:hAnsi="Georgia" w:cs="Georgia"/>
          <w:sz w:val="20"/>
          <w:szCs w:val="20"/>
          <w:lang w:val="lt-LT"/>
        </w:rPr>
        <w:t xml:space="preserve"> ir neįvertina viso sutaupymo potencialo bei dažnai neturi pakankamų finansinių išteklių finansuoti atnaujinimo ir</w:t>
      </w:r>
      <w:r w:rsidR="006C75FE" w:rsidRPr="00C97275">
        <w:rPr>
          <w:rFonts w:ascii="Georgia" w:eastAsia="Georgia" w:hAnsi="Georgia" w:cs="Georgia"/>
          <w:sz w:val="20"/>
          <w:szCs w:val="20"/>
          <w:lang w:val="lt-LT"/>
        </w:rPr>
        <w:t xml:space="preserve"> visuomenei</w:t>
      </w:r>
      <w:r w:rsidRPr="00C97275">
        <w:rPr>
          <w:rFonts w:ascii="Georgia" w:eastAsia="Georgia" w:hAnsi="Georgia" w:cs="Georgia"/>
          <w:sz w:val="20"/>
          <w:szCs w:val="20"/>
          <w:lang w:val="lt-LT"/>
        </w:rPr>
        <w:t xml:space="preserve"> teikiamos paslaugos kokybės pagerėjimo.</w:t>
      </w:r>
    </w:p>
    <w:p w14:paraId="1E4F472F" w14:textId="00E2B248" w:rsidR="005A0219" w:rsidRPr="00C97275" w:rsidRDefault="005A0219" w:rsidP="0063781D">
      <w:pPr>
        <w:spacing w:after="0" w:line="240" w:lineRule="auto"/>
        <w:jc w:val="both"/>
        <w:rPr>
          <w:rFonts w:ascii="Georgia" w:eastAsia="Georgia" w:hAnsi="Georgia" w:cs="Arial Unicode MS"/>
          <w:sz w:val="20"/>
          <w:szCs w:val="20"/>
          <w:lang w:val="lt-LT"/>
        </w:rPr>
      </w:pPr>
    </w:p>
    <w:p w14:paraId="13DE126E" w14:textId="7F59803F" w:rsidR="00144175" w:rsidRPr="00C97275" w:rsidRDefault="00144175" w:rsidP="0063781D">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Iki 2017 m. spalio mėnesio pabaigos buvo išduoti </w:t>
      </w:r>
      <w:r w:rsidR="00415ADA" w:rsidRPr="00C97275">
        <w:rPr>
          <w:rFonts w:ascii="Georgia" w:eastAsia="Georgia" w:hAnsi="Georgia" w:cs="Arial Unicode MS"/>
          <w:sz w:val="20"/>
          <w:szCs w:val="20"/>
          <w:lang w:val="lt-LT"/>
        </w:rPr>
        <w:t xml:space="preserve">keturi </w:t>
      </w:r>
      <w:r w:rsidRPr="00C97275">
        <w:rPr>
          <w:rFonts w:ascii="Georgia" w:eastAsia="Georgia" w:hAnsi="Georgia" w:cs="Arial Unicode MS"/>
          <w:sz w:val="20"/>
          <w:szCs w:val="20"/>
          <w:lang w:val="lt-LT"/>
        </w:rPr>
        <w:t>garantijų raštai už 2,88 mln. eurų modernizuoti gatvių apšvietimo tinklus Jonavos r., Šilutės r., Telšių r. ir Plungės r. savivaldybėse. Daugiau informacijos apie šiuos projektus pateikta 2.2.2.2 dalyje žemiau.</w:t>
      </w:r>
    </w:p>
    <w:p w14:paraId="626AAA38" w14:textId="77777777" w:rsidR="005A0219" w:rsidRPr="00C97275" w:rsidRDefault="005A0219" w:rsidP="00162BF5">
      <w:pPr>
        <w:pStyle w:val="Antrat2"/>
        <w:numPr>
          <w:ilvl w:val="1"/>
          <w:numId w:val="69"/>
        </w:numPr>
        <w:ind w:left="709"/>
        <w:rPr>
          <w:rFonts w:ascii="Georgia" w:eastAsia="Times New Roman" w:hAnsi="Georgia"/>
          <w:lang w:val="lt-LT"/>
        </w:rPr>
      </w:pPr>
      <w:bookmarkStart w:id="36" w:name="_Toc25594647"/>
      <w:r w:rsidRPr="00C97275">
        <w:rPr>
          <w:rFonts w:ascii="Georgia" w:eastAsia="Times New Roman" w:hAnsi="Georgia"/>
          <w:lang w:val="lt-LT"/>
        </w:rPr>
        <w:t>Investicijų paklausos ir finansavimo pasiūlos įvertinimas</w:t>
      </w:r>
      <w:bookmarkEnd w:id="36"/>
    </w:p>
    <w:p w14:paraId="3110FF82" w14:textId="77777777" w:rsidR="005A0219" w:rsidRPr="00C97275" w:rsidRDefault="005A0219" w:rsidP="005A0219">
      <w:pPr>
        <w:keepNext/>
        <w:keepLines/>
        <w:numPr>
          <w:ilvl w:val="1"/>
          <w:numId w:val="2"/>
        </w:numPr>
        <w:spacing w:before="200" w:after="0" w:line="240" w:lineRule="auto"/>
        <w:outlineLvl w:val="1"/>
        <w:rPr>
          <w:rFonts w:ascii="Georgia" w:eastAsia="Times New Roman" w:hAnsi="Georgia" w:cs="Arial Unicode MS"/>
          <w:b/>
          <w:i/>
          <w:vanish/>
          <w:color w:val="821A1A"/>
          <w:sz w:val="32"/>
          <w:szCs w:val="26"/>
          <w:lang w:val="lt-LT"/>
        </w:rPr>
      </w:pPr>
      <w:bookmarkStart w:id="37" w:name="_Toc503766069"/>
      <w:bookmarkStart w:id="38" w:name="_Toc503766745"/>
      <w:bookmarkStart w:id="39" w:name="_Toc503766943"/>
      <w:bookmarkStart w:id="40" w:name="_Toc18911027"/>
      <w:bookmarkStart w:id="41" w:name="_Toc19048038"/>
      <w:bookmarkStart w:id="42" w:name="_Toc19105131"/>
      <w:bookmarkStart w:id="43" w:name="_Toc25594648"/>
      <w:bookmarkEnd w:id="37"/>
      <w:bookmarkEnd w:id="38"/>
      <w:bookmarkEnd w:id="39"/>
      <w:bookmarkEnd w:id="40"/>
      <w:bookmarkEnd w:id="41"/>
      <w:bookmarkEnd w:id="42"/>
      <w:bookmarkEnd w:id="43"/>
    </w:p>
    <w:p w14:paraId="7426FDE8" w14:textId="77777777" w:rsidR="005A0219" w:rsidRPr="00C97275" w:rsidRDefault="005A0219" w:rsidP="005A0219">
      <w:pPr>
        <w:keepNext/>
        <w:keepLines/>
        <w:numPr>
          <w:ilvl w:val="2"/>
          <w:numId w:val="2"/>
        </w:numPr>
        <w:spacing w:before="200" w:after="0" w:line="240" w:lineRule="auto"/>
        <w:ind w:hanging="1080"/>
        <w:outlineLvl w:val="1"/>
        <w:rPr>
          <w:rFonts w:ascii="Georgia" w:eastAsia="Times New Roman" w:hAnsi="Georgia" w:cs="Arial Unicode MS"/>
          <w:b/>
          <w:i/>
          <w:color w:val="821A1A"/>
          <w:sz w:val="32"/>
          <w:szCs w:val="26"/>
          <w:lang w:val="lt-LT"/>
        </w:rPr>
      </w:pPr>
      <w:bookmarkStart w:id="44" w:name="_Toc25594649"/>
      <w:r w:rsidRPr="00C97275">
        <w:rPr>
          <w:rFonts w:ascii="Georgia" w:eastAsia="Times New Roman" w:hAnsi="Georgia" w:cs="Arial Unicode MS"/>
          <w:b/>
          <w:i/>
          <w:color w:val="821A1A"/>
          <w:sz w:val="32"/>
          <w:szCs w:val="26"/>
          <w:lang w:val="lt-LT"/>
        </w:rPr>
        <w:t>Investicijų paklausos analizė</w:t>
      </w:r>
      <w:bookmarkEnd w:id="44"/>
    </w:p>
    <w:p w14:paraId="16E7ABC3" w14:textId="77777777" w:rsidR="005A0219" w:rsidRPr="00C97275" w:rsidRDefault="005A0219" w:rsidP="005A0219">
      <w:pPr>
        <w:keepNext/>
        <w:keepLines/>
        <w:numPr>
          <w:ilvl w:val="3"/>
          <w:numId w:val="2"/>
        </w:numPr>
        <w:spacing w:before="200" w:after="240" w:line="240" w:lineRule="auto"/>
        <w:ind w:left="1134" w:hanging="1134"/>
        <w:outlineLvl w:val="1"/>
        <w:rPr>
          <w:rFonts w:ascii="Georgia" w:eastAsia="Times New Roman" w:hAnsi="Georgia" w:cs="Arial Unicode MS"/>
          <w:b/>
          <w:i/>
          <w:color w:val="821A1A"/>
          <w:sz w:val="32"/>
          <w:szCs w:val="26"/>
          <w:lang w:val="lt-LT"/>
        </w:rPr>
      </w:pPr>
      <w:bookmarkStart w:id="45" w:name="_Toc25594650"/>
      <w:r w:rsidRPr="00C97275">
        <w:rPr>
          <w:rFonts w:ascii="Georgia" w:eastAsia="Times New Roman" w:hAnsi="Georgia" w:cs="Arial Unicode MS"/>
          <w:b/>
          <w:i/>
          <w:color w:val="821A1A"/>
          <w:sz w:val="32"/>
          <w:szCs w:val="26"/>
          <w:lang w:val="lt-LT"/>
        </w:rPr>
        <w:t>Bendri energijos taupymo tikslai</w:t>
      </w:r>
      <w:bookmarkEnd w:id="45"/>
    </w:p>
    <w:p w14:paraId="50B522B1"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Vadovaudamasi Energijos efektyvumo direktyvos nuostatomis, kiekviena valstybė narė turi nustatyti bendrą galutinio energijos suvartojimo taupymo (toliau – BGEST) rodiklį, kurį šalys turi pasiekti iki 2020 metų visuose sektoriuose, įskaitant pramonės, transporto, pastatų ir kituose sektoriuose. Lietuvoje buvo nustatyta, jog bendras sutaupymas iki 2020 m. visuose sektoriuose siektų 11,68 TWh galutinės energijos. </w:t>
      </w:r>
    </w:p>
    <w:p w14:paraId="5000CBBF"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49954A5C" w14:textId="2799F49D" w:rsidR="005A0219" w:rsidRPr="00C97275" w:rsidRDefault="005A0219" w:rsidP="005A0219">
      <w:pPr>
        <w:autoSpaceDE w:val="0"/>
        <w:autoSpaceDN w:val="0"/>
        <w:adjustRightInd w:val="0"/>
        <w:spacing w:after="0" w:line="240" w:lineRule="auto"/>
        <w:jc w:val="both"/>
        <w:rPr>
          <w:rFonts w:ascii="Georgia" w:eastAsia="Georgia" w:hAnsi="Georgia" w:cs="Arial Unicode MS"/>
          <w:sz w:val="20"/>
          <w:szCs w:val="20"/>
          <w:lang w:val="lt-LT"/>
        </w:rPr>
      </w:pPr>
      <w:r w:rsidRPr="00C97275">
        <w:rPr>
          <w:rFonts w:ascii="Georgia" w:eastAsia="Georgia" w:hAnsi="Georgia" w:cs="Arial Unicode MS"/>
          <w:bCs/>
          <w:sz w:val="20"/>
          <w:szCs w:val="24"/>
          <w:lang w:val="lt-LT"/>
        </w:rPr>
        <w:t>Remiantis 2012m. patvirtinta Nacionaline energijos nepriklausomybės strategija, didžiausias energijos taupymo potencialas slypi gyvenamųjų ir visuomeninių pastatų sektoriuje, kuriame įmanoma sutaupyti nuo 30-40% galutinio šilumos energijos suvartojimo arba nuo 2-3 TWh šilumos energijos (kuri sudaro nuo 17</w:t>
      </w:r>
      <w:r w:rsidR="00415ADA" w:rsidRPr="00C97275">
        <w:rPr>
          <w:rFonts w:ascii="Georgia" w:eastAsia="Georgia" w:hAnsi="Georgia" w:cs="Arial Unicode MS"/>
          <w:bCs/>
          <w:sz w:val="20"/>
          <w:szCs w:val="24"/>
          <w:lang w:val="lt-LT"/>
        </w:rPr>
        <w:t>,</w:t>
      </w:r>
      <w:r w:rsidRPr="00C97275">
        <w:rPr>
          <w:rFonts w:ascii="Georgia" w:eastAsia="Georgia" w:hAnsi="Georgia" w:cs="Arial Unicode MS"/>
          <w:bCs/>
          <w:sz w:val="20"/>
          <w:szCs w:val="24"/>
          <w:lang w:val="lt-LT"/>
        </w:rPr>
        <w:t>1</w:t>
      </w:r>
      <w:r w:rsidR="00415ADA" w:rsidRPr="00C97275">
        <w:rPr>
          <w:rFonts w:ascii="Georgia" w:eastAsia="Georgia" w:hAnsi="Georgia" w:cs="Arial Unicode MS"/>
          <w:bCs/>
          <w:sz w:val="20"/>
          <w:szCs w:val="24"/>
          <w:lang w:val="lt-LT"/>
        </w:rPr>
        <w:t>%</w:t>
      </w:r>
      <w:r w:rsidRPr="00C97275">
        <w:rPr>
          <w:rFonts w:ascii="Georgia" w:eastAsia="Georgia" w:hAnsi="Georgia" w:cs="Arial Unicode MS"/>
          <w:bCs/>
          <w:sz w:val="20"/>
          <w:szCs w:val="24"/>
          <w:lang w:val="lt-LT"/>
        </w:rPr>
        <w:t xml:space="preserve"> iki 25.7% viso planuojamos sutaupyti energijos 2014-2020 metais). Remiantis Energetikos ministerijos duomenimis, daugiabučių ir viešųjų pastatų programa siekiama atitinkamai sutaupyti 2,67 TWh ir 0,4 TWh. </w:t>
      </w:r>
      <w:r w:rsidRPr="00C97275">
        <w:rPr>
          <w:rFonts w:ascii="Georgia" w:eastAsia="Georgia" w:hAnsi="Georgia" w:cs="Arial Unicode MS"/>
          <w:sz w:val="20"/>
          <w:szCs w:val="20"/>
          <w:lang w:val="lt-LT"/>
        </w:rPr>
        <w:t xml:space="preserve">Tai sudarytų apie 26,3 % viso BGEST rodiklio energijos kiekio. </w:t>
      </w:r>
    </w:p>
    <w:p w14:paraId="7F527B71"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sz w:val="20"/>
          <w:szCs w:val="20"/>
          <w:lang w:val="lt-LT"/>
        </w:rPr>
      </w:pPr>
    </w:p>
    <w:p w14:paraId="1A569DF5" w14:textId="46394841" w:rsidR="005A0219" w:rsidRPr="00C97275" w:rsidRDefault="005A0219" w:rsidP="005A0219">
      <w:pPr>
        <w:autoSpaceDE w:val="0"/>
        <w:autoSpaceDN w:val="0"/>
        <w:adjustRightInd w:val="0"/>
        <w:spacing w:after="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Atsižvelgiant į Energijos Efektyvumo Direktyvos atnaujinimo nuostatas</w:t>
      </w:r>
      <w:r w:rsidRPr="00C97275">
        <w:rPr>
          <w:rFonts w:ascii="Georgia" w:eastAsia="Georgia" w:hAnsi="Georgia" w:cs="Arial Unicode MS"/>
          <w:color w:val="000000"/>
          <w:sz w:val="20"/>
          <w:szCs w:val="20"/>
          <w:vertAlign w:val="superscript"/>
          <w:lang w:val="lt-LT"/>
        </w:rPr>
        <w:footnoteReference w:id="13"/>
      </w:r>
      <w:r w:rsidRPr="00C97275">
        <w:rPr>
          <w:rFonts w:ascii="Georgia" w:eastAsia="Georgia" w:hAnsi="Georgia" w:cs="Arial Unicode MS"/>
          <w:sz w:val="20"/>
          <w:szCs w:val="20"/>
          <w:lang w:val="lt-LT"/>
        </w:rPr>
        <w:t xml:space="preserve"> ir </w:t>
      </w:r>
      <w:r w:rsidR="00144175" w:rsidRPr="00C97275">
        <w:rPr>
          <w:rFonts w:ascii="Georgia" w:eastAsia="Georgia" w:hAnsi="Georgia" w:cs="Arial Unicode MS"/>
          <w:sz w:val="20"/>
          <w:szCs w:val="20"/>
          <w:lang w:val="lt-LT"/>
        </w:rPr>
        <w:t xml:space="preserve">naujos </w:t>
      </w:r>
      <w:r w:rsidRPr="00C97275">
        <w:rPr>
          <w:rFonts w:ascii="Georgia" w:eastAsia="Georgia" w:hAnsi="Georgia" w:cs="Arial Unicode MS"/>
          <w:sz w:val="20"/>
          <w:szCs w:val="20"/>
          <w:lang w:val="lt-LT"/>
        </w:rPr>
        <w:t xml:space="preserve">Nacionalinės Energetikos </w:t>
      </w:r>
      <w:r w:rsidR="00144175" w:rsidRPr="00C97275">
        <w:rPr>
          <w:rFonts w:ascii="Georgia" w:eastAsia="Georgia" w:hAnsi="Georgia" w:cs="Arial Unicode MS"/>
          <w:sz w:val="20"/>
          <w:szCs w:val="20"/>
          <w:lang w:val="lt-LT"/>
        </w:rPr>
        <w:t xml:space="preserve">Nepriklausomybės </w:t>
      </w:r>
      <w:r w:rsidRPr="00C97275">
        <w:rPr>
          <w:rFonts w:ascii="Georgia" w:eastAsia="Georgia" w:hAnsi="Georgia" w:cs="Arial Unicode MS"/>
          <w:sz w:val="20"/>
          <w:szCs w:val="20"/>
          <w:lang w:val="lt-LT"/>
        </w:rPr>
        <w:t>Strategijos projekt</w:t>
      </w:r>
      <w:r w:rsidR="00144175" w:rsidRPr="00C97275">
        <w:rPr>
          <w:rFonts w:ascii="Georgia" w:eastAsia="Georgia" w:hAnsi="Georgia" w:cs="Arial Unicode MS"/>
          <w:sz w:val="20"/>
          <w:szCs w:val="20"/>
          <w:lang w:val="lt-LT"/>
        </w:rPr>
        <w:t>ą</w:t>
      </w:r>
      <w:r w:rsidRPr="00C97275">
        <w:rPr>
          <w:rFonts w:ascii="Georgia" w:eastAsia="Georgia" w:hAnsi="Georgia" w:cs="Arial Unicode MS"/>
          <w:color w:val="000000"/>
          <w:sz w:val="20"/>
          <w:szCs w:val="20"/>
          <w:vertAlign w:val="superscript"/>
          <w:lang w:val="lt-LT"/>
        </w:rPr>
        <w:footnoteReference w:id="14"/>
      </w:r>
      <w:r w:rsidRPr="00C97275">
        <w:rPr>
          <w:rFonts w:ascii="Georgia" w:eastAsia="Georgia" w:hAnsi="Georgia" w:cs="Arial Unicode MS"/>
          <w:sz w:val="20"/>
          <w:szCs w:val="20"/>
          <w:lang w:val="lt-LT"/>
        </w:rPr>
        <w:t xml:space="preserve"> energijos galutinio vartojimo prognozėmis buvo apskaičiuota numatomi energijos sutaupymai 2021-2023 metams naudojant tokius pačius skaičiavimo principus kaip ir nustatant minimalų sutaupytą energijos kiekį 2014-2020 metų </w:t>
      </w:r>
      <w:r w:rsidRPr="00C97275">
        <w:rPr>
          <w:rFonts w:ascii="Georgia" w:eastAsia="Georgia" w:hAnsi="Georgia" w:cs="Arial Unicode MS"/>
          <w:sz w:val="20"/>
          <w:szCs w:val="20"/>
          <w:lang w:val="lt-LT"/>
        </w:rPr>
        <w:lastRenderedPageBreak/>
        <w:t>laikotarpiui</w:t>
      </w:r>
      <w:r w:rsidRPr="00C97275">
        <w:rPr>
          <w:rFonts w:ascii="Georgia" w:eastAsia="Georgia" w:hAnsi="Georgia" w:cs="Georgia"/>
          <w:color w:val="000000"/>
          <w:sz w:val="20"/>
          <w:szCs w:val="20"/>
          <w:vertAlign w:val="superscript"/>
          <w:lang w:val="lt-LT"/>
        </w:rPr>
        <w:footnoteReference w:id="15"/>
      </w:r>
      <w:r w:rsidRPr="00C97275">
        <w:rPr>
          <w:rFonts w:ascii="Georgia" w:eastAsia="Georgia" w:hAnsi="Georgia" w:cs="Arial Unicode MS"/>
          <w:sz w:val="20"/>
          <w:szCs w:val="20"/>
          <w:lang w:val="lt-LT"/>
        </w:rPr>
        <w:t xml:space="preserve"> bei darant prielaidą, jog Energijos efektyvumo direktyvos skaičiavimo metodika nesikeis. </w:t>
      </w:r>
      <w:r w:rsidRPr="00C97275">
        <w:rPr>
          <w:rFonts w:ascii="Georgia" w:eastAsia="Georgia" w:hAnsi="Georgia" w:cs="Georgia"/>
          <w:sz w:val="20"/>
          <w:szCs w:val="20"/>
          <w:lang w:val="lt-LT"/>
        </w:rPr>
        <w:t xml:space="preserve">Išlaikant tokią pačią proporciją tarp gyvenamųjų ir viešųjų pastatų bei bendrų šalies energijos sutaupymų (26,3%) buvo taip pat paskaičiuoti gyvenamųjų ir viešųjų pastatų minimalūs sutaupymai lentelėje apačioje 2021-2023 metams. </w:t>
      </w:r>
    </w:p>
    <w:p w14:paraId="07F675E2"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15150338" w14:textId="32E03E0E" w:rsidR="005A0219" w:rsidRPr="00C97275" w:rsidRDefault="005A0219" w:rsidP="005A0219">
      <w:pPr>
        <w:spacing w:after="160" w:line="240" w:lineRule="auto"/>
        <w:jc w:val="both"/>
        <w:rPr>
          <w:rFonts w:ascii="Georgia" w:eastAsia="Georgia" w:hAnsi="Georgia" w:cs="Georgia"/>
          <w:i/>
          <w:iCs/>
          <w:color w:val="821A1A"/>
          <w:sz w:val="20"/>
          <w:szCs w:val="20"/>
          <w:lang w:val="lt-LT"/>
        </w:rPr>
      </w:pPr>
      <w:bookmarkStart w:id="46" w:name="_Toc19105222"/>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9</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Georgia"/>
          <w:i/>
          <w:iCs/>
          <w:color w:val="821A1A"/>
          <w:sz w:val="20"/>
          <w:szCs w:val="20"/>
          <w:lang w:val="lt-LT"/>
        </w:rPr>
        <w:t>Numatomi energijos vartojimo sutaupymai 2017-2023 metais.</w:t>
      </w:r>
      <w:bookmarkEnd w:id="46"/>
    </w:p>
    <w:p w14:paraId="71B17ADA" w14:textId="77777777" w:rsidR="00DD1AE0" w:rsidRPr="00C97275" w:rsidRDefault="00DD1AE0" w:rsidP="005A0219">
      <w:pPr>
        <w:spacing w:after="160" w:line="240" w:lineRule="auto"/>
        <w:jc w:val="both"/>
        <w:rPr>
          <w:rFonts w:ascii="Georgia" w:eastAsia="Georgia" w:hAnsi="Georgia" w:cs="Arial Unicode MS"/>
          <w:i/>
          <w:iCs/>
          <w:color w:val="821A1A"/>
          <w:sz w:val="20"/>
          <w:szCs w:val="18"/>
          <w:lang w:val="lt-LT"/>
        </w:rPr>
      </w:pPr>
    </w:p>
    <w:tbl>
      <w:tblPr>
        <w:tblStyle w:val="LightList-Accent21"/>
        <w:tblW w:w="5000" w:type="pct"/>
        <w:tblLook w:val="04A0" w:firstRow="1" w:lastRow="0" w:firstColumn="1" w:lastColumn="0" w:noHBand="0" w:noVBand="1"/>
      </w:tblPr>
      <w:tblGrid>
        <w:gridCol w:w="1875"/>
        <w:gridCol w:w="1838"/>
        <w:gridCol w:w="1730"/>
        <w:gridCol w:w="1998"/>
        <w:gridCol w:w="1801"/>
      </w:tblGrid>
      <w:tr w:rsidR="005A0219" w:rsidRPr="00C97275" w14:paraId="7EB58EE1" w14:textId="77777777" w:rsidTr="0063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8" w:space="0" w:color="D62E1C"/>
            </w:tcBorders>
          </w:tcPr>
          <w:p w14:paraId="622943F3" w14:textId="77777777" w:rsidR="005A0219" w:rsidRPr="00C97275" w:rsidRDefault="005A0219" w:rsidP="005A0219">
            <w:pPr>
              <w:autoSpaceDE w:val="0"/>
              <w:autoSpaceDN w:val="0"/>
              <w:adjustRightInd w:val="0"/>
              <w:jc w:val="center"/>
              <w:rPr>
                <w:rFonts w:ascii="Georgia" w:eastAsia="Georgia" w:hAnsi="Georgia" w:cs="Arial Unicode MS"/>
                <w:szCs w:val="24"/>
              </w:rPr>
            </w:pPr>
          </w:p>
        </w:tc>
        <w:tc>
          <w:tcPr>
            <w:tcW w:w="0" w:type="pct"/>
            <w:gridSpan w:val="2"/>
            <w:tcBorders>
              <w:bottom w:val="single" w:sz="8" w:space="0" w:color="D62E1C"/>
            </w:tcBorders>
          </w:tcPr>
          <w:p w14:paraId="64209B7D"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bCs w:val="0"/>
                <w:szCs w:val="24"/>
              </w:rPr>
            </w:pPr>
            <w:r w:rsidRPr="00C97275">
              <w:rPr>
                <w:rFonts w:ascii="Georgia" w:eastAsia="Georgia" w:hAnsi="Georgia" w:cs="Arial Unicode MS"/>
                <w:szCs w:val="24"/>
              </w:rPr>
              <w:t>Nauji energijos sutaupymai duotaisiais metais</w:t>
            </w:r>
          </w:p>
        </w:tc>
        <w:tc>
          <w:tcPr>
            <w:tcW w:w="0" w:type="pct"/>
            <w:gridSpan w:val="2"/>
            <w:tcBorders>
              <w:bottom w:val="single" w:sz="8" w:space="0" w:color="D62E1C"/>
            </w:tcBorders>
          </w:tcPr>
          <w:p w14:paraId="51F9FEEC"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Cs w:val="24"/>
              </w:rPr>
            </w:pPr>
            <w:r w:rsidRPr="00C97275">
              <w:rPr>
                <w:rFonts w:ascii="Georgia" w:eastAsia="Georgia" w:hAnsi="Georgia" w:cs="Arial Unicode MS"/>
                <w:szCs w:val="24"/>
              </w:rPr>
              <w:t>Nauji gyvenamųjų ir visuomeninių pastatų energijos sutaupymai duotaisiais metais</w:t>
            </w:r>
          </w:p>
        </w:tc>
      </w:tr>
      <w:tr w:rsidR="0063781D" w:rsidRPr="00C97275" w14:paraId="794FD684"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62E1C"/>
            <w:hideMark/>
          </w:tcPr>
          <w:p w14:paraId="16374434" w14:textId="77777777" w:rsidR="005A0219" w:rsidRPr="00C97275" w:rsidRDefault="005A0219" w:rsidP="005A0219">
            <w:pPr>
              <w:autoSpaceDE w:val="0"/>
              <w:autoSpaceDN w:val="0"/>
              <w:adjustRightInd w:val="0"/>
              <w:jc w:val="center"/>
              <w:rPr>
                <w:rFonts w:ascii="Georgia" w:eastAsia="Georgia" w:hAnsi="Georgia" w:cs="Arial Unicode MS"/>
                <w:b w:val="0"/>
                <w:bCs w:val="0"/>
                <w:color w:val="FFFFFF" w:themeColor="background1"/>
                <w:szCs w:val="24"/>
              </w:rPr>
            </w:pPr>
            <w:r w:rsidRPr="00C97275">
              <w:rPr>
                <w:rFonts w:ascii="Georgia" w:eastAsia="Georgia" w:hAnsi="Georgia" w:cs="Arial Unicode MS"/>
                <w:color w:val="FFFFFF" w:themeColor="background1"/>
                <w:szCs w:val="24"/>
              </w:rPr>
              <w:t>Metai</w:t>
            </w:r>
          </w:p>
        </w:tc>
        <w:tc>
          <w:tcPr>
            <w:tcW w:w="0" w:type="pct"/>
            <w:shd w:val="clear" w:color="auto" w:fill="D62E1C"/>
            <w:hideMark/>
          </w:tcPr>
          <w:p w14:paraId="6140391C"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bCs/>
                <w:color w:val="FFFFFF" w:themeColor="background1"/>
                <w:szCs w:val="24"/>
              </w:rPr>
            </w:pPr>
            <w:r w:rsidRPr="00C97275">
              <w:rPr>
                <w:rFonts w:ascii="Georgia" w:eastAsia="Georgia" w:hAnsi="Georgia" w:cs="Arial Unicode MS"/>
                <w:color w:val="FFFFFF" w:themeColor="background1"/>
                <w:szCs w:val="24"/>
              </w:rPr>
              <w:t>Tūkst. tne</w:t>
            </w:r>
          </w:p>
        </w:tc>
        <w:tc>
          <w:tcPr>
            <w:tcW w:w="0" w:type="pct"/>
            <w:shd w:val="clear" w:color="auto" w:fill="D62E1C"/>
            <w:hideMark/>
          </w:tcPr>
          <w:p w14:paraId="77DBC62E"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bCs/>
                <w:color w:val="FFFFFF" w:themeColor="background1"/>
                <w:szCs w:val="24"/>
              </w:rPr>
            </w:pPr>
            <w:r w:rsidRPr="00C97275">
              <w:rPr>
                <w:rFonts w:ascii="Georgia" w:eastAsia="Georgia" w:hAnsi="Georgia" w:cs="Arial Unicode MS"/>
                <w:color w:val="FFFFFF" w:themeColor="background1"/>
                <w:szCs w:val="24"/>
              </w:rPr>
              <w:t>GWh</w:t>
            </w:r>
          </w:p>
        </w:tc>
        <w:tc>
          <w:tcPr>
            <w:tcW w:w="0" w:type="pct"/>
            <w:shd w:val="clear" w:color="auto" w:fill="D62E1C"/>
          </w:tcPr>
          <w:p w14:paraId="454EB8D7"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bCs/>
                <w:color w:val="FFFFFF" w:themeColor="background1"/>
                <w:szCs w:val="24"/>
              </w:rPr>
            </w:pPr>
            <w:r w:rsidRPr="00C97275">
              <w:rPr>
                <w:rFonts w:ascii="Georgia" w:eastAsia="Georgia" w:hAnsi="Georgia" w:cs="Arial Unicode MS"/>
                <w:color w:val="FFFFFF" w:themeColor="background1"/>
                <w:szCs w:val="24"/>
              </w:rPr>
              <w:t>Tūkst. tne</w:t>
            </w:r>
          </w:p>
        </w:tc>
        <w:tc>
          <w:tcPr>
            <w:tcW w:w="0" w:type="pct"/>
            <w:shd w:val="clear" w:color="auto" w:fill="D62E1C"/>
          </w:tcPr>
          <w:p w14:paraId="7815D9C2"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themeColor="background1"/>
                <w:szCs w:val="24"/>
              </w:rPr>
            </w:pPr>
            <w:r w:rsidRPr="00C97275">
              <w:rPr>
                <w:rFonts w:ascii="Georgia" w:eastAsia="Georgia" w:hAnsi="Georgia" w:cs="Arial Unicode MS"/>
                <w:color w:val="FFFFFF" w:themeColor="background1"/>
                <w:szCs w:val="24"/>
              </w:rPr>
              <w:t>GWh</w:t>
            </w:r>
          </w:p>
        </w:tc>
      </w:tr>
      <w:tr w:rsidR="005A0219" w:rsidRPr="00C97275" w14:paraId="7421820C" w14:textId="77777777" w:rsidTr="0063781D">
        <w:tc>
          <w:tcPr>
            <w:cnfStyle w:val="001000000000" w:firstRow="0" w:lastRow="0" w:firstColumn="1" w:lastColumn="0" w:oddVBand="0" w:evenVBand="0" w:oddHBand="0" w:evenHBand="0" w:firstRowFirstColumn="0" w:firstRowLastColumn="0" w:lastRowFirstColumn="0" w:lastRowLastColumn="0"/>
            <w:tcW w:w="0" w:type="pct"/>
            <w:hideMark/>
          </w:tcPr>
          <w:p w14:paraId="06E58DA7" w14:textId="77777777" w:rsidR="005A0219" w:rsidRPr="00C97275" w:rsidRDefault="005A0219" w:rsidP="005A0219">
            <w:pPr>
              <w:autoSpaceDE w:val="0"/>
              <w:autoSpaceDN w:val="0"/>
              <w:adjustRightInd w:val="0"/>
              <w:jc w:val="center"/>
              <w:rPr>
                <w:rFonts w:ascii="Georgia" w:eastAsia="Georgia" w:hAnsi="Georgia" w:cs="Arial Unicode MS"/>
                <w:bCs w:val="0"/>
                <w:szCs w:val="24"/>
              </w:rPr>
            </w:pPr>
            <w:r w:rsidRPr="00C97275">
              <w:rPr>
                <w:rFonts w:ascii="Georgia" w:eastAsia="Georgia" w:hAnsi="Georgia" w:cs="Arial Unicode MS"/>
                <w:szCs w:val="24"/>
              </w:rPr>
              <w:t>2015</w:t>
            </w:r>
          </w:p>
        </w:tc>
        <w:tc>
          <w:tcPr>
            <w:tcW w:w="0" w:type="pct"/>
            <w:hideMark/>
          </w:tcPr>
          <w:p w14:paraId="2F77F159"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48</w:t>
            </w:r>
          </w:p>
        </w:tc>
        <w:tc>
          <w:tcPr>
            <w:tcW w:w="0" w:type="pct"/>
            <w:hideMark/>
          </w:tcPr>
          <w:p w14:paraId="2772A738"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556</w:t>
            </w:r>
          </w:p>
        </w:tc>
        <w:tc>
          <w:tcPr>
            <w:tcW w:w="0" w:type="pct"/>
          </w:tcPr>
          <w:p w14:paraId="7485D88C"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13</w:t>
            </w:r>
          </w:p>
        </w:tc>
        <w:tc>
          <w:tcPr>
            <w:tcW w:w="0" w:type="pct"/>
          </w:tcPr>
          <w:p w14:paraId="4DD15E75"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146</w:t>
            </w:r>
          </w:p>
        </w:tc>
      </w:tr>
      <w:tr w:rsidR="005A0219" w:rsidRPr="00C97275" w14:paraId="620B7A9A"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486F481" w14:textId="77777777" w:rsidR="005A0219" w:rsidRPr="00C97275" w:rsidRDefault="005A0219" w:rsidP="005A0219">
            <w:pPr>
              <w:autoSpaceDE w:val="0"/>
              <w:autoSpaceDN w:val="0"/>
              <w:adjustRightInd w:val="0"/>
              <w:jc w:val="center"/>
              <w:rPr>
                <w:rFonts w:ascii="Georgia" w:eastAsia="Georgia" w:hAnsi="Georgia" w:cs="Arial Unicode MS"/>
                <w:bCs w:val="0"/>
                <w:szCs w:val="24"/>
              </w:rPr>
            </w:pPr>
            <w:r w:rsidRPr="00C97275">
              <w:rPr>
                <w:rFonts w:ascii="Georgia" w:eastAsia="Georgia" w:hAnsi="Georgia" w:cs="Arial Unicode MS"/>
                <w:szCs w:val="24"/>
              </w:rPr>
              <w:t>2016</w:t>
            </w:r>
          </w:p>
        </w:tc>
        <w:tc>
          <w:tcPr>
            <w:tcW w:w="0" w:type="pct"/>
            <w:hideMark/>
          </w:tcPr>
          <w:p w14:paraId="085ED34E"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96</w:t>
            </w:r>
          </w:p>
        </w:tc>
        <w:tc>
          <w:tcPr>
            <w:tcW w:w="0" w:type="pct"/>
            <w:hideMark/>
          </w:tcPr>
          <w:p w14:paraId="38DD1407"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1 112</w:t>
            </w:r>
          </w:p>
        </w:tc>
        <w:tc>
          <w:tcPr>
            <w:tcW w:w="0" w:type="pct"/>
          </w:tcPr>
          <w:p w14:paraId="14562F55"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25</w:t>
            </w:r>
          </w:p>
        </w:tc>
        <w:tc>
          <w:tcPr>
            <w:tcW w:w="0" w:type="pct"/>
          </w:tcPr>
          <w:p w14:paraId="49627ABD"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292</w:t>
            </w:r>
          </w:p>
        </w:tc>
      </w:tr>
      <w:tr w:rsidR="005A0219" w:rsidRPr="00C97275" w14:paraId="514FAAEB" w14:textId="77777777" w:rsidTr="0063781D">
        <w:tc>
          <w:tcPr>
            <w:cnfStyle w:val="001000000000" w:firstRow="0" w:lastRow="0" w:firstColumn="1" w:lastColumn="0" w:oddVBand="0" w:evenVBand="0" w:oddHBand="0" w:evenHBand="0" w:firstRowFirstColumn="0" w:firstRowLastColumn="0" w:lastRowFirstColumn="0" w:lastRowLastColumn="0"/>
            <w:tcW w:w="0" w:type="pct"/>
            <w:hideMark/>
          </w:tcPr>
          <w:p w14:paraId="6D6B4CE5" w14:textId="77777777" w:rsidR="005A0219" w:rsidRPr="00C97275" w:rsidRDefault="005A0219" w:rsidP="005A0219">
            <w:pPr>
              <w:autoSpaceDE w:val="0"/>
              <w:autoSpaceDN w:val="0"/>
              <w:adjustRightInd w:val="0"/>
              <w:jc w:val="center"/>
              <w:rPr>
                <w:rFonts w:ascii="Georgia" w:eastAsia="Georgia" w:hAnsi="Georgia" w:cs="Arial Unicode MS"/>
                <w:bCs w:val="0"/>
                <w:szCs w:val="24"/>
              </w:rPr>
            </w:pPr>
            <w:r w:rsidRPr="00C97275">
              <w:rPr>
                <w:rFonts w:ascii="Georgia" w:eastAsia="Georgia" w:hAnsi="Georgia" w:cs="Arial Unicode MS"/>
                <w:szCs w:val="24"/>
              </w:rPr>
              <w:t>2017</w:t>
            </w:r>
          </w:p>
        </w:tc>
        <w:tc>
          <w:tcPr>
            <w:tcW w:w="0" w:type="pct"/>
            <w:hideMark/>
          </w:tcPr>
          <w:p w14:paraId="4871DD0F"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143</w:t>
            </w:r>
          </w:p>
        </w:tc>
        <w:tc>
          <w:tcPr>
            <w:tcW w:w="0" w:type="pct"/>
            <w:hideMark/>
          </w:tcPr>
          <w:p w14:paraId="533A69A1"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1 668</w:t>
            </w:r>
          </w:p>
        </w:tc>
        <w:tc>
          <w:tcPr>
            <w:tcW w:w="0" w:type="pct"/>
          </w:tcPr>
          <w:p w14:paraId="02F335E3"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38</w:t>
            </w:r>
          </w:p>
        </w:tc>
        <w:tc>
          <w:tcPr>
            <w:tcW w:w="0" w:type="pct"/>
          </w:tcPr>
          <w:p w14:paraId="4766E443"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439</w:t>
            </w:r>
          </w:p>
        </w:tc>
      </w:tr>
      <w:tr w:rsidR="005A0219" w:rsidRPr="00C97275" w14:paraId="76BD15E0"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85CDC46" w14:textId="77777777" w:rsidR="005A0219" w:rsidRPr="00C97275" w:rsidRDefault="005A0219" w:rsidP="005A0219">
            <w:pPr>
              <w:autoSpaceDE w:val="0"/>
              <w:autoSpaceDN w:val="0"/>
              <w:adjustRightInd w:val="0"/>
              <w:jc w:val="center"/>
              <w:rPr>
                <w:rFonts w:ascii="Georgia" w:eastAsia="Georgia" w:hAnsi="Georgia" w:cs="Arial Unicode MS"/>
                <w:bCs w:val="0"/>
                <w:szCs w:val="24"/>
              </w:rPr>
            </w:pPr>
            <w:r w:rsidRPr="00C97275">
              <w:rPr>
                <w:rFonts w:ascii="Georgia" w:eastAsia="Georgia" w:hAnsi="Georgia" w:cs="Arial Unicode MS"/>
                <w:szCs w:val="24"/>
              </w:rPr>
              <w:t>2018</w:t>
            </w:r>
          </w:p>
        </w:tc>
        <w:tc>
          <w:tcPr>
            <w:tcW w:w="0" w:type="pct"/>
            <w:hideMark/>
          </w:tcPr>
          <w:p w14:paraId="1D7B60A5"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191</w:t>
            </w:r>
          </w:p>
        </w:tc>
        <w:tc>
          <w:tcPr>
            <w:tcW w:w="0" w:type="pct"/>
            <w:hideMark/>
          </w:tcPr>
          <w:p w14:paraId="21374D1F"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2 224</w:t>
            </w:r>
          </w:p>
        </w:tc>
        <w:tc>
          <w:tcPr>
            <w:tcW w:w="0" w:type="pct"/>
          </w:tcPr>
          <w:p w14:paraId="6196540F"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50</w:t>
            </w:r>
          </w:p>
        </w:tc>
        <w:tc>
          <w:tcPr>
            <w:tcW w:w="0" w:type="pct"/>
          </w:tcPr>
          <w:p w14:paraId="5F23AD52"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585</w:t>
            </w:r>
          </w:p>
        </w:tc>
      </w:tr>
      <w:tr w:rsidR="005A0219" w:rsidRPr="00C97275" w14:paraId="6A214F63" w14:textId="77777777" w:rsidTr="0063781D">
        <w:tc>
          <w:tcPr>
            <w:cnfStyle w:val="001000000000" w:firstRow="0" w:lastRow="0" w:firstColumn="1" w:lastColumn="0" w:oddVBand="0" w:evenVBand="0" w:oddHBand="0" w:evenHBand="0" w:firstRowFirstColumn="0" w:firstRowLastColumn="0" w:lastRowFirstColumn="0" w:lastRowLastColumn="0"/>
            <w:tcW w:w="0" w:type="pct"/>
            <w:hideMark/>
          </w:tcPr>
          <w:p w14:paraId="4EFD3294" w14:textId="77777777" w:rsidR="005A0219" w:rsidRPr="00C97275" w:rsidRDefault="005A0219" w:rsidP="005A0219">
            <w:pPr>
              <w:autoSpaceDE w:val="0"/>
              <w:autoSpaceDN w:val="0"/>
              <w:adjustRightInd w:val="0"/>
              <w:jc w:val="center"/>
              <w:rPr>
                <w:rFonts w:ascii="Georgia" w:eastAsia="Georgia" w:hAnsi="Georgia" w:cs="Arial Unicode MS"/>
                <w:bCs w:val="0"/>
                <w:szCs w:val="24"/>
              </w:rPr>
            </w:pPr>
            <w:r w:rsidRPr="00C97275">
              <w:rPr>
                <w:rFonts w:ascii="Georgia" w:eastAsia="Georgia" w:hAnsi="Georgia" w:cs="Arial Unicode MS"/>
                <w:szCs w:val="24"/>
              </w:rPr>
              <w:t>2019</w:t>
            </w:r>
          </w:p>
        </w:tc>
        <w:tc>
          <w:tcPr>
            <w:tcW w:w="0" w:type="pct"/>
            <w:hideMark/>
          </w:tcPr>
          <w:p w14:paraId="628A2983"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239</w:t>
            </w:r>
          </w:p>
        </w:tc>
        <w:tc>
          <w:tcPr>
            <w:tcW w:w="0" w:type="pct"/>
            <w:hideMark/>
          </w:tcPr>
          <w:p w14:paraId="696766F2"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2 780</w:t>
            </w:r>
          </w:p>
        </w:tc>
        <w:tc>
          <w:tcPr>
            <w:tcW w:w="0" w:type="pct"/>
          </w:tcPr>
          <w:p w14:paraId="3EE54262"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63</w:t>
            </w:r>
          </w:p>
        </w:tc>
        <w:tc>
          <w:tcPr>
            <w:tcW w:w="0" w:type="pct"/>
          </w:tcPr>
          <w:p w14:paraId="7C3075BA"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731</w:t>
            </w:r>
          </w:p>
        </w:tc>
      </w:tr>
      <w:tr w:rsidR="005A0219" w:rsidRPr="00C97275" w14:paraId="6275C46A"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1AEF7BAF" w14:textId="77777777" w:rsidR="005A0219" w:rsidRPr="00C97275" w:rsidRDefault="005A0219" w:rsidP="005A0219">
            <w:pPr>
              <w:autoSpaceDE w:val="0"/>
              <w:autoSpaceDN w:val="0"/>
              <w:adjustRightInd w:val="0"/>
              <w:jc w:val="center"/>
              <w:rPr>
                <w:rFonts w:ascii="Georgia" w:eastAsia="Georgia" w:hAnsi="Georgia" w:cs="Arial Unicode MS"/>
                <w:bCs w:val="0"/>
                <w:szCs w:val="24"/>
              </w:rPr>
            </w:pPr>
            <w:r w:rsidRPr="00C97275">
              <w:rPr>
                <w:rFonts w:ascii="Georgia" w:eastAsia="Georgia" w:hAnsi="Georgia" w:cs="Arial Unicode MS"/>
                <w:szCs w:val="24"/>
              </w:rPr>
              <w:t>2020</w:t>
            </w:r>
          </w:p>
        </w:tc>
        <w:tc>
          <w:tcPr>
            <w:tcW w:w="0" w:type="pct"/>
            <w:hideMark/>
          </w:tcPr>
          <w:p w14:paraId="70689F92"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287</w:t>
            </w:r>
          </w:p>
        </w:tc>
        <w:tc>
          <w:tcPr>
            <w:tcW w:w="0" w:type="pct"/>
            <w:hideMark/>
          </w:tcPr>
          <w:p w14:paraId="78BE8A50"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C97275">
              <w:rPr>
                <w:rFonts w:ascii="Georgia" w:eastAsia="Georgia" w:hAnsi="Georgia" w:cs="Arial Unicode MS"/>
                <w:color w:val="000000"/>
              </w:rPr>
              <w:t>3 336</w:t>
            </w:r>
          </w:p>
        </w:tc>
        <w:tc>
          <w:tcPr>
            <w:tcW w:w="0" w:type="pct"/>
          </w:tcPr>
          <w:p w14:paraId="40CD1D04"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75</w:t>
            </w:r>
          </w:p>
        </w:tc>
        <w:tc>
          <w:tcPr>
            <w:tcW w:w="0" w:type="pct"/>
          </w:tcPr>
          <w:p w14:paraId="17DF0955"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877</w:t>
            </w:r>
          </w:p>
        </w:tc>
      </w:tr>
      <w:tr w:rsidR="005A0219" w:rsidRPr="00C97275" w14:paraId="4C3D8D41" w14:textId="77777777" w:rsidTr="0063781D">
        <w:tc>
          <w:tcPr>
            <w:cnfStyle w:val="001000000000" w:firstRow="0" w:lastRow="0" w:firstColumn="1" w:lastColumn="0" w:oddVBand="0" w:evenVBand="0" w:oddHBand="0" w:evenHBand="0" w:firstRowFirstColumn="0" w:firstRowLastColumn="0" w:lastRowFirstColumn="0" w:lastRowLastColumn="0"/>
            <w:tcW w:w="0" w:type="pct"/>
          </w:tcPr>
          <w:p w14:paraId="5AFCFBBC" w14:textId="77777777" w:rsidR="005A0219" w:rsidRPr="00C97275" w:rsidRDefault="005A0219" w:rsidP="005A0219">
            <w:pPr>
              <w:autoSpaceDE w:val="0"/>
              <w:autoSpaceDN w:val="0"/>
              <w:adjustRightInd w:val="0"/>
              <w:jc w:val="center"/>
              <w:rPr>
                <w:rFonts w:ascii="Georgia" w:eastAsia="Georgia" w:hAnsi="Georgia" w:cs="Arial Unicode MS"/>
                <w:szCs w:val="24"/>
              </w:rPr>
            </w:pPr>
            <w:r w:rsidRPr="00C97275">
              <w:rPr>
                <w:rFonts w:ascii="Georgia" w:eastAsia="Georgia" w:hAnsi="Georgia" w:cs="Arial Unicode MS"/>
                <w:szCs w:val="24"/>
              </w:rPr>
              <w:t>2021</w:t>
            </w:r>
          </w:p>
        </w:tc>
        <w:tc>
          <w:tcPr>
            <w:tcW w:w="0" w:type="pct"/>
          </w:tcPr>
          <w:p w14:paraId="36524459"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C97275">
              <w:rPr>
                <w:rFonts w:ascii="Georgia" w:eastAsia="Georgia" w:hAnsi="Georgia" w:cs="Arial Unicode MS"/>
                <w:color w:val="000000"/>
              </w:rPr>
              <w:t>40</w:t>
            </w:r>
          </w:p>
        </w:tc>
        <w:tc>
          <w:tcPr>
            <w:tcW w:w="0" w:type="pct"/>
          </w:tcPr>
          <w:p w14:paraId="0D14D723"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C97275">
              <w:rPr>
                <w:rFonts w:ascii="Georgia" w:eastAsia="Georgia" w:hAnsi="Georgia" w:cs="Arial Unicode MS"/>
                <w:color w:val="000000"/>
              </w:rPr>
              <w:t>466</w:t>
            </w:r>
          </w:p>
        </w:tc>
        <w:tc>
          <w:tcPr>
            <w:tcW w:w="0" w:type="pct"/>
          </w:tcPr>
          <w:p w14:paraId="738E1428"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11</w:t>
            </w:r>
          </w:p>
        </w:tc>
        <w:tc>
          <w:tcPr>
            <w:tcW w:w="0" w:type="pct"/>
          </w:tcPr>
          <w:p w14:paraId="2CA83672"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123</w:t>
            </w:r>
          </w:p>
        </w:tc>
      </w:tr>
      <w:tr w:rsidR="005A0219" w:rsidRPr="00C97275" w14:paraId="52ABF3CC"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060C848" w14:textId="77777777" w:rsidR="005A0219" w:rsidRPr="00C97275" w:rsidRDefault="005A0219" w:rsidP="005A0219">
            <w:pPr>
              <w:autoSpaceDE w:val="0"/>
              <w:autoSpaceDN w:val="0"/>
              <w:adjustRightInd w:val="0"/>
              <w:jc w:val="center"/>
              <w:rPr>
                <w:rFonts w:ascii="Georgia" w:eastAsia="Georgia" w:hAnsi="Georgia" w:cs="Arial Unicode MS"/>
                <w:szCs w:val="24"/>
              </w:rPr>
            </w:pPr>
            <w:r w:rsidRPr="00C97275">
              <w:rPr>
                <w:rFonts w:ascii="Georgia" w:eastAsia="Georgia" w:hAnsi="Georgia" w:cs="Arial Unicode MS"/>
                <w:szCs w:val="24"/>
              </w:rPr>
              <w:t>2022</w:t>
            </w:r>
          </w:p>
        </w:tc>
        <w:tc>
          <w:tcPr>
            <w:tcW w:w="0" w:type="pct"/>
          </w:tcPr>
          <w:p w14:paraId="4BF071E9"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rPr>
            </w:pPr>
            <w:r w:rsidRPr="00C97275">
              <w:rPr>
                <w:rFonts w:ascii="Georgia" w:eastAsia="Georgia" w:hAnsi="Georgia" w:cs="Arial Unicode MS"/>
                <w:color w:val="000000"/>
              </w:rPr>
              <w:t>80</w:t>
            </w:r>
          </w:p>
        </w:tc>
        <w:tc>
          <w:tcPr>
            <w:tcW w:w="0" w:type="pct"/>
          </w:tcPr>
          <w:p w14:paraId="624EC5F1"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rPr>
            </w:pPr>
            <w:r w:rsidRPr="00C97275">
              <w:rPr>
                <w:rFonts w:ascii="Georgia" w:eastAsia="Georgia" w:hAnsi="Georgia" w:cs="Arial Unicode MS"/>
                <w:color w:val="000000"/>
              </w:rPr>
              <w:t>933</w:t>
            </w:r>
          </w:p>
        </w:tc>
        <w:tc>
          <w:tcPr>
            <w:tcW w:w="0" w:type="pct"/>
          </w:tcPr>
          <w:p w14:paraId="030CA7A4"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21</w:t>
            </w:r>
          </w:p>
        </w:tc>
        <w:tc>
          <w:tcPr>
            <w:tcW w:w="0" w:type="pct"/>
          </w:tcPr>
          <w:p w14:paraId="1787E013"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245</w:t>
            </w:r>
          </w:p>
        </w:tc>
      </w:tr>
      <w:tr w:rsidR="005A0219" w:rsidRPr="00C97275" w14:paraId="74B97949" w14:textId="77777777" w:rsidTr="0063781D">
        <w:tc>
          <w:tcPr>
            <w:cnfStyle w:val="001000000000" w:firstRow="0" w:lastRow="0" w:firstColumn="1" w:lastColumn="0" w:oddVBand="0" w:evenVBand="0" w:oddHBand="0" w:evenHBand="0" w:firstRowFirstColumn="0" w:firstRowLastColumn="0" w:lastRowFirstColumn="0" w:lastRowLastColumn="0"/>
            <w:tcW w:w="0" w:type="pct"/>
          </w:tcPr>
          <w:p w14:paraId="29B4C11D" w14:textId="77777777" w:rsidR="005A0219" w:rsidRPr="00C97275" w:rsidRDefault="005A0219" w:rsidP="005A0219">
            <w:pPr>
              <w:autoSpaceDE w:val="0"/>
              <w:autoSpaceDN w:val="0"/>
              <w:adjustRightInd w:val="0"/>
              <w:jc w:val="center"/>
              <w:rPr>
                <w:rFonts w:ascii="Georgia" w:eastAsia="Georgia" w:hAnsi="Georgia" w:cs="Arial Unicode MS"/>
                <w:szCs w:val="24"/>
              </w:rPr>
            </w:pPr>
            <w:r w:rsidRPr="00C97275">
              <w:rPr>
                <w:rFonts w:ascii="Georgia" w:eastAsia="Georgia" w:hAnsi="Georgia" w:cs="Arial Unicode MS"/>
                <w:szCs w:val="24"/>
              </w:rPr>
              <w:t>2023</w:t>
            </w:r>
          </w:p>
        </w:tc>
        <w:tc>
          <w:tcPr>
            <w:tcW w:w="0" w:type="pct"/>
          </w:tcPr>
          <w:p w14:paraId="16612D82"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C97275">
              <w:rPr>
                <w:rFonts w:ascii="Georgia" w:eastAsia="Georgia" w:hAnsi="Georgia" w:cs="Arial Unicode MS"/>
                <w:color w:val="000000"/>
              </w:rPr>
              <w:t>120</w:t>
            </w:r>
          </w:p>
        </w:tc>
        <w:tc>
          <w:tcPr>
            <w:tcW w:w="0" w:type="pct"/>
          </w:tcPr>
          <w:p w14:paraId="291BA201"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C97275">
              <w:rPr>
                <w:rFonts w:ascii="Georgia" w:eastAsia="Georgia" w:hAnsi="Georgia" w:cs="Arial Unicode MS"/>
                <w:color w:val="000000"/>
              </w:rPr>
              <w:t>1 399</w:t>
            </w:r>
          </w:p>
        </w:tc>
        <w:tc>
          <w:tcPr>
            <w:tcW w:w="0" w:type="pct"/>
          </w:tcPr>
          <w:p w14:paraId="2422C8AC"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32</w:t>
            </w:r>
          </w:p>
        </w:tc>
        <w:tc>
          <w:tcPr>
            <w:tcW w:w="0" w:type="pct"/>
          </w:tcPr>
          <w:p w14:paraId="65792CD3"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C97275">
              <w:rPr>
                <w:rFonts w:ascii="Georgia" w:eastAsia="Georgia" w:hAnsi="Georgia" w:cs="Arial Unicode MS"/>
                <w:color w:val="000000"/>
                <w:szCs w:val="18"/>
              </w:rPr>
              <w:t>368</w:t>
            </w:r>
          </w:p>
        </w:tc>
      </w:tr>
      <w:tr w:rsidR="005A0219" w:rsidRPr="00C97275" w14:paraId="007D812D"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A6ECF2C" w14:textId="77777777" w:rsidR="005A0219" w:rsidRPr="00C97275" w:rsidRDefault="005A0219" w:rsidP="005A0219">
            <w:pPr>
              <w:autoSpaceDE w:val="0"/>
              <w:autoSpaceDN w:val="0"/>
              <w:adjustRightInd w:val="0"/>
              <w:jc w:val="center"/>
              <w:rPr>
                <w:rFonts w:ascii="Georgia" w:eastAsia="Georgia" w:hAnsi="Georgia" w:cs="Arial Unicode MS"/>
                <w:szCs w:val="24"/>
              </w:rPr>
            </w:pPr>
            <w:r w:rsidRPr="00C97275">
              <w:rPr>
                <w:rFonts w:ascii="Georgia" w:eastAsia="Georgia" w:hAnsi="Georgia" w:cs="Arial Unicode MS"/>
                <w:szCs w:val="24"/>
              </w:rPr>
              <w:t>2017-2023</w:t>
            </w:r>
          </w:p>
        </w:tc>
        <w:tc>
          <w:tcPr>
            <w:tcW w:w="0" w:type="pct"/>
          </w:tcPr>
          <w:p w14:paraId="580E82F4"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rPr>
            </w:pPr>
            <w:r w:rsidRPr="00C97275">
              <w:rPr>
                <w:rFonts w:ascii="Georgia" w:eastAsia="Georgia" w:hAnsi="Georgia" w:cs="Arial Unicode MS"/>
                <w:b/>
                <w:color w:val="000000"/>
              </w:rPr>
              <w:t>1 101</w:t>
            </w:r>
          </w:p>
        </w:tc>
        <w:tc>
          <w:tcPr>
            <w:tcW w:w="0" w:type="pct"/>
          </w:tcPr>
          <w:p w14:paraId="3FC2BEC8"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rPr>
            </w:pPr>
            <w:r w:rsidRPr="00C97275">
              <w:rPr>
                <w:rFonts w:ascii="Georgia" w:eastAsia="Georgia" w:hAnsi="Georgia" w:cs="Arial Unicode MS"/>
                <w:b/>
                <w:color w:val="000000"/>
              </w:rPr>
              <w:t>12 806</w:t>
            </w:r>
          </w:p>
        </w:tc>
        <w:tc>
          <w:tcPr>
            <w:tcW w:w="0" w:type="pct"/>
          </w:tcPr>
          <w:p w14:paraId="2D1DC6F7"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szCs w:val="18"/>
              </w:rPr>
            </w:pPr>
            <w:r w:rsidRPr="00C97275">
              <w:rPr>
                <w:rFonts w:ascii="Georgia" w:eastAsia="Georgia" w:hAnsi="Georgia" w:cs="Arial Unicode MS"/>
                <w:b/>
                <w:color w:val="000000"/>
                <w:szCs w:val="18"/>
              </w:rPr>
              <w:t>290</w:t>
            </w:r>
          </w:p>
        </w:tc>
        <w:tc>
          <w:tcPr>
            <w:tcW w:w="0" w:type="pct"/>
          </w:tcPr>
          <w:p w14:paraId="6A66B012"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szCs w:val="18"/>
              </w:rPr>
            </w:pPr>
            <w:r w:rsidRPr="00C97275">
              <w:rPr>
                <w:rFonts w:ascii="Georgia" w:eastAsia="Georgia" w:hAnsi="Georgia" w:cs="Arial Unicode MS"/>
                <w:b/>
                <w:color w:val="000000"/>
                <w:szCs w:val="18"/>
              </w:rPr>
              <w:t>3 368</w:t>
            </w:r>
          </w:p>
        </w:tc>
      </w:tr>
    </w:tbl>
    <w:p w14:paraId="69D15EA2" w14:textId="77777777" w:rsidR="005A0219" w:rsidRPr="00C97275" w:rsidRDefault="005A0219" w:rsidP="005A0219">
      <w:pPr>
        <w:spacing w:before="120"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t xml:space="preserve">Šaltinis: sudaryta autorių. </w:t>
      </w:r>
    </w:p>
    <w:p w14:paraId="20284B0A" w14:textId="5849EAF3" w:rsidR="005A0219" w:rsidRPr="00C97275" w:rsidRDefault="005A0219" w:rsidP="0063781D">
      <w:pPr>
        <w:spacing w:after="160" w:line="240" w:lineRule="auto"/>
        <w:jc w:val="both"/>
        <w:rPr>
          <w:rFonts w:ascii="Georgia" w:eastAsia="Georgia" w:hAnsi="Georgia" w:cs="Arial Unicode MS"/>
          <w:b/>
          <w:sz w:val="20"/>
          <w:szCs w:val="20"/>
          <w:lang w:val="lt-LT"/>
        </w:rPr>
      </w:pPr>
      <w:r w:rsidRPr="00C97275">
        <w:rPr>
          <w:rFonts w:ascii="Georgia" w:eastAsia="Georgia" w:hAnsi="Georgia" w:cs="Arial Unicode MS"/>
          <w:b/>
          <w:sz w:val="20"/>
          <w:szCs w:val="20"/>
          <w:lang w:val="lt-LT"/>
        </w:rPr>
        <w:t>Pagal a</w:t>
      </w:r>
      <w:r w:rsidR="00415ADA" w:rsidRPr="00C97275">
        <w:rPr>
          <w:rFonts w:ascii="Georgia" w:eastAsia="Georgia" w:hAnsi="Georgia" w:cs="Arial Unicode MS"/>
          <w:b/>
          <w:sz w:val="20"/>
          <w:szCs w:val="20"/>
          <w:lang w:val="lt-LT"/>
        </w:rPr>
        <w:t>n</w:t>
      </w:r>
      <w:r w:rsidRPr="00C97275">
        <w:rPr>
          <w:rFonts w:ascii="Georgia" w:eastAsia="Georgia" w:hAnsi="Georgia" w:cs="Arial Unicode MS"/>
          <w:b/>
          <w:sz w:val="20"/>
          <w:szCs w:val="20"/>
          <w:lang w:val="lt-LT"/>
        </w:rPr>
        <w:t>kščiau pateiktus duomenis vidutiniškai kiekvienais metais 2017-2023 m. laikotarpiu iš gyvenamųjų ir viešųjų pastatų būtų papildomai sutaupoma 136,1 GWh energijos.</w:t>
      </w:r>
    </w:p>
    <w:p w14:paraId="44D389F0" w14:textId="77777777" w:rsidR="005A0219" w:rsidRPr="00C97275" w:rsidRDefault="005A0219" w:rsidP="005A0219">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Šie skaičiavimai atspindi energijos vartojimo taupymo tikslus Lietuvoje vadovaujantis atnaujintais tačiau dar nepatvirtintai dokumentais. Labai tikėtina, jog keisis ne tik nuostatos dėl pačio galutinio sutaupymo dydžio nustatant BGEST rodiklį 2021-2030 metais, tačiau ir galutinis energijos suvartojimas 2020 metais bei pasiskirstymas tarp energijos vartojimo gyvenamuose bei visuomeniniuose pastatuose. Todėl toliau analizuodami viešųjų pastatų, daugiabučių ir gatvių apšvietimo paklausą remsimės šiuose sektoriuose nustatytais konkrečiais tikslais įtvirtintais jų reglamentavime.    </w:t>
      </w:r>
    </w:p>
    <w:p w14:paraId="025F84B9" w14:textId="77777777" w:rsidR="005A0219" w:rsidRPr="00C97275" w:rsidRDefault="005A0219" w:rsidP="005A0219">
      <w:pPr>
        <w:keepNext/>
        <w:keepLines/>
        <w:numPr>
          <w:ilvl w:val="3"/>
          <w:numId w:val="2"/>
        </w:numPr>
        <w:spacing w:before="200" w:after="240" w:line="240" w:lineRule="auto"/>
        <w:ind w:hanging="1298"/>
        <w:outlineLvl w:val="1"/>
        <w:rPr>
          <w:rFonts w:ascii="Georgia" w:eastAsia="Times New Roman" w:hAnsi="Georgia" w:cs="Arial Unicode MS"/>
          <w:b/>
          <w:i/>
          <w:color w:val="821A1A"/>
          <w:sz w:val="32"/>
          <w:szCs w:val="26"/>
          <w:lang w:val="lt-LT"/>
        </w:rPr>
      </w:pPr>
      <w:bookmarkStart w:id="47" w:name="_Toc25594651"/>
      <w:r w:rsidRPr="00C97275">
        <w:rPr>
          <w:rFonts w:ascii="Georgia" w:eastAsia="Times New Roman" w:hAnsi="Georgia" w:cs="Arial Unicode MS"/>
          <w:b/>
          <w:i/>
          <w:color w:val="821A1A"/>
          <w:sz w:val="32"/>
          <w:szCs w:val="26"/>
          <w:lang w:val="lt-LT"/>
        </w:rPr>
        <w:t>Viešųjų pastatų modernizavimo paklausos skaičiavimas</w:t>
      </w:r>
      <w:bookmarkEnd w:id="47"/>
    </w:p>
    <w:p w14:paraId="25735A17" w14:textId="26C743CC"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 xml:space="preserve">Pagal šiuo metu galiojančius </w:t>
      </w:r>
      <w:r w:rsidR="00FE78A7" w:rsidRPr="00C97275">
        <w:rPr>
          <w:rFonts w:ascii="Georgia" w:eastAsia="Georgia" w:hAnsi="Georgia" w:cs="Arial Unicode MS"/>
          <w:bCs/>
          <w:sz w:val="20"/>
          <w:szCs w:val="20"/>
          <w:lang w:val="lt-LT"/>
        </w:rPr>
        <w:t>teisės aktus</w:t>
      </w:r>
      <w:r w:rsidRPr="00C97275">
        <w:rPr>
          <w:rFonts w:ascii="Georgia" w:eastAsia="Georgia" w:hAnsi="Georgia" w:cs="Arial Unicode MS"/>
          <w:bCs/>
          <w:sz w:val="20"/>
          <w:szCs w:val="20"/>
          <w:lang w:val="lt-LT"/>
        </w:rPr>
        <w:t xml:space="preserve"> yra nustatyti trejopi viešųjų pastatų energijos vartojimo taupymo tikslai:</w:t>
      </w:r>
    </w:p>
    <w:p w14:paraId="5553F6A1" w14:textId="12FD905C" w:rsidR="005A0219" w:rsidRPr="00C97275" w:rsidRDefault="005A0219" w:rsidP="00162BF5">
      <w:pPr>
        <w:numPr>
          <w:ilvl w:val="0"/>
          <w:numId w:val="70"/>
        </w:numPr>
        <w:autoSpaceDE w:val="0"/>
        <w:autoSpaceDN w:val="0"/>
        <w:adjustRightInd w:val="0"/>
        <w:spacing w:after="0" w:line="240" w:lineRule="auto"/>
        <w:contextualSpacing/>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0,4 TWh viešųjų pastatų sektoriuje iki 2020</w:t>
      </w:r>
      <w:r w:rsidR="00FE78A7" w:rsidRPr="00C97275">
        <w:rPr>
          <w:rFonts w:ascii="Georgia" w:eastAsia="Georgia" w:hAnsi="Georgia" w:cs="Arial Unicode MS"/>
          <w:bCs/>
          <w:sz w:val="20"/>
          <w:szCs w:val="20"/>
          <w:lang w:val="lt-LT"/>
        </w:rPr>
        <w:t xml:space="preserve"> </w:t>
      </w:r>
      <w:r w:rsidRPr="00C97275">
        <w:rPr>
          <w:rFonts w:ascii="Georgia" w:eastAsia="Georgia" w:hAnsi="Georgia" w:cs="Arial Unicode MS"/>
          <w:bCs/>
          <w:sz w:val="20"/>
          <w:szCs w:val="20"/>
          <w:lang w:val="lt-LT"/>
        </w:rPr>
        <w:t>m. (pagal Energetikos Ministerijos pateiktus duomenis);</w:t>
      </w:r>
    </w:p>
    <w:p w14:paraId="112959E7" w14:textId="46488419" w:rsidR="005A0219" w:rsidRPr="00C97275" w:rsidRDefault="00415ADA" w:rsidP="00162BF5">
      <w:pPr>
        <w:numPr>
          <w:ilvl w:val="0"/>
          <w:numId w:val="70"/>
        </w:numPr>
        <w:autoSpaceDE w:val="0"/>
        <w:autoSpaceDN w:val="0"/>
        <w:adjustRightInd w:val="0"/>
        <w:spacing w:after="0" w:line="240" w:lineRule="auto"/>
        <w:contextualSpacing/>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 xml:space="preserve">Atnaujinti </w:t>
      </w:r>
      <w:r w:rsidR="005A0219" w:rsidRPr="00C97275">
        <w:rPr>
          <w:rFonts w:ascii="Georgia" w:eastAsia="Georgia" w:hAnsi="Georgia" w:cs="Arial Unicode MS"/>
          <w:bCs/>
          <w:sz w:val="20"/>
          <w:szCs w:val="20"/>
          <w:lang w:val="lt-LT"/>
        </w:rPr>
        <w:t>700 tūks. m</w:t>
      </w:r>
      <w:r w:rsidR="005A0219" w:rsidRPr="00C97275">
        <w:rPr>
          <w:rFonts w:ascii="Georgia" w:eastAsia="Georgia" w:hAnsi="Georgia" w:cs="Arial Unicode MS"/>
          <w:bCs/>
          <w:sz w:val="20"/>
          <w:szCs w:val="20"/>
          <w:vertAlign w:val="superscript"/>
          <w:lang w:val="lt-LT"/>
        </w:rPr>
        <w:t>2</w:t>
      </w:r>
      <w:r w:rsidR="005A0219" w:rsidRPr="00C97275">
        <w:rPr>
          <w:rFonts w:ascii="Georgia" w:eastAsia="Georgia" w:hAnsi="Georgia" w:cs="Arial Unicode MS"/>
          <w:bCs/>
          <w:sz w:val="20"/>
          <w:szCs w:val="20"/>
          <w:lang w:val="lt-LT"/>
        </w:rPr>
        <w:t xml:space="preserve"> viešųjų pastatų ploto iki 2020 m.; </w:t>
      </w:r>
    </w:p>
    <w:p w14:paraId="7A6ABD78" w14:textId="77777777" w:rsidR="005A0219" w:rsidRPr="00C97275" w:rsidRDefault="005A0219" w:rsidP="00162BF5">
      <w:pPr>
        <w:numPr>
          <w:ilvl w:val="0"/>
          <w:numId w:val="70"/>
        </w:numPr>
        <w:autoSpaceDE w:val="0"/>
        <w:autoSpaceDN w:val="0"/>
        <w:adjustRightInd w:val="0"/>
        <w:spacing w:after="0" w:line="240" w:lineRule="auto"/>
        <w:contextualSpacing/>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60 GWh metinės pirminės (arba 48 GWh galutinės</w:t>
      </w:r>
      <w:r w:rsidRPr="00C97275">
        <w:rPr>
          <w:rFonts w:ascii="Georgia" w:eastAsia="Georgia" w:hAnsi="Georgia" w:cs="Arial Unicode MS"/>
          <w:bCs/>
          <w:color w:val="000000"/>
          <w:sz w:val="20"/>
          <w:szCs w:val="20"/>
          <w:vertAlign w:val="superscript"/>
          <w:lang w:val="lt-LT"/>
        </w:rPr>
        <w:footnoteReference w:id="16"/>
      </w:r>
      <w:r w:rsidRPr="00C97275">
        <w:rPr>
          <w:rFonts w:ascii="Georgia" w:eastAsia="Georgia" w:hAnsi="Georgia" w:cs="Arial Unicode MS"/>
          <w:bCs/>
          <w:sz w:val="20"/>
          <w:szCs w:val="20"/>
          <w:lang w:val="lt-LT"/>
        </w:rPr>
        <w:t>) energijos atnaujintuose viešuosiuose pastatuose iki 2020 m.</w:t>
      </w:r>
    </w:p>
    <w:p w14:paraId="6BF39A87"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 xml:space="preserve"> </w:t>
      </w:r>
    </w:p>
    <w:p w14:paraId="7B7C29A5"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 xml:space="preserve">Toliau trumpai analizuojamas kiekvienas ir jų reikšmė galutinei paklausai. Atsižvelgiant į tai, jog daugiabučių ir viešųjų pastatų atnaujinimo programomis siekiama sutaupyti atitinkamai 2,67 TWh ir 0,4 TWh iki 2020 metų, išlaikant tokią pat proporciją apskaičiuojamas vidutinis metinis naujos </w:t>
      </w:r>
      <w:r w:rsidRPr="00C97275">
        <w:rPr>
          <w:rFonts w:ascii="Georgia" w:eastAsia="Georgia" w:hAnsi="Georgia" w:cs="Arial Unicode MS"/>
          <w:bCs/>
          <w:sz w:val="20"/>
          <w:szCs w:val="20"/>
          <w:lang w:val="lt-LT"/>
        </w:rPr>
        <w:lastRenderedPageBreak/>
        <w:t xml:space="preserve">energijos sutaupymų dydis iš viešųjų pastatų iki pat 2023 metų, kuris lygus 18 GWh (138,3 x 13%) pagal bendrus energijos taupymo tikslus. </w:t>
      </w:r>
    </w:p>
    <w:p w14:paraId="6556A1D7"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478B9B88"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Svarbu prisiminti, jog siekiant antro ir trečio tikslo, būtina atimti 2014-2016 metais jau renovuotų viešųjų pastatų plotą ir sutaupomos pirminės energijos kiekį. Taip pat turi būti pridėtas ir 2021-2023 metų viešųjų pastatų modernizavimo poreikis. Darant prielaidą, jog ir 2021-2023 metais bus keliami proporcingi tikslai kaip ir praėjusiam laikotarpiui, antram tikslui reikėtų pridėti 348 tūkst. m</w:t>
      </w:r>
      <w:r w:rsidRPr="00C97275">
        <w:rPr>
          <w:rFonts w:ascii="Georgia" w:eastAsia="Georgia" w:hAnsi="Georgia" w:cs="Arial Unicode MS"/>
          <w:bCs/>
          <w:sz w:val="20"/>
          <w:szCs w:val="20"/>
          <w:vertAlign w:val="superscript"/>
          <w:lang w:val="lt-LT"/>
        </w:rPr>
        <w:t>2</w:t>
      </w:r>
      <w:r w:rsidRPr="00C97275">
        <w:rPr>
          <w:rFonts w:ascii="Georgia" w:eastAsia="Georgia" w:hAnsi="Georgia" w:cs="Arial Unicode MS"/>
          <w:bCs/>
          <w:sz w:val="20"/>
          <w:szCs w:val="20"/>
          <w:lang w:val="lt-LT"/>
        </w:rPr>
        <w:t xml:space="preserve">, o trečiam – 30 GWh pirminės (24 GWh galutinės) suvartojamos energijos kiekio. </w:t>
      </w:r>
    </w:p>
    <w:p w14:paraId="51DA95DC"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49B3F083" w14:textId="135553E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Lietuvos Respublikos Vyriausybės 2014 m. lapkričio 26 d. nutarimu Nr. 1328 „Dėl Viešųjų pastatų energinio efektyvumo didinimo programos patvirtinimo“ nustatyta iki 2020 metų atnaujinti 700 tūkst. m</w:t>
      </w:r>
      <w:r w:rsidRPr="00C97275">
        <w:rPr>
          <w:rFonts w:ascii="Georgia" w:eastAsia="Georgia" w:hAnsi="Georgia" w:cs="Arial Unicode MS"/>
          <w:bCs/>
          <w:sz w:val="20"/>
          <w:szCs w:val="20"/>
          <w:vertAlign w:val="superscript"/>
          <w:lang w:val="lt-LT"/>
        </w:rPr>
        <w:t>2</w:t>
      </w:r>
      <w:r w:rsidRPr="00C97275">
        <w:rPr>
          <w:rFonts w:ascii="Georgia" w:eastAsia="Georgia" w:hAnsi="Georgia" w:cs="Arial Unicode MS"/>
          <w:bCs/>
          <w:sz w:val="20"/>
          <w:szCs w:val="20"/>
          <w:lang w:val="lt-LT"/>
        </w:rPr>
        <w:t xml:space="preserve"> viešųjų pastatų ploto – 470 tūkst. m</w:t>
      </w:r>
      <w:r w:rsidRPr="00C97275">
        <w:rPr>
          <w:rFonts w:ascii="Georgia" w:eastAsia="Georgia" w:hAnsi="Georgia" w:cs="Arial Unicode MS"/>
          <w:bCs/>
          <w:sz w:val="20"/>
          <w:szCs w:val="20"/>
          <w:vertAlign w:val="superscript"/>
          <w:lang w:val="lt-LT"/>
        </w:rPr>
        <w:t>2</w:t>
      </w:r>
      <w:r w:rsidRPr="00C97275">
        <w:rPr>
          <w:rFonts w:ascii="Georgia" w:eastAsia="Georgia" w:hAnsi="Georgia" w:cs="Arial Unicode MS"/>
          <w:bCs/>
          <w:sz w:val="20"/>
          <w:szCs w:val="20"/>
          <w:lang w:val="lt-LT"/>
        </w:rPr>
        <w:t xml:space="preserve"> (arba 67%) valstybei nuosavybės teise priklausančio pastatų ploto ir 230 tūkst. m</w:t>
      </w:r>
      <w:r w:rsidRPr="00C97275">
        <w:rPr>
          <w:rFonts w:ascii="Georgia" w:eastAsia="Georgia" w:hAnsi="Georgia" w:cs="Arial Unicode MS"/>
          <w:bCs/>
          <w:sz w:val="20"/>
          <w:szCs w:val="20"/>
          <w:vertAlign w:val="superscript"/>
          <w:lang w:val="lt-LT"/>
        </w:rPr>
        <w:t>2</w:t>
      </w:r>
      <w:r w:rsidRPr="00C97275">
        <w:rPr>
          <w:rFonts w:ascii="Georgia" w:eastAsia="Georgia" w:hAnsi="Georgia" w:cs="Arial Unicode MS"/>
          <w:bCs/>
          <w:sz w:val="20"/>
          <w:szCs w:val="20"/>
          <w:lang w:val="lt-LT"/>
        </w:rPr>
        <w:t xml:space="preserve"> (arba 33%) savivaldybėms nuosavybės teise priklausančio pastatų ploto. Remiantis 2014 m. sausio 23 d. Nr.1-7 LR Energetikos ministro įsakymu dėl valstybės nuosavybės teise priklausančių šildomų ir (arba) vėsinamų valstybės institucijų ir įstaigų – valstybinio administravimo subjektų naudojamų pastatų sąrašu, atimamas metinis numatytas renovuoti viešųjų pastatų plotas (133,406 m</w:t>
      </w:r>
      <w:r w:rsidRPr="00C97275">
        <w:rPr>
          <w:rFonts w:ascii="Georgia" w:eastAsia="Georgia" w:hAnsi="Georgia" w:cs="Arial Unicode MS"/>
          <w:bCs/>
          <w:sz w:val="20"/>
          <w:szCs w:val="20"/>
          <w:vertAlign w:val="superscript"/>
          <w:lang w:val="lt-LT"/>
        </w:rPr>
        <w:t>2</w:t>
      </w:r>
      <w:r w:rsidRPr="00C97275">
        <w:rPr>
          <w:rFonts w:ascii="Georgia" w:eastAsia="Georgia" w:hAnsi="Georgia" w:cs="Arial Unicode MS"/>
          <w:bCs/>
          <w:sz w:val="20"/>
          <w:szCs w:val="20"/>
          <w:lang w:val="lt-LT"/>
        </w:rPr>
        <w:t>). Taip pat 2021-2023m. periodui pridedama 348 tūkst. m</w:t>
      </w:r>
      <w:r w:rsidRPr="00C97275">
        <w:rPr>
          <w:rFonts w:ascii="Georgia" w:eastAsia="Georgia" w:hAnsi="Georgia" w:cs="Arial Unicode MS"/>
          <w:bCs/>
          <w:sz w:val="20"/>
          <w:szCs w:val="20"/>
          <w:vertAlign w:val="superscript"/>
          <w:lang w:val="lt-LT"/>
        </w:rPr>
        <w:t>2</w:t>
      </w:r>
      <w:r w:rsidRPr="00C97275">
        <w:rPr>
          <w:rFonts w:ascii="Georgia" w:eastAsia="Georgia" w:hAnsi="Georgia" w:cs="Arial Unicode MS"/>
          <w:bCs/>
          <w:sz w:val="20"/>
          <w:szCs w:val="20"/>
          <w:lang w:val="lt-LT"/>
        </w:rPr>
        <w:t>, tokiu būdu perskaičiuotas paklausa lygi 914,594 m</w:t>
      </w:r>
      <w:r w:rsidRPr="00C97275">
        <w:rPr>
          <w:rFonts w:ascii="Georgia" w:eastAsia="Georgia" w:hAnsi="Georgia" w:cs="Arial Unicode MS"/>
          <w:bCs/>
          <w:sz w:val="20"/>
          <w:szCs w:val="20"/>
          <w:vertAlign w:val="superscript"/>
          <w:lang w:val="lt-LT"/>
        </w:rPr>
        <w:t>2</w:t>
      </w:r>
      <w:r w:rsidRPr="00C97275">
        <w:rPr>
          <w:rFonts w:ascii="Georgia" w:eastAsia="Georgia" w:hAnsi="Georgia" w:cs="Arial Unicode MS"/>
          <w:bCs/>
          <w:sz w:val="20"/>
          <w:szCs w:val="20"/>
          <w:lang w:val="lt-LT"/>
        </w:rPr>
        <w:t xml:space="preserve">. Darant prielaidą, jog vienam </w:t>
      </w:r>
      <w:r w:rsidR="00415ADA" w:rsidRPr="00C97275">
        <w:rPr>
          <w:rFonts w:ascii="Georgia" w:eastAsia="Georgia" w:hAnsi="Georgia" w:cs="Arial Unicode MS"/>
          <w:bCs/>
          <w:sz w:val="20"/>
          <w:szCs w:val="20"/>
          <w:lang w:val="lt-LT"/>
        </w:rPr>
        <w:t xml:space="preserve">kvadratiniam metrui </w:t>
      </w:r>
      <w:r w:rsidRPr="00C97275">
        <w:rPr>
          <w:rFonts w:ascii="Georgia" w:eastAsia="Georgia" w:hAnsi="Georgia" w:cs="Arial Unicode MS"/>
          <w:bCs/>
          <w:sz w:val="20"/>
          <w:szCs w:val="20"/>
          <w:lang w:val="lt-LT"/>
        </w:rPr>
        <w:t>galima sutaupyti 110 kWh (prielaida taikyta ankstesnėje ex-ante ataskaitoje), tai bendras energijos sutaupymų dydis siektų apie 100,6 GWh.</w:t>
      </w:r>
    </w:p>
    <w:p w14:paraId="171EB865"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1094B643" w14:textId="6700832E" w:rsidR="005A0219" w:rsidRPr="00C97275" w:rsidRDefault="00144175"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Remiantis trečiuoju viešųjų pastatų energijos vartojimo taupymo</w:t>
      </w:r>
      <w:r w:rsidR="005A0219" w:rsidRPr="00C97275">
        <w:rPr>
          <w:rFonts w:ascii="Georgia" w:eastAsia="Georgia" w:hAnsi="Georgia" w:cs="Arial Unicode MS"/>
          <w:bCs/>
          <w:sz w:val="20"/>
          <w:szCs w:val="20"/>
          <w:lang w:val="lt-LT"/>
        </w:rPr>
        <w:t xml:space="preserve"> </w:t>
      </w:r>
      <w:r w:rsidRPr="00C97275">
        <w:rPr>
          <w:rFonts w:ascii="Georgia" w:eastAsia="Georgia" w:hAnsi="Georgia" w:cs="Arial Unicode MS"/>
          <w:bCs/>
          <w:sz w:val="20"/>
          <w:szCs w:val="20"/>
          <w:lang w:val="lt-LT"/>
        </w:rPr>
        <w:t xml:space="preserve">tikslu </w:t>
      </w:r>
      <w:r w:rsidR="005A0219" w:rsidRPr="00C97275">
        <w:rPr>
          <w:rFonts w:ascii="Georgia" w:eastAsia="Georgia" w:hAnsi="Georgia" w:cs="Arial Unicode MS"/>
          <w:bCs/>
          <w:sz w:val="20"/>
          <w:szCs w:val="20"/>
          <w:lang w:val="lt-LT"/>
        </w:rPr>
        <w:t xml:space="preserve">pirminės ir galutinės energijos metinis sutaupymų lygis </w:t>
      </w:r>
      <w:r w:rsidRPr="00C97275">
        <w:rPr>
          <w:rFonts w:ascii="Georgia" w:eastAsia="Georgia" w:hAnsi="Georgia" w:cs="Arial Unicode MS"/>
          <w:bCs/>
          <w:sz w:val="20"/>
          <w:szCs w:val="20"/>
          <w:lang w:val="lt-LT"/>
        </w:rPr>
        <w:t xml:space="preserve">turėtų siekti atitinkamai </w:t>
      </w:r>
      <w:r w:rsidR="005A0219" w:rsidRPr="00C97275">
        <w:rPr>
          <w:rFonts w:ascii="Georgia" w:eastAsia="Georgia" w:hAnsi="Georgia" w:cs="Arial Unicode MS"/>
          <w:bCs/>
          <w:sz w:val="20"/>
          <w:szCs w:val="20"/>
          <w:lang w:val="lt-LT"/>
        </w:rPr>
        <w:t>60 GWh ir 48</w:t>
      </w:r>
      <w:r w:rsidR="00415ADA" w:rsidRPr="00C97275">
        <w:rPr>
          <w:rFonts w:ascii="Georgia" w:eastAsia="Georgia" w:hAnsi="Georgia" w:cs="Arial Unicode MS"/>
          <w:bCs/>
          <w:sz w:val="20"/>
          <w:szCs w:val="20"/>
          <w:lang w:val="lt-LT"/>
        </w:rPr>
        <w:t xml:space="preserve"> </w:t>
      </w:r>
      <w:r w:rsidR="005A0219" w:rsidRPr="00C97275">
        <w:rPr>
          <w:rFonts w:ascii="Georgia" w:eastAsia="Georgia" w:hAnsi="Georgia" w:cs="Arial Unicode MS"/>
          <w:bCs/>
          <w:sz w:val="20"/>
          <w:szCs w:val="20"/>
          <w:lang w:val="lt-LT"/>
        </w:rPr>
        <w:t>GWh per metus. Paklausa atitinkamai sumažinama pagal faktinį sutaupytą galutinį energijos kiekį 2014-2016 metais (22 GWh</w:t>
      </w:r>
      <w:r w:rsidR="005A0219" w:rsidRPr="00C97275">
        <w:rPr>
          <w:rFonts w:ascii="Georgia" w:eastAsia="Georgia" w:hAnsi="Georgia" w:cs="Arial Unicode MS"/>
          <w:bCs/>
          <w:color w:val="000000"/>
          <w:sz w:val="20"/>
          <w:szCs w:val="20"/>
          <w:vertAlign w:val="superscript"/>
          <w:lang w:val="lt-LT"/>
        </w:rPr>
        <w:footnoteReference w:id="17"/>
      </w:r>
      <w:r w:rsidR="005A0219" w:rsidRPr="00C97275">
        <w:rPr>
          <w:rFonts w:ascii="Georgia" w:eastAsia="Georgia" w:hAnsi="Georgia" w:cs="Arial Unicode MS"/>
          <w:bCs/>
          <w:sz w:val="20"/>
          <w:szCs w:val="20"/>
          <w:lang w:val="lt-LT"/>
        </w:rPr>
        <w:t>) ir padidinama proporcingu metiniu taupymo dydžiu kaip aprašyta aukščiau. Taip gaunamas pakoreguotas galutinės energijos vartojimo taupymo siekis lygus 56GWh.</w:t>
      </w:r>
    </w:p>
    <w:p w14:paraId="3420EB54"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6DF0B7D3" w14:textId="0AD08396" w:rsidR="005A0219" w:rsidRPr="00C97275" w:rsidRDefault="00A9729F"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 xml:space="preserve">Siekiant kiek įmanoma tikslesnių skaičiavimų yra svarbu </w:t>
      </w:r>
      <w:r w:rsidR="005170BD" w:rsidRPr="00C97275">
        <w:rPr>
          <w:rFonts w:ascii="Georgia" w:eastAsia="Georgia" w:hAnsi="Georgia" w:cs="Arial Unicode MS"/>
          <w:bCs/>
          <w:sz w:val="20"/>
          <w:szCs w:val="20"/>
          <w:lang w:val="lt-LT"/>
        </w:rPr>
        <w:t>minimizuoti</w:t>
      </w:r>
      <w:r w:rsidRPr="00C97275">
        <w:rPr>
          <w:rFonts w:ascii="Georgia" w:eastAsia="Georgia" w:hAnsi="Georgia" w:cs="Arial Unicode MS"/>
          <w:bCs/>
          <w:sz w:val="20"/>
          <w:szCs w:val="20"/>
          <w:lang w:val="lt-LT"/>
        </w:rPr>
        <w:t xml:space="preserve"> prielaidų </w:t>
      </w:r>
      <w:r w:rsidR="005170BD" w:rsidRPr="00C97275">
        <w:rPr>
          <w:rFonts w:ascii="Georgia" w:eastAsia="Georgia" w:hAnsi="Georgia" w:cs="Arial Unicode MS"/>
          <w:bCs/>
          <w:sz w:val="20"/>
          <w:szCs w:val="20"/>
          <w:lang w:val="lt-LT"/>
        </w:rPr>
        <w:t xml:space="preserve">skaičių </w:t>
      </w:r>
      <w:r w:rsidR="005A0219" w:rsidRPr="00C97275">
        <w:rPr>
          <w:rFonts w:ascii="Georgia" w:eastAsia="Georgia" w:hAnsi="Georgia" w:cs="Arial Unicode MS"/>
          <w:bCs/>
          <w:sz w:val="20"/>
          <w:szCs w:val="20"/>
          <w:lang w:val="lt-LT"/>
        </w:rPr>
        <w:t>(</w:t>
      </w:r>
      <w:r w:rsidR="005170BD" w:rsidRPr="00C97275">
        <w:rPr>
          <w:rFonts w:ascii="Georgia" w:eastAsia="Georgia" w:hAnsi="Georgia" w:cs="Arial Unicode MS"/>
          <w:bCs/>
          <w:sz w:val="20"/>
          <w:szCs w:val="20"/>
          <w:lang w:val="lt-LT"/>
        </w:rPr>
        <w:t xml:space="preserve">pvz. </w:t>
      </w:r>
      <w:r w:rsidR="005A0219" w:rsidRPr="00C97275">
        <w:rPr>
          <w:rFonts w:ascii="Georgia" w:eastAsia="Georgia" w:hAnsi="Georgia" w:cs="Arial Unicode MS"/>
          <w:bCs/>
          <w:sz w:val="20"/>
          <w:szCs w:val="20"/>
          <w:lang w:val="lt-LT"/>
        </w:rPr>
        <w:t>energijos suvartojimas šalyje 2018-2020 metais, viešųjų pastatų energijos sutaupymų dalis bendrame balanse,</w:t>
      </w:r>
      <w:r w:rsidR="00276EEF" w:rsidRPr="00C97275">
        <w:rPr>
          <w:rFonts w:ascii="Georgia" w:eastAsia="Georgia" w:hAnsi="Georgia" w:cs="Arial Unicode MS"/>
          <w:bCs/>
          <w:sz w:val="20"/>
          <w:szCs w:val="20"/>
          <w:lang w:val="lt-LT"/>
        </w:rPr>
        <w:t xml:space="preserve"> sutaupymų dydis vienam m</w:t>
      </w:r>
      <w:r w:rsidR="00276EEF" w:rsidRPr="00C97275">
        <w:rPr>
          <w:rFonts w:ascii="Georgia" w:eastAsia="Georgia" w:hAnsi="Georgia" w:cs="Arial Unicode MS"/>
          <w:bCs/>
          <w:sz w:val="20"/>
          <w:szCs w:val="20"/>
          <w:vertAlign w:val="superscript"/>
          <w:lang w:val="lt-LT"/>
        </w:rPr>
        <w:t>2</w:t>
      </w:r>
      <w:r w:rsidR="00276EEF" w:rsidRPr="00C97275">
        <w:rPr>
          <w:rFonts w:ascii="Georgia" w:eastAsia="Georgia" w:hAnsi="Georgia" w:cs="Arial Unicode MS"/>
          <w:bCs/>
          <w:sz w:val="20"/>
          <w:szCs w:val="20"/>
          <w:lang w:val="lt-LT"/>
        </w:rPr>
        <w:t xml:space="preserve"> </w:t>
      </w:r>
      <w:r w:rsidR="005A0219" w:rsidRPr="00C97275">
        <w:rPr>
          <w:rFonts w:ascii="Georgia" w:eastAsia="Georgia" w:hAnsi="Georgia" w:cs="Arial Unicode MS"/>
          <w:bCs/>
          <w:sz w:val="20"/>
          <w:szCs w:val="20"/>
          <w:lang w:val="lt-LT"/>
        </w:rPr>
        <w:t>ir pan.)</w:t>
      </w:r>
      <w:r w:rsidR="005170BD" w:rsidRPr="00C97275">
        <w:rPr>
          <w:rFonts w:ascii="Georgia" w:eastAsia="Georgia" w:hAnsi="Georgia" w:cs="Arial Unicode MS"/>
          <w:bCs/>
          <w:sz w:val="20"/>
          <w:szCs w:val="20"/>
          <w:lang w:val="lt-LT"/>
        </w:rPr>
        <w:t>, kurios naudojamos aukščiau aprašytiems pirmojo ir antrojo metodų įvertinimui</w:t>
      </w:r>
      <w:r w:rsidR="00362FA8" w:rsidRPr="00C97275">
        <w:rPr>
          <w:rFonts w:ascii="Georgia" w:eastAsia="Georgia" w:hAnsi="Georgia" w:cs="Arial Unicode MS"/>
          <w:bCs/>
          <w:sz w:val="20"/>
          <w:szCs w:val="20"/>
          <w:lang w:val="lt-LT"/>
        </w:rPr>
        <w:t xml:space="preserve">, </w:t>
      </w:r>
      <w:r w:rsidR="005A0219" w:rsidRPr="00C97275">
        <w:rPr>
          <w:rFonts w:ascii="Georgia" w:eastAsia="Georgia" w:hAnsi="Georgia" w:cs="Arial Unicode MS"/>
          <w:bCs/>
          <w:sz w:val="20"/>
          <w:szCs w:val="20"/>
          <w:lang w:val="lt-LT"/>
        </w:rPr>
        <w:t>siūlomas naudoti trečiasis būdas, numatantis 56 GWh metinius galutinės energijos sutaupymus 2017-2023 metų periodu.</w:t>
      </w:r>
    </w:p>
    <w:p w14:paraId="46C91057"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2A84A8A8"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4"/>
          <w:lang w:val="lt-LT"/>
        </w:rPr>
      </w:pPr>
      <w:r w:rsidRPr="00C97275">
        <w:rPr>
          <w:rFonts w:ascii="Georgia" w:eastAsia="Georgia" w:hAnsi="Georgia" w:cs="Arial Unicode MS"/>
          <w:bCs/>
          <w:sz w:val="20"/>
          <w:szCs w:val="20"/>
          <w:lang w:val="lt-LT"/>
        </w:rPr>
        <w:t xml:space="preserve">Žemiau esančioje lentelėje </w:t>
      </w:r>
      <w:r w:rsidRPr="00C97275">
        <w:rPr>
          <w:rFonts w:ascii="Georgia" w:eastAsia="Georgia" w:hAnsi="Georgia" w:cs="Arial Unicode MS"/>
          <w:bCs/>
          <w:sz w:val="20"/>
          <w:szCs w:val="24"/>
          <w:lang w:val="lt-LT"/>
        </w:rPr>
        <w:t xml:space="preserve">pateikiamos  prielaidos ir skaičiavimai bei jų pagrindimas skaičiuojant viešųjų pastatų paklausą investicijoms </w:t>
      </w:r>
    </w:p>
    <w:p w14:paraId="3E4700B6" w14:textId="77777777" w:rsidR="005A0219" w:rsidRPr="00C97275" w:rsidRDefault="005A0219" w:rsidP="005A0219">
      <w:pPr>
        <w:autoSpaceDE w:val="0"/>
        <w:autoSpaceDN w:val="0"/>
        <w:adjustRightInd w:val="0"/>
        <w:spacing w:after="0" w:line="240" w:lineRule="auto"/>
        <w:ind w:left="360"/>
        <w:jc w:val="both"/>
        <w:rPr>
          <w:rFonts w:ascii="Georgia" w:eastAsia="Georgia" w:hAnsi="Georgia" w:cs="Arial Unicode MS"/>
          <w:bCs/>
          <w:sz w:val="20"/>
          <w:szCs w:val="24"/>
          <w:lang w:val="lt-LT"/>
        </w:rPr>
      </w:pPr>
    </w:p>
    <w:p w14:paraId="44F30B20" w14:textId="291FC44E" w:rsidR="005A0219" w:rsidRPr="00C97275" w:rsidRDefault="005A0219" w:rsidP="005A0219">
      <w:pPr>
        <w:spacing w:after="120" w:line="240" w:lineRule="auto"/>
        <w:jc w:val="both"/>
        <w:rPr>
          <w:rFonts w:ascii="Georgia" w:eastAsia="Georgia" w:hAnsi="Georgia" w:cs="Arial Unicode MS"/>
          <w:bCs/>
          <w:i/>
          <w:iCs/>
          <w:color w:val="821A1A"/>
          <w:sz w:val="20"/>
          <w:szCs w:val="18"/>
          <w:lang w:val="lt-LT"/>
        </w:rPr>
      </w:pPr>
      <w:bookmarkStart w:id="48" w:name="_Ref399516082"/>
      <w:bookmarkStart w:id="49" w:name="_Ref399515274"/>
      <w:bookmarkStart w:id="50" w:name="_Toc455735505"/>
      <w:bookmarkStart w:id="51" w:name="_Toc19105223"/>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10</w:t>
      </w:r>
      <w:r w:rsidRPr="00C97275">
        <w:rPr>
          <w:rFonts w:ascii="Georgia" w:eastAsia="Georgia" w:hAnsi="Georgia" w:cs="Arial Unicode MS"/>
          <w:i/>
          <w:iCs/>
          <w:color w:val="821A1A"/>
          <w:sz w:val="20"/>
          <w:szCs w:val="18"/>
          <w:lang w:val="lt-LT"/>
        </w:rPr>
        <w:fldChar w:fldCharType="end"/>
      </w:r>
      <w:bookmarkEnd w:id="48"/>
      <w:r w:rsidRPr="00C97275">
        <w:rPr>
          <w:rFonts w:ascii="Georgia" w:eastAsia="Georgia" w:hAnsi="Georgia" w:cs="Arial Unicode MS"/>
          <w:i/>
          <w:iCs/>
          <w:color w:val="821A1A"/>
          <w:sz w:val="20"/>
          <w:szCs w:val="18"/>
          <w:lang w:val="lt-LT"/>
        </w:rPr>
        <w:t xml:space="preserve">. </w:t>
      </w:r>
      <w:bookmarkEnd w:id="49"/>
      <w:r w:rsidRPr="00C97275">
        <w:rPr>
          <w:rFonts w:ascii="Georgia" w:eastAsia="Georgia" w:hAnsi="Georgia" w:cs="Arial Unicode MS"/>
          <w:i/>
          <w:iCs/>
          <w:color w:val="821A1A"/>
          <w:sz w:val="20"/>
          <w:szCs w:val="18"/>
          <w:lang w:val="lt-LT"/>
        </w:rPr>
        <w:t>Viešųjų pastatų p</w:t>
      </w:r>
      <w:r w:rsidRPr="00C97275">
        <w:rPr>
          <w:rFonts w:ascii="Georgia" w:eastAsia="Georgia" w:hAnsi="Georgia" w:cs="Georgia"/>
          <w:i/>
          <w:iCs/>
          <w:color w:val="821A1A"/>
          <w:sz w:val="20"/>
          <w:szCs w:val="20"/>
          <w:lang w:val="lt-LT"/>
        </w:rPr>
        <w:t>aklausos skaičiavimo prielaidos ir paklausos rodiklių skaičiavimas</w:t>
      </w:r>
      <w:bookmarkEnd w:id="50"/>
      <w:bookmarkEnd w:id="51"/>
    </w:p>
    <w:tbl>
      <w:tblPr>
        <w:tblStyle w:val="LightList-Accent21"/>
        <w:tblW w:w="9180" w:type="dxa"/>
        <w:tblLook w:val="04A0" w:firstRow="1" w:lastRow="0" w:firstColumn="1" w:lastColumn="0" w:noHBand="0" w:noVBand="1"/>
      </w:tblPr>
      <w:tblGrid>
        <w:gridCol w:w="981"/>
        <w:gridCol w:w="2086"/>
        <w:gridCol w:w="1599"/>
        <w:gridCol w:w="4514"/>
      </w:tblGrid>
      <w:tr w:rsidR="005A0219" w:rsidRPr="00C97275" w14:paraId="1F488C3C" w14:textId="77777777" w:rsidTr="0063781D">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75" w:type="dxa"/>
            <w:hideMark/>
          </w:tcPr>
          <w:p w14:paraId="3AFEAFA1"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Eil.</w:t>
            </w:r>
          </w:p>
          <w:p w14:paraId="57A487A2"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Nr.</w:t>
            </w:r>
          </w:p>
        </w:tc>
        <w:tc>
          <w:tcPr>
            <w:tcW w:w="0" w:type="dxa"/>
            <w:hideMark/>
          </w:tcPr>
          <w:p w14:paraId="5DF42B04"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Rodiklis</w:t>
            </w:r>
          </w:p>
        </w:tc>
        <w:tc>
          <w:tcPr>
            <w:tcW w:w="0" w:type="dxa"/>
            <w:hideMark/>
          </w:tcPr>
          <w:p w14:paraId="7B231822"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Rodiklio dydis</w:t>
            </w:r>
          </w:p>
        </w:tc>
        <w:tc>
          <w:tcPr>
            <w:tcW w:w="3105" w:type="dxa"/>
            <w:hideMark/>
          </w:tcPr>
          <w:p w14:paraId="0C61CED6"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Informacijos šaltinis, pagrindimas</w:t>
            </w:r>
          </w:p>
        </w:tc>
      </w:tr>
      <w:tr w:rsidR="005A0219" w:rsidRPr="00C97275" w14:paraId="4DBC828F" w14:textId="77777777" w:rsidTr="006378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5" w:type="dxa"/>
            <w:hideMark/>
          </w:tcPr>
          <w:p w14:paraId="3D389EE2"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w:t>
            </w:r>
          </w:p>
        </w:tc>
        <w:tc>
          <w:tcPr>
            <w:tcW w:w="0" w:type="dxa"/>
            <w:hideMark/>
          </w:tcPr>
          <w:p w14:paraId="403409B6"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Po renovacijos pastatų energijos sutaupymas kWh/m2</w:t>
            </w:r>
          </w:p>
        </w:tc>
        <w:tc>
          <w:tcPr>
            <w:tcW w:w="0" w:type="dxa"/>
            <w:hideMark/>
          </w:tcPr>
          <w:p w14:paraId="27655B24"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110</w:t>
            </w:r>
          </w:p>
        </w:tc>
        <w:tc>
          <w:tcPr>
            <w:tcW w:w="3105" w:type="dxa"/>
            <w:hideMark/>
          </w:tcPr>
          <w:p w14:paraId="76664D9D"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Remiantis ENEF fondo valdytojui pateiktų paraiškų duomenimis</w:t>
            </w:r>
          </w:p>
        </w:tc>
      </w:tr>
      <w:tr w:rsidR="005A0219" w:rsidRPr="00C97275" w14:paraId="3B254251" w14:textId="77777777" w:rsidTr="0063781D">
        <w:trPr>
          <w:trHeight w:val="315"/>
        </w:trPr>
        <w:tc>
          <w:tcPr>
            <w:cnfStyle w:val="001000000000" w:firstRow="0" w:lastRow="0" w:firstColumn="1" w:lastColumn="0" w:oddVBand="0" w:evenVBand="0" w:oddHBand="0" w:evenHBand="0" w:firstRowFirstColumn="0" w:firstRowLastColumn="0" w:lastRowFirstColumn="0" w:lastRowLastColumn="0"/>
            <w:tcW w:w="675" w:type="dxa"/>
            <w:hideMark/>
          </w:tcPr>
          <w:p w14:paraId="53E991F9"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w:t>
            </w:r>
          </w:p>
        </w:tc>
        <w:tc>
          <w:tcPr>
            <w:tcW w:w="0" w:type="dxa"/>
            <w:hideMark/>
          </w:tcPr>
          <w:p w14:paraId="4291D81F"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Vidutis viešojo pastato plotas, m</w:t>
            </w:r>
            <w:r w:rsidRPr="00C97275">
              <w:rPr>
                <w:rFonts w:ascii="Georgia" w:eastAsia="Times New Roman" w:hAnsi="Georgia" w:cs="Times New Roman"/>
                <w:color w:val="000000"/>
                <w:sz w:val="20"/>
                <w:szCs w:val="20"/>
                <w:vertAlign w:val="superscript"/>
                <w:lang w:eastAsia="lt-LT"/>
              </w:rPr>
              <w:t>2</w:t>
            </w:r>
          </w:p>
        </w:tc>
        <w:tc>
          <w:tcPr>
            <w:tcW w:w="0" w:type="dxa"/>
            <w:hideMark/>
          </w:tcPr>
          <w:p w14:paraId="701CEEDB"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1209</w:t>
            </w:r>
          </w:p>
        </w:tc>
        <w:tc>
          <w:tcPr>
            <w:tcW w:w="3105" w:type="dxa"/>
            <w:hideMark/>
          </w:tcPr>
          <w:p w14:paraId="21044058"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Paskaičiuota 2.1.1. dalyje</w:t>
            </w:r>
          </w:p>
        </w:tc>
      </w:tr>
      <w:tr w:rsidR="005A0219" w:rsidRPr="00C97275" w14:paraId="72D52AFF"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1F6DE8CE"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3</w:t>
            </w:r>
          </w:p>
        </w:tc>
        <w:tc>
          <w:tcPr>
            <w:tcW w:w="0" w:type="dxa"/>
            <w:hideMark/>
          </w:tcPr>
          <w:p w14:paraId="5688F655"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Bendras viešųjų pastatų metinis sutaupymas, GWh</w:t>
            </w:r>
          </w:p>
        </w:tc>
        <w:tc>
          <w:tcPr>
            <w:tcW w:w="0" w:type="dxa"/>
            <w:hideMark/>
          </w:tcPr>
          <w:p w14:paraId="5F5F105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56</w:t>
            </w:r>
          </w:p>
        </w:tc>
        <w:tc>
          <w:tcPr>
            <w:tcW w:w="3105" w:type="dxa"/>
            <w:hideMark/>
          </w:tcPr>
          <w:p w14:paraId="5D03B8CB"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Paskaičiuota 2.2.1. dalyje </w:t>
            </w:r>
          </w:p>
        </w:tc>
      </w:tr>
      <w:tr w:rsidR="005A0219" w:rsidRPr="00C97275" w14:paraId="716CE316"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76DF5E03"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4</w:t>
            </w:r>
          </w:p>
        </w:tc>
        <w:tc>
          <w:tcPr>
            <w:tcW w:w="0" w:type="dxa"/>
            <w:hideMark/>
          </w:tcPr>
          <w:p w14:paraId="72269026"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Tipinio viešojo renovuoto pastato sutaupymai, GWh per metus</w:t>
            </w:r>
          </w:p>
        </w:tc>
        <w:tc>
          <w:tcPr>
            <w:tcW w:w="0" w:type="dxa"/>
            <w:hideMark/>
          </w:tcPr>
          <w:p w14:paraId="4C74F3C5"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0.133</w:t>
            </w:r>
          </w:p>
        </w:tc>
        <w:tc>
          <w:tcPr>
            <w:tcW w:w="3105" w:type="dxa"/>
            <w:hideMark/>
          </w:tcPr>
          <w:p w14:paraId="3DB8B10C"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w:t>
            </w:r>
          </w:p>
        </w:tc>
      </w:tr>
      <w:tr w:rsidR="005A0219" w:rsidRPr="00C97275" w14:paraId="452D186E"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7950B900"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5</w:t>
            </w:r>
          </w:p>
        </w:tc>
        <w:tc>
          <w:tcPr>
            <w:tcW w:w="0" w:type="dxa"/>
            <w:hideMark/>
          </w:tcPr>
          <w:p w14:paraId="28D63880"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Bendras renovuotinų viešųjų pastatų kiekis per metus, </w:t>
            </w:r>
            <w:r w:rsidRPr="00C97275">
              <w:rPr>
                <w:rFonts w:ascii="Georgia" w:eastAsia="Times New Roman" w:hAnsi="Georgia" w:cs="Times New Roman"/>
                <w:color w:val="000000"/>
                <w:sz w:val="20"/>
                <w:szCs w:val="20"/>
                <w:lang w:eastAsia="lt-LT"/>
              </w:rPr>
              <w:lastRenderedPageBreak/>
              <w:t>vnt.</w:t>
            </w:r>
          </w:p>
        </w:tc>
        <w:tc>
          <w:tcPr>
            <w:tcW w:w="0" w:type="dxa"/>
            <w:hideMark/>
          </w:tcPr>
          <w:p w14:paraId="3D4257F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lastRenderedPageBreak/>
              <w:t>421</w:t>
            </w:r>
          </w:p>
        </w:tc>
        <w:tc>
          <w:tcPr>
            <w:tcW w:w="3105" w:type="dxa"/>
            <w:hideMark/>
          </w:tcPr>
          <w:p w14:paraId="3534C9C3" w14:textId="34946260"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2017-2023</w:t>
            </w:r>
            <w:r w:rsidR="009E3962" w:rsidRPr="00C97275">
              <w:rPr>
                <w:rFonts w:ascii="Georgia" w:eastAsia="Times New Roman" w:hAnsi="Georgia" w:cs="Times New Roman"/>
                <w:color w:val="000000"/>
                <w:sz w:val="20"/>
                <w:szCs w:val="20"/>
                <w:lang w:eastAsia="lt-LT"/>
              </w:rPr>
              <w:t xml:space="preserve"> m.</w:t>
            </w:r>
            <w:r w:rsidRPr="00C97275">
              <w:rPr>
                <w:rFonts w:ascii="Georgia" w:eastAsia="Times New Roman" w:hAnsi="Georgia" w:cs="Times New Roman"/>
                <w:color w:val="000000"/>
                <w:sz w:val="20"/>
                <w:szCs w:val="20"/>
                <w:lang w:eastAsia="lt-LT"/>
              </w:rPr>
              <w:t xml:space="preserve"> periodas</w:t>
            </w:r>
          </w:p>
        </w:tc>
      </w:tr>
      <w:tr w:rsidR="005A0219" w:rsidRPr="00C97275" w14:paraId="0E07B00D" w14:textId="77777777" w:rsidTr="0063781D">
        <w:trPr>
          <w:trHeight w:val="555"/>
        </w:trPr>
        <w:tc>
          <w:tcPr>
            <w:cnfStyle w:val="001000000000" w:firstRow="0" w:lastRow="0" w:firstColumn="1" w:lastColumn="0" w:oddVBand="0" w:evenVBand="0" w:oddHBand="0" w:evenHBand="0" w:firstRowFirstColumn="0" w:firstRowLastColumn="0" w:lastRowFirstColumn="0" w:lastRowLastColumn="0"/>
            <w:tcW w:w="675" w:type="dxa"/>
            <w:hideMark/>
          </w:tcPr>
          <w:p w14:paraId="6E0EFE96"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lastRenderedPageBreak/>
              <w:t>6</w:t>
            </w:r>
          </w:p>
        </w:tc>
        <w:tc>
          <w:tcPr>
            <w:tcW w:w="0" w:type="dxa"/>
            <w:hideMark/>
          </w:tcPr>
          <w:p w14:paraId="5049BD66"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Bendras renovuotinų viešųjų pastatų plotas per 2017-2023 m. periodą, tūkst. m</w:t>
            </w:r>
            <w:r w:rsidRPr="00C97275">
              <w:rPr>
                <w:rFonts w:ascii="Georgia" w:eastAsia="Times New Roman" w:hAnsi="Georgia" w:cs="Times New Roman"/>
                <w:color w:val="000000"/>
                <w:sz w:val="20"/>
                <w:szCs w:val="20"/>
                <w:vertAlign w:val="superscript"/>
                <w:lang w:eastAsia="lt-LT"/>
              </w:rPr>
              <w:t>2</w:t>
            </w:r>
          </w:p>
        </w:tc>
        <w:tc>
          <w:tcPr>
            <w:tcW w:w="0" w:type="dxa"/>
            <w:hideMark/>
          </w:tcPr>
          <w:p w14:paraId="37F3C41A"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3564</w:t>
            </w:r>
          </w:p>
        </w:tc>
        <w:tc>
          <w:tcPr>
            <w:tcW w:w="3105" w:type="dxa"/>
            <w:hideMark/>
          </w:tcPr>
          <w:p w14:paraId="1DB6EF51"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Pagal planuojamą sutaupyti metinį energijos kiekį</w:t>
            </w:r>
          </w:p>
        </w:tc>
      </w:tr>
      <w:tr w:rsidR="005A0219" w:rsidRPr="00C97275" w14:paraId="4DFD5230" w14:textId="77777777" w:rsidTr="0063781D">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675" w:type="dxa"/>
            <w:hideMark/>
          </w:tcPr>
          <w:p w14:paraId="57F989FC"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7</w:t>
            </w:r>
          </w:p>
        </w:tc>
        <w:tc>
          <w:tcPr>
            <w:tcW w:w="0" w:type="dxa"/>
            <w:hideMark/>
          </w:tcPr>
          <w:p w14:paraId="1B2F6948"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Savivaldybių viešųjų pastatų plotas, bendroje viešųjų pastatų apimtyje, proc.</w:t>
            </w:r>
          </w:p>
        </w:tc>
        <w:tc>
          <w:tcPr>
            <w:tcW w:w="0" w:type="dxa"/>
            <w:hideMark/>
          </w:tcPr>
          <w:p w14:paraId="04E6B5BE"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33%</w:t>
            </w:r>
          </w:p>
        </w:tc>
        <w:tc>
          <w:tcPr>
            <w:tcW w:w="3105" w:type="dxa"/>
            <w:hideMark/>
          </w:tcPr>
          <w:p w14:paraId="21D6F18C"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Paskaičiuota 2.1.1. dalyje. Arba pagal reikalavimą viešųjų pastatų atnaujinimo reikalaujamą proporciją tarp centrinės valdžios ir savivaldybių (470/700)</w:t>
            </w:r>
          </w:p>
        </w:tc>
      </w:tr>
      <w:tr w:rsidR="005A0219" w:rsidRPr="00C97275" w14:paraId="74A8C215"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0A46DC79"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8</w:t>
            </w:r>
          </w:p>
        </w:tc>
        <w:tc>
          <w:tcPr>
            <w:tcW w:w="0" w:type="dxa"/>
            <w:hideMark/>
          </w:tcPr>
          <w:p w14:paraId="5B84CA0C"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Centrinės valdžios pastatų plotas, bendroje viešųjų pastatų apimtyje, proc.</w:t>
            </w:r>
          </w:p>
        </w:tc>
        <w:tc>
          <w:tcPr>
            <w:tcW w:w="0" w:type="dxa"/>
            <w:hideMark/>
          </w:tcPr>
          <w:p w14:paraId="10482220"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67%</w:t>
            </w:r>
          </w:p>
        </w:tc>
        <w:tc>
          <w:tcPr>
            <w:tcW w:w="3105" w:type="dxa"/>
            <w:hideMark/>
          </w:tcPr>
          <w:p w14:paraId="3A51F174"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Paskaičiuota 2.1.1. dalyje arba pagal aukščiau nurodytą punktą.</w:t>
            </w:r>
          </w:p>
        </w:tc>
      </w:tr>
      <w:tr w:rsidR="005A0219" w:rsidRPr="00C97275" w14:paraId="28A8EE64" w14:textId="77777777" w:rsidTr="0063781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75" w:type="dxa"/>
            <w:hideMark/>
          </w:tcPr>
          <w:p w14:paraId="092AA2C2"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9</w:t>
            </w:r>
          </w:p>
        </w:tc>
        <w:tc>
          <w:tcPr>
            <w:tcW w:w="0" w:type="dxa"/>
            <w:hideMark/>
          </w:tcPr>
          <w:p w14:paraId="43B29B28" w14:textId="59494475" w:rsidR="005A0219" w:rsidRPr="00C97275" w:rsidRDefault="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Renovuotinas savivaldybių viešųjų pastatų plotas per </w:t>
            </w:r>
            <w:r w:rsidR="00B545A2" w:rsidRPr="00C97275">
              <w:rPr>
                <w:rFonts w:ascii="Georgia" w:eastAsia="Times New Roman" w:hAnsi="Georgia" w:cs="Times New Roman"/>
                <w:color w:val="000000"/>
                <w:sz w:val="20"/>
                <w:szCs w:val="20"/>
                <w:lang w:eastAsia="lt-LT"/>
              </w:rPr>
              <w:t>2017</w:t>
            </w:r>
            <w:r w:rsidRPr="00C97275">
              <w:rPr>
                <w:rFonts w:ascii="Georgia" w:eastAsia="Times New Roman" w:hAnsi="Georgia" w:cs="Times New Roman"/>
                <w:color w:val="000000"/>
                <w:sz w:val="20"/>
                <w:szCs w:val="20"/>
                <w:lang w:eastAsia="lt-LT"/>
              </w:rPr>
              <w:t>-</w:t>
            </w:r>
            <w:r w:rsidR="00B545A2" w:rsidRPr="00C97275">
              <w:rPr>
                <w:rFonts w:ascii="Georgia" w:eastAsia="Times New Roman" w:hAnsi="Georgia" w:cs="Times New Roman"/>
                <w:color w:val="000000"/>
                <w:sz w:val="20"/>
                <w:szCs w:val="20"/>
                <w:lang w:eastAsia="lt-LT"/>
              </w:rPr>
              <w:t xml:space="preserve">2023 </w:t>
            </w:r>
            <w:r w:rsidRPr="00C97275">
              <w:rPr>
                <w:rFonts w:ascii="Georgia" w:eastAsia="Times New Roman" w:hAnsi="Georgia" w:cs="Times New Roman"/>
                <w:color w:val="000000"/>
                <w:sz w:val="20"/>
                <w:szCs w:val="20"/>
                <w:lang w:eastAsia="lt-LT"/>
              </w:rPr>
              <w:t>m. periodą, tūkst. m</w:t>
            </w:r>
            <w:r w:rsidRPr="00C97275">
              <w:rPr>
                <w:rFonts w:ascii="Georgia" w:eastAsia="Times New Roman" w:hAnsi="Georgia" w:cs="Times New Roman"/>
                <w:color w:val="000000"/>
                <w:sz w:val="20"/>
                <w:szCs w:val="20"/>
                <w:vertAlign w:val="superscript"/>
                <w:lang w:eastAsia="lt-LT"/>
              </w:rPr>
              <w:t>2</w:t>
            </w:r>
          </w:p>
        </w:tc>
        <w:tc>
          <w:tcPr>
            <w:tcW w:w="0" w:type="dxa"/>
            <w:hideMark/>
          </w:tcPr>
          <w:p w14:paraId="35F72D97"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1171</w:t>
            </w:r>
          </w:p>
        </w:tc>
        <w:tc>
          <w:tcPr>
            <w:tcW w:w="3105" w:type="dxa"/>
            <w:hideMark/>
          </w:tcPr>
          <w:p w14:paraId="669CCE73"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8 * 9</w:t>
            </w:r>
          </w:p>
        </w:tc>
      </w:tr>
      <w:tr w:rsidR="005A0219" w:rsidRPr="00C97275" w14:paraId="257E9D9A" w14:textId="77777777" w:rsidTr="0063781D">
        <w:trPr>
          <w:trHeight w:val="555"/>
        </w:trPr>
        <w:tc>
          <w:tcPr>
            <w:cnfStyle w:val="001000000000" w:firstRow="0" w:lastRow="0" w:firstColumn="1" w:lastColumn="0" w:oddVBand="0" w:evenVBand="0" w:oddHBand="0" w:evenHBand="0" w:firstRowFirstColumn="0" w:firstRowLastColumn="0" w:lastRowFirstColumn="0" w:lastRowLastColumn="0"/>
            <w:tcW w:w="675" w:type="dxa"/>
            <w:hideMark/>
          </w:tcPr>
          <w:p w14:paraId="73CE3948"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10</w:t>
            </w:r>
          </w:p>
        </w:tc>
        <w:tc>
          <w:tcPr>
            <w:tcW w:w="0" w:type="dxa"/>
            <w:hideMark/>
          </w:tcPr>
          <w:p w14:paraId="49787FE2" w14:textId="666CB400" w:rsidR="005A0219" w:rsidRPr="00C97275" w:rsidRDefault="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Renovuotinas centrinės valdžios pastatų plotas per </w:t>
            </w:r>
            <w:r w:rsidR="00B545A2" w:rsidRPr="00C97275">
              <w:rPr>
                <w:rFonts w:ascii="Georgia" w:eastAsia="Times New Roman" w:hAnsi="Georgia" w:cs="Times New Roman"/>
                <w:color w:val="000000"/>
                <w:sz w:val="20"/>
                <w:szCs w:val="20"/>
                <w:lang w:eastAsia="lt-LT"/>
              </w:rPr>
              <w:t>2017</w:t>
            </w:r>
            <w:r w:rsidRPr="00C97275">
              <w:rPr>
                <w:rFonts w:ascii="Georgia" w:eastAsia="Times New Roman" w:hAnsi="Georgia" w:cs="Times New Roman"/>
                <w:color w:val="000000"/>
                <w:sz w:val="20"/>
                <w:szCs w:val="20"/>
                <w:lang w:eastAsia="lt-LT"/>
              </w:rPr>
              <w:t>-</w:t>
            </w:r>
            <w:r w:rsidR="00B545A2" w:rsidRPr="00C97275">
              <w:rPr>
                <w:rFonts w:ascii="Georgia" w:eastAsia="Times New Roman" w:hAnsi="Georgia" w:cs="Times New Roman"/>
                <w:color w:val="000000"/>
                <w:sz w:val="20"/>
                <w:szCs w:val="20"/>
                <w:lang w:eastAsia="lt-LT"/>
              </w:rPr>
              <w:t xml:space="preserve">2023 </w:t>
            </w:r>
            <w:r w:rsidRPr="00C97275">
              <w:rPr>
                <w:rFonts w:ascii="Georgia" w:eastAsia="Times New Roman" w:hAnsi="Georgia" w:cs="Times New Roman"/>
                <w:color w:val="000000"/>
                <w:sz w:val="20"/>
                <w:szCs w:val="20"/>
                <w:lang w:eastAsia="lt-LT"/>
              </w:rPr>
              <w:t>m. periodą, tūkst. m</w:t>
            </w:r>
            <w:r w:rsidRPr="00C97275">
              <w:rPr>
                <w:rFonts w:ascii="Georgia" w:eastAsia="Times New Roman" w:hAnsi="Georgia" w:cs="Times New Roman"/>
                <w:color w:val="000000"/>
                <w:sz w:val="20"/>
                <w:szCs w:val="20"/>
                <w:vertAlign w:val="superscript"/>
                <w:lang w:eastAsia="lt-LT"/>
              </w:rPr>
              <w:t>2</w:t>
            </w:r>
          </w:p>
        </w:tc>
        <w:tc>
          <w:tcPr>
            <w:tcW w:w="0" w:type="dxa"/>
            <w:hideMark/>
          </w:tcPr>
          <w:p w14:paraId="2ECEDD57"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2393</w:t>
            </w:r>
          </w:p>
        </w:tc>
        <w:tc>
          <w:tcPr>
            <w:tcW w:w="3105" w:type="dxa"/>
            <w:hideMark/>
          </w:tcPr>
          <w:p w14:paraId="510E1D15"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8 * 10</w:t>
            </w:r>
          </w:p>
        </w:tc>
      </w:tr>
      <w:tr w:rsidR="005A0219" w:rsidRPr="00C97275" w14:paraId="79EE1FB6"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0570D0CD"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11</w:t>
            </w:r>
          </w:p>
        </w:tc>
        <w:tc>
          <w:tcPr>
            <w:tcW w:w="0" w:type="dxa"/>
            <w:hideMark/>
          </w:tcPr>
          <w:p w14:paraId="5406F042"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Viešojo pastato renovacijos kaštai, EUR/m</w:t>
            </w:r>
            <w:r w:rsidRPr="00C97275">
              <w:rPr>
                <w:rFonts w:ascii="Georgia" w:eastAsia="Times New Roman" w:hAnsi="Georgia" w:cs="Times New Roman"/>
                <w:color w:val="000000"/>
                <w:sz w:val="20"/>
                <w:szCs w:val="20"/>
                <w:vertAlign w:val="superscript"/>
                <w:lang w:eastAsia="lt-LT"/>
              </w:rPr>
              <w:t>2</w:t>
            </w:r>
          </w:p>
        </w:tc>
        <w:tc>
          <w:tcPr>
            <w:tcW w:w="0" w:type="dxa"/>
            <w:hideMark/>
          </w:tcPr>
          <w:p w14:paraId="293BFF20" w14:textId="3699D35F"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trike/>
                <w:color w:val="000000"/>
                <w:sz w:val="20"/>
                <w:szCs w:val="20"/>
                <w:lang w:eastAsia="lt-LT"/>
              </w:rPr>
            </w:pPr>
            <w:r w:rsidRPr="00C97275">
              <w:rPr>
                <w:rFonts w:ascii="Georgia" w:eastAsia="Georgia" w:hAnsi="Georgia" w:cs="Arial Unicode MS"/>
                <w:sz w:val="20"/>
                <w:szCs w:val="20"/>
              </w:rPr>
              <w:t>255</w:t>
            </w:r>
          </w:p>
        </w:tc>
        <w:tc>
          <w:tcPr>
            <w:tcW w:w="3105" w:type="dxa"/>
            <w:vAlign w:val="center"/>
            <w:hideMark/>
          </w:tcPr>
          <w:p w14:paraId="7DB73EB8"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Remiantis ENEF valdytojo duomenimis teiktais EM svertinis investicijų vidurkis 1 m</w:t>
            </w:r>
            <w:r w:rsidRPr="00C97275">
              <w:rPr>
                <w:rFonts w:ascii="Georgia" w:eastAsia="Times New Roman" w:hAnsi="Georgia" w:cs="Times New Roman"/>
                <w:color w:val="000000"/>
                <w:vertAlign w:val="superscript"/>
                <w:lang w:eastAsia="lt-LT"/>
              </w:rPr>
              <w:t>2</w:t>
            </w:r>
            <w:r w:rsidRPr="00C97275">
              <w:rPr>
                <w:rFonts w:ascii="Georgia" w:eastAsia="Times New Roman" w:hAnsi="Georgia" w:cs="Times New Roman"/>
                <w:color w:val="000000"/>
                <w:sz w:val="20"/>
                <w:szCs w:val="20"/>
                <w:vertAlign w:val="superscript"/>
                <w:lang w:eastAsia="lt-LT"/>
              </w:rPr>
              <w:t xml:space="preserve"> </w:t>
            </w:r>
            <w:r w:rsidRPr="00C97275">
              <w:rPr>
                <w:rFonts w:ascii="Georgia" w:eastAsia="Times New Roman" w:hAnsi="Georgia" w:cs="Times New Roman"/>
                <w:color w:val="000000"/>
                <w:sz w:val="20"/>
                <w:szCs w:val="20"/>
                <w:lang w:eastAsia="lt-LT"/>
              </w:rPr>
              <w:t>yra 255 eurai.</w:t>
            </w:r>
          </w:p>
        </w:tc>
      </w:tr>
      <w:tr w:rsidR="005A0219" w:rsidRPr="00C97275" w14:paraId="5A2F87FD"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3F438786"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12</w:t>
            </w:r>
          </w:p>
        </w:tc>
        <w:tc>
          <w:tcPr>
            <w:tcW w:w="0" w:type="dxa"/>
            <w:hideMark/>
          </w:tcPr>
          <w:p w14:paraId="1CB2E3A4"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Savivaldybių viešųjų pastatų renovacijos paklausa, mln. EUR </w:t>
            </w:r>
          </w:p>
        </w:tc>
        <w:tc>
          <w:tcPr>
            <w:tcW w:w="0" w:type="dxa"/>
            <w:hideMark/>
          </w:tcPr>
          <w:p w14:paraId="15D3DAC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298,6</w:t>
            </w:r>
          </w:p>
        </w:tc>
        <w:tc>
          <w:tcPr>
            <w:tcW w:w="3105" w:type="dxa"/>
            <w:hideMark/>
          </w:tcPr>
          <w:p w14:paraId="7B7BDF39"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11 x 13</w:t>
            </w:r>
          </w:p>
        </w:tc>
      </w:tr>
      <w:tr w:rsidR="005A0219" w:rsidRPr="00C97275" w14:paraId="69F59FE2"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6C80DF88"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13</w:t>
            </w:r>
          </w:p>
        </w:tc>
        <w:tc>
          <w:tcPr>
            <w:tcW w:w="0" w:type="dxa"/>
            <w:hideMark/>
          </w:tcPr>
          <w:p w14:paraId="270C5074"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Centrinės valdžios pastatų renovacijos paklausa, mln. EUR </w:t>
            </w:r>
          </w:p>
        </w:tc>
        <w:tc>
          <w:tcPr>
            <w:tcW w:w="0" w:type="dxa"/>
            <w:hideMark/>
          </w:tcPr>
          <w:p w14:paraId="1E774949"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610,3</w:t>
            </w:r>
          </w:p>
        </w:tc>
        <w:tc>
          <w:tcPr>
            <w:tcW w:w="3105" w:type="dxa"/>
            <w:hideMark/>
          </w:tcPr>
          <w:p w14:paraId="61433282"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12 x 13</w:t>
            </w:r>
          </w:p>
        </w:tc>
      </w:tr>
    </w:tbl>
    <w:p w14:paraId="0F038835" w14:textId="77777777" w:rsidR="005A0219" w:rsidRPr="00C97275" w:rsidRDefault="005A0219" w:rsidP="005A0219">
      <w:pPr>
        <w:spacing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t xml:space="preserve">Šaltinis: sudaryta autorių. </w:t>
      </w:r>
    </w:p>
    <w:p w14:paraId="158D0A56" w14:textId="77777777" w:rsidR="005A0219" w:rsidRPr="00C97275" w:rsidRDefault="005A0219" w:rsidP="005A0219">
      <w:pPr>
        <w:keepNext/>
        <w:keepLines/>
        <w:numPr>
          <w:ilvl w:val="3"/>
          <w:numId w:val="2"/>
        </w:numPr>
        <w:spacing w:before="200" w:after="0" w:line="240" w:lineRule="auto"/>
        <w:ind w:hanging="1298"/>
        <w:outlineLvl w:val="1"/>
        <w:rPr>
          <w:rFonts w:ascii="Georgia" w:eastAsia="Times New Roman" w:hAnsi="Georgia" w:cs="Arial Unicode MS"/>
          <w:b/>
          <w:i/>
          <w:color w:val="821A1A"/>
          <w:sz w:val="32"/>
          <w:szCs w:val="26"/>
          <w:lang w:val="lt-LT"/>
        </w:rPr>
      </w:pPr>
      <w:bookmarkStart w:id="52" w:name="_Toc25594652"/>
      <w:r w:rsidRPr="00C97275">
        <w:rPr>
          <w:rFonts w:ascii="Georgia" w:eastAsia="Times New Roman" w:hAnsi="Georgia" w:cs="Arial Unicode MS"/>
          <w:b/>
          <w:i/>
          <w:color w:val="821A1A"/>
          <w:sz w:val="32"/>
          <w:szCs w:val="26"/>
          <w:lang w:val="lt-LT"/>
        </w:rPr>
        <w:t>Daugiabučių modernizavimo paklausos skaičiavimas</w:t>
      </w:r>
      <w:bookmarkEnd w:id="52"/>
    </w:p>
    <w:p w14:paraId="5ED237BE"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41B15E32" w14:textId="7EDB4CED"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 xml:space="preserve">Daugiabučių modernizavimo paklausa skaičiuojama trimis būdais: pirmiausiai </w:t>
      </w:r>
      <w:r w:rsidR="0063781D" w:rsidRPr="00C97275">
        <w:rPr>
          <w:rFonts w:ascii="Georgia" w:eastAsia="Georgia" w:hAnsi="Georgia" w:cs="Arial Unicode MS"/>
          <w:bCs/>
          <w:sz w:val="20"/>
          <w:szCs w:val="20"/>
          <w:lang w:val="lt-LT"/>
        </w:rPr>
        <w:t xml:space="preserve">– </w:t>
      </w:r>
      <w:r w:rsidRPr="00C97275">
        <w:rPr>
          <w:rFonts w:ascii="Georgia" w:eastAsia="Georgia" w:hAnsi="Georgia" w:cs="Arial Unicode MS"/>
          <w:bCs/>
          <w:sz w:val="20"/>
          <w:szCs w:val="20"/>
          <w:lang w:val="lt-LT"/>
        </w:rPr>
        <w:t xml:space="preserve">remiantis bendruoju energijos taupymo tikslu siekiant vidutinių metinių 82,3 GWh sutaupymų, antra - </w:t>
      </w:r>
      <w:r w:rsidR="0063781D" w:rsidRPr="00C97275">
        <w:rPr>
          <w:rFonts w:ascii="Georgia" w:eastAsia="Georgia" w:hAnsi="Georgia" w:cs="Arial Unicode MS"/>
          <w:bCs/>
          <w:sz w:val="20"/>
          <w:szCs w:val="20"/>
          <w:lang w:val="lt-LT"/>
        </w:rPr>
        <w:t>remiantis</w:t>
      </w:r>
      <w:r w:rsidRPr="00C97275">
        <w:rPr>
          <w:rFonts w:ascii="Georgia" w:eastAsia="Georgia" w:hAnsi="Georgia" w:cs="Arial Unicode MS"/>
          <w:bCs/>
          <w:sz w:val="20"/>
          <w:szCs w:val="20"/>
          <w:lang w:val="lt-LT"/>
        </w:rPr>
        <w:t xml:space="preserve"> </w:t>
      </w:r>
      <w:r w:rsidR="0063781D" w:rsidRPr="00C97275">
        <w:rPr>
          <w:rFonts w:ascii="Georgia" w:eastAsia="Georgia" w:hAnsi="Georgia" w:cs="Arial Unicode MS"/>
          <w:bCs/>
          <w:sz w:val="20"/>
          <w:szCs w:val="20"/>
          <w:lang w:val="lt-LT"/>
        </w:rPr>
        <w:t xml:space="preserve">Daugiabučių namų atnaujinimo (modernizavimo) programos tikslu </w:t>
      </w:r>
      <w:r w:rsidRPr="00C97275">
        <w:rPr>
          <w:rFonts w:ascii="Georgia" w:eastAsia="Georgia" w:hAnsi="Georgia" w:cs="Arial Unicode MS"/>
          <w:bCs/>
          <w:sz w:val="20"/>
          <w:szCs w:val="20"/>
          <w:lang w:val="lt-LT"/>
        </w:rPr>
        <w:t xml:space="preserve">renovuoti </w:t>
      </w:r>
      <w:r w:rsidR="00967F3B" w:rsidRPr="00C97275">
        <w:rPr>
          <w:rFonts w:ascii="Georgia" w:eastAsia="Georgia" w:hAnsi="Georgia" w:cs="Arial Unicode MS"/>
          <w:bCs/>
          <w:sz w:val="20"/>
          <w:szCs w:val="20"/>
          <w:lang w:val="lt-LT"/>
        </w:rPr>
        <w:br/>
      </w:r>
      <w:r w:rsidRPr="00C97275">
        <w:rPr>
          <w:rFonts w:ascii="Georgia" w:eastAsia="Georgia" w:hAnsi="Georgia" w:cs="Arial Unicode MS"/>
          <w:bCs/>
          <w:sz w:val="20"/>
          <w:szCs w:val="20"/>
          <w:lang w:val="lt-LT"/>
        </w:rPr>
        <w:t>4 000 daugiabuč</w:t>
      </w:r>
      <w:r w:rsidR="0063781D" w:rsidRPr="00C97275">
        <w:rPr>
          <w:rFonts w:ascii="Georgia" w:eastAsia="Georgia" w:hAnsi="Georgia" w:cs="Arial Unicode MS"/>
          <w:bCs/>
          <w:sz w:val="20"/>
          <w:szCs w:val="20"/>
          <w:lang w:val="lt-LT"/>
        </w:rPr>
        <w:t>ių namų iki 2020 m.</w:t>
      </w:r>
      <w:r w:rsidRPr="00C97275">
        <w:rPr>
          <w:rFonts w:ascii="Georgia" w:eastAsia="Georgia" w:hAnsi="Georgia" w:cs="Arial Unicode MS"/>
          <w:bCs/>
          <w:color w:val="000000"/>
          <w:sz w:val="20"/>
          <w:szCs w:val="20"/>
          <w:vertAlign w:val="superscript"/>
          <w:lang w:val="lt-LT"/>
        </w:rPr>
        <w:footnoteReference w:id="18"/>
      </w:r>
      <w:r w:rsidRPr="00C97275">
        <w:rPr>
          <w:rFonts w:ascii="Georgia" w:eastAsia="Georgia" w:hAnsi="Georgia" w:cs="Arial Unicode MS"/>
          <w:bCs/>
          <w:sz w:val="20"/>
          <w:szCs w:val="20"/>
          <w:lang w:val="lt-LT"/>
        </w:rPr>
        <w:t>, trečia –</w:t>
      </w:r>
      <w:r w:rsidR="0063781D" w:rsidRPr="00C97275">
        <w:rPr>
          <w:rFonts w:ascii="Georgia" w:eastAsia="Georgia" w:hAnsi="Georgia" w:cs="Arial Unicode MS"/>
          <w:bCs/>
          <w:sz w:val="20"/>
          <w:szCs w:val="20"/>
          <w:lang w:val="lt-LT"/>
        </w:rPr>
        <w:t xml:space="preserve"> remiantis </w:t>
      </w:r>
      <w:r w:rsidRPr="00C97275">
        <w:rPr>
          <w:rFonts w:ascii="Georgia" w:eastAsia="Georgia" w:hAnsi="Georgia" w:cs="Arial Unicode MS"/>
          <w:bCs/>
          <w:sz w:val="20"/>
          <w:szCs w:val="20"/>
          <w:lang w:val="lt-LT"/>
        </w:rPr>
        <w:t>Naci</w:t>
      </w:r>
      <w:r w:rsidR="0063781D" w:rsidRPr="00C97275">
        <w:rPr>
          <w:rFonts w:ascii="Georgia" w:eastAsia="Georgia" w:hAnsi="Georgia" w:cs="Arial Unicode MS"/>
          <w:bCs/>
          <w:sz w:val="20"/>
          <w:szCs w:val="20"/>
          <w:lang w:val="lt-LT"/>
        </w:rPr>
        <w:t>onaline energetikos strategija</w:t>
      </w:r>
      <w:r w:rsidRPr="00C97275">
        <w:rPr>
          <w:rFonts w:ascii="Georgia" w:eastAsia="Georgia" w:hAnsi="Georgia" w:cs="Arial Unicode MS"/>
          <w:bCs/>
          <w:sz w:val="20"/>
          <w:szCs w:val="20"/>
          <w:lang w:val="lt-LT"/>
        </w:rPr>
        <w:t xml:space="preserve">. </w:t>
      </w:r>
    </w:p>
    <w:p w14:paraId="4C778CC3"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2160048F"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
          <w:bCs/>
          <w:sz w:val="20"/>
          <w:szCs w:val="20"/>
          <w:lang w:val="lt-LT"/>
        </w:rPr>
      </w:pPr>
      <w:r w:rsidRPr="00C97275">
        <w:rPr>
          <w:rFonts w:ascii="Georgia" w:eastAsia="Georgia" w:hAnsi="Georgia" w:cs="Arial Unicode MS"/>
          <w:b/>
          <w:bCs/>
          <w:sz w:val="20"/>
          <w:szCs w:val="20"/>
          <w:lang w:val="lt-LT"/>
        </w:rPr>
        <w:t>Remiantis bendruoju energijos taupymo tikslu</w:t>
      </w:r>
    </w:p>
    <w:p w14:paraId="7B9BB51E"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1F803191" w14:textId="08F40618"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Kaip jau buvo apskaičiuot</w:t>
      </w:r>
      <w:r w:rsidR="00BE7E7D" w:rsidRPr="00C97275">
        <w:rPr>
          <w:rFonts w:ascii="Georgia" w:eastAsia="Georgia" w:hAnsi="Georgia" w:cs="Arial Unicode MS"/>
          <w:bCs/>
          <w:sz w:val="20"/>
          <w:szCs w:val="20"/>
          <w:lang w:val="lt-LT"/>
        </w:rPr>
        <w:t>a</w:t>
      </w:r>
      <w:r w:rsidRPr="00C97275">
        <w:rPr>
          <w:rFonts w:ascii="Georgia" w:eastAsia="Georgia" w:hAnsi="Georgia" w:cs="Arial Unicode MS"/>
          <w:bCs/>
          <w:sz w:val="20"/>
          <w:szCs w:val="20"/>
          <w:lang w:val="lt-LT"/>
        </w:rPr>
        <w:t xml:space="preserve"> 2.2.1.1 dalyje, vidutinis metinis galutinės energijos sutaupymų dydis atnaujinant gyvenamuosius ir visuomeninius pastatus siekė 136,1 GWh. Tuo tarpu pagal skaičiavimus 2.2.1.1 dalyje siekiama 56 GWh sutaupymų atnaujinant visuomeninius pastatus. Tokiu atveju daugiabučių namų renovacijai reikia padengti likusius 82,3</w:t>
      </w:r>
      <w:r w:rsidR="006A63A1" w:rsidRPr="00C97275">
        <w:rPr>
          <w:rFonts w:ascii="Georgia" w:eastAsia="Georgia" w:hAnsi="Georgia" w:cs="Arial Unicode MS"/>
          <w:bCs/>
          <w:sz w:val="20"/>
          <w:szCs w:val="20"/>
          <w:lang w:val="lt-LT"/>
        </w:rPr>
        <w:t xml:space="preserve"> </w:t>
      </w:r>
      <w:r w:rsidRPr="00C97275">
        <w:rPr>
          <w:rFonts w:ascii="Georgia" w:eastAsia="Georgia" w:hAnsi="Georgia" w:cs="Arial Unicode MS"/>
          <w:bCs/>
          <w:sz w:val="20"/>
          <w:szCs w:val="20"/>
          <w:lang w:val="lt-LT"/>
        </w:rPr>
        <w:t>GWh sutaupymų. Atsižvelgiant</w:t>
      </w:r>
      <w:r w:rsidR="003333A4" w:rsidRPr="00C97275">
        <w:rPr>
          <w:rFonts w:ascii="Georgia" w:eastAsia="Georgia" w:hAnsi="Georgia" w:cs="Arial Unicode MS"/>
          <w:bCs/>
          <w:sz w:val="20"/>
          <w:szCs w:val="20"/>
          <w:lang w:val="lt-LT"/>
        </w:rPr>
        <w:t xml:space="preserve"> į tai</w:t>
      </w:r>
      <w:r w:rsidRPr="00C97275">
        <w:rPr>
          <w:rFonts w:ascii="Georgia" w:eastAsia="Georgia" w:hAnsi="Georgia" w:cs="Arial Unicode MS"/>
          <w:bCs/>
          <w:sz w:val="20"/>
          <w:szCs w:val="20"/>
          <w:lang w:val="lt-LT"/>
        </w:rPr>
        <w:t>, jog skaičiuojant metinį sutaupymų dydį 2.2.1.1 dalyje buvo nustatytas 2017 – 2023 m. laikotarpis, papildomų koregavimų skaičiuojant paklausą šiuo metodu nereikia.</w:t>
      </w:r>
    </w:p>
    <w:p w14:paraId="13FA5049" w14:textId="77777777" w:rsidR="005A0219" w:rsidRPr="00C97275"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04E6B460" w14:textId="4B808AD3" w:rsidR="005A0219" w:rsidRPr="00C97275" w:rsidRDefault="005A0219" w:rsidP="0063781D">
      <w:pPr>
        <w:spacing w:after="160" w:line="240" w:lineRule="auto"/>
        <w:jc w:val="both"/>
        <w:rPr>
          <w:rFonts w:ascii="Georgia" w:eastAsia="Georgia" w:hAnsi="Georgia" w:cs="Arial Unicode MS"/>
          <w:bCs/>
          <w:sz w:val="20"/>
          <w:szCs w:val="24"/>
          <w:lang w:val="lt-LT"/>
        </w:rPr>
      </w:pPr>
      <w:r w:rsidRPr="00C97275">
        <w:rPr>
          <w:rFonts w:ascii="Georgia" w:eastAsia="Georgia" w:hAnsi="Georgia" w:cs="Arial Unicode MS"/>
          <w:bCs/>
          <w:sz w:val="20"/>
          <w:szCs w:val="20"/>
          <w:lang w:val="lt-LT"/>
        </w:rPr>
        <w:t>Žemiau esančioje lentelėje pateikiamos</w:t>
      </w:r>
      <w:r w:rsidRPr="00C97275">
        <w:rPr>
          <w:rFonts w:ascii="Georgia" w:eastAsia="Georgia" w:hAnsi="Georgia" w:cs="Arial Unicode MS"/>
          <w:bCs/>
          <w:sz w:val="20"/>
          <w:szCs w:val="24"/>
          <w:lang w:val="lt-LT"/>
        </w:rPr>
        <w:t xml:space="preserve"> prielaidos ir skaičiavimai bei jų pagrindimas skaičiuojant daugiabučių </w:t>
      </w:r>
      <w:r w:rsidR="003333A4" w:rsidRPr="00C97275">
        <w:rPr>
          <w:rFonts w:ascii="Georgia" w:eastAsia="Georgia" w:hAnsi="Georgia" w:cs="Arial Unicode MS"/>
          <w:bCs/>
          <w:sz w:val="20"/>
          <w:szCs w:val="24"/>
          <w:lang w:val="lt-LT"/>
        </w:rPr>
        <w:t xml:space="preserve">namų </w:t>
      </w:r>
      <w:r w:rsidRPr="00C97275">
        <w:rPr>
          <w:rFonts w:ascii="Georgia" w:eastAsia="Georgia" w:hAnsi="Georgia" w:cs="Arial Unicode MS"/>
          <w:bCs/>
          <w:sz w:val="20"/>
          <w:szCs w:val="24"/>
          <w:lang w:val="lt-LT"/>
        </w:rPr>
        <w:t>paklausą faktinių dydžių metodu. Lentelės skiltyje „Informacijos šaltinis, pagrindimas“ esantys skaičiai formulėse nurodo, iš kokių lentelės eilučių imami skaičiai apskaičiuojant siektiną rodiklį.</w:t>
      </w:r>
    </w:p>
    <w:p w14:paraId="21A26EAA" w14:textId="66546B6F" w:rsidR="005A0219" w:rsidRPr="00C97275" w:rsidRDefault="005A0219" w:rsidP="005A0219">
      <w:pPr>
        <w:spacing w:after="160" w:line="240" w:lineRule="auto"/>
        <w:jc w:val="both"/>
        <w:rPr>
          <w:rFonts w:ascii="Georgia" w:eastAsia="Georgia" w:hAnsi="Georgia" w:cs="Arial Unicode MS"/>
          <w:bCs/>
          <w:i/>
          <w:iCs/>
          <w:color w:val="821A1A"/>
          <w:sz w:val="20"/>
          <w:szCs w:val="18"/>
          <w:lang w:val="lt-LT"/>
        </w:rPr>
      </w:pPr>
      <w:bookmarkStart w:id="53" w:name="_Ref399583322"/>
      <w:bookmarkStart w:id="54" w:name="_Toc19105224"/>
      <w:bookmarkStart w:id="55" w:name="_Toc455735509"/>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11</w:t>
      </w:r>
      <w:r w:rsidRPr="00C97275">
        <w:rPr>
          <w:rFonts w:ascii="Georgia" w:eastAsia="Georgia" w:hAnsi="Georgia" w:cs="Arial Unicode MS"/>
          <w:i/>
          <w:iCs/>
          <w:color w:val="821A1A"/>
          <w:sz w:val="20"/>
          <w:szCs w:val="18"/>
          <w:lang w:val="lt-LT"/>
        </w:rPr>
        <w:fldChar w:fldCharType="end"/>
      </w:r>
      <w:bookmarkEnd w:id="53"/>
      <w:r w:rsidRPr="00C97275">
        <w:rPr>
          <w:rFonts w:ascii="Georgia" w:eastAsia="Georgia" w:hAnsi="Georgia" w:cs="Arial Unicode MS"/>
          <w:i/>
          <w:iCs/>
          <w:color w:val="821A1A"/>
          <w:sz w:val="20"/>
          <w:szCs w:val="18"/>
          <w:lang w:val="lt-LT"/>
        </w:rPr>
        <w:t>. Daugiabučių pastatų p</w:t>
      </w:r>
      <w:r w:rsidRPr="00C97275">
        <w:rPr>
          <w:rFonts w:ascii="Georgia" w:eastAsia="Georgia" w:hAnsi="Georgia" w:cs="Georgia"/>
          <w:i/>
          <w:iCs/>
          <w:color w:val="821A1A"/>
          <w:sz w:val="20"/>
          <w:szCs w:val="20"/>
          <w:lang w:val="lt-LT"/>
        </w:rPr>
        <w:t>aklausos skaičiavimo prielaidos</w:t>
      </w:r>
      <w:bookmarkEnd w:id="54"/>
      <w:r w:rsidRPr="00C97275">
        <w:rPr>
          <w:rFonts w:ascii="Georgia" w:eastAsia="Georgia" w:hAnsi="Georgia" w:cs="Georgia"/>
          <w:i/>
          <w:iCs/>
          <w:color w:val="821A1A"/>
          <w:sz w:val="20"/>
          <w:szCs w:val="20"/>
          <w:lang w:val="lt-LT"/>
        </w:rPr>
        <w:t xml:space="preserve"> </w:t>
      </w:r>
      <w:bookmarkEnd w:id="55"/>
    </w:p>
    <w:tbl>
      <w:tblPr>
        <w:tblStyle w:val="LightList-Accent21"/>
        <w:tblW w:w="9180" w:type="dxa"/>
        <w:tblLook w:val="04A0" w:firstRow="1" w:lastRow="0" w:firstColumn="1" w:lastColumn="0" w:noHBand="0" w:noVBand="1"/>
      </w:tblPr>
      <w:tblGrid>
        <w:gridCol w:w="566"/>
        <w:gridCol w:w="2905"/>
        <w:gridCol w:w="1882"/>
        <w:gridCol w:w="3827"/>
      </w:tblGrid>
      <w:tr w:rsidR="005A0219" w:rsidRPr="00C97275" w14:paraId="43835324" w14:textId="77777777" w:rsidTr="0063781D">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6" w:type="dxa"/>
            <w:hideMark/>
          </w:tcPr>
          <w:p w14:paraId="6F7C348A" w14:textId="77777777" w:rsidR="005A0219" w:rsidRPr="00C97275" w:rsidRDefault="005A0219" w:rsidP="005A0219">
            <w:pPr>
              <w:jc w:val="center"/>
              <w:rPr>
                <w:rFonts w:ascii="Georgia" w:eastAsia="Times New Roman" w:hAnsi="Georgia" w:cs="Times New Roman"/>
                <w:color w:val="auto"/>
                <w:sz w:val="20"/>
                <w:szCs w:val="20"/>
                <w:lang w:eastAsia="lt-LT"/>
              </w:rPr>
            </w:pPr>
            <w:r w:rsidRPr="00C97275">
              <w:rPr>
                <w:rFonts w:ascii="Georgia" w:eastAsia="Times New Roman" w:hAnsi="Georgia" w:cs="Times New Roman"/>
                <w:color w:val="auto"/>
                <w:sz w:val="20"/>
                <w:szCs w:val="20"/>
                <w:lang w:eastAsia="lt-LT"/>
              </w:rPr>
              <w:t>Eil.</w:t>
            </w:r>
          </w:p>
          <w:p w14:paraId="0AF88899" w14:textId="77777777" w:rsidR="005A0219" w:rsidRPr="00C97275" w:rsidRDefault="005A0219" w:rsidP="005A0219">
            <w:pPr>
              <w:jc w:val="center"/>
              <w:rPr>
                <w:rFonts w:ascii="Georgia" w:eastAsia="Times New Roman" w:hAnsi="Georgia" w:cs="Times New Roman"/>
                <w:color w:val="auto"/>
                <w:sz w:val="20"/>
                <w:szCs w:val="20"/>
                <w:lang w:eastAsia="lt-LT"/>
              </w:rPr>
            </w:pPr>
            <w:r w:rsidRPr="00C97275">
              <w:rPr>
                <w:rFonts w:ascii="Georgia" w:eastAsia="Times New Roman" w:hAnsi="Georgia" w:cs="Times New Roman"/>
                <w:color w:val="auto"/>
                <w:sz w:val="20"/>
                <w:szCs w:val="20"/>
                <w:lang w:eastAsia="lt-LT"/>
              </w:rPr>
              <w:t>Nr.</w:t>
            </w:r>
          </w:p>
        </w:tc>
        <w:tc>
          <w:tcPr>
            <w:tcW w:w="2905" w:type="dxa"/>
            <w:hideMark/>
          </w:tcPr>
          <w:p w14:paraId="7B9D0FCC"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auto"/>
                <w:sz w:val="20"/>
                <w:szCs w:val="20"/>
                <w:lang w:eastAsia="lt-LT"/>
              </w:rPr>
            </w:pPr>
            <w:r w:rsidRPr="00C97275">
              <w:rPr>
                <w:rFonts w:ascii="Georgia" w:eastAsia="Times New Roman" w:hAnsi="Georgia" w:cs="Times New Roman"/>
                <w:color w:val="auto"/>
                <w:sz w:val="20"/>
                <w:szCs w:val="20"/>
                <w:lang w:eastAsia="lt-LT"/>
              </w:rPr>
              <w:t>Rodiklis</w:t>
            </w:r>
          </w:p>
        </w:tc>
        <w:tc>
          <w:tcPr>
            <w:tcW w:w="1882" w:type="dxa"/>
            <w:hideMark/>
          </w:tcPr>
          <w:p w14:paraId="53740A7B"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auto"/>
                <w:sz w:val="20"/>
                <w:szCs w:val="20"/>
                <w:lang w:eastAsia="lt-LT"/>
              </w:rPr>
            </w:pPr>
            <w:r w:rsidRPr="00C97275">
              <w:rPr>
                <w:rFonts w:ascii="Georgia" w:eastAsia="Times New Roman" w:hAnsi="Georgia" w:cs="Times New Roman"/>
                <w:color w:val="auto"/>
                <w:sz w:val="20"/>
                <w:szCs w:val="20"/>
                <w:lang w:eastAsia="lt-LT"/>
              </w:rPr>
              <w:t>Rodiklio dydis</w:t>
            </w:r>
          </w:p>
        </w:tc>
        <w:tc>
          <w:tcPr>
            <w:tcW w:w="3827" w:type="dxa"/>
            <w:hideMark/>
          </w:tcPr>
          <w:p w14:paraId="25C2F6D0" w14:textId="77777777" w:rsidR="005A0219" w:rsidRPr="00C97275" w:rsidRDefault="005A0219" w:rsidP="005A0219">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auto"/>
                <w:sz w:val="20"/>
                <w:szCs w:val="20"/>
                <w:lang w:eastAsia="lt-LT"/>
              </w:rPr>
            </w:pPr>
            <w:r w:rsidRPr="00C97275">
              <w:rPr>
                <w:rFonts w:ascii="Georgia" w:eastAsia="Times New Roman" w:hAnsi="Georgia" w:cs="Times New Roman"/>
                <w:color w:val="auto"/>
                <w:sz w:val="20"/>
                <w:szCs w:val="20"/>
                <w:lang w:eastAsia="lt-LT"/>
              </w:rPr>
              <w:t>Informacijos šaltinis, pagrindimas</w:t>
            </w:r>
          </w:p>
        </w:tc>
      </w:tr>
      <w:tr w:rsidR="005A0219" w:rsidRPr="00C97275" w14:paraId="3351E8AA"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20197428"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1</w:t>
            </w:r>
          </w:p>
        </w:tc>
        <w:tc>
          <w:tcPr>
            <w:tcW w:w="2905" w:type="dxa"/>
            <w:hideMark/>
          </w:tcPr>
          <w:p w14:paraId="0B89E179"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Metinio šilumos suvartojimo kiekio vidurkis, kWh/m</w:t>
            </w:r>
            <w:r w:rsidRPr="00C97275">
              <w:rPr>
                <w:rFonts w:ascii="Georgia" w:eastAsia="Times New Roman" w:hAnsi="Georgia" w:cs="Times New Roman"/>
                <w:sz w:val="20"/>
                <w:szCs w:val="20"/>
                <w:vertAlign w:val="superscript"/>
                <w:lang w:eastAsia="lt-LT"/>
              </w:rPr>
              <w:t>2</w:t>
            </w:r>
          </w:p>
        </w:tc>
        <w:tc>
          <w:tcPr>
            <w:tcW w:w="1882" w:type="dxa"/>
            <w:hideMark/>
          </w:tcPr>
          <w:p w14:paraId="439BA89D"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175,2</w:t>
            </w:r>
          </w:p>
        </w:tc>
        <w:tc>
          <w:tcPr>
            <w:tcW w:w="3827" w:type="dxa"/>
            <w:hideMark/>
          </w:tcPr>
          <w:p w14:paraId="45A057B7" w14:textId="7DFC5195"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Pagal Lietuvos šilumos tiekėjų asociacijos duomenis (2016/2017 m.), 77% visų daugiabučių Lietuvoje prijungtų prie centralizuotos šilumos sistemos suvartoja vidutiniškai 24kWh/m</w:t>
            </w:r>
            <w:r w:rsidRPr="00C97275">
              <w:rPr>
                <w:rFonts w:ascii="Georgia" w:eastAsia="Times New Roman" w:hAnsi="Georgia" w:cs="Times New Roman"/>
                <w:sz w:val="20"/>
                <w:szCs w:val="20"/>
                <w:vertAlign w:val="superscript"/>
                <w:lang w:eastAsia="lt-LT"/>
              </w:rPr>
              <w:t xml:space="preserve">2 </w:t>
            </w:r>
            <w:r w:rsidRPr="00C97275">
              <w:rPr>
                <w:rFonts w:ascii="Georgia" w:eastAsia="Times New Roman" w:hAnsi="Georgia" w:cs="Times New Roman"/>
                <w:sz w:val="20"/>
                <w:szCs w:val="20"/>
                <w:lang w:eastAsia="lt-LT"/>
              </w:rPr>
              <w:t>per mėnesį. Šildymo sezonas Lietuvoje vidutiniškai tęsiasi 219 dienų per metus</w:t>
            </w:r>
            <w:r w:rsidRPr="00C97275">
              <w:rPr>
                <w:rFonts w:ascii="Georgia" w:eastAsia="Times New Roman" w:hAnsi="Georgia" w:cs="Times New Roman"/>
                <w:sz w:val="20"/>
                <w:szCs w:val="20"/>
                <w:vertAlign w:val="superscript"/>
                <w:lang w:eastAsia="lt-LT"/>
              </w:rPr>
              <w:footnoteReference w:id="19"/>
            </w:r>
            <w:r w:rsidRPr="00C97275">
              <w:rPr>
                <w:rFonts w:ascii="Georgia" w:eastAsia="Times New Roman" w:hAnsi="Georgia" w:cs="Times New Roman"/>
                <w:sz w:val="20"/>
                <w:szCs w:val="20"/>
                <w:lang w:eastAsia="lt-LT"/>
              </w:rPr>
              <w:t>. Per šį laikotarpį daugiabučiai vidutiniškai suvartoja 175,2 kWh energijos.</w:t>
            </w:r>
          </w:p>
        </w:tc>
      </w:tr>
      <w:tr w:rsidR="005A0219" w:rsidRPr="00C97275" w14:paraId="30836E41" w14:textId="77777777" w:rsidTr="0063781D">
        <w:trPr>
          <w:trHeight w:val="1545"/>
        </w:trPr>
        <w:tc>
          <w:tcPr>
            <w:cnfStyle w:val="001000000000" w:firstRow="0" w:lastRow="0" w:firstColumn="1" w:lastColumn="0" w:oddVBand="0" w:evenVBand="0" w:oddHBand="0" w:evenHBand="0" w:firstRowFirstColumn="0" w:firstRowLastColumn="0" w:lastRowFirstColumn="0" w:lastRowLastColumn="0"/>
            <w:tcW w:w="566" w:type="dxa"/>
            <w:hideMark/>
          </w:tcPr>
          <w:p w14:paraId="68578BC9"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w:t>
            </w:r>
          </w:p>
        </w:tc>
        <w:tc>
          <w:tcPr>
            <w:tcW w:w="2905" w:type="dxa"/>
            <w:hideMark/>
          </w:tcPr>
          <w:p w14:paraId="019A898C"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Po renovacijos pastatų energijos suvartojimo sutaupymas</w:t>
            </w:r>
          </w:p>
        </w:tc>
        <w:tc>
          <w:tcPr>
            <w:tcW w:w="1882" w:type="dxa"/>
            <w:hideMark/>
          </w:tcPr>
          <w:p w14:paraId="209B6613"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60%</w:t>
            </w:r>
          </w:p>
        </w:tc>
        <w:tc>
          <w:tcPr>
            <w:tcW w:w="3827" w:type="dxa"/>
            <w:hideMark/>
          </w:tcPr>
          <w:p w14:paraId="04A7B2CF" w14:textId="3D2FE349"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Paskaičiuota remiantis pateiktais istorinia</w:t>
            </w:r>
            <w:r w:rsidR="00D9139B" w:rsidRPr="00C97275">
              <w:rPr>
                <w:rFonts w:ascii="Georgia" w:eastAsia="Times New Roman" w:hAnsi="Georgia" w:cs="Times New Roman"/>
                <w:sz w:val="20"/>
                <w:szCs w:val="20"/>
                <w:lang w:eastAsia="lt-LT"/>
              </w:rPr>
              <w:t>i</w:t>
            </w:r>
            <w:r w:rsidRPr="00C97275">
              <w:rPr>
                <w:rFonts w:ascii="Georgia" w:eastAsia="Times New Roman" w:hAnsi="Georgia" w:cs="Times New Roman"/>
                <w:sz w:val="20"/>
                <w:szCs w:val="20"/>
                <w:lang w:eastAsia="lt-LT"/>
              </w:rPr>
              <w:t>s duomenimis iš 187 įgyvendintų projektų. Šis rodiklis atspindi daugiausiai energijos suvartojimą taupančius projektus, kurie buvo prioretizuojami atnaujinimo programoje tačiau tikėtina, jog ilgesniu laikotarpiu artės prie 40% ribos, kai didžiausią energijos kiekį taupančių projektų skaičius mažės sparčiausiai.</w:t>
            </w:r>
          </w:p>
        </w:tc>
      </w:tr>
      <w:tr w:rsidR="005A0219" w:rsidRPr="00C97275" w14:paraId="3C9F8744" w14:textId="77777777" w:rsidTr="0063781D">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566" w:type="dxa"/>
          </w:tcPr>
          <w:p w14:paraId="3D29748A"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3</w:t>
            </w:r>
          </w:p>
        </w:tc>
        <w:tc>
          <w:tcPr>
            <w:tcW w:w="2905" w:type="dxa"/>
          </w:tcPr>
          <w:p w14:paraId="7A68A7CF"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Vidutis daugiabučio pastato plotas, m</w:t>
            </w:r>
            <w:r w:rsidRPr="00C97275">
              <w:rPr>
                <w:rFonts w:ascii="Georgia" w:eastAsia="Times New Roman" w:hAnsi="Georgia" w:cs="Times New Roman"/>
                <w:sz w:val="20"/>
                <w:szCs w:val="20"/>
                <w:vertAlign w:val="superscript"/>
                <w:lang w:eastAsia="lt-LT"/>
              </w:rPr>
              <w:t>2</w:t>
            </w:r>
          </w:p>
        </w:tc>
        <w:tc>
          <w:tcPr>
            <w:tcW w:w="1882" w:type="dxa"/>
          </w:tcPr>
          <w:p w14:paraId="1BFAB846" w14:textId="65937A8D" w:rsidR="005A0219" w:rsidRPr="00C97275" w:rsidRDefault="009046AA"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2 000</w:t>
            </w:r>
          </w:p>
        </w:tc>
        <w:tc>
          <w:tcPr>
            <w:tcW w:w="3827" w:type="dxa"/>
          </w:tcPr>
          <w:p w14:paraId="7C7C0382" w14:textId="65D16231" w:rsidR="005A0219" w:rsidRPr="00C97275" w:rsidRDefault="009046AA"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 xml:space="preserve">Vidutinis daugiabučio pastato plotas yra 1 272 kv. m., kaip tai yra nurodyta </w:t>
            </w:r>
            <w:r w:rsidR="005A0219" w:rsidRPr="00C97275">
              <w:rPr>
                <w:rFonts w:ascii="Georgia" w:eastAsia="Times New Roman" w:hAnsi="Georgia" w:cs="Times New Roman"/>
                <w:sz w:val="20"/>
                <w:szCs w:val="20"/>
                <w:lang w:eastAsia="lt-LT"/>
              </w:rPr>
              <w:t>2.1.2. dalyje</w:t>
            </w:r>
            <w:r w:rsidRPr="00C97275">
              <w:rPr>
                <w:rFonts w:ascii="Georgia" w:eastAsia="Times New Roman" w:hAnsi="Georgia" w:cs="Times New Roman"/>
                <w:sz w:val="20"/>
                <w:szCs w:val="20"/>
                <w:lang w:eastAsia="lt-LT"/>
              </w:rPr>
              <w:t>, tačiau faktiškai renovuojamų daugiabučių namų vidutinis plotas pastaraisiais metais išaugo iki apie 2 000 kv. m.</w:t>
            </w:r>
          </w:p>
        </w:tc>
      </w:tr>
      <w:tr w:rsidR="005A0219" w:rsidRPr="00C97275" w14:paraId="0B22EA78" w14:textId="77777777" w:rsidTr="0063781D">
        <w:trPr>
          <w:trHeight w:val="605"/>
        </w:trPr>
        <w:tc>
          <w:tcPr>
            <w:cnfStyle w:val="001000000000" w:firstRow="0" w:lastRow="0" w:firstColumn="1" w:lastColumn="0" w:oddVBand="0" w:evenVBand="0" w:oddHBand="0" w:evenHBand="0" w:firstRowFirstColumn="0" w:firstRowLastColumn="0" w:lastRowFirstColumn="0" w:lastRowLastColumn="0"/>
            <w:tcW w:w="566" w:type="dxa"/>
          </w:tcPr>
          <w:p w14:paraId="4F150B0D"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4</w:t>
            </w:r>
          </w:p>
        </w:tc>
        <w:tc>
          <w:tcPr>
            <w:tcW w:w="2905" w:type="dxa"/>
          </w:tcPr>
          <w:p w14:paraId="7555D945"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Bendras daugiabučių pastatų metinis sutaupymas, GWh</w:t>
            </w:r>
          </w:p>
        </w:tc>
        <w:tc>
          <w:tcPr>
            <w:tcW w:w="1882" w:type="dxa"/>
          </w:tcPr>
          <w:p w14:paraId="797D2D5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80,1</w:t>
            </w:r>
          </w:p>
        </w:tc>
        <w:tc>
          <w:tcPr>
            <w:tcW w:w="3827" w:type="dxa"/>
          </w:tcPr>
          <w:p w14:paraId="52406300"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Paskaičiuota aukščiau</w:t>
            </w:r>
          </w:p>
        </w:tc>
      </w:tr>
      <w:tr w:rsidR="005A0219" w:rsidRPr="00C97275" w14:paraId="7FB4920C" w14:textId="77777777" w:rsidTr="0063781D">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66" w:type="dxa"/>
          </w:tcPr>
          <w:p w14:paraId="5589AD8C"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5</w:t>
            </w:r>
          </w:p>
        </w:tc>
        <w:tc>
          <w:tcPr>
            <w:tcW w:w="2905" w:type="dxa"/>
          </w:tcPr>
          <w:p w14:paraId="1DD3B74B"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Tipinio daugiabučio renovuoto pastato sutaupymai, GWh per metus</w:t>
            </w:r>
          </w:p>
        </w:tc>
        <w:tc>
          <w:tcPr>
            <w:tcW w:w="1882" w:type="dxa"/>
          </w:tcPr>
          <w:p w14:paraId="5E2B6D25"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0,134</w:t>
            </w:r>
          </w:p>
        </w:tc>
        <w:tc>
          <w:tcPr>
            <w:tcW w:w="3827" w:type="dxa"/>
          </w:tcPr>
          <w:p w14:paraId="4307076C"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(1 x 2) x 3</w:t>
            </w:r>
          </w:p>
        </w:tc>
      </w:tr>
      <w:tr w:rsidR="005A0219" w:rsidRPr="00C97275" w14:paraId="0CB44067" w14:textId="77777777" w:rsidTr="0063781D">
        <w:trPr>
          <w:trHeight w:val="833"/>
        </w:trPr>
        <w:tc>
          <w:tcPr>
            <w:cnfStyle w:val="001000000000" w:firstRow="0" w:lastRow="0" w:firstColumn="1" w:lastColumn="0" w:oddVBand="0" w:evenVBand="0" w:oddHBand="0" w:evenHBand="0" w:firstRowFirstColumn="0" w:firstRowLastColumn="0" w:lastRowFirstColumn="0" w:lastRowLastColumn="0"/>
            <w:tcW w:w="566" w:type="dxa"/>
          </w:tcPr>
          <w:p w14:paraId="4D53D211"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6</w:t>
            </w:r>
          </w:p>
        </w:tc>
        <w:tc>
          <w:tcPr>
            <w:tcW w:w="2905" w:type="dxa"/>
          </w:tcPr>
          <w:p w14:paraId="23AEABD2"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Bendras renovuotinų daugiabučių pastatų kiekis per 2017-2023 m. periodą, vnt.</w:t>
            </w:r>
          </w:p>
        </w:tc>
        <w:tc>
          <w:tcPr>
            <w:tcW w:w="1882" w:type="dxa"/>
          </w:tcPr>
          <w:p w14:paraId="7F02625D" w14:textId="1901FBE7" w:rsidR="005A0219" w:rsidRPr="00C97275" w:rsidRDefault="00926FD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2 391</w:t>
            </w:r>
          </w:p>
        </w:tc>
        <w:tc>
          <w:tcPr>
            <w:tcW w:w="3827" w:type="dxa"/>
          </w:tcPr>
          <w:p w14:paraId="19848A24" w14:textId="7C299286"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 xml:space="preserve">4/5 x </w:t>
            </w:r>
            <w:r w:rsidR="00926FD9" w:rsidRPr="00C97275">
              <w:rPr>
                <w:rFonts w:ascii="Georgia" w:eastAsia="Times New Roman" w:hAnsi="Georgia" w:cs="Times New Roman"/>
                <w:sz w:val="20"/>
                <w:szCs w:val="20"/>
                <w:lang w:eastAsia="lt-LT"/>
              </w:rPr>
              <w:t xml:space="preserve">4 </w:t>
            </w:r>
            <w:r w:rsidRPr="00C97275">
              <w:rPr>
                <w:rFonts w:ascii="Georgia" w:eastAsia="Times New Roman" w:hAnsi="Georgia" w:cs="Times New Roman"/>
                <w:sz w:val="20"/>
                <w:szCs w:val="20"/>
                <w:lang w:eastAsia="lt-LT"/>
              </w:rPr>
              <w:t>metai</w:t>
            </w:r>
          </w:p>
        </w:tc>
      </w:tr>
      <w:tr w:rsidR="005A0219" w:rsidRPr="00C97275" w14:paraId="532C1EEE"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7A17612B"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7</w:t>
            </w:r>
          </w:p>
        </w:tc>
        <w:tc>
          <w:tcPr>
            <w:tcW w:w="2905" w:type="dxa"/>
          </w:tcPr>
          <w:p w14:paraId="6DF79FD6"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Bendras renovuotinų daugiabučių pastatų plotas per 2017-2023 m. periodą, tūkst. m</w:t>
            </w:r>
            <w:r w:rsidRPr="00C97275">
              <w:rPr>
                <w:rFonts w:ascii="Georgia" w:eastAsia="Times New Roman" w:hAnsi="Georgia" w:cs="Times New Roman"/>
                <w:sz w:val="20"/>
                <w:szCs w:val="20"/>
                <w:vertAlign w:val="superscript"/>
                <w:lang w:eastAsia="lt-LT"/>
              </w:rPr>
              <w:t>2</w:t>
            </w:r>
          </w:p>
        </w:tc>
        <w:tc>
          <w:tcPr>
            <w:tcW w:w="1882" w:type="dxa"/>
          </w:tcPr>
          <w:p w14:paraId="4FBBC043"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5 334</w:t>
            </w:r>
          </w:p>
        </w:tc>
        <w:tc>
          <w:tcPr>
            <w:tcW w:w="3827" w:type="dxa"/>
          </w:tcPr>
          <w:p w14:paraId="70CBBD5A"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3 x 6</w:t>
            </w:r>
          </w:p>
        </w:tc>
      </w:tr>
      <w:tr w:rsidR="005A0219" w:rsidRPr="00C97275" w14:paraId="3182333F"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5EAB6667"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8</w:t>
            </w:r>
          </w:p>
        </w:tc>
        <w:tc>
          <w:tcPr>
            <w:tcW w:w="2905" w:type="dxa"/>
            <w:hideMark/>
          </w:tcPr>
          <w:p w14:paraId="7084645E"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Daugiabučio pastato renovacijos kaštai, EUR/m</w:t>
            </w:r>
            <w:r w:rsidRPr="00C97275">
              <w:rPr>
                <w:rFonts w:ascii="Georgia" w:eastAsia="Times New Roman" w:hAnsi="Georgia" w:cs="Times New Roman"/>
                <w:sz w:val="20"/>
                <w:szCs w:val="20"/>
                <w:vertAlign w:val="superscript"/>
                <w:lang w:eastAsia="lt-LT"/>
              </w:rPr>
              <w:t>2</w:t>
            </w:r>
            <w:r w:rsidRPr="00C97275">
              <w:rPr>
                <w:rFonts w:ascii="Georgia" w:eastAsia="Times New Roman" w:hAnsi="Georgia" w:cs="Times New Roman"/>
                <w:sz w:val="20"/>
                <w:szCs w:val="20"/>
                <w:lang w:eastAsia="lt-LT"/>
              </w:rPr>
              <w:t xml:space="preserve"> </w:t>
            </w:r>
          </w:p>
        </w:tc>
        <w:tc>
          <w:tcPr>
            <w:tcW w:w="1882" w:type="dxa"/>
            <w:hideMark/>
          </w:tcPr>
          <w:p w14:paraId="220B5A05"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195</w:t>
            </w:r>
          </w:p>
        </w:tc>
        <w:tc>
          <w:tcPr>
            <w:tcW w:w="3827" w:type="dxa"/>
            <w:hideMark/>
          </w:tcPr>
          <w:p w14:paraId="28892CA3"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BETA 2017 m. duomenys. Lyginant su 2016 m. ši kaina nežymiai išaugo nuo 191 EUR/m2.</w:t>
            </w:r>
          </w:p>
        </w:tc>
      </w:tr>
      <w:tr w:rsidR="005A0219" w:rsidRPr="00C97275" w14:paraId="2DF9FF7D" w14:textId="77777777" w:rsidTr="0063781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66" w:type="dxa"/>
            <w:hideMark/>
          </w:tcPr>
          <w:p w14:paraId="6AF4BD0B" w14:textId="77777777" w:rsidR="005A0219" w:rsidRPr="00C97275" w:rsidRDefault="005A0219" w:rsidP="005A0219">
            <w:pPr>
              <w:jc w:val="both"/>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 9</w:t>
            </w:r>
          </w:p>
        </w:tc>
        <w:tc>
          <w:tcPr>
            <w:tcW w:w="2905" w:type="dxa"/>
            <w:hideMark/>
          </w:tcPr>
          <w:p w14:paraId="4A0541F0"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Daugiabučių pastatų renovacijos paklausa, mln. EUR</w:t>
            </w:r>
          </w:p>
        </w:tc>
        <w:tc>
          <w:tcPr>
            <w:tcW w:w="1882" w:type="dxa"/>
            <w:hideMark/>
          </w:tcPr>
          <w:p w14:paraId="46BF603D" w14:textId="5CAE76A4" w:rsidR="005A0219" w:rsidRPr="00C97275" w:rsidRDefault="00926FD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932</w:t>
            </w:r>
          </w:p>
        </w:tc>
        <w:tc>
          <w:tcPr>
            <w:tcW w:w="3827" w:type="dxa"/>
            <w:hideMark/>
          </w:tcPr>
          <w:p w14:paraId="36DBEC03"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Investicijų poreikis siekiant sutaupyti 82 GWh metinio energijos suvartojimo</w:t>
            </w:r>
          </w:p>
        </w:tc>
      </w:tr>
    </w:tbl>
    <w:p w14:paraId="6ACB346D" w14:textId="77777777" w:rsidR="005A0219" w:rsidRPr="00C97275" w:rsidRDefault="005A0219" w:rsidP="005A0219">
      <w:pPr>
        <w:spacing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lastRenderedPageBreak/>
        <w:t xml:space="preserve">Šaltinis: sudaryta autorių. </w:t>
      </w:r>
    </w:p>
    <w:p w14:paraId="10A72785" w14:textId="5C23BE5F" w:rsidR="005A0219" w:rsidRPr="00C97275" w:rsidRDefault="005A0219" w:rsidP="005A0219">
      <w:pPr>
        <w:autoSpaceDE w:val="0"/>
        <w:autoSpaceDN w:val="0"/>
        <w:adjustRightInd w:val="0"/>
        <w:spacing w:after="0" w:line="240" w:lineRule="auto"/>
        <w:jc w:val="both"/>
        <w:rPr>
          <w:rFonts w:ascii="Georgia" w:eastAsia="Georgia" w:hAnsi="Georgia" w:cs="Arial Unicode MS"/>
          <w:b/>
          <w:bCs/>
          <w:sz w:val="20"/>
          <w:szCs w:val="20"/>
          <w:lang w:val="lt-LT"/>
        </w:rPr>
      </w:pPr>
      <w:r w:rsidRPr="00C97275">
        <w:rPr>
          <w:rFonts w:ascii="Georgia" w:eastAsia="Georgia" w:hAnsi="Georgia" w:cs="Arial Unicode MS"/>
          <w:b/>
          <w:bCs/>
          <w:sz w:val="20"/>
          <w:szCs w:val="20"/>
          <w:lang w:val="lt-LT"/>
        </w:rPr>
        <w:t>Remiantis daugiabučių atnaujinimo programos tikslu</w:t>
      </w:r>
    </w:p>
    <w:p w14:paraId="42FDB918"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p>
    <w:p w14:paraId="1AB29ECB"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 xml:space="preserve">Daugiabučių atnaujinimo (modernizavimo) programoje nustatyta nuo 2005 m. iki 2020 m. modernizuoti 4 000 daugiabučių namų. Skaičiuodami investicijų paklausą turime atsižvelgti į faktinį jau įgyvendintų projektų skaičių. Remiantis BETA duomenimis, iki 2019 metų vidurio buvo atnaujinti 3127 daugiabučiai: </w:t>
      </w:r>
      <w:r w:rsidRPr="00C97275">
        <w:rPr>
          <w:rFonts w:ascii="Georgia" w:hAnsi="Georgia" w:cs="Arial"/>
          <w:sz w:val="20"/>
          <w:szCs w:val="20"/>
          <w:lang w:val="lt-LT"/>
        </w:rPr>
        <w:t>480 projektų buvo įgyvendinta 2005 - 2009 laikotarpiu, 373 – VRM priemonė probleminėse teritorijose (2007-2013); 2274 pagal Jessica I ir Jessica II programas</w:t>
      </w:r>
      <w:r w:rsidRPr="00C97275">
        <w:rPr>
          <w:rFonts w:ascii="Georgia" w:eastAsia="Georgia" w:hAnsi="Georgia" w:cs="Arial Unicode MS"/>
          <w:bCs/>
          <w:sz w:val="20"/>
          <w:szCs w:val="20"/>
          <w:lang w:val="lt-LT"/>
        </w:rPr>
        <w:t>. Šiuo metu yra vykdomi statybos rangos darbai 407 projektuose. Taip pat iki 2019 m. rugpjūčio 2 d. buvo pasirašytos 815 paramos sutartys. Atsižvelgiant į per pastaruodiud porą metų didėjusį vidutinį renovuojamų daugiabučių namų plotą bei projektų sudėtingumą, visų šių projektų įgyvendinimui yra nustatytas lėšų trūkumas, kuris sudaro apie 380 - 400 mln. eurų.</w:t>
      </w:r>
    </w:p>
    <w:p w14:paraId="518299C0"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Planuojama, kad Aplinkos ministerija 2020 - 2021 m. laikotarpiu papildomai skelbs kvietimus teikti paraiškas daugiabučių namų renovacijai, kurių bendra vertė sudarys apie 350 – 380 mln. eurų.</w:t>
      </w:r>
    </w:p>
    <w:p w14:paraId="1A5149F2"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p>
    <w:p w14:paraId="3B8E91AC"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Tiek paskelbtų, tiek ir ketinamų skelbti kvietimų  teikti paraiškas daugiabučių namų renovacijai lėšų poreikis iki 2021 m. pabaigos sudarys apie 730 – 780 mln. eurų.</w:t>
      </w:r>
    </w:p>
    <w:p w14:paraId="67773545"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p>
    <w:p w14:paraId="63438456"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Ilgalaikėje perspektyvoje, Nacionalinėje energetinės nepriklausomybės strategijoje yra keliamas uždavinys iki 2030 m.  pasiekti 5,5 – 6 TWh energijos sutaupymą, kas atitinkamai reikštų apie 5000 daugiabučių renovaciją, todėl investicijų poreikis šiam laikotarpiu siektų apie 1,8 - 2 mlrd. Eurų.</w:t>
      </w:r>
    </w:p>
    <w:p w14:paraId="3038C324"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p>
    <w:p w14:paraId="0CA30523"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r w:rsidRPr="00C97275">
        <w:rPr>
          <w:rFonts w:ascii="Georgia" w:eastAsia="Georgia" w:hAnsi="Georgia" w:cs="Arial Unicode MS"/>
          <w:bCs/>
          <w:sz w:val="20"/>
          <w:szCs w:val="20"/>
          <w:lang w:val="lt-LT"/>
        </w:rPr>
        <w:t>Atsižvelgiant į tai, jog nuo 2015 iki 2020 metų pagal tą pačią programą siekiama atnaujinti 2 500 pastatų ir darant prielaidą, jog po 2020 metų bus siekiama palaikyti tokius pačius modernizavimo tempus, prognozuojama, jog per 2021-2023 metų laikotarpį paklausa sieks apie 1 250 renovuotinų daugiabučių namų.</w:t>
      </w:r>
    </w:p>
    <w:p w14:paraId="6508C703" w14:textId="77777777" w:rsidR="009046AA" w:rsidRPr="00C97275" w:rsidRDefault="009046AA" w:rsidP="009046AA">
      <w:pPr>
        <w:autoSpaceDE w:val="0"/>
        <w:autoSpaceDN w:val="0"/>
        <w:adjustRightInd w:val="0"/>
        <w:spacing w:after="0" w:line="240" w:lineRule="auto"/>
        <w:jc w:val="both"/>
        <w:rPr>
          <w:rFonts w:ascii="Georgia" w:eastAsia="Georgia" w:hAnsi="Georgia" w:cs="Arial Unicode MS"/>
          <w:bCs/>
          <w:sz w:val="20"/>
          <w:szCs w:val="20"/>
          <w:lang w:val="lt-LT"/>
        </w:rPr>
      </w:pPr>
    </w:p>
    <w:p w14:paraId="1CC799E1" w14:textId="77777777" w:rsidR="009046AA" w:rsidRPr="00C97275" w:rsidRDefault="009046AA" w:rsidP="009046AA">
      <w:pPr>
        <w:spacing w:after="160" w:line="240" w:lineRule="auto"/>
        <w:jc w:val="both"/>
        <w:rPr>
          <w:rFonts w:ascii="Georgia" w:eastAsia="Georgia" w:hAnsi="Georgia" w:cs="Arial Unicode MS"/>
          <w:bCs/>
          <w:sz w:val="20"/>
          <w:szCs w:val="24"/>
          <w:lang w:val="lt-LT"/>
        </w:rPr>
      </w:pPr>
      <w:r w:rsidRPr="00C97275">
        <w:rPr>
          <w:rFonts w:ascii="Georgia" w:eastAsia="Georgia" w:hAnsi="Georgia" w:cs="Arial Unicode MS"/>
          <w:bCs/>
          <w:sz w:val="20"/>
          <w:szCs w:val="20"/>
          <w:lang w:val="lt-LT"/>
        </w:rPr>
        <w:t>Žemiau esančioje lentelėje pateikiamos</w:t>
      </w:r>
      <w:r w:rsidRPr="00C97275">
        <w:rPr>
          <w:rFonts w:ascii="Georgia" w:eastAsia="Georgia" w:hAnsi="Georgia" w:cs="Arial Unicode MS"/>
          <w:bCs/>
          <w:sz w:val="20"/>
          <w:szCs w:val="24"/>
          <w:lang w:val="lt-LT"/>
        </w:rPr>
        <w:t xml:space="preserve"> prielaidos ir skaičiavimai bei jų pagrindimas skaičiuojant daugiabučių namų paklausą faktinių dydžių metodu. Lentelės skiltyje „Informacijos šaltinis, pagrindimas“ esantys skaičiai formulėse nurodo, iš kokių lentelės eilučių imami skaičiai apskaičiuojant siektiną rodiklį.</w:t>
      </w:r>
    </w:p>
    <w:p w14:paraId="7E09205A" w14:textId="77777777" w:rsidR="009046AA" w:rsidRPr="00C97275" w:rsidRDefault="009046AA" w:rsidP="005A0219">
      <w:pPr>
        <w:autoSpaceDE w:val="0"/>
        <w:autoSpaceDN w:val="0"/>
        <w:adjustRightInd w:val="0"/>
        <w:spacing w:after="0" w:line="240" w:lineRule="auto"/>
        <w:jc w:val="both"/>
        <w:rPr>
          <w:rFonts w:ascii="Georgia" w:eastAsia="Georgia" w:hAnsi="Georgia" w:cs="Arial Unicode MS"/>
          <w:b/>
          <w:bCs/>
          <w:sz w:val="20"/>
          <w:szCs w:val="20"/>
          <w:lang w:val="lt-LT"/>
        </w:rPr>
      </w:pPr>
    </w:p>
    <w:p w14:paraId="4EAAE9C5" w14:textId="393CF3F0" w:rsidR="005A0219" w:rsidRPr="00C97275" w:rsidRDefault="005A0219" w:rsidP="005A0219">
      <w:pPr>
        <w:spacing w:after="120" w:line="240" w:lineRule="auto"/>
        <w:jc w:val="both"/>
        <w:rPr>
          <w:rFonts w:ascii="Georgia" w:eastAsia="Georgia" w:hAnsi="Georgia" w:cs="Arial Unicode MS"/>
          <w:bCs/>
          <w:i/>
          <w:iCs/>
          <w:color w:val="821A1A"/>
          <w:sz w:val="20"/>
          <w:szCs w:val="18"/>
          <w:lang w:val="lt-LT"/>
        </w:rPr>
      </w:pPr>
      <w:bookmarkStart w:id="56" w:name="_Toc19105225"/>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12</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Daugiabučių pastatų p</w:t>
      </w:r>
      <w:r w:rsidRPr="00C97275">
        <w:rPr>
          <w:rFonts w:ascii="Georgia" w:eastAsia="Georgia" w:hAnsi="Georgia" w:cs="Georgia"/>
          <w:i/>
          <w:iCs/>
          <w:color w:val="821A1A"/>
          <w:sz w:val="20"/>
          <w:szCs w:val="20"/>
          <w:lang w:val="lt-LT"/>
        </w:rPr>
        <w:t>aklausos skaičiavimo prielaidos</w:t>
      </w:r>
      <w:bookmarkEnd w:id="56"/>
      <w:r w:rsidRPr="00C97275">
        <w:rPr>
          <w:rFonts w:ascii="Georgia" w:eastAsia="Georgia" w:hAnsi="Georgia" w:cs="Georgia"/>
          <w:i/>
          <w:iCs/>
          <w:color w:val="821A1A"/>
          <w:sz w:val="20"/>
          <w:szCs w:val="20"/>
          <w:lang w:val="lt-LT"/>
        </w:rPr>
        <w:t xml:space="preserve"> </w:t>
      </w:r>
    </w:p>
    <w:tbl>
      <w:tblPr>
        <w:tblStyle w:val="LightList-Accent21"/>
        <w:tblW w:w="9327" w:type="dxa"/>
        <w:tblLook w:val="04A0" w:firstRow="1" w:lastRow="0" w:firstColumn="1" w:lastColumn="0" w:noHBand="0" w:noVBand="1"/>
      </w:tblPr>
      <w:tblGrid>
        <w:gridCol w:w="566"/>
        <w:gridCol w:w="2905"/>
        <w:gridCol w:w="1457"/>
        <w:gridCol w:w="4399"/>
      </w:tblGrid>
      <w:tr w:rsidR="005A0219" w:rsidRPr="00C97275" w14:paraId="109C382C" w14:textId="77777777" w:rsidTr="0063781D">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6" w:type="dxa"/>
            <w:hideMark/>
          </w:tcPr>
          <w:p w14:paraId="0DD6FAE5" w14:textId="77777777" w:rsidR="005A0219" w:rsidRPr="00C97275" w:rsidRDefault="005A0219" w:rsidP="005A0219">
            <w:pPr>
              <w:jc w:val="center"/>
              <w:rPr>
                <w:rFonts w:ascii="Georgia" w:eastAsia="Times New Roman" w:hAnsi="Georgia" w:cs="Times New Roman"/>
                <w:sz w:val="20"/>
                <w:szCs w:val="20"/>
                <w:lang w:eastAsia="lt-LT"/>
              </w:rPr>
            </w:pPr>
            <w:bookmarkStart w:id="57" w:name="_Hlk19092189"/>
            <w:r w:rsidRPr="00C97275">
              <w:rPr>
                <w:rFonts w:ascii="Georgia" w:eastAsia="Times New Roman" w:hAnsi="Georgia" w:cs="Times New Roman"/>
                <w:sz w:val="20"/>
                <w:szCs w:val="20"/>
                <w:lang w:eastAsia="lt-LT"/>
              </w:rPr>
              <w:t>Eil.</w:t>
            </w:r>
          </w:p>
          <w:p w14:paraId="0B63CBE2" w14:textId="77777777" w:rsidR="005A0219" w:rsidRPr="00C97275" w:rsidRDefault="005A0219" w:rsidP="005A0219">
            <w:pPr>
              <w:jc w:val="center"/>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Nr.</w:t>
            </w:r>
          </w:p>
        </w:tc>
        <w:tc>
          <w:tcPr>
            <w:tcW w:w="2905" w:type="dxa"/>
            <w:hideMark/>
          </w:tcPr>
          <w:p w14:paraId="0E91426B"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Rodiklis</w:t>
            </w:r>
          </w:p>
        </w:tc>
        <w:tc>
          <w:tcPr>
            <w:tcW w:w="1457" w:type="dxa"/>
            <w:hideMark/>
          </w:tcPr>
          <w:p w14:paraId="75ADC7E1"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Rodiklio dydis</w:t>
            </w:r>
          </w:p>
        </w:tc>
        <w:tc>
          <w:tcPr>
            <w:tcW w:w="4399" w:type="dxa"/>
            <w:hideMark/>
          </w:tcPr>
          <w:p w14:paraId="26D9E7BE" w14:textId="77777777" w:rsidR="005A0219" w:rsidRPr="00C97275"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Informacijos šaltinis, pagrindimas</w:t>
            </w:r>
          </w:p>
        </w:tc>
      </w:tr>
      <w:tr w:rsidR="005A0219" w:rsidRPr="00C97275" w14:paraId="2649A9B7"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5423A2C9"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w:t>
            </w:r>
          </w:p>
        </w:tc>
        <w:tc>
          <w:tcPr>
            <w:tcW w:w="2905" w:type="dxa"/>
            <w:hideMark/>
          </w:tcPr>
          <w:p w14:paraId="7628D8B3"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Metinio šilumos suvartojimo kiekio vidurkis, kWh/m2</w:t>
            </w:r>
          </w:p>
        </w:tc>
        <w:tc>
          <w:tcPr>
            <w:tcW w:w="1457" w:type="dxa"/>
            <w:hideMark/>
          </w:tcPr>
          <w:p w14:paraId="180E4982"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175,2</w:t>
            </w:r>
          </w:p>
        </w:tc>
        <w:tc>
          <w:tcPr>
            <w:tcW w:w="4399" w:type="dxa"/>
            <w:hideMark/>
          </w:tcPr>
          <w:p w14:paraId="7726CB14"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Pagal Lietuvos šilumos tiekėjų asociacijos naujausius duomenis (2016/2017 m.), 77% visų daugiabučių Lietuvoje prijungtų prie centralizuotos šilumos sistemos suvartoja vidutiniškai 24kWh/m</w:t>
            </w:r>
            <w:r w:rsidRPr="00C97275">
              <w:rPr>
                <w:rFonts w:ascii="Georgia" w:eastAsia="Times New Roman" w:hAnsi="Georgia" w:cs="Times New Roman"/>
                <w:color w:val="000000"/>
                <w:sz w:val="20"/>
                <w:szCs w:val="20"/>
                <w:vertAlign w:val="superscript"/>
                <w:lang w:eastAsia="lt-LT"/>
              </w:rPr>
              <w:t xml:space="preserve">2 </w:t>
            </w:r>
            <w:r w:rsidRPr="00C97275">
              <w:rPr>
                <w:rFonts w:ascii="Georgia" w:eastAsia="Times New Roman" w:hAnsi="Georgia" w:cs="Times New Roman"/>
                <w:color w:val="000000"/>
                <w:sz w:val="20"/>
                <w:szCs w:val="20"/>
                <w:lang w:eastAsia="lt-LT"/>
              </w:rPr>
              <w:t>per mėnesį. Šildymo sezonas Lietuvoje vidutiniškai tęsiasi 219 dienų per metus</w:t>
            </w:r>
            <w:r w:rsidRPr="00C97275">
              <w:rPr>
                <w:rFonts w:ascii="Georgia" w:eastAsia="Times New Roman" w:hAnsi="Georgia" w:cs="Times New Roman"/>
                <w:color w:val="000000"/>
                <w:sz w:val="20"/>
                <w:szCs w:val="20"/>
                <w:vertAlign w:val="superscript"/>
                <w:lang w:eastAsia="lt-LT"/>
              </w:rPr>
              <w:footnoteReference w:id="20"/>
            </w:r>
            <w:r w:rsidRPr="00C97275">
              <w:rPr>
                <w:rFonts w:ascii="Georgia" w:eastAsia="Times New Roman" w:hAnsi="Georgia" w:cs="Times New Roman"/>
                <w:color w:val="000000"/>
                <w:sz w:val="20"/>
                <w:szCs w:val="20"/>
                <w:lang w:eastAsia="lt-LT"/>
              </w:rPr>
              <w:t>. Per šį laikotarpį daugiabučiai vidutiniškai suvartoja 175,2 kWh energijos.</w:t>
            </w:r>
          </w:p>
        </w:tc>
      </w:tr>
      <w:tr w:rsidR="005A0219" w:rsidRPr="00C97275" w14:paraId="783C6767" w14:textId="77777777" w:rsidTr="0063781D">
        <w:trPr>
          <w:trHeight w:val="1545"/>
        </w:trPr>
        <w:tc>
          <w:tcPr>
            <w:cnfStyle w:val="001000000000" w:firstRow="0" w:lastRow="0" w:firstColumn="1" w:lastColumn="0" w:oddVBand="0" w:evenVBand="0" w:oddHBand="0" w:evenHBand="0" w:firstRowFirstColumn="0" w:firstRowLastColumn="0" w:lastRowFirstColumn="0" w:lastRowLastColumn="0"/>
            <w:tcW w:w="566" w:type="dxa"/>
            <w:hideMark/>
          </w:tcPr>
          <w:p w14:paraId="7300973C"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w:t>
            </w:r>
          </w:p>
        </w:tc>
        <w:tc>
          <w:tcPr>
            <w:tcW w:w="2905" w:type="dxa"/>
            <w:hideMark/>
          </w:tcPr>
          <w:p w14:paraId="78B6DD1E"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Po renovacijos pastatų energijos suvartojimo sutaupymas</w:t>
            </w:r>
          </w:p>
        </w:tc>
        <w:tc>
          <w:tcPr>
            <w:tcW w:w="1457" w:type="dxa"/>
            <w:hideMark/>
          </w:tcPr>
          <w:p w14:paraId="1A4DBFB6"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60%</w:t>
            </w:r>
          </w:p>
        </w:tc>
        <w:tc>
          <w:tcPr>
            <w:tcW w:w="4399" w:type="dxa"/>
            <w:hideMark/>
          </w:tcPr>
          <w:p w14:paraId="33C06DAD"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VIPA istoriniai duomenys iš 187 įgyvendintų projektų. Šis rodiklis atspindi daugiausiai energijos suvartojimą taupančius projektus, kurie buvo prioretizuojami atnaujinimo programoje tačiau tikėtina, jog ilgesniu laikotarpiu artės prie 40% ribos, kai didžiausią energijos kiekį taupančių projektų skaičius mažės sparčiausiai.</w:t>
            </w:r>
          </w:p>
        </w:tc>
      </w:tr>
      <w:tr w:rsidR="005A0219" w:rsidRPr="00C97275" w14:paraId="61971D82" w14:textId="77777777" w:rsidTr="0063781D">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566" w:type="dxa"/>
          </w:tcPr>
          <w:p w14:paraId="4057C74A"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3</w:t>
            </w:r>
          </w:p>
        </w:tc>
        <w:tc>
          <w:tcPr>
            <w:tcW w:w="2905" w:type="dxa"/>
          </w:tcPr>
          <w:p w14:paraId="028538E1"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Vidutis daugiabučio pastato plotas, m</w:t>
            </w:r>
            <w:r w:rsidRPr="00C97275">
              <w:rPr>
                <w:rFonts w:ascii="Georgia" w:eastAsia="Times New Roman" w:hAnsi="Georgia" w:cs="Times New Roman"/>
                <w:color w:val="000000"/>
                <w:sz w:val="20"/>
                <w:szCs w:val="20"/>
                <w:vertAlign w:val="superscript"/>
                <w:lang w:eastAsia="lt-LT"/>
              </w:rPr>
              <w:t>2</w:t>
            </w:r>
          </w:p>
        </w:tc>
        <w:tc>
          <w:tcPr>
            <w:tcW w:w="1457" w:type="dxa"/>
          </w:tcPr>
          <w:p w14:paraId="4BE3BECB" w14:textId="2C0A5B9A" w:rsidR="005A0219" w:rsidRPr="00C97275" w:rsidRDefault="009046AA"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2 000</w:t>
            </w:r>
          </w:p>
        </w:tc>
        <w:tc>
          <w:tcPr>
            <w:tcW w:w="4399" w:type="dxa"/>
          </w:tcPr>
          <w:p w14:paraId="7B1B4E48" w14:textId="6AD61B44" w:rsidR="005A0219" w:rsidRPr="00C97275" w:rsidRDefault="009046AA"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Vidutinis daugiabučio pastato plotas yra 1 272 kv. m., kaip tai yra nurodyta 2.1.2. dalyje, tačiau faktiškai renovuojamų daugiabučių namų vidutinis plotas pastaraisiais metais </w:t>
            </w:r>
            <w:r w:rsidRPr="00C97275">
              <w:rPr>
                <w:rFonts w:ascii="Georgia" w:eastAsia="Times New Roman" w:hAnsi="Georgia" w:cs="Times New Roman"/>
                <w:color w:val="000000"/>
                <w:sz w:val="20"/>
                <w:szCs w:val="20"/>
                <w:lang w:eastAsia="lt-LT"/>
              </w:rPr>
              <w:lastRenderedPageBreak/>
              <w:t>išaugo iki apie 2 000 kv. m.</w:t>
            </w:r>
          </w:p>
        </w:tc>
      </w:tr>
      <w:tr w:rsidR="005A0219" w:rsidRPr="00C97275" w14:paraId="5403631A" w14:textId="77777777" w:rsidTr="0063781D">
        <w:trPr>
          <w:trHeight w:val="691"/>
        </w:trPr>
        <w:tc>
          <w:tcPr>
            <w:cnfStyle w:val="001000000000" w:firstRow="0" w:lastRow="0" w:firstColumn="1" w:lastColumn="0" w:oddVBand="0" w:evenVBand="0" w:oddHBand="0" w:evenHBand="0" w:firstRowFirstColumn="0" w:firstRowLastColumn="0" w:lastRowFirstColumn="0" w:lastRowLastColumn="0"/>
            <w:tcW w:w="566" w:type="dxa"/>
            <w:hideMark/>
          </w:tcPr>
          <w:p w14:paraId="7D540014"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lastRenderedPageBreak/>
              <w:t>4</w:t>
            </w:r>
          </w:p>
        </w:tc>
        <w:tc>
          <w:tcPr>
            <w:tcW w:w="2905" w:type="dxa"/>
            <w:hideMark/>
          </w:tcPr>
          <w:p w14:paraId="1A940923"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Bendras renovuotinų daugiabučių pastatų skaičius 2017-2023 metais</w:t>
            </w:r>
          </w:p>
        </w:tc>
        <w:tc>
          <w:tcPr>
            <w:tcW w:w="1457" w:type="dxa"/>
            <w:hideMark/>
          </w:tcPr>
          <w:p w14:paraId="3C2F3F95" w14:textId="0F66ED3A" w:rsidR="005A0219" w:rsidRPr="00C97275" w:rsidRDefault="00E3420F"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2 123</w:t>
            </w:r>
          </w:p>
        </w:tc>
        <w:tc>
          <w:tcPr>
            <w:tcW w:w="4399" w:type="dxa"/>
            <w:hideMark/>
          </w:tcPr>
          <w:p w14:paraId="7BA715FC" w14:textId="646E0DB8"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Skaičiavimo metodika aprašyta aukščiau (4000 – </w:t>
            </w:r>
            <w:r w:rsidR="00E3420F" w:rsidRPr="00C97275">
              <w:rPr>
                <w:rFonts w:ascii="Georgia" w:eastAsia="Times New Roman" w:hAnsi="Georgia" w:cs="Times New Roman"/>
                <w:color w:val="000000"/>
                <w:sz w:val="20"/>
                <w:szCs w:val="20"/>
                <w:lang w:eastAsia="lt-LT"/>
              </w:rPr>
              <w:t>3127</w:t>
            </w:r>
            <w:r w:rsidRPr="00C97275">
              <w:rPr>
                <w:rFonts w:ascii="Georgia" w:eastAsia="Times New Roman" w:hAnsi="Georgia" w:cs="Times New Roman"/>
                <w:color w:val="000000"/>
                <w:sz w:val="20"/>
                <w:szCs w:val="20"/>
                <w:lang w:eastAsia="lt-LT"/>
              </w:rPr>
              <w:t xml:space="preserve"> + 1250)</w:t>
            </w:r>
          </w:p>
        </w:tc>
      </w:tr>
      <w:tr w:rsidR="005A0219" w:rsidRPr="00C97275" w14:paraId="2AD4522F" w14:textId="77777777" w:rsidTr="006378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6" w:type="dxa"/>
            <w:hideMark/>
          </w:tcPr>
          <w:p w14:paraId="20FDAE58"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6</w:t>
            </w:r>
          </w:p>
        </w:tc>
        <w:tc>
          <w:tcPr>
            <w:tcW w:w="2905" w:type="dxa"/>
            <w:hideMark/>
          </w:tcPr>
          <w:p w14:paraId="3F162DE6"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Sutaupymai (GWh)</w:t>
            </w:r>
          </w:p>
        </w:tc>
        <w:tc>
          <w:tcPr>
            <w:tcW w:w="1457" w:type="dxa"/>
            <w:hideMark/>
          </w:tcPr>
          <w:p w14:paraId="50EBB8C7" w14:textId="77777777" w:rsidR="005A0219" w:rsidRPr="00C97275"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436</w:t>
            </w:r>
          </w:p>
        </w:tc>
        <w:tc>
          <w:tcPr>
            <w:tcW w:w="4399" w:type="dxa"/>
            <w:hideMark/>
          </w:tcPr>
          <w:p w14:paraId="7E1C9D87" w14:textId="77777777"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p>
        </w:tc>
      </w:tr>
      <w:tr w:rsidR="005A0219" w:rsidRPr="00C97275" w14:paraId="68BFBB2A"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2E619E95"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7</w:t>
            </w:r>
          </w:p>
        </w:tc>
        <w:tc>
          <w:tcPr>
            <w:tcW w:w="2905" w:type="dxa"/>
            <w:hideMark/>
          </w:tcPr>
          <w:p w14:paraId="720D74DF" w14:textId="77777777" w:rsidR="005A0219" w:rsidRPr="00C97275"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Daugiabučio pastato renovacijos kaštai, EUR/m</w:t>
            </w:r>
            <w:r w:rsidRPr="00C97275">
              <w:rPr>
                <w:rFonts w:ascii="Georgia" w:eastAsia="Times New Roman" w:hAnsi="Georgia" w:cs="Times New Roman"/>
                <w:color w:val="000000"/>
                <w:sz w:val="20"/>
                <w:szCs w:val="20"/>
                <w:vertAlign w:val="superscript"/>
                <w:lang w:eastAsia="lt-LT"/>
              </w:rPr>
              <w:t xml:space="preserve">2 </w:t>
            </w:r>
          </w:p>
        </w:tc>
        <w:tc>
          <w:tcPr>
            <w:tcW w:w="1457" w:type="dxa"/>
            <w:hideMark/>
          </w:tcPr>
          <w:p w14:paraId="09497871" w14:textId="77777777" w:rsidR="005A0219" w:rsidRPr="00C97275"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195</w:t>
            </w:r>
          </w:p>
        </w:tc>
        <w:tc>
          <w:tcPr>
            <w:tcW w:w="4399" w:type="dxa"/>
            <w:hideMark/>
          </w:tcPr>
          <w:p w14:paraId="629E2A0A" w14:textId="77777777" w:rsidR="005A0219" w:rsidRPr="00C97275"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BETA duomenys 2017 metams</w:t>
            </w:r>
          </w:p>
        </w:tc>
      </w:tr>
      <w:tr w:rsidR="005A0219" w:rsidRPr="00C97275" w14:paraId="13224D74" w14:textId="77777777" w:rsidTr="0063781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66" w:type="dxa"/>
            <w:hideMark/>
          </w:tcPr>
          <w:p w14:paraId="1E7C2BED" w14:textId="77777777" w:rsidR="005A0219" w:rsidRPr="00C97275" w:rsidRDefault="005A0219" w:rsidP="005A0219">
            <w:pPr>
              <w:jc w:val="both"/>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8</w:t>
            </w:r>
          </w:p>
        </w:tc>
        <w:tc>
          <w:tcPr>
            <w:tcW w:w="2905" w:type="dxa"/>
            <w:hideMark/>
          </w:tcPr>
          <w:p w14:paraId="1CADEBA1" w14:textId="77777777" w:rsidR="005A0219" w:rsidRPr="00C97275"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Daugiabučių pastatų renovacijos paklausa, mln. EUR</w:t>
            </w:r>
          </w:p>
        </w:tc>
        <w:tc>
          <w:tcPr>
            <w:tcW w:w="1457" w:type="dxa"/>
            <w:hideMark/>
          </w:tcPr>
          <w:p w14:paraId="573552BC" w14:textId="32E0F87D" w:rsidR="005A0219" w:rsidRPr="00C97275" w:rsidRDefault="009046AA"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828</w:t>
            </w:r>
          </w:p>
        </w:tc>
        <w:tc>
          <w:tcPr>
            <w:tcW w:w="4399" w:type="dxa"/>
            <w:hideMark/>
          </w:tcPr>
          <w:p w14:paraId="33B3C892" w14:textId="55E2557E" w:rsidR="005A0219" w:rsidRPr="00C97275"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 xml:space="preserve">Investicijų poreikis siekiant atnaujinti </w:t>
            </w:r>
            <w:r w:rsidR="004F6F77" w:rsidRPr="00C97275">
              <w:rPr>
                <w:rFonts w:ascii="Georgia" w:eastAsia="Times New Roman" w:hAnsi="Georgia" w:cs="Times New Roman"/>
                <w:color w:val="000000"/>
                <w:sz w:val="20"/>
                <w:szCs w:val="20"/>
                <w:lang w:eastAsia="lt-LT"/>
              </w:rPr>
              <w:t>2123</w:t>
            </w:r>
            <w:r w:rsidRPr="00C97275">
              <w:rPr>
                <w:rFonts w:ascii="Georgia" w:eastAsia="Times New Roman" w:hAnsi="Georgia" w:cs="Times New Roman"/>
                <w:color w:val="000000"/>
                <w:sz w:val="20"/>
                <w:szCs w:val="20"/>
                <w:lang w:eastAsia="lt-LT"/>
              </w:rPr>
              <w:t xml:space="preserve"> daugiabučių. Tai leistų sutaupyti 1000 GWh suvartojamos galutinės energijos.</w:t>
            </w:r>
          </w:p>
        </w:tc>
      </w:tr>
    </w:tbl>
    <w:bookmarkEnd w:id="57"/>
    <w:p w14:paraId="26020866" w14:textId="77777777" w:rsidR="005A0219" w:rsidRPr="00C97275" w:rsidRDefault="005A0219" w:rsidP="005A0219">
      <w:pPr>
        <w:spacing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t xml:space="preserve">Šaltinis: sudaryta autorių. </w:t>
      </w:r>
    </w:p>
    <w:p w14:paraId="3708FFCE" w14:textId="57EBCA2B" w:rsidR="005A0219" w:rsidRPr="00C97275" w:rsidRDefault="005A0219" w:rsidP="005A0219">
      <w:pPr>
        <w:spacing w:after="160" w:line="240" w:lineRule="auto"/>
        <w:rPr>
          <w:rFonts w:ascii="Georgia" w:eastAsia="Georgia" w:hAnsi="Georgia" w:cs="Arial Unicode MS"/>
          <w:b/>
          <w:sz w:val="20"/>
          <w:szCs w:val="20"/>
          <w:lang w:val="lt-LT"/>
        </w:rPr>
      </w:pPr>
      <w:r w:rsidRPr="00C97275">
        <w:rPr>
          <w:rFonts w:ascii="Georgia" w:eastAsia="Georgia" w:hAnsi="Georgia" w:cs="Arial Unicode MS"/>
          <w:b/>
          <w:sz w:val="20"/>
          <w:szCs w:val="20"/>
          <w:lang w:val="lt-LT"/>
        </w:rPr>
        <w:t>Remiantis Nacionalinės energijos strategijos tikslais</w:t>
      </w:r>
    </w:p>
    <w:p w14:paraId="6F4A5800" w14:textId="7AB5CDEB" w:rsidR="005A0219" w:rsidRPr="00C97275" w:rsidRDefault="00DF347A" w:rsidP="0063781D">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Lentelėje žemiau yra apibendrinami </w:t>
      </w:r>
      <w:r w:rsidR="005A0219" w:rsidRPr="00C97275">
        <w:rPr>
          <w:rFonts w:ascii="Georgia" w:eastAsia="Georgia" w:hAnsi="Georgia" w:cs="Arial Unicode MS"/>
          <w:sz w:val="20"/>
          <w:szCs w:val="20"/>
          <w:lang w:val="lt-LT"/>
        </w:rPr>
        <w:t>Nac</w:t>
      </w:r>
      <w:r w:rsidRPr="00C97275">
        <w:rPr>
          <w:rFonts w:ascii="Georgia" w:eastAsia="Georgia" w:hAnsi="Georgia" w:cs="Arial Unicode MS"/>
          <w:sz w:val="20"/>
          <w:szCs w:val="20"/>
          <w:lang w:val="lt-LT"/>
        </w:rPr>
        <w:t xml:space="preserve">ionalinėje energijos strategijoje </w:t>
      </w:r>
      <w:r w:rsidR="005A0219" w:rsidRPr="00C97275">
        <w:rPr>
          <w:rFonts w:ascii="Georgia" w:eastAsia="Georgia" w:hAnsi="Georgia" w:cs="Arial Unicode MS"/>
          <w:sz w:val="20"/>
          <w:szCs w:val="20"/>
          <w:lang w:val="lt-LT"/>
        </w:rPr>
        <w:t>išdėstyti energijos taupymo tikslai</w:t>
      </w:r>
      <w:r w:rsidRPr="00C97275">
        <w:rPr>
          <w:rFonts w:ascii="Georgia" w:eastAsia="Georgia" w:hAnsi="Georgia" w:cs="Arial Unicode MS"/>
          <w:sz w:val="20"/>
          <w:szCs w:val="20"/>
          <w:lang w:val="lt-LT"/>
        </w:rPr>
        <w:t>,</w:t>
      </w:r>
      <w:r w:rsidR="005A0219" w:rsidRPr="00C97275">
        <w:rPr>
          <w:rFonts w:ascii="Georgia" w:eastAsia="Georgia" w:hAnsi="Georgia" w:cs="Arial Unicode MS"/>
          <w:sz w:val="20"/>
          <w:szCs w:val="20"/>
          <w:lang w:val="lt-LT"/>
        </w:rPr>
        <w:t xml:space="preserve"> susiję su daugiabučių </w:t>
      </w:r>
      <w:r w:rsidRPr="00C97275">
        <w:rPr>
          <w:rFonts w:ascii="Georgia" w:eastAsia="Georgia" w:hAnsi="Georgia" w:cs="Arial Unicode MS"/>
          <w:sz w:val="20"/>
          <w:szCs w:val="20"/>
          <w:lang w:val="lt-LT"/>
        </w:rPr>
        <w:t xml:space="preserve">namų </w:t>
      </w:r>
      <w:r w:rsidR="005A0219" w:rsidRPr="00C97275">
        <w:rPr>
          <w:rFonts w:ascii="Georgia" w:eastAsia="Georgia" w:hAnsi="Georgia" w:cs="Arial Unicode MS"/>
          <w:sz w:val="20"/>
          <w:szCs w:val="20"/>
          <w:lang w:val="lt-LT"/>
        </w:rPr>
        <w:t>atnaujinimu</w:t>
      </w:r>
      <w:r w:rsidRPr="00C97275">
        <w:rPr>
          <w:rFonts w:ascii="Georgia" w:eastAsia="Georgia" w:hAnsi="Georgia" w:cs="Arial Unicode MS"/>
          <w:sz w:val="20"/>
          <w:szCs w:val="20"/>
          <w:lang w:val="lt-LT"/>
        </w:rPr>
        <w:t>.</w:t>
      </w:r>
    </w:p>
    <w:p w14:paraId="121EF3DC" w14:textId="5536E510" w:rsidR="005A0219" w:rsidRPr="00C97275" w:rsidRDefault="005A0219" w:rsidP="005A0219">
      <w:pPr>
        <w:spacing w:after="160" w:line="240" w:lineRule="auto"/>
        <w:jc w:val="both"/>
        <w:rPr>
          <w:rFonts w:ascii="Georgia" w:eastAsia="Georgia" w:hAnsi="Georgia" w:cs="Arial Unicode MS"/>
          <w:bCs/>
          <w:i/>
          <w:iCs/>
          <w:color w:val="821A1A"/>
          <w:sz w:val="20"/>
          <w:szCs w:val="18"/>
          <w:lang w:val="lt-LT"/>
        </w:rPr>
      </w:pPr>
      <w:bookmarkStart w:id="58" w:name="_Toc19105226"/>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13</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Daugiabučių namų, prijungtų prie centralizuotos šilumos sistemos, modernizavimo tikslai Nacionalinėje energetikos strategijoje</w:t>
      </w:r>
      <w:bookmarkEnd w:id="58"/>
    </w:p>
    <w:tbl>
      <w:tblPr>
        <w:tblStyle w:val="LightList-Accent21"/>
        <w:tblW w:w="9320" w:type="dxa"/>
        <w:tblLayout w:type="fixed"/>
        <w:tblLook w:val="04A0" w:firstRow="1" w:lastRow="0" w:firstColumn="1" w:lastColumn="0" w:noHBand="0" w:noVBand="1"/>
      </w:tblPr>
      <w:tblGrid>
        <w:gridCol w:w="237"/>
        <w:gridCol w:w="1798"/>
        <w:gridCol w:w="1050"/>
        <w:gridCol w:w="964"/>
        <w:gridCol w:w="6"/>
        <w:gridCol w:w="1108"/>
        <w:gridCol w:w="760"/>
        <w:gridCol w:w="6"/>
        <w:gridCol w:w="1169"/>
        <w:gridCol w:w="6"/>
        <w:gridCol w:w="970"/>
        <w:gridCol w:w="1240"/>
        <w:gridCol w:w="6"/>
      </w:tblGrid>
      <w:tr w:rsidR="005A0219" w:rsidRPr="00C97275" w14:paraId="691B9BF0" w14:textId="77777777" w:rsidTr="0063781D">
        <w:trPr>
          <w:gridAfter w:val="1"/>
          <w:cnfStyle w:val="100000000000" w:firstRow="1" w:lastRow="0" w:firstColumn="0" w:lastColumn="0" w:oddVBand="0" w:evenVBand="0" w:oddHBand="0"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37" w:type="dxa"/>
            <w:vMerge w:val="restart"/>
            <w:hideMark/>
          </w:tcPr>
          <w:p w14:paraId="487DFC23" w14:textId="77777777" w:rsidR="005A0219" w:rsidRPr="00C97275" w:rsidRDefault="005A0219" w:rsidP="005A0219">
            <w:pPr>
              <w:rPr>
                <w:rFonts w:ascii="Georgia" w:eastAsia="Georgia" w:hAnsi="Georgia" w:cs="Arial Unicode MS"/>
                <w:sz w:val="20"/>
                <w:szCs w:val="20"/>
              </w:rPr>
            </w:pPr>
          </w:p>
        </w:tc>
        <w:tc>
          <w:tcPr>
            <w:tcW w:w="1798" w:type="dxa"/>
            <w:noWrap/>
            <w:hideMark/>
          </w:tcPr>
          <w:p w14:paraId="243EB3EB"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2015</w:t>
            </w:r>
          </w:p>
        </w:tc>
        <w:tc>
          <w:tcPr>
            <w:tcW w:w="3888" w:type="dxa"/>
            <w:gridSpan w:val="5"/>
            <w:noWrap/>
            <w:hideMark/>
          </w:tcPr>
          <w:p w14:paraId="1488F2C0"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2025</w:t>
            </w:r>
          </w:p>
        </w:tc>
        <w:tc>
          <w:tcPr>
            <w:tcW w:w="3391" w:type="dxa"/>
            <w:gridSpan w:val="5"/>
            <w:noWrap/>
            <w:hideMark/>
          </w:tcPr>
          <w:p w14:paraId="64D561F3"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2035</w:t>
            </w:r>
          </w:p>
        </w:tc>
      </w:tr>
      <w:tr w:rsidR="0063781D" w:rsidRPr="00C97275" w14:paraId="4AF5D96A" w14:textId="77777777" w:rsidTr="0063781D">
        <w:trPr>
          <w:gridAfter w:val="1"/>
          <w:cnfStyle w:val="000000100000" w:firstRow="0" w:lastRow="0" w:firstColumn="0" w:lastColumn="0" w:oddVBand="0" w:evenVBand="0" w:oddHBand="1" w:evenHBand="0" w:firstRowFirstColumn="0" w:firstRowLastColumn="0" w:lastRowFirstColumn="0" w:lastRowLastColumn="0"/>
          <w:wAfter w:w="6" w:type="dxa"/>
          <w:trHeight w:val="600"/>
        </w:trPr>
        <w:tc>
          <w:tcPr>
            <w:cnfStyle w:val="001000000000" w:firstRow="0" w:lastRow="0" w:firstColumn="1" w:lastColumn="0" w:oddVBand="0" w:evenVBand="0" w:oddHBand="0" w:evenHBand="0" w:firstRowFirstColumn="0" w:firstRowLastColumn="0" w:lastRowFirstColumn="0" w:lastRowLastColumn="0"/>
            <w:tcW w:w="237" w:type="dxa"/>
            <w:vMerge/>
            <w:hideMark/>
          </w:tcPr>
          <w:p w14:paraId="633A3F45" w14:textId="77777777" w:rsidR="005A0219" w:rsidRPr="00C97275" w:rsidRDefault="005A0219" w:rsidP="005A0219">
            <w:pPr>
              <w:rPr>
                <w:rFonts w:ascii="Georgia" w:eastAsia="Georgia" w:hAnsi="Georgia" w:cs="Arial Unicode MS"/>
                <w:sz w:val="20"/>
                <w:szCs w:val="20"/>
              </w:rPr>
            </w:pPr>
          </w:p>
        </w:tc>
        <w:tc>
          <w:tcPr>
            <w:tcW w:w="1798" w:type="dxa"/>
            <w:shd w:val="clear" w:color="auto" w:fill="D62E1C"/>
            <w:noWrap/>
            <w:hideMark/>
          </w:tcPr>
          <w:p w14:paraId="4C9A2849"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C97275">
              <w:rPr>
                <w:rFonts w:ascii="Georgia" w:eastAsia="Georgia" w:hAnsi="Georgia" w:cs="Arial Unicode MS"/>
                <w:color w:val="FFFFFF"/>
                <w:sz w:val="20"/>
                <w:szCs w:val="20"/>
              </w:rPr>
              <w:t>Daugiabučiai pastatai</w:t>
            </w:r>
          </w:p>
        </w:tc>
        <w:tc>
          <w:tcPr>
            <w:tcW w:w="2014" w:type="dxa"/>
            <w:gridSpan w:val="2"/>
            <w:shd w:val="clear" w:color="auto" w:fill="D62E1C"/>
            <w:noWrap/>
            <w:hideMark/>
          </w:tcPr>
          <w:p w14:paraId="510859C7"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C97275">
              <w:rPr>
                <w:rFonts w:ascii="Georgia" w:eastAsia="Georgia" w:hAnsi="Georgia" w:cs="Arial Unicode MS"/>
                <w:color w:val="FFFFFF"/>
                <w:sz w:val="20"/>
                <w:szCs w:val="20"/>
              </w:rPr>
              <w:t>Tikslas</w:t>
            </w:r>
          </w:p>
        </w:tc>
        <w:tc>
          <w:tcPr>
            <w:tcW w:w="1874" w:type="dxa"/>
            <w:gridSpan w:val="3"/>
            <w:shd w:val="clear" w:color="auto" w:fill="D62E1C"/>
            <w:hideMark/>
          </w:tcPr>
          <w:p w14:paraId="4868F84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C97275">
              <w:rPr>
                <w:rFonts w:ascii="Georgia" w:eastAsia="Georgia" w:hAnsi="Georgia" w:cs="Arial Unicode MS"/>
                <w:color w:val="FFFFFF"/>
                <w:sz w:val="20"/>
                <w:szCs w:val="20"/>
              </w:rPr>
              <w:t>Atnaujintų pastatų</w:t>
            </w:r>
          </w:p>
        </w:tc>
        <w:tc>
          <w:tcPr>
            <w:tcW w:w="1175" w:type="dxa"/>
            <w:gridSpan w:val="2"/>
            <w:shd w:val="clear" w:color="auto" w:fill="D62E1C"/>
            <w:noWrap/>
            <w:hideMark/>
          </w:tcPr>
          <w:p w14:paraId="7E0A1648"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C97275">
              <w:rPr>
                <w:rFonts w:ascii="Georgia" w:eastAsia="Georgia" w:hAnsi="Georgia" w:cs="Arial Unicode MS"/>
                <w:color w:val="FFFFFF"/>
                <w:sz w:val="20"/>
                <w:szCs w:val="20"/>
              </w:rPr>
              <w:t>Tikslas</w:t>
            </w:r>
          </w:p>
        </w:tc>
        <w:tc>
          <w:tcPr>
            <w:tcW w:w="2216" w:type="dxa"/>
            <w:gridSpan w:val="3"/>
            <w:shd w:val="clear" w:color="auto" w:fill="D62E1C"/>
            <w:hideMark/>
          </w:tcPr>
          <w:p w14:paraId="6405BB78"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C97275">
              <w:rPr>
                <w:rFonts w:ascii="Georgia" w:eastAsia="Georgia" w:hAnsi="Georgia" w:cs="Arial Unicode MS"/>
                <w:color w:val="FFFFFF"/>
                <w:sz w:val="20"/>
                <w:szCs w:val="20"/>
              </w:rPr>
              <w:t>Atnaujintų pastatų</w:t>
            </w:r>
          </w:p>
        </w:tc>
      </w:tr>
      <w:tr w:rsidR="005A0219" w:rsidRPr="00C97275" w14:paraId="518B4DA0" w14:textId="77777777" w:rsidTr="0063781D">
        <w:trPr>
          <w:trHeight w:val="6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54A283C9"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Senos statybos labai prastos šiluminės izoliacijos daugiabučiai</w:t>
            </w:r>
          </w:p>
        </w:tc>
        <w:tc>
          <w:tcPr>
            <w:tcW w:w="970" w:type="dxa"/>
            <w:gridSpan w:val="2"/>
            <w:noWrap/>
            <w:hideMark/>
          </w:tcPr>
          <w:p w14:paraId="79A68C69"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w:t>
            </w:r>
          </w:p>
        </w:tc>
        <w:tc>
          <w:tcPr>
            <w:tcW w:w="1108" w:type="dxa"/>
            <w:noWrap/>
            <w:hideMark/>
          </w:tcPr>
          <w:p w14:paraId="0565828C"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3 400</w:t>
            </w:r>
          </w:p>
        </w:tc>
        <w:tc>
          <w:tcPr>
            <w:tcW w:w="766" w:type="dxa"/>
            <w:gridSpan w:val="2"/>
            <w:noWrap/>
            <w:hideMark/>
          </w:tcPr>
          <w:p w14:paraId="224DE5A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70%</w:t>
            </w:r>
          </w:p>
        </w:tc>
        <w:tc>
          <w:tcPr>
            <w:tcW w:w="1175" w:type="dxa"/>
            <w:gridSpan w:val="2"/>
            <w:noWrap/>
            <w:hideMark/>
          </w:tcPr>
          <w:p w14:paraId="216F8192"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2 380</w:t>
            </w:r>
          </w:p>
        </w:tc>
        <w:tc>
          <w:tcPr>
            <w:tcW w:w="970" w:type="dxa"/>
            <w:noWrap/>
            <w:hideMark/>
          </w:tcPr>
          <w:p w14:paraId="4DCA9255"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100%</w:t>
            </w:r>
          </w:p>
        </w:tc>
        <w:tc>
          <w:tcPr>
            <w:tcW w:w="1246" w:type="dxa"/>
            <w:gridSpan w:val="2"/>
            <w:noWrap/>
            <w:hideMark/>
          </w:tcPr>
          <w:p w14:paraId="6F5CADFA"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3 400</w:t>
            </w:r>
          </w:p>
        </w:tc>
      </w:tr>
      <w:tr w:rsidR="005A0219" w:rsidRPr="00C97275" w14:paraId="112893E4" w14:textId="77777777" w:rsidTr="0063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682DCC10"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 xml:space="preserve">Senos statybos nerenovuoti daugiabučiai </w:t>
            </w:r>
          </w:p>
        </w:tc>
        <w:tc>
          <w:tcPr>
            <w:tcW w:w="970" w:type="dxa"/>
            <w:gridSpan w:val="2"/>
            <w:noWrap/>
            <w:hideMark/>
          </w:tcPr>
          <w:p w14:paraId="3FFA72F4"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60%</w:t>
            </w:r>
          </w:p>
        </w:tc>
        <w:tc>
          <w:tcPr>
            <w:tcW w:w="1108" w:type="dxa"/>
            <w:noWrap/>
            <w:hideMark/>
          </w:tcPr>
          <w:p w14:paraId="0618DF20"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10 200</w:t>
            </w:r>
          </w:p>
        </w:tc>
        <w:tc>
          <w:tcPr>
            <w:tcW w:w="766" w:type="dxa"/>
            <w:gridSpan w:val="2"/>
            <w:noWrap/>
            <w:hideMark/>
          </w:tcPr>
          <w:p w14:paraId="033471FF"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34%</w:t>
            </w:r>
          </w:p>
        </w:tc>
        <w:tc>
          <w:tcPr>
            <w:tcW w:w="1175" w:type="dxa"/>
            <w:gridSpan w:val="2"/>
            <w:noWrap/>
            <w:hideMark/>
          </w:tcPr>
          <w:p w14:paraId="0E05ECED"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3 468</w:t>
            </w:r>
          </w:p>
        </w:tc>
        <w:tc>
          <w:tcPr>
            <w:tcW w:w="970" w:type="dxa"/>
            <w:noWrap/>
            <w:hideMark/>
          </w:tcPr>
          <w:p w14:paraId="145EF6CD"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100%</w:t>
            </w:r>
          </w:p>
        </w:tc>
        <w:tc>
          <w:tcPr>
            <w:tcW w:w="1246" w:type="dxa"/>
            <w:gridSpan w:val="2"/>
            <w:noWrap/>
            <w:hideMark/>
          </w:tcPr>
          <w:p w14:paraId="1A2ED185"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10 200</w:t>
            </w:r>
          </w:p>
        </w:tc>
      </w:tr>
      <w:tr w:rsidR="005A0219" w:rsidRPr="00C97275" w14:paraId="14DA9E97" w14:textId="77777777" w:rsidTr="0063781D">
        <w:trPr>
          <w:trHeight w:val="6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5CBE4A9F"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Naujos statybos ir iš dalies atnaujinti daugiabučiai</w:t>
            </w:r>
          </w:p>
        </w:tc>
        <w:tc>
          <w:tcPr>
            <w:tcW w:w="970" w:type="dxa"/>
            <w:gridSpan w:val="2"/>
            <w:noWrap/>
            <w:hideMark/>
          </w:tcPr>
          <w:p w14:paraId="0B41A9D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16%</w:t>
            </w:r>
          </w:p>
        </w:tc>
        <w:tc>
          <w:tcPr>
            <w:tcW w:w="1108" w:type="dxa"/>
            <w:noWrap/>
            <w:hideMark/>
          </w:tcPr>
          <w:p w14:paraId="711CEB5A"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2 720</w:t>
            </w:r>
          </w:p>
        </w:tc>
        <w:tc>
          <w:tcPr>
            <w:tcW w:w="766" w:type="dxa"/>
            <w:gridSpan w:val="2"/>
            <w:noWrap/>
            <w:hideMark/>
          </w:tcPr>
          <w:p w14:paraId="7D7DC48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16%</w:t>
            </w:r>
          </w:p>
        </w:tc>
        <w:tc>
          <w:tcPr>
            <w:tcW w:w="1175" w:type="dxa"/>
            <w:gridSpan w:val="2"/>
            <w:noWrap/>
            <w:hideMark/>
          </w:tcPr>
          <w:p w14:paraId="5CE900A6"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435</w:t>
            </w:r>
          </w:p>
        </w:tc>
        <w:tc>
          <w:tcPr>
            <w:tcW w:w="970" w:type="dxa"/>
            <w:noWrap/>
            <w:hideMark/>
          </w:tcPr>
          <w:p w14:paraId="71CAD48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75%</w:t>
            </w:r>
          </w:p>
        </w:tc>
        <w:tc>
          <w:tcPr>
            <w:tcW w:w="1246" w:type="dxa"/>
            <w:gridSpan w:val="2"/>
            <w:noWrap/>
            <w:hideMark/>
          </w:tcPr>
          <w:p w14:paraId="0D47C198"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2 040</w:t>
            </w:r>
          </w:p>
        </w:tc>
      </w:tr>
      <w:tr w:rsidR="005A0219" w:rsidRPr="00C97275" w14:paraId="6453C48D" w14:textId="77777777" w:rsidTr="0063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2202CD71"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Kokybiški naujos statybos daugiabučiai</w:t>
            </w:r>
          </w:p>
        </w:tc>
        <w:tc>
          <w:tcPr>
            <w:tcW w:w="970" w:type="dxa"/>
            <w:gridSpan w:val="2"/>
            <w:noWrap/>
            <w:hideMark/>
          </w:tcPr>
          <w:p w14:paraId="60901F92"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w:t>
            </w:r>
          </w:p>
        </w:tc>
        <w:tc>
          <w:tcPr>
            <w:tcW w:w="1108" w:type="dxa"/>
            <w:noWrap/>
            <w:hideMark/>
          </w:tcPr>
          <w:p w14:paraId="141814BC"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680</w:t>
            </w:r>
          </w:p>
        </w:tc>
        <w:tc>
          <w:tcPr>
            <w:tcW w:w="766" w:type="dxa"/>
            <w:gridSpan w:val="2"/>
            <w:noWrap/>
            <w:hideMark/>
          </w:tcPr>
          <w:p w14:paraId="7AE02AF6"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0%</w:t>
            </w:r>
          </w:p>
        </w:tc>
        <w:tc>
          <w:tcPr>
            <w:tcW w:w="1175" w:type="dxa"/>
            <w:gridSpan w:val="2"/>
            <w:noWrap/>
            <w:hideMark/>
          </w:tcPr>
          <w:p w14:paraId="04DD2831"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0</w:t>
            </w:r>
          </w:p>
        </w:tc>
        <w:tc>
          <w:tcPr>
            <w:tcW w:w="970" w:type="dxa"/>
            <w:noWrap/>
            <w:hideMark/>
          </w:tcPr>
          <w:p w14:paraId="335B86FD"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0%</w:t>
            </w:r>
          </w:p>
        </w:tc>
        <w:tc>
          <w:tcPr>
            <w:tcW w:w="1246" w:type="dxa"/>
            <w:gridSpan w:val="2"/>
            <w:noWrap/>
            <w:hideMark/>
          </w:tcPr>
          <w:p w14:paraId="595671AC"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0</w:t>
            </w:r>
          </w:p>
        </w:tc>
      </w:tr>
      <w:tr w:rsidR="005A0219" w:rsidRPr="00C97275" w14:paraId="38A855DC" w14:textId="77777777" w:rsidTr="0063781D">
        <w:trPr>
          <w:trHeight w:val="300"/>
        </w:trPr>
        <w:tc>
          <w:tcPr>
            <w:cnfStyle w:val="001000000000" w:firstRow="0" w:lastRow="0" w:firstColumn="1" w:lastColumn="0" w:oddVBand="0" w:evenVBand="0" w:oddHBand="0" w:evenHBand="0" w:firstRowFirstColumn="0" w:firstRowLastColumn="0" w:lastRowFirstColumn="0" w:lastRowLastColumn="0"/>
            <w:tcW w:w="3085" w:type="dxa"/>
            <w:gridSpan w:val="3"/>
            <w:noWrap/>
            <w:hideMark/>
          </w:tcPr>
          <w:p w14:paraId="7CA832BB" w14:textId="77777777" w:rsidR="005A0219" w:rsidRPr="00C97275" w:rsidRDefault="005A0219" w:rsidP="005A0219">
            <w:pPr>
              <w:rPr>
                <w:rFonts w:ascii="Georgia" w:eastAsia="Georgia" w:hAnsi="Georgia" w:cs="Arial Unicode MS"/>
                <w:sz w:val="20"/>
                <w:szCs w:val="20"/>
              </w:rPr>
            </w:pPr>
            <w:r w:rsidRPr="00C97275">
              <w:rPr>
                <w:rFonts w:ascii="Georgia" w:eastAsia="Georgia" w:hAnsi="Georgia" w:cs="Arial Unicode MS"/>
                <w:sz w:val="20"/>
                <w:szCs w:val="20"/>
              </w:rPr>
              <w:t>Iš viso</w:t>
            </w:r>
          </w:p>
        </w:tc>
        <w:tc>
          <w:tcPr>
            <w:tcW w:w="970" w:type="dxa"/>
            <w:gridSpan w:val="2"/>
            <w:noWrap/>
            <w:hideMark/>
          </w:tcPr>
          <w:p w14:paraId="5BAF2425"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C97275">
              <w:rPr>
                <w:rFonts w:ascii="Georgia" w:eastAsia="Georgia" w:hAnsi="Georgia" w:cs="Arial Unicode MS"/>
                <w:b/>
                <w:bCs/>
                <w:sz w:val="20"/>
                <w:szCs w:val="20"/>
              </w:rPr>
              <w:t>100%</w:t>
            </w:r>
          </w:p>
        </w:tc>
        <w:tc>
          <w:tcPr>
            <w:tcW w:w="1108" w:type="dxa"/>
            <w:noWrap/>
            <w:hideMark/>
          </w:tcPr>
          <w:p w14:paraId="690A9527"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C97275">
              <w:rPr>
                <w:rFonts w:ascii="Georgia" w:eastAsia="Georgia" w:hAnsi="Georgia" w:cs="Arial Unicode MS"/>
                <w:b/>
                <w:bCs/>
                <w:sz w:val="20"/>
                <w:szCs w:val="20"/>
              </w:rPr>
              <w:t>17 000</w:t>
            </w:r>
          </w:p>
        </w:tc>
        <w:tc>
          <w:tcPr>
            <w:tcW w:w="766" w:type="dxa"/>
            <w:gridSpan w:val="2"/>
            <w:noWrap/>
            <w:hideMark/>
          </w:tcPr>
          <w:p w14:paraId="5608E0B8"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1175" w:type="dxa"/>
            <w:gridSpan w:val="2"/>
            <w:noWrap/>
            <w:hideMark/>
          </w:tcPr>
          <w:p w14:paraId="2DA1CDBC" w14:textId="6580D990"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C97275">
              <w:rPr>
                <w:rFonts w:ascii="Georgia" w:eastAsia="Georgia" w:hAnsi="Georgia" w:cs="Arial Unicode MS"/>
                <w:b/>
                <w:bCs/>
                <w:sz w:val="20"/>
                <w:szCs w:val="20"/>
              </w:rPr>
              <w:t>6</w:t>
            </w:r>
            <w:r w:rsidR="00C4364F" w:rsidRPr="00C97275">
              <w:rPr>
                <w:rFonts w:ascii="Georgia" w:eastAsia="Georgia" w:hAnsi="Georgia" w:cs="Arial Unicode MS"/>
                <w:b/>
                <w:bCs/>
                <w:sz w:val="20"/>
                <w:szCs w:val="20"/>
              </w:rPr>
              <w:t xml:space="preserve"> </w:t>
            </w:r>
            <w:r w:rsidRPr="00C97275">
              <w:rPr>
                <w:rFonts w:ascii="Georgia" w:eastAsia="Georgia" w:hAnsi="Georgia" w:cs="Arial Unicode MS"/>
                <w:b/>
                <w:bCs/>
                <w:sz w:val="20"/>
                <w:szCs w:val="20"/>
              </w:rPr>
              <w:t>283</w:t>
            </w:r>
          </w:p>
        </w:tc>
        <w:tc>
          <w:tcPr>
            <w:tcW w:w="970" w:type="dxa"/>
            <w:noWrap/>
            <w:hideMark/>
          </w:tcPr>
          <w:p w14:paraId="335E6570"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1246" w:type="dxa"/>
            <w:gridSpan w:val="2"/>
            <w:noWrap/>
            <w:hideMark/>
          </w:tcPr>
          <w:p w14:paraId="47663FBF"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C97275">
              <w:rPr>
                <w:rFonts w:ascii="Georgia" w:eastAsia="Georgia" w:hAnsi="Georgia" w:cs="Arial Unicode MS"/>
                <w:b/>
                <w:bCs/>
                <w:sz w:val="20"/>
                <w:szCs w:val="20"/>
              </w:rPr>
              <w:t>15 640</w:t>
            </w:r>
          </w:p>
        </w:tc>
      </w:tr>
    </w:tbl>
    <w:p w14:paraId="2CF299BD" w14:textId="77777777" w:rsidR="005A0219" w:rsidRPr="00C97275" w:rsidRDefault="005A0219" w:rsidP="005A0219">
      <w:pPr>
        <w:spacing w:after="160" w:line="240" w:lineRule="auto"/>
        <w:jc w:val="both"/>
        <w:rPr>
          <w:rFonts w:ascii="Georgia" w:eastAsia="Georgia" w:hAnsi="Georgia" w:cs="Georgia"/>
          <w:i/>
          <w:iCs/>
          <w:color w:val="821A1A"/>
          <w:sz w:val="20"/>
          <w:szCs w:val="20"/>
          <w:lang w:val="lt-LT"/>
        </w:rPr>
      </w:pPr>
      <w:r w:rsidRPr="00C97275">
        <w:rPr>
          <w:rFonts w:ascii="Georgia" w:eastAsia="Georgia" w:hAnsi="Georgia" w:cs="Georgia"/>
          <w:i/>
          <w:iCs/>
          <w:color w:val="821A1A"/>
          <w:sz w:val="20"/>
          <w:szCs w:val="20"/>
          <w:lang w:val="lt-LT"/>
        </w:rPr>
        <w:t>Šaltinis: sudaryta autorių</w:t>
      </w:r>
    </w:p>
    <w:p w14:paraId="72009FB4" w14:textId="7AA8E59D" w:rsidR="005A0219" w:rsidRPr="00C97275" w:rsidRDefault="005A0219" w:rsidP="0063781D">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Atsižvelgiant į tai, jog 2016 metais BETA duomenimis buvo renovuoti 769 daugiabučiai, visus juos padalinsime tarp senos statybos labai prastos šiluminės izoliacijos ir senos statybos nerenovuot</w:t>
      </w:r>
      <w:r w:rsidR="003333A4" w:rsidRPr="00C97275">
        <w:rPr>
          <w:rFonts w:ascii="Georgia" w:eastAsia="Georgia" w:hAnsi="Georgia" w:cs="Arial Unicode MS"/>
          <w:sz w:val="20"/>
          <w:szCs w:val="20"/>
          <w:lang w:val="lt-LT"/>
        </w:rPr>
        <w:t>ų</w:t>
      </w:r>
      <w:r w:rsidR="003B1015" w:rsidRPr="00C97275">
        <w:rPr>
          <w:rFonts w:ascii="Georgia" w:eastAsia="Georgia" w:hAnsi="Georgia" w:cs="Arial Unicode MS"/>
          <w:sz w:val="20"/>
          <w:szCs w:val="20"/>
          <w:lang w:val="lt-LT"/>
        </w:rPr>
        <w:t xml:space="preserve"> </w:t>
      </w:r>
      <w:r w:rsidRPr="00C97275">
        <w:rPr>
          <w:rFonts w:ascii="Georgia" w:eastAsia="Georgia" w:hAnsi="Georgia" w:cs="Arial Unicode MS"/>
          <w:sz w:val="20"/>
          <w:szCs w:val="20"/>
          <w:lang w:val="lt-LT"/>
        </w:rPr>
        <w:t>daugiabuči</w:t>
      </w:r>
      <w:r w:rsidR="003333A4" w:rsidRPr="00C97275">
        <w:rPr>
          <w:rFonts w:ascii="Georgia" w:eastAsia="Georgia" w:hAnsi="Georgia" w:cs="Arial Unicode MS"/>
          <w:sz w:val="20"/>
          <w:szCs w:val="20"/>
          <w:lang w:val="lt-LT"/>
        </w:rPr>
        <w:t>ų,</w:t>
      </w:r>
      <w:r w:rsidRPr="00C97275">
        <w:rPr>
          <w:rFonts w:ascii="Georgia" w:eastAsia="Georgia" w:hAnsi="Georgia" w:cs="Arial Unicode MS"/>
          <w:sz w:val="20"/>
          <w:szCs w:val="20"/>
          <w:lang w:val="lt-LT"/>
        </w:rPr>
        <w:t xml:space="preserve"> atitinkamai naudodami jų kiekį kaip svorį. </w:t>
      </w:r>
    </w:p>
    <w:p w14:paraId="3DF91F23" w14:textId="64C70E9F" w:rsidR="00054895" w:rsidRPr="00C97275" w:rsidRDefault="00054895" w:rsidP="00054895">
      <w:pPr>
        <w:spacing w:after="160" w:line="240" w:lineRule="auto"/>
        <w:jc w:val="both"/>
        <w:rPr>
          <w:rFonts w:ascii="Georgia" w:eastAsia="Georgia" w:hAnsi="Georgia" w:cs="Arial Unicode MS"/>
          <w:bCs/>
          <w:i/>
          <w:iCs/>
          <w:color w:val="821A1A"/>
          <w:sz w:val="20"/>
          <w:szCs w:val="18"/>
          <w:lang w:val="lt-LT"/>
        </w:rPr>
      </w:pPr>
      <w:bookmarkStart w:id="59" w:name="_Toc19105227"/>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14</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Daugiabučių namų renovacijos tvarkaraštis</w:t>
      </w:r>
      <w:bookmarkEnd w:id="59"/>
      <w:r w:rsidRPr="00C97275">
        <w:rPr>
          <w:rFonts w:ascii="Georgia" w:eastAsia="Georgia" w:hAnsi="Georgia" w:cs="Arial Unicode MS"/>
          <w:i/>
          <w:iCs/>
          <w:color w:val="821A1A"/>
          <w:sz w:val="20"/>
          <w:szCs w:val="18"/>
          <w:lang w:val="lt-LT"/>
        </w:rPr>
        <w:t xml:space="preserve"> </w:t>
      </w:r>
    </w:p>
    <w:tbl>
      <w:tblPr>
        <w:tblStyle w:val="LightList-Accent21"/>
        <w:tblW w:w="9346" w:type="dxa"/>
        <w:tblLayout w:type="fixed"/>
        <w:tblLook w:val="04A0" w:firstRow="1" w:lastRow="0" w:firstColumn="1" w:lastColumn="0" w:noHBand="0" w:noVBand="1"/>
      </w:tblPr>
      <w:tblGrid>
        <w:gridCol w:w="2376"/>
        <w:gridCol w:w="1867"/>
        <w:gridCol w:w="1701"/>
        <w:gridCol w:w="1559"/>
        <w:gridCol w:w="1843"/>
      </w:tblGrid>
      <w:tr w:rsidR="000C2FB1" w:rsidRPr="00C97275" w14:paraId="6684B5AF" w14:textId="77777777" w:rsidTr="00553F5A">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92C4A8C" w14:textId="77777777" w:rsidR="000C2FB1" w:rsidRPr="00C97275" w:rsidRDefault="000C2FB1" w:rsidP="00054895">
            <w:pPr>
              <w:rPr>
                <w:rFonts w:ascii="Georgia" w:eastAsia="Georgia" w:hAnsi="Georgia" w:cs="Arial Unicode MS"/>
                <w:sz w:val="20"/>
                <w:szCs w:val="20"/>
              </w:rPr>
            </w:pPr>
            <w:r w:rsidRPr="00C97275">
              <w:rPr>
                <w:rFonts w:ascii="Georgia" w:eastAsia="Georgia" w:hAnsi="Georgia" w:cs="Arial Unicode MS"/>
                <w:sz w:val="20"/>
                <w:szCs w:val="20"/>
              </w:rPr>
              <w:t>Renovacijos grafikas</w:t>
            </w:r>
          </w:p>
        </w:tc>
        <w:tc>
          <w:tcPr>
            <w:tcW w:w="1867" w:type="dxa"/>
            <w:noWrap/>
            <w:hideMark/>
          </w:tcPr>
          <w:p w14:paraId="2CF0D759" w14:textId="75337A6C" w:rsidR="000C2FB1" w:rsidRPr="00C97275" w:rsidRDefault="000C2FB1" w:rsidP="00054895">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2020</w:t>
            </w:r>
          </w:p>
        </w:tc>
        <w:tc>
          <w:tcPr>
            <w:tcW w:w="1701" w:type="dxa"/>
            <w:noWrap/>
            <w:hideMark/>
          </w:tcPr>
          <w:p w14:paraId="2E8236DE" w14:textId="55FAB9C3" w:rsidR="000C2FB1" w:rsidRPr="00C97275" w:rsidRDefault="000C2FB1" w:rsidP="00054895">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2021</w:t>
            </w:r>
          </w:p>
        </w:tc>
        <w:tc>
          <w:tcPr>
            <w:tcW w:w="1559" w:type="dxa"/>
            <w:noWrap/>
            <w:hideMark/>
          </w:tcPr>
          <w:p w14:paraId="547FABB4" w14:textId="5C240907" w:rsidR="000C2FB1" w:rsidRPr="00C97275" w:rsidRDefault="000C2FB1" w:rsidP="00054895">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2022</w:t>
            </w:r>
          </w:p>
        </w:tc>
        <w:tc>
          <w:tcPr>
            <w:tcW w:w="1843" w:type="dxa"/>
            <w:noWrap/>
            <w:hideMark/>
          </w:tcPr>
          <w:p w14:paraId="40EAF60D" w14:textId="2AEE2CBF" w:rsidR="000C2FB1" w:rsidRPr="00C97275" w:rsidRDefault="000C2FB1" w:rsidP="00054895">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2023</w:t>
            </w:r>
          </w:p>
        </w:tc>
      </w:tr>
      <w:tr w:rsidR="000C2FB1" w:rsidRPr="00C97275" w14:paraId="689AD716" w14:textId="77777777" w:rsidTr="00553F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14:paraId="0C3ADDDC" w14:textId="77777777" w:rsidR="000C2FB1" w:rsidRPr="00C97275" w:rsidRDefault="000C2FB1" w:rsidP="00054895">
            <w:pPr>
              <w:rPr>
                <w:rFonts w:ascii="Georgia" w:eastAsia="Georgia" w:hAnsi="Georgia" w:cs="Arial Unicode MS"/>
                <w:b w:val="0"/>
                <w:sz w:val="20"/>
                <w:szCs w:val="20"/>
              </w:rPr>
            </w:pPr>
            <w:r w:rsidRPr="00C97275">
              <w:rPr>
                <w:rFonts w:ascii="Georgia" w:eastAsia="Georgia" w:hAnsi="Georgia" w:cs="Arial Unicode MS"/>
                <w:b w:val="0"/>
                <w:sz w:val="20"/>
                <w:szCs w:val="20"/>
              </w:rPr>
              <w:t>Senos statybos labai prastos šiluminės izoliacijos daugiabučiai</w:t>
            </w:r>
          </w:p>
        </w:tc>
        <w:tc>
          <w:tcPr>
            <w:tcW w:w="1867" w:type="dxa"/>
            <w:noWrap/>
            <w:hideMark/>
          </w:tcPr>
          <w:p w14:paraId="3433AB38"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243</w:t>
            </w:r>
          </w:p>
        </w:tc>
        <w:tc>
          <w:tcPr>
            <w:tcW w:w="1701" w:type="dxa"/>
            <w:noWrap/>
            <w:hideMark/>
          </w:tcPr>
          <w:p w14:paraId="3D3C5FBB"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243</w:t>
            </w:r>
          </w:p>
        </w:tc>
        <w:tc>
          <w:tcPr>
            <w:tcW w:w="1559" w:type="dxa"/>
            <w:noWrap/>
            <w:hideMark/>
          </w:tcPr>
          <w:p w14:paraId="50316159"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243</w:t>
            </w:r>
          </w:p>
        </w:tc>
        <w:tc>
          <w:tcPr>
            <w:tcW w:w="1843" w:type="dxa"/>
            <w:noWrap/>
            <w:hideMark/>
          </w:tcPr>
          <w:p w14:paraId="11707A10"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243</w:t>
            </w:r>
          </w:p>
        </w:tc>
      </w:tr>
      <w:tr w:rsidR="000C2FB1" w:rsidRPr="00C97275" w14:paraId="7FD09D13" w14:textId="77777777" w:rsidTr="00553F5A">
        <w:trPr>
          <w:trHeight w:val="300"/>
        </w:trPr>
        <w:tc>
          <w:tcPr>
            <w:cnfStyle w:val="001000000000" w:firstRow="0" w:lastRow="0" w:firstColumn="1" w:lastColumn="0" w:oddVBand="0" w:evenVBand="0" w:oddHBand="0" w:evenHBand="0" w:firstRowFirstColumn="0" w:firstRowLastColumn="0" w:lastRowFirstColumn="0" w:lastRowLastColumn="0"/>
            <w:tcW w:w="2376" w:type="dxa"/>
            <w:hideMark/>
          </w:tcPr>
          <w:p w14:paraId="173A4AA6" w14:textId="77777777" w:rsidR="000C2FB1" w:rsidRPr="00C97275" w:rsidRDefault="000C2FB1" w:rsidP="00054895">
            <w:pPr>
              <w:rPr>
                <w:rFonts w:ascii="Georgia" w:eastAsia="Georgia" w:hAnsi="Georgia" w:cs="Arial Unicode MS"/>
                <w:b w:val="0"/>
                <w:sz w:val="20"/>
                <w:szCs w:val="20"/>
              </w:rPr>
            </w:pPr>
            <w:r w:rsidRPr="00C97275">
              <w:rPr>
                <w:rFonts w:ascii="Georgia" w:eastAsia="Georgia" w:hAnsi="Georgia" w:cs="Arial Unicode MS"/>
                <w:b w:val="0"/>
                <w:sz w:val="20"/>
                <w:szCs w:val="20"/>
              </w:rPr>
              <w:t xml:space="preserve">Senos statybos nerenovuoti daugiabučiai </w:t>
            </w:r>
          </w:p>
        </w:tc>
        <w:tc>
          <w:tcPr>
            <w:tcW w:w="1867" w:type="dxa"/>
            <w:noWrap/>
            <w:hideMark/>
          </w:tcPr>
          <w:p w14:paraId="6892F252" w14:textId="77777777"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321</w:t>
            </w:r>
          </w:p>
        </w:tc>
        <w:tc>
          <w:tcPr>
            <w:tcW w:w="1701" w:type="dxa"/>
            <w:noWrap/>
            <w:hideMark/>
          </w:tcPr>
          <w:p w14:paraId="686724EE" w14:textId="77777777"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321</w:t>
            </w:r>
          </w:p>
        </w:tc>
        <w:tc>
          <w:tcPr>
            <w:tcW w:w="1559" w:type="dxa"/>
            <w:noWrap/>
            <w:hideMark/>
          </w:tcPr>
          <w:p w14:paraId="5800A2F0" w14:textId="77777777"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321</w:t>
            </w:r>
          </w:p>
        </w:tc>
        <w:tc>
          <w:tcPr>
            <w:tcW w:w="1843" w:type="dxa"/>
            <w:noWrap/>
            <w:hideMark/>
          </w:tcPr>
          <w:p w14:paraId="2B77C148" w14:textId="77777777"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321</w:t>
            </w:r>
          </w:p>
        </w:tc>
      </w:tr>
      <w:tr w:rsidR="000C2FB1" w:rsidRPr="00C97275" w14:paraId="154C3417" w14:textId="77777777" w:rsidTr="00553F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14:paraId="0126ED93" w14:textId="77777777" w:rsidR="000C2FB1" w:rsidRPr="00C97275" w:rsidRDefault="000C2FB1" w:rsidP="00054895">
            <w:pPr>
              <w:rPr>
                <w:rFonts w:ascii="Georgia" w:eastAsia="Georgia" w:hAnsi="Georgia" w:cs="Arial Unicode MS"/>
                <w:b w:val="0"/>
                <w:sz w:val="20"/>
                <w:szCs w:val="20"/>
              </w:rPr>
            </w:pPr>
            <w:r w:rsidRPr="00C97275">
              <w:rPr>
                <w:rFonts w:ascii="Georgia" w:eastAsia="Georgia" w:hAnsi="Georgia" w:cs="Arial Unicode MS"/>
                <w:b w:val="0"/>
                <w:sz w:val="20"/>
                <w:szCs w:val="20"/>
              </w:rPr>
              <w:t>Naujos statybos ir iš dalies atnaujinti daugiabučiai</w:t>
            </w:r>
          </w:p>
        </w:tc>
        <w:tc>
          <w:tcPr>
            <w:tcW w:w="1867" w:type="dxa"/>
            <w:noWrap/>
            <w:hideMark/>
          </w:tcPr>
          <w:p w14:paraId="5571B89D"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48</w:t>
            </w:r>
          </w:p>
        </w:tc>
        <w:tc>
          <w:tcPr>
            <w:tcW w:w="1701" w:type="dxa"/>
            <w:noWrap/>
            <w:hideMark/>
          </w:tcPr>
          <w:p w14:paraId="06C4476A"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48</w:t>
            </w:r>
          </w:p>
        </w:tc>
        <w:tc>
          <w:tcPr>
            <w:tcW w:w="1559" w:type="dxa"/>
            <w:noWrap/>
            <w:hideMark/>
          </w:tcPr>
          <w:p w14:paraId="32F461F5"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48</w:t>
            </w:r>
          </w:p>
        </w:tc>
        <w:tc>
          <w:tcPr>
            <w:tcW w:w="1843" w:type="dxa"/>
            <w:noWrap/>
            <w:hideMark/>
          </w:tcPr>
          <w:p w14:paraId="645ED389" w14:textId="77777777" w:rsidR="000C2FB1" w:rsidRPr="00C97275" w:rsidRDefault="000C2FB1" w:rsidP="00054895">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48</w:t>
            </w:r>
          </w:p>
        </w:tc>
      </w:tr>
      <w:tr w:rsidR="000C2FB1" w:rsidRPr="00C97275" w14:paraId="7E0C69AE" w14:textId="77777777" w:rsidTr="00553F5A">
        <w:trPr>
          <w:trHeight w:val="300"/>
        </w:trPr>
        <w:tc>
          <w:tcPr>
            <w:cnfStyle w:val="001000000000" w:firstRow="0" w:lastRow="0" w:firstColumn="1" w:lastColumn="0" w:oddVBand="0" w:evenVBand="0" w:oddHBand="0" w:evenHBand="0" w:firstRowFirstColumn="0" w:firstRowLastColumn="0" w:lastRowFirstColumn="0" w:lastRowLastColumn="0"/>
            <w:tcW w:w="2376" w:type="dxa"/>
            <w:hideMark/>
          </w:tcPr>
          <w:p w14:paraId="277702DD" w14:textId="77777777" w:rsidR="000C2FB1" w:rsidRPr="00C97275" w:rsidRDefault="000C2FB1" w:rsidP="00054895">
            <w:pPr>
              <w:rPr>
                <w:rFonts w:ascii="Georgia" w:eastAsia="Georgia" w:hAnsi="Georgia" w:cs="Arial Unicode MS"/>
                <w:sz w:val="20"/>
                <w:szCs w:val="20"/>
              </w:rPr>
            </w:pPr>
            <w:r w:rsidRPr="00C97275">
              <w:rPr>
                <w:rFonts w:ascii="Georgia" w:eastAsia="Georgia" w:hAnsi="Georgia" w:cs="Arial Unicode MS"/>
                <w:sz w:val="20"/>
                <w:szCs w:val="20"/>
              </w:rPr>
              <w:t>Iš viso atnaujintų daugiabučių</w:t>
            </w:r>
          </w:p>
        </w:tc>
        <w:tc>
          <w:tcPr>
            <w:tcW w:w="1867" w:type="dxa"/>
            <w:noWrap/>
            <w:hideMark/>
          </w:tcPr>
          <w:p w14:paraId="7F04B1E6" w14:textId="05EA111D"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612</w:t>
            </w:r>
          </w:p>
        </w:tc>
        <w:tc>
          <w:tcPr>
            <w:tcW w:w="1701" w:type="dxa"/>
            <w:noWrap/>
            <w:hideMark/>
          </w:tcPr>
          <w:p w14:paraId="7229CB46" w14:textId="37A47715"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1 224</w:t>
            </w:r>
          </w:p>
        </w:tc>
        <w:tc>
          <w:tcPr>
            <w:tcW w:w="1559" w:type="dxa"/>
            <w:noWrap/>
            <w:hideMark/>
          </w:tcPr>
          <w:p w14:paraId="48682D0C" w14:textId="76DE0298"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1 836</w:t>
            </w:r>
          </w:p>
        </w:tc>
        <w:tc>
          <w:tcPr>
            <w:tcW w:w="1843" w:type="dxa"/>
            <w:noWrap/>
            <w:hideMark/>
          </w:tcPr>
          <w:p w14:paraId="5F94FF7F" w14:textId="6B053D42" w:rsidR="000C2FB1" w:rsidRPr="00C97275" w:rsidRDefault="000C2FB1" w:rsidP="00054895">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2448</w:t>
            </w:r>
          </w:p>
        </w:tc>
      </w:tr>
    </w:tbl>
    <w:p w14:paraId="324F6A7C" w14:textId="6DB1516B" w:rsidR="005A0219" w:rsidRPr="00C97275" w:rsidRDefault="00054895" w:rsidP="00553F5A">
      <w:pPr>
        <w:spacing w:after="160" w:line="240" w:lineRule="auto"/>
        <w:jc w:val="both"/>
        <w:rPr>
          <w:rFonts w:ascii="Georgia" w:eastAsia="Georgia" w:hAnsi="Georgia" w:cs="Georgia"/>
          <w:i/>
          <w:iCs/>
          <w:color w:val="821A1A"/>
          <w:sz w:val="20"/>
          <w:szCs w:val="20"/>
          <w:lang w:val="lt-LT"/>
        </w:rPr>
      </w:pPr>
      <w:r w:rsidRPr="00C97275">
        <w:rPr>
          <w:rFonts w:ascii="Georgia" w:eastAsia="Georgia" w:hAnsi="Georgia" w:cs="Georgia"/>
          <w:i/>
          <w:iCs/>
          <w:color w:val="821A1A"/>
          <w:sz w:val="20"/>
          <w:szCs w:val="20"/>
          <w:lang w:val="lt-LT"/>
        </w:rPr>
        <w:t xml:space="preserve"> Šaltinis: sudaryta autorių</w:t>
      </w:r>
    </w:p>
    <w:p w14:paraId="2BB4E62C" w14:textId="7A25DCE3" w:rsidR="005A0219" w:rsidRPr="00C97275" w:rsidRDefault="005A0219" w:rsidP="005A0219">
      <w:pPr>
        <w:spacing w:after="160" w:line="240" w:lineRule="auto"/>
        <w:jc w:val="both"/>
        <w:rPr>
          <w:rFonts w:ascii="Georgia" w:eastAsia="Georgia" w:hAnsi="Georgia" w:cs="Arial Unicode MS"/>
          <w:bCs/>
          <w:i/>
          <w:iCs/>
          <w:color w:val="821A1A"/>
          <w:sz w:val="20"/>
          <w:szCs w:val="18"/>
          <w:lang w:val="lt-LT"/>
        </w:rPr>
      </w:pPr>
      <w:bookmarkStart w:id="60" w:name="_Toc19105228"/>
      <w:r w:rsidRPr="00C97275">
        <w:rPr>
          <w:rFonts w:ascii="Georgia" w:eastAsia="Georgia" w:hAnsi="Georgia" w:cs="Arial Unicode MS"/>
          <w:i/>
          <w:iCs/>
          <w:color w:val="821A1A"/>
          <w:sz w:val="20"/>
          <w:szCs w:val="18"/>
          <w:lang w:val="lt-LT"/>
        </w:rPr>
        <w:lastRenderedPageBreak/>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15</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Daugiabučių namų paklausos skaičiavimas remiantis Nacionalinės energetikos strategijos tikslais</w:t>
      </w:r>
      <w:bookmarkEnd w:id="60"/>
      <w:r w:rsidRPr="00C97275">
        <w:rPr>
          <w:rFonts w:ascii="Georgia" w:eastAsia="Georgia" w:hAnsi="Georgia" w:cs="Arial Unicode MS"/>
          <w:i/>
          <w:iCs/>
          <w:color w:val="821A1A"/>
          <w:sz w:val="20"/>
          <w:szCs w:val="18"/>
          <w:lang w:val="lt-LT"/>
        </w:rPr>
        <w:t xml:space="preserve"> </w:t>
      </w:r>
    </w:p>
    <w:tbl>
      <w:tblPr>
        <w:tblStyle w:val="LightList-Accent21"/>
        <w:tblW w:w="9861" w:type="dxa"/>
        <w:tblLayout w:type="fixed"/>
        <w:tblLook w:val="04A0" w:firstRow="1" w:lastRow="0" w:firstColumn="1" w:lastColumn="0" w:noHBand="0" w:noVBand="1"/>
      </w:tblPr>
      <w:tblGrid>
        <w:gridCol w:w="1520"/>
        <w:gridCol w:w="880"/>
        <w:gridCol w:w="851"/>
        <w:gridCol w:w="992"/>
        <w:gridCol w:w="1559"/>
        <w:gridCol w:w="1559"/>
        <w:gridCol w:w="1620"/>
        <w:gridCol w:w="880"/>
      </w:tblGrid>
      <w:tr w:rsidR="0077117B" w:rsidRPr="00C97275" w14:paraId="7BB88387" w14:textId="77777777" w:rsidTr="00553F5A">
        <w:trPr>
          <w:cnfStyle w:val="100000000000" w:firstRow="1" w:lastRow="0" w:firstColumn="0" w:lastColumn="0" w:oddVBand="0" w:evenVBand="0" w:oddHBand="0"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5EEF8A1" w14:textId="77777777" w:rsidR="005A0219" w:rsidRPr="00C97275" w:rsidRDefault="005A0219" w:rsidP="005A0219">
            <w:pPr>
              <w:rPr>
                <w:rFonts w:ascii="Georgia" w:eastAsia="Georgia" w:hAnsi="Georgia" w:cs="Arial Unicode MS"/>
                <w:sz w:val="16"/>
                <w:szCs w:val="16"/>
              </w:rPr>
            </w:pPr>
            <w:r w:rsidRPr="00C97275">
              <w:rPr>
                <w:rFonts w:ascii="Georgia" w:eastAsia="Georgia" w:hAnsi="Georgia" w:cs="Arial Unicode MS"/>
                <w:sz w:val="16"/>
                <w:szCs w:val="16"/>
              </w:rPr>
              <w:t> </w:t>
            </w:r>
          </w:p>
        </w:tc>
        <w:tc>
          <w:tcPr>
            <w:tcW w:w="880" w:type="dxa"/>
            <w:hideMark/>
          </w:tcPr>
          <w:p w14:paraId="4BC51FBD" w14:textId="1E538B0B" w:rsidR="005A0219" w:rsidRPr="00C97275" w:rsidRDefault="005A0219" w:rsidP="00830281">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C97275">
              <w:rPr>
                <w:rFonts w:ascii="Georgia" w:eastAsia="Georgia" w:hAnsi="Georgia" w:cs="Arial Unicode MS"/>
                <w:sz w:val="16"/>
                <w:szCs w:val="16"/>
              </w:rPr>
              <w:t>Iš viso renovuota daugiabučių 20</w:t>
            </w:r>
            <w:r w:rsidR="000C2FB1" w:rsidRPr="00C97275">
              <w:rPr>
                <w:rFonts w:ascii="Georgia" w:eastAsia="Georgia" w:hAnsi="Georgia" w:cs="Arial Unicode MS"/>
                <w:sz w:val="16"/>
                <w:szCs w:val="16"/>
              </w:rPr>
              <w:t xml:space="preserve">20 </w:t>
            </w:r>
            <w:r w:rsidRPr="00C97275">
              <w:rPr>
                <w:rFonts w:ascii="Georgia" w:eastAsia="Georgia" w:hAnsi="Georgia" w:cs="Arial Unicode MS"/>
                <w:sz w:val="16"/>
                <w:szCs w:val="16"/>
              </w:rPr>
              <w:t>-2023</w:t>
            </w:r>
          </w:p>
        </w:tc>
        <w:tc>
          <w:tcPr>
            <w:tcW w:w="851" w:type="dxa"/>
            <w:hideMark/>
          </w:tcPr>
          <w:p w14:paraId="645F7B09"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C97275">
              <w:rPr>
                <w:rFonts w:ascii="Georgia" w:eastAsia="Georgia" w:hAnsi="Georgia" w:cs="Arial Unicode MS"/>
                <w:sz w:val="16"/>
                <w:szCs w:val="16"/>
              </w:rPr>
              <w:t>Vidutinis pastato plotas, m2</w:t>
            </w:r>
          </w:p>
        </w:tc>
        <w:tc>
          <w:tcPr>
            <w:tcW w:w="992" w:type="dxa"/>
            <w:hideMark/>
          </w:tcPr>
          <w:p w14:paraId="3DFFFF42"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C97275">
              <w:rPr>
                <w:rFonts w:ascii="Georgia" w:eastAsia="Georgia" w:hAnsi="Georgia" w:cs="Arial Unicode MS"/>
                <w:sz w:val="16"/>
                <w:szCs w:val="16"/>
              </w:rPr>
              <w:t xml:space="preserve">Daugiabučio renovacijos kaštai, EUR/m2 </w:t>
            </w:r>
          </w:p>
        </w:tc>
        <w:tc>
          <w:tcPr>
            <w:tcW w:w="1559" w:type="dxa"/>
            <w:hideMark/>
          </w:tcPr>
          <w:p w14:paraId="20F04B8A"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C97275">
              <w:rPr>
                <w:rFonts w:ascii="Georgia" w:eastAsia="Georgia" w:hAnsi="Georgia" w:cs="Arial Unicode MS"/>
                <w:sz w:val="16"/>
                <w:szCs w:val="16"/>
              </w:rPr>
              <w:t>Daugiabučių pastatų renovacijos paklausa, mln. EUR</w:t>
            </w:r>
          </w:p>
        </w:tc>
        <w:tc>
          <w:tcPr>
            <w:tcW w:w="1559" w:type="dxa"/>
            <w:hideMark/>
          </w:tcPr>
          <w:p w14:paraId="3D8EA854"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C97275">
              <w:rPr>
                <w:rFonts w:ascii="Georgia" w:eastAsia="Georgia" w:hAnsi="Georgia" w:cs="Arial Unicode MS"/>
                <w:sz w:val="16"/>
                <w:szCs w:val="16"/>
              </w:rPr>
              <w:t>Metinio šilumos suvartojimo kiekio vidurkis, kWh/m2</w:t>
            </w:r>
          </w:p>
        </w:tc>
        <w:tc>
          <w:tcPr>
            <w:tcW w:w="1620" w:type="dxa"/>
            <w:hideMark/>
          </w:tcPr>
          <w:p w14:paraId="24DC6506" w14:textId="3DD26C35"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C97275">
              <w:rPr>
                <w:rFonts w:ascii="Georgia" w:eastAsia="Georgia" w:hAnsi="Georgia" w:cs="Arial Unicode MS"/>
                <w:sz w:val="16"/>
                <w:szCs w:val="16"/>
              </w:rPr>
              <w:t>Po renovaci</w:t>
            </w:r>
            <w:r w:rsidR="009E09B2" w:rsidRPr="00C97275">
              <w:rPr>
                <w:rFonts w:ascii="Georgia" w:eastAsia="Georgia" w:hAnsi="Georgia" w:cs="Arial Unicode MS"/>
                <w:sz w:val="16"/>
                <w:szCs w:val="16"/>
              </w:rPr>
              <w:t>-</w:t>
            </w:r>
            <w:r w:rsidRPr="00C97275">
              <w:rPr>
                <w:rFonts w:ascii="Georgia" w:eastAsia="Georgia" w:hAnsi="Georgia" w:cs="Arial Unicode MS"/>
                <w:sz w:val="16"/>
                <w:szCs w:val="16"/>
              </w:rPr>
              <w:t>jos energijos sutaupymas</w:t>
            </w:r>
          </w:p>
        </w:tc>
        <w:tc>
          <w:tcPr>
            <w:tcW w:w="880" w:type="dxa"/>
            <w:hideMark/>
          </w:tcPr>
          <w:p w14:paraId="361C6E19" w14:textId="0609E85C"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C97275">
              <w:rPr>
                <w:rFonts w:ascii="Georgia" w:eastAsia="Georgia" w:hAnsi="Georgia" w:cs="Arial Unicode MS"/>
                <w:sz w:val="16"/>
                <w:szCs w:val="16"/>
              </w:rPr>
              <w:t>Sutaupymai per 20</w:t>
            </w:r>
            <w:r w:rsidR="00CE4078" w:rsidRPr="00C97275">
              <w:rPr>
                <w:rFonts w:ascii="Georgia" w:eastAsia="Georgia" w:hAnsi="Georgia" w:cs="Arial Unicode MS"/>
                <w:sz w:val="16"/>
                <w:szCs w:val="16"/>
              </w:rPr>
              <w:t>20</w:t>
            </w:r>
            <w:r w:rsidRPr="00C97275">
              <w:rPr>
                <w:rFonts w:ascii="Georgia" w:eastAsia="Georgia" w:hAnsi="Georgia" w:cs="Arial Unicode MS"/>
                <w:sz w:val="16"/>
                <w:szCs w:val="16"/>
              </w:rPr>
              <w:t>-2023 (GWh)</w:t>
            </w:r>
          </w:p>
        </w:tc>
      </w:tr>
      <w:tr w:rsidR="0077117B" w:rsidRPr="00C97275" w14:paraId="0A9E7C52" w14:textId="77777777" w:rsidTr="00553F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0" w:type="dxa"/>
            <w:hideMark/>
          </w:tcPr>
          <w:p w14:paraId="709AD910"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Senos statybos labai prastos šiluminės izoliacijos daugiabučiai</w:t>
            </w:r>
          </w:p>
        </w:tc>
        <w:tc>
          <w:tcPr>
            <w:tcW w:w="880" w:type="dxa"/>
            <w:noWrap/>
            <w:hideMark/>
          </w:tcPr>
          <w:p w14:paraId="7F8620F0" w14:textId="09F789B4" w:rsidR="005A0219" w:rsidRPr="00C97275" w:rsidRDefault="000C2FB1"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972</w:t>
            </w:r>
          </w:p>
        </w:tc>
        <w:tc>
          <w:tcPr>
            <w:tcW w:w="851" w:type="dxa"/>
            <w:noWrap/>
            <w:hideMark/>
          </w:tcPr>
          <w:p w14:paraId="57AA8734" w14:textId="786A68F2" w:rsidR="005A0219" w:rsidRPr="00C97275" w:rsidRDefault="009A3B34"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2 000</w:t>
            </w:r>
          </w:p>
        </w:tc>
        <w:tc>
          <w:tcPr>
            <w:tcW w:w="992" w:type="dxa"/>
            <w:noWrap/>
            <w:hideMark/>
          </w:tcPr>
          <w:p w14:paraId="4411C502" w14:textId="254912B6" w:rsidR="005A0219" w:rsidRPr="00C97275" w:rsidRDefault="009A3B34"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195</w:t>
            </w:r>
          </w:p>
        </w:tc>
        <w:tc>
          <w:tcPr>
            <w:tcW w:w="1559" w:type="dxa"/>
            <w:noWrap/>
            <w:hideMark/>
          </w:tcPr>
          <w:p w14:paraId="78BFC5E0" w14:textId="7F5FA143" w:rsidR="005A0219" w:rsidRPr="00C97275" w:rsidRDefault="000C2FB1"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379</w:t>
            </w:r>
          </w:p>
        </w:tc>
        <w:tc>
          <w:tcPr>
            <w:tcW w:w="1559" w:type="dxa"/>
            <w:noWrap/>
            <w:hideMark/>
          </w:tcPr>
          <w:p w14:paraId="70170EA5" w14:textId="2B2D189F" w:rsidR="005A0219" w:rsidRPr="00C97275" w:rsidRDefault="00655668"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255,</w:t>
            </w:r>
            <w:r w:rsidR="005A0219" w:rsidRPr="00C97275">
              <w:rPr>
                <w:rFonts w:ascii="Georgia" w:eastAsia="Georgia" w:hAnsi="Georgia" w:cs="Arial Unicode MS"/>
                <w:sz w:val="20"/>
                <w:szCs w:val="20"/>
              </w:rPr>
              <w:t>5</w:t>
            </w:r>
          </w:p>
        </w:tc>
        <w:tc>
          <w:tcPr>
            <w:tcW w:w="1620" w:type="dxa"/>
            <w:noWrap/>
            <w:hideMark/>
          </w:tcPr>
          <w:p w14:paraId="3F99BBE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60%</w:t>
            </w:r>
          </w:p>
        </w:tc>
        <w:tc>
          <w:tcPr>
            <w:tcW w:w="880" w:type="dxa"/>
            <w:noWrap/>
            <w:hideMark/>
          </w:tcPr>
          <w:p w14:paraId="07CAD01C" w14:textId="12BA7CAE" w:rsidR="005A0219" w:rsidRPr="00C97275" w:rsidRDefault="00CE4078"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190</w:t>
            </w:r>
          </w:p>
        </w:tc>
      </w:tr>
      <w:tr w:rsidR="0077117B" w:rsidRPr="00C97275" w14:paraId="24DA3D8E" w14:textId="77777777" w:rsidTr="00553F5A">
        <w:trPr>
          <w:trHeight w:val="600"/>
        </w:trPr>
        <w:tc>
          <w:tcPr>
            <w:cnfStyle w:val="001000000000" w:firstRow="0" w:lastRow="0" w:firstColumn="1" w:lastColumn="0" w:oddVBand="0" w:evenVBand="0" w:oddHBand="0" w:evenHBand="0" w:firstRowFirstColumn="0" w:firstRowLastColumn="0" w:lastRowFirstColumn="0" w:lastRowLastColumn="0"/>
            <w:tcW w:w="1520" w:type="dxa"/>
            <w:hideMark/>
          </w:tcPr>
          <w:p w14:paraId="7D140777"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 xml:space="preserve">Senos statybos nerenovuoti daugiabučiai </w:t>
            </w:r>
          </w:p>
        </w:tc>
        <w:tc>
          <w:tcPr>
            <w:tcW w:w="880" w:type="dxa"/>
            <w:noWrap/>
            <w:hideMark/>
          </w:tcPr>
          <w:p w14:paraId="046F4A7C" w14:textId="174DE413" w:rsidR="005A0219" w:rsidRPr="00C97275" w:rsidRDefault="000C2FB1"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1284</w:t>
            </w:r>
          </w:p>
        </w:tc>
        <w:tc>
          <w:tcPr>
            <w:tcW w:w="851" w:type="dxa"/>
            <w:noWrap/>
            <w:hideMark/>
          </w:tcPr>
          <w:p w14:paraId="3C891A0A" w14:textId="7B848813" w:rsidR="005A0219" w:rsidRPr="00C97275" w:rsidRDefault="009A3B34"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2 000</w:t>
            </w:r>
          </w:p>
        </w:tc>
        <w:tc>
          <w:tcPr>
            <w:tcW w:w="992" w:type="dxa"/>
            <w:noWrap/>
            <w:hideMark/>
          </w:tcPr>
          <w:p w14:paraId="72B8C4CD" w14:textId="26654DFF" w:rsidR="005A0219" w:rsidRPr="00C97275" w:rsidRDefault="009A3B34"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195</w:t>
            </w:r>
          </w:p>
        </w:tc>
        <w:tc>
          <w:tcPr>
            <w:tcW w:w="1559" w:type="dxa"/>
            <w:noWrap/>
            <w:hideMark/>
          </w:tcPr>
          <w:p w14:paraId="3562DE24" w14:textId="176DE450" w:rsidR="005A0219" w:rsidRPr="00C97275" w:rsidRDefault="000C2FB1"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501</w:t>
            </w:r>
          </w:p>
        </w:tc>
        <w:tc>
          <w:tcPr>
            <w:tcW w:w="1559" w:type="dxa"/>
            <w:noWrap/>
            <w:hideMark/>
          </w:tcPr>
          <w:p w14:paraId="2CF0D3AF" w14:textId="08C6FB5D" w:rsidR="005A0219" w:rsidRPr="00C97275" w:rsidRDefault="00655668"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153,</w:t>
            </w:r>
            <w:r w:rsidR="005A0219" w:rsidRPr="00C97275">
              <w:rPr>
                <w:rFonts w:ascii="Georgia" w:eastAsia="Georgia" w:hAnsi="Georgia" w:cs="Arial Unicode MS"/>
                <w:sz w:val="20"/>
                <w:szCs w:val="20"/>
              </w:rPr>
              <w:t>3</w:t>
            </w:r>
          </w:p>
        </w:tc>
        <w:tc>
          <w:tcPr>
            <w:tcW w:w="1620" w:type="dxa"/>
            <w:noWrap/>
            <w:hideMark/>
          </w:tcPr>
          <w:p w14:paraId="2DF5BACA"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50%</w:t>
            </w:r>
          </w:p>
        </w:tc>
        <w:tc>
          <w:tcPr>
            <w:tcW w:w="880" w:type="dxa"/>
            <w:noWrap/>
            <w:hideMark/>
          </w:tcPr>
          <w:p w14:paraId="470BA588" w14:textId="6DDC9F23" w:rsidR="005A0219" w:rsidRPr="00C97275" w:rsidRDefault="00CE4078"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125</w:t>
            </w:r>
          </w:p>
        </w:tc>
      </w:tr>
      <w:tr w:rsidR="0077117B" w:rsidRPr="00C97275" w14:paraId="2F35D942" w14:textId="77777777" w:rsidTr="00553F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0" w:type="dxa"/>
            <w:hideMark/>
          </w:tcPr>
          <w:p w14:paraId="637840AF"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Naujos statybos ir iš dalies atnaujinti daugiabučiai</w:t>
            </w:r>
          </w:p>
        </w:tc>
        <w:tc>
          <w:tcPr>
            <w:tcW w:w="880" w:type="dxa"/>
            <w:noWrap/>
            <w:hideMark/>
          </w:tcPr>
          <w:p w14:paraId="17565A16" w14:textId="43D1E5E5" w:rsidR="005A0219" w:rsidRPr="00C97275" w:rsidRDefault="000C2FB1"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192</w:t>
            </w:r>
          </w:p>
        </w:tc>
        <w:tc>
          <w:tcPr>
            <w:tcW w:w="851" w:type="dxa"/>
            <w:noWrap/>
            <w:hideMark/>
          </w:tcPr>
          <w:p w14:paraId="66CAAFAB" w14:textId="70411B3E" w:rsidR="005A0219" w:rsidRPr="00C97275" w:rsidRDefault="009A3B34"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2 000</w:t>
            </w:r>
          </w:p>
        </w:tc>
        <w:tc>
          <w:tcPr>
            <w:tcW w:w="992" w:type="dxa"/>
            <w:noWrap/>
            <w:hideMark/>
          </w:tcPr>
          <w:p w14:paraId="08C21D60" w14:textId="0CBF18C1" w:rsidR="005A0219" w:rsidRPr="00C97275" w:rsidRDefault="009A3B34"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195</w:t>
            </w:r>
          </w:p>
        </w:tc>
        <w:tc>
          <w:tcPr>
            <w:tcW w:w="1559" w:type="dxa"/>
            <w:noWrap/>
            <w:hideMark/>
          </w:tcPr>
          <w:p w14:paraId="19ED8EB8" w14:textId="1A256813" w:rsidR="005A0219" w:rsidRPr="00C97275" w:rsidRDefault="000C2FB1"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75</w:t>
            </w:r>
          </w:p>
        </w:tc>
        <w:tc>
          <w:tcPr>
            <w:tcW w:w="1559" w:type="dxa"/>
            <w:noWrap/>
            <w:hideMark/>
          </w:tcPr>
          <w:p w14:paraId="4988EE14" w14:textId="1721D08B" w:rsidR="005A0219" w:rsidRPr="00C97275" w:rsidRDefault="00655668"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109,</w:t>
            </w:r>
            <w:r w:rsidR="005A0219" w:rsidRPr="00C97275">
              <w:rPr>
                <w:rFonts w:ascii="Georgia" w:eastAsia="Georgia" w:hAnsi="Georgia" w:cs="Arial Unicode MS"/>
                <w:sz w:val="20"/>
                <w:szCs w:val="20"/>
              </w:rPr>
              <w:t>5</w:t>
            </w:r>
          </w:p>
        </w:tc>
        <w:tc>
          <w:tcPr>
            <w:tcW w:w="1620" w:type="dxa"/>
            <w:noWrap/>
            <w:hideMark/>
          </w:tcPr>
          <w:p w14:paraId="252248D0"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40%</w:t>
            </w:r>
          </w:p>
        </w:tc>
        <w:tc>
          <w:tcPr>
            <w:tcW w:w="880" w:type="dxa"/>
            <w:noWrap/>
            <w:hideMark/>
          </w:tcPr>
          <w:p w14:paraId="2F501B58" w14:textId="28167114" w:rsidR="005A0219" w:rsidRPr="00C97275" w:rsidRDefault="00CE4078"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11</w:t>
            </w:r>
          </w:p>
        </w:tc>
      </w:tr>
      <w:tr w:rsidR="0077117B" w:rsidRPr="00C97275" w14:paraId="0E6FFB9C" w14:textId="77777777" w:rsidTr="00553F5A">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3FDC8E18" w14:textId="77777777" w:rsidR="005A0219" w:rsidRPr="00C97275" w:rsidRDefault="005A0219" w:rsidP="005A0219">
            <w:pPr>
              <w:rPr>
                <w:rFonts w:ascii="Georgia" w:eastAsia="Georgia" w:hAnsi="Georgia" w:cs="Arial Unicode MS"/>
                <w:sz w:val="20"/>
                <w:szCs w:val="20"/>
              </w:rPr>
            </w:pPr>
            <w:r w:rsidRPr="00C97275">
              <w:rPr>
                <w:rFonts w:ascii="Georgia" w:eastAsia="Georgia" w:hAnsi="Georgia" w:cs="Arial Unicode MS"/>
                <w:sz w:val="20"/>
                <w:szCs w:val="20"/>
              </w:rPr>
              <w:t>Iš viso</w:t>
            </w:r>
          </w:p>
        </w:tc>
        <w:tc>
          <w:tcPr>
            <w:tcW w:w="880" w:type="dxa"/>
            <w:noWrap/>
            <w:hideMark/>
          </w:tcPr>
          <w:p w14:paraId="0B4415C0" w14:textId="7FFCCD60" w:rsidR="005A0219" w:rsidRPr="00C97275" w:rsidRDefault="000C2FB1"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C97275">
              <w:rPr>
                <w:rFonts w:ascii="Georgia" w:eastAsia="Georgia" w:hAnsi="Georgia" w:cs="Arial Unicode MS"/>
                <w:b/>
                <w:bCs/>
                <w:sz w:val="20"/>
                <w:szCs w:val="20"/>
              </w:rPr>
              <w:t>2448</w:t>
            </w:r>
          </w:p>
        </w:tc>
        <w:tc>
          <w:tcPr>
            <w:tcW w:w="851" w:type="dxa"/>
            <w:noWrap/>
            <w:hideMark/>
          </w:tcPr>
          <w:p w14:paraId="4E0310DC"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992" w:type="dxa"/>
            <w:noWrap/>
            <w:hideMark/>
          </w:tcPr>
          <w:p w14:paraId="66AAA4E8"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c>
          <w:tcPr>
            <w:tcW w:w="1559" w:type="dxa"/>
            <w:noWrap/>
            <w:hideMark/>
          </w:tcPr>
          <w:p w14:paraId="3B854215" w14:textId="17A7A728" w:rsidR="005A0219" w:rsidRPr="00C97275" w:rsidRDefault="000C2FB1"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C97275">
              <w:rPr>
                <w:rFonts w:ascii="Georgia" w:eastAsia="Georgia" w:hAnsi="Georgia" w:cs="Arial Unicode MS"/>
                <w:b/>
                <w:bCs/>
                <w:sz w:val="20"/>
                <w:szCs w:val="20"/>
              </w:rPr>
              <w:t>955</w:t>
            </w:r>
          </w:p>
        </w:tc>
        <w:tc>
          <w:tcPr>
            <w:tcW w:w="1559" w:type="dxa"/>
            <w:noWrap/>
            <w:hideMark/>
          </w:tcPr>
          <w:p w14:paraId="0244E564"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1620" w:type="dxa"/>
            <w:noWrap/>
            <w:hideMark/>
          </w:tcPr>
          <w:p w14:paraId="2820E4ED"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c>
          <w:tcPr>
            <w:tcW w:w="880" w:type="dxa"/>
            <w:noWrap/>
            <w:hideMark/>
          </w:tcPr>
          <w:p w14:paraId="10FB2967" w14:textId="15C46F38" w:rsidR="005A0219" w:rsidRPr="00C97275" w:rsidRDefault="00CE4078"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C97275">
              <w:rPr>
                <w:rFonts w:ascii="Georgia" w:eastAsia="Georgia" w:hAnsi="Georgia" w:cs="Arial Unicode MS"/>
                <w:b/>
                <w:bCs/>
                <w:sz w:val="20"/>
                <w:szCs w:val="20"/>
              </w:rPr>
              <w:t>216</w:t>
            </w:r>
          </w:p>
        </w:tc>
      </w:tr>
    </w:tbl>
    <w:p w14:paraId="79144312" w14:textId="77777777" w:rsidR="005A0219" w:rsidRPr="00C97275" w:rsidRDefault="005A0219" w:rsidP="005A0219">
      <w:pPr>
        <w:spacing w:after="160" w:line="240" w:lineRule="auto"/>
        <w:jc w:val="both"/>
        <w:rPr>
          <w:rFonts w:ascii="Georgia" w:eastAsia="Georgia" w:hAnsi="Georgia" w:cs="Georgia"/>
          <w:i/>
          <w:iCs/>
          <w:color w:val="821A1A"/>
          <w:sz w:val="20"/>
          <w:szCs w:val="20"/>
          <w:lang w:val="lt-LT"/>
        </w:rPr>
      </w:pPr>
      <w:r w:rsidRPr="00C97275">
        <w:rPr>
          <w:rFonts w:ascii="Georgia" w:eastAsia="Georgia" w:hAnsi="Georgia" w:cs="Georgia"/>
          <w:i/>
          <w:iCs/>
          <w:color w:val="821A1A"/>
          <w:sz w:val="20"/>
          <w:szCs w:val="20"/>
          <w:lang w:val="lt-LT"/>
        </w:rPr>
        <w:t>Šaltinis: sudaryta autorių</w:t>
      </w:r>
    </w:p>
    <w:p w14:paraId="195DFA9C" w14:textId="279FE17F" w:rsidR="005A0219" w:rsidRPr="00C97275" w:rsidRDefault="005A0219" w:rsidP="0063781D">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Paskutinėje lentelėje pateikti energijos sutaupymų rezultatai darant prielaidą, jog daugiabučiai bus renovuoti vienodu tempu per visą 2017-2025 metų laikotarpį. Skaičiuojant energijos suvartojimo sutaupymus, daroma prielaida</w:t>
      </w:r>
      <w:r w:rsidR="003333A4" w:rsidRPr="00C97275">
        <w:rPr>
          <w:rFonts w:ascii="Georgia" w:eastAsia="Georgia" w:hAnsi="Georgia" w:cs="Arial Unicode MS"/>
          <w:sz w:val="20"/>
          <w:szCs w:val="20"/>
          <w:lang w:val="lt-LT"/>
        </w:rPr>
        <w:t>,</w:t>
      </w:r>
      <w:r w:rsidRPr="00C97275">
        <w:rPr>
          <w:rFonts w:ascii="Georgia" w:eastAsia="Georgia" w:hAnsi="Georgia" w:cs="Arial Unicode MS"/>
          <w:sz w:val="20"/>
          <w:szCs w:val="20"/>
          <w:lang w:val="lt-LT"/>
        </w:rPr>
        <w:t xml:space="preserve"> jog senesnių ir labai prastos šiluminės izoliacijos daugiabučių renovacija vidutiniškai sutaupo 60% energijos kiekio, tuo tarpu naujos statybos namai – bent 40%.</w:t>
      </w:r>
    </w:p>
    <w:p w14:paraId="4563E9E5" w14:textId="77777777" w:rsidR="005A0219" w:rsidRPr="00C97275" w:rsidRDefault="005A0219" w:rsidP="005A0219">
      <w:pPr>
        <w:spacing w:after="160" w:line="240" w:lineRule="auto"/>
        <w:rPr>
          <w:rFonts w:ascii="Georgia" w:eastAsia="Georgia" w:hAnsi="Georgia" w:cs="Arial Unicode MS"/>
          <w:b/>
          <w:sz w:val="20"/>
          <w:szCs w:val="20"/>
          <w:lang w:val="lt-LT"/>
        </w:rPr>
      </w:pPr>
      <w:r w:rsidRPr="00C97275">
        <w:rPr>
          <w:rFonts w:ascii="Georgia" w:eastAsia="Georgia" w:hAnsi="Georgia" w:cs="Arial Unicode MS"/>
          <w:b/>
          <w:sz w:val="20"/>
          <w:szCs w:val="20"/>
          <w:lang w:val="lt-LT"/>
        </w:rPr>
        <w:t>Išvada</w:t>
      </w:r>
    </w:p>
    <w:p w14:paraId="2510CB03" w14:textId="77777777" w:rsidR="005A0219" w:rsidRPr="00C97275" w:rsidRDefault="005A0219" w:rsidP="005A0219">
      <w:pPr>
        <w:spacing w:after="160" w:line="240" w:lineRule="auto"/>
        <w:rPr>
          <w:rFonts w:ascii="Georgia" w:eastAsia="Georgia" w:hAnsi="Georgia" w:cs="Arial Unicode MS"/>
          <w:sz w:val="20"/>
          <w:szCs w:val="20"/>
          <w:lang w:val="lt-LT"/>
        </w:rPr>
      </w:pPr>
      <w:r w:rsidRPr="00C97275">
        <w:rPr>
          <w:rFonts w:ascii="Georgia" w:eastAsia="Georgia" w:hAnsi="Georgia" w:cs="Arial Unicode MS"/>
          <w:sz w:val="20"/>
          <w:szCs w:val="20"/>
          <w:lang w:val="lt-LT"/>
        </w:rPr>
        <w:t>Skaičiavimo rezultatai naudojant skirtingus skaičiavimo metodus apibendrinami lentelėje žemiau.</w:t>
      </w:r>
    </w:p>
    <w:p w14:paraId="1048FD3F" w14:textId="1102AFE8" w:rsidR="005A0219" w:rsidRPr="00C97275" w:rsidRDefault="005A0219" w:rsidP="005A0219">
      <w:pPr>
        <w:spacing w:after="160" w:line="240" w:lineRule="auto"/>
        <w:jc w:val="both"/>
        <w:rPr>
          <w:rFonts w:ascii="Georgia" w:eastAsia="Georgia" w:hAnsi="Georgia" w:cs="Arial Unicode MS"/>
          <w:i/>
          <w:iCs/>
          <w:color w:val="821A1A"/>
          <w:sz w:val="20"/>
          <w:szCs w:val="18"/>
          <w:lang w:val="lt-LT"/>
        </w:rPr>
      </w:pPr>
      <w:bookmarkStart w:id="61" w:name="_Toc19105229"/>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16</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Daugiabučių paklausos skaičiavimo metodų ir jų rezultatų  apibendrinimas</w:t>
      </w:r>
      <w:bookmarkEnd w:id="61"/>
    </w:p>
    <w:tbl>
      <w:tblPr>
        <w:tblStyle w:val="LightList-Accent21"/>
        <w:tblW w:w="0" w:type="auto"/>
        <w:tblInd w:w="-10" w:type="dxa"/>
        <w:tblLook w:val="04A0" w:firstRow="1" w:lastRow="0" w:firstColumn="1" w:lastColumn="0" w:noHBand="0" w:noVBand="1"/>
      </w:tblPr>
      <w:tblGrid>
        <w:gridCol w:w="6096"/>
        <w:gridCol w:w="2835"/>
      </w:tblGrid>
      <w:tr w:rsidR="005A0219" w:rsidRPr="00C97275" w14:paraId="2FA8FF82" w14:textId="77777777" w:rsidTr="005B31C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14:paraId="5B28147B" w14:textId="77777777" w:rsidR="005A0219" w:rsidRPr="00C97275" w:rsidRDefault="005A0219" w:rsidP="005A0219">
            <w:pPr>
              <w:rPr>
                <w:rFonts w:ascii="Georgia" w:eastAsia="Georgia" w:hAnsi="Georgia" w:cs="Arial Unicode MS"/>
                <w:sz w:val="20"/>
                <w:szCs w:val="20"/>
              </w:rPr>
            </w:pPr>
            <w:r w:rsidRPr="00C97275">
              <w:rPr>
                <w:rFonts w:ascii="Georgia" w:eastAsia="Georgia" w:hAnsi="Georgia" w:cs="Arial Unicode MS"/>
                <w:sz w:val="20"/>
                <w:szCs w:val="20"/>
              </w:rPr>
              <w:t> Skaičiavimo metodas</w:t>
            </w:r>
          </w:p>
        </w:tc>
        <w:tc>
          <w:tcPr>
            <w:tcW w:w="2835" w:type="dxa"/>
            <w:noWrap/>
            <w:vAlign w:val="center"/>
            <w:hideMark/>
          </w:tcPr>
          <w:p w14:paraId="2BA68E2C" w14:textId="0FAA6CB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 xml:space="preserve">Paklausa, </w:t>
            </w:r>
            <w:r w:rsidR="0077117B" w:rsidRPr="00C97275">
              <w:rPr>
                <w:rFonts w:ascii="Georgia" w:eastAsia="Georgia" w:hAnsi="Georgia" w:cs="Arial Unicode MS"/>
                <w:sz w:val="20"/>
                <w:szCs w:val="20"/>
              </w:rPr>
              <w:br/>
            </w:r>
            <w:r w:rsidRPr="00C97275">
              <w:rPr>
                <w:rFonts w:ascii="Georgia" w:eastAsia="Georgia" w:hAnsi="Georgia" w:cs="Arial Unicode MS"/>
                <w:sz w:val="20"/>
                <w:szCs w:val="20"/>
              </w:rPr>
              <w:t>mln. EUR</w:t>
            </w:r>
          </w:p>
        </w:tc>
      </w:tr>
      <w:tr w:rsidR="005A0219" w:rsidRPr="00C97275" w14:paraId="3B697437" w14:textId="77777777" w:rsidTr="005B31C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015EE9AF"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 xml:space="preserve">Remiantis bendruoju energijos taupymo tikslu </w:t>
            </w:r>
          </w:p>
        </w:tc>
        <w:tc>
          <w:tcPr>
            <w:tcW w:w="2835" w:type="dxa"/>
            <w:noWrap/>
            <w:vAlign w:val="center"/>
            <w:hideMark/>
          </w:tcPr>
          <w:p w14:paraId="31378EAE" w14:textId="2BEB67F9" w:rsidR="005A0219" w:rsidRPr="00C97275" w:rsidRDefault="00926FD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932</w:t>
            </w:r>
          </w:p>
        </w:tc>
      </w:tr>
      <w:tr w:rsidR="005A0219" w:rsidRPr="00C97275" w14:paraId="1F86F8FD" w14:textId="77777777" w:rsidTr="005B31C6">
        <w:trPr>
          <w:trHeight w:val="397"/>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579C4080" w14:textId="77777777"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Remiantis daugiabučių atnaujinimo programos tikslu</w:t>
            </w:r>
          </w:p>
        </w:tc>
        <w:tc>
          <w:tcPr>
            <w:tcW w:w="2835" w:type="dxa"/>
            <w:noWrap/>
            <w:vAlign w:val="center"/>
            <w:hideMark/>
          </w:tcPr>
          <w:p w14:paraId="206360D8" w14:textId="010090E1" w:rsidR="005A0219" w:rsidRPr="00C97275" w:rsidRDefault="00926FD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828</w:t>
            </w:r>
          </w:p>
        </w:tc>
      </w:tr>
      <w:tr w:rsidR="005A0219" w:rsidRPr="00C97275" w14:paraId="59507863" w14:textId="77777777" w:rsidTr="005B31C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180AD66F" w14:textId="02FC7A00" w:rsidR="005A0219" w:rsidRPr="00C97275" w:rsidRDefault="005A0219" w:rsidP="005A0219">
            <w:pPr>
              <w:rPr>
                <w:rFonts w:ascii="Georgia" w:eastAsia="Georgia" w:hAnsi="Georgia" w:cs="Arial Unicode MS"/>
                <w:b w:val="0"/>
                <w:sz w:val="20"/>
                <w:szCs w:val="20"/>
              </w:rPr>
            </w:pPr>
            <w:r w:rsidRPr="00C97275">
              <w:rPr>
                <w:rFonts w:ascii="Georgia" w:eastAsia="Georgia" w:hAnsi="Georgia" w:cs="Arial Unicode MS"/>
                <w:b w:val="0"/>
                <w:sz w:val="20"/>
                <w:szCs w:val="20"/>
              </w:rPr>
              <w:t>Remiantis Nacionalinės energijos strategijos tikslu</w:t>
            </w:r>
          </w:p>
        </w:tc>
        <w:tc>
          <w:tcPr>
            <w:tcW w:w="2835" w:type="dxa"/>
            <w:noWrap/>
            <w:vAlign w:val="center"/>
            <w:hideMark/>
          </w:tcPr>
          <w:p w14:paraId="72D10F9A" w14:textId="18075F21" w:rsidR="005A0219" w:rsidRPr="00C97275" w:rsidRDefault="000C2FB1"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955</w:t>
            </w:r>
          </w:p>
        </w:tc>
      </w:tr>
    </w:tbl>
    <w:p w14:paraId="7F27481A" w14:textId="77777777" w:rsidR="005A0219" w:rsidRPr="00C97275" w:rsidRDefault="005A0219" w:rsidP="005A0219">
      <w:pPr>
        <w:spacing w:after="160" w:line="240" w:lineRule="auto"/>
        <w:jc w:val="both"/>
        <w:rPr>
          <w:rFonts w:ascii="Georgia" w:eastAsia="Georgia" w:hAnsi="Georgia" w:cs="Georgia"/>
          <w:i/>
          <w:iCs/>
          <w:color w:val="821A1A"/>
          <w:sz w:val="20"/>
          <w:szCs w:val="20"/>
          <w:lang w:val="lt-LT"/>
        </w:rPr>
      </w:pPr>
      <w:r w:rsidRPr="00C97275">
        <w:rPr>
          <w:rFonts w:ascii="Georgia" w:eastAsia="Georgia" w:hAnsi="Georgia" w:cs="Georgia"/>
          <w:i/>
          <w:iCs/>
          <w:color w:val="821A1A"/>
          <w:sz w:val="20"/>
          <w:szCs w:val="20"/>
          <w:lang w:val="lt-LT"/>
        </w:rPr>
        <w:t>Šaltinis: parengta autorių</w:t>
      </w:r>
    </w:p>
    <w:p w14:paraId="2105FAFE" w14:textId="3E97A2FA" w:rsidR="005A0219" w:rsidRPr="00C97275" w:rsidRDefault="005A0219" w:rsidP="0063781D">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Kaip matome</w:t>
      </w:r>
      <w:r w:rsidR="003333A4" w:rsidRPr="00C97275">
        <w:rPr>
          <w:rFonts w:ascii="Georgia" w:eastAsia="Georgia" w:hAnsi="Georgia" w:cs="Arial Unicode MS"/>
          <w:sz w:val="20"/>
          <w:szCs w:val="20"/>
          <w:lang w:val="lt-LT"/>
        </w:rPr>
        <w:t>,</w:t>
      </w:r>
      <w:r w:rsidRPr="00C97275">
        <w:rPr>
          <w:rFonts w:ascii="Georgia" w:eastAsia="Georgia" w:hAnsi="Georgia" w:cs="Arial Unicode MS"/>
          <w:sz w:val="20"/>
          <w:szCs w:val="20"/>
          <w:lang w:val="lt-LT"/>
        </w:rPr>
        <w:t xml:space="preserve"> rezultatai skaičiuojant daugiabučių atnaujinimo paklausą remiantis bendruoju energijos taupymo tikslu ir nacionalinės energijos strategijos pirminio projekto tikslu</w:t>
      </w:r>
      <w:r w:rsidR="001E2098" w:rsidRPr="00C97275">
        <w:rPr>
          <w:rFonts w:ascii="Georgia" w:eastAsia="Georgia" w:hAnsi="Georgia" w:cs="Arial Unicode MS"/>
          <w:sz w:val="20"/>
          <w:szCs w:val="20"/>
          <w:lang w:val="lt-LT"/>
        </w:rPr>
        <w:t>yra labai panašūs</w:t>
      </w:r>
      <w:r w:rsidRPr="00C97275">
        <w:rPr>
          <w:rFonts w:ascii="Georgia" w:eastAsia="Georgia" w:hAnsi="Georgia" w:cs="Arial Unicode MS"/>
          <w:sz w:val="20"/>
          <w:szCs w:val="20"/>
          <w:lang w:val="lt-LT"/>
        </w:rPr>
        <w:t xml:space="preserve">. Tai ne </w:t>
      </w:r>
      <w:r w:rsidR="00703216" w:rsidRPr="00C97275">
        <w:rPr>
          <w:rFonts w:ascii="Georgia" w:eastAsia="Georgia" w:hAnsi="Georgia" w:cs="Arial Unicode MS"/>
          <w:sz w:val="20"/>
          <w:szCs w:val="20"/>
          <w:lang w:val="lt-LT"/>
        </w:rPr>
        <w:t xml:space="preserve">tik </w:t>
      </w:r>
      <w:r w:rsidRPr="00C97275">
        <w:rPr>
          <w:rFonts w:ascii="Georgia" w:eastAsia="Georgia" w:hAnsi="Georgia" w:cs="Arial Unicode MS"/>
          <w:sz w:val="20"/>
          <w:szCs w:val="20"/>
          <w:lang w:val="lt-LT"/>
        </w:rPr>
        <w:t xml:space="preserve">parodo, jog nacionaliniuose strategijos dokumentuose energijos taupymo rodikliai yra suderinti, tačiau ir leidžia daryti išvadą jog skaičiavimo rezultatai yra tikslūs. </w:t>
      </w:r>
    </w:p>
    <w:p w14:paraId="7D7AAB53" w14:textId="2428F4E9" w:rsidR="005A0219" w:rsidRPr="00C97275" w:rsidRDefault="005A0219" w:rsidP="0063781D">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Apskaičiuota paklausa remiantis daugiabučių atnaujinimo programos tikslu yra smarkiai mažesnė nei paklausa skaičiuojant kitais metodais dėl to, jog šioje programoje atnaujinamų daugiabučių namų tikslas nėra toks ambicingas kaip skaičiuojant kitais dviem metodas. </w:t>
      </w:r>
    </w:p>
    <w:p w14:paraId="660B932D" w14:textId="77777777" w:rsidR="005A0219" w:rsidRPr="00C97275" w:rsidRDefault="005A0219" w:rsidP="0063781D">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Atsižvelgiant į tai, jog Nacionalinės energetikos strategija yra svarbiausias nacionalinis strateginis dokumentas energetikos sektoriuje Lietuvoje, siūlome rinktis šį metodą.</w:t>
      </w:r>
    </w:p>
    <w:p w14:paraId="651A0148" w14:textId="77777777" w:rsidR="005A0219" w:rsidRPr="00C97275" w:rsidRDefault="005A0219" w:rsidP="00162BF5">
      <w:pPr>
        <w:keepNext/>
        <w:keepLines/>
        <w:numPr>
          <w:ilvl w:val="0"/>
          <w:numId w:val="37"/>
        </w:numPr>
        <w:spacing w:before="200" w:after="0" w:line="240" w:lineRule="auto"/>
        <w:outlineLvl w:val="1"/>
        <w:rPr>
          <w:rFonts w:ascii="Georgia" w:eastAsia="Times New Roman" w:hAnsi="Georgia" w:cs="Arial Unicode MS"/>
          <w:b/>
          <w:i/>
          <w:vanish/>
          <w:color w:val="821A1A"/>
          <w:sz w:val="32"/>
          <w:szCs w:val="26"/>
          <w:lang w:val="lt-LT"/>
        </w:rPr>
      </w:pPr>
      <w:bookmarkStart w:id="62" w:name="_Toc503766074"/>
      <w:bookmarkStart w:id="63" w:name="_Toc503766750"/>
      <w:bookmarkStart w:id="64" w:name="_Toc503766948"/>
      <w:bookmarkStart w:id="65" w:name="_Toc18911032"/>
      <w:bookmarkStart w:id="66" w:name="_Toc19048043"/>
      <w:bookmarkStart w:id="67" w:name="_Toc19105136"/>
      <w:bookmarkStart w:id="68" w:name="_Toc25594653"/>
      <w:bookmarkEnd w:id="62"/>
      <w:bookmarkEnd w:id="63"/>
      <w:bookmarkEnd w:id="64"/>
      <w:bookmarkEnd w:id="65"/>
      <w:bookmarkEnd w:id="66"/>
      <w:bookmarkEnd w:id="67"/>
      <w:bookmarkEnd w:id="68"/>
    </w:p>
    <w:p w14:paraId="31B0227D" w14:textId="77777777" w:rsidR="005A0219" w:rsidRPr="00C97275" w:rsidRDefault="005A0219" w:rsidP="00162BF5">
      <w:pPr>
        <w:keepNext/>
        <w:keepLines/>
        <w:numPr>
          <w:ilvl w:val="0"/>
          <w:numId w:val="37"/>
        </w:numPr>
        <w:spacing w:before="200" w:after="0" w:line="240" w:lineRule="auto"/>
        <w:outlineLvl w:val="1"/>
        <w:rPr>
          <w:rFonts w:ascii="Georgia" w:eastAsia="Times New Roman" w:hAnsi="Georgia" w:cs="Arial Unicode MS"/>
          <w:b/>
          <w:i/>
          <w:vanish/>
          <w:color w:val="821A1A"/>
          <w:sz w:val="32"/>
          <w:szCs w:val="26"/>
          <w:lang w:val="lt-LT"/>
        </w:rPr>
      </w:pPr>
      <w:bookmarkStart w:id="69" w:name="_Toc503766075"/>
      <w:bookmarkStart w:id="70" w:name="_Toc503766751"/>
      <w:bookmarkStart w:id="71" w:name="_Toc503766949"/>
      <w:bookmarkStart w:id="72" w:name="_Toc18911033"/>
      <w:bookmarkStart w:id="73" w:name="_Toc19048044"/>
      <w:bookmarkStart w:id="74" w:name="_Toc19105137"/>
      <w:bookmarkStart w:id="75" w:name="_Toc25594654"/>
      <w:bookmarkEnd w:id="69"/>
      <w:bookmarkEnd w:id="70"/>
      <w:bookmarkEnd w:id="71"/>
      <w:bookmarkEnd w:id="72"/>
      <w:bookmarkEnd w:id="73"/>
      <w:bookmarkEnd w:id="74"/>
      <w:bookmarkEnd w:id="75"/>
    </w:p>
    <w:p w14:paraId="4D27EE80" w14:textId="77777777" w:rsidR="005A0219" w:rsidRPr="00C97275" w:rsidRDefault="005A0219" w:rsidP="00162BF5">
      <w:pPr>
        <w:keepNext/>
        <w:keepLines/>
        <w:numPr>
          <w:ilvl w:val="1"/>
          <w:numId w:val="37"/>
        </w:numPr>
        <w:spacing w:before="200" w:after="0" w:line="240" w:lineRule="auto"/>
        <w:outlineLvl w:val="1"/>
        <w:rPr>
          <w:rFonts w:ascii="Georgia" w:eastAsia="Times New Roman" w:hAnsi="Georgia" w:cs="Arial Unicode MS"/>
          <w:b/>
          <w:i/>
          <w:vanish/>
          <w:color w:val="821A1A"/>
          <w:sz w:val="32"/>
          <w:szCs w:val="26"/>
          <w:lang w:val="lt-LT"/>
        </w:rPr>
      </w:pPr>
      <w:bookmarkStart w:id="76" w:name="_Toc503766076"/>
      <w:bookmarkStart w:id="77" w:name="_Toc503766752"/>
      <w:bookmarkStart w:id="78" w:name="_Toc503766950"/>
      <w:bookmarkStart w:id="79" w:name="_Toc18911034"/>
      <w:bookmarkStart w:id="80" w:name="_Toc19048045"/>
      <w:bookmarkStart w:id="81" w:name="_Toc19105138"/>
      <w:bookmarkStart w:id="82" w:name="_Toc25594655"/>
      <w:bookmarkEnd w:id="76"/>
      <w:bookmarkEnd w:id="77"/>
      <w:bookmarkEnd w:id="78"/>
      <w:bookmarkEnd w:id="79"/>
      <w:bookmarkEnd w:id="80"/>
      <w:bookmarkEnd w:id="81"/>
      <w:bookmarkEnd w:id="82"/>
    </w:p>
    <w:p w14:paraId="0FF57D38" w14:textId="77777777" w:rsidR="005A0219" w:rsidRPr="00C97275" w:rsidRDefault="005A0219" w:rsidP="00162BF5">
      <w:pPr>
        <w:keepNext/>
        <w:keepLines/>
        <w:numPr>
          <w:ilvl w:val="2"/>
          <w:numId w:val="37"/>
        </w:numPr>
        <w:spacing w:before="200" w:after="0" w:line="240" w:lineRule="auto"/>
        <w:outlineLvl w:val="1"/>
        <w:rPr>
          <w:rFonts w:ascii="Georgia" w:eastAsia="Times New Roman" w:hAnsi="Georgia" w:cs="Arial Unicode MS"/>
          <w:b/>
          <w:i/>
          <w:vanish/>
          <w:color w:val="821A1A"/>
          <w:sz w:val="32"/>
          <w:szCs w:val="26"/>
          <w:lang w:val="lt-LT"/>
        </w:rPr>
      </w:pPr>
      <w:bookmarkStart w:id="83" w:name="_Toc503766077"/>
      <w:bookmarkStart w:id="84" w:name="_Toc503766753"/>
      <w:bookmarkStart w:id="85" w:name="_Toc503766951"/>
      <w:bookmarkStart w:id="86" w:name="_Toc18911035"/>
      <w:bookmarkStart w:id="87" w:name="_Toc19048046"/>
      <w:bookmarkStart w:id="88" w:name="_Toc19105139"/>
      <w:bookmarkStart w:id="89" w:name="_Toc25594656"/>
      <w:bookmarkEnd w:id="83"/>
      <w:bookmarkEnd w:id="84"/>
      <w:bookmarkEnd w:id="85"/>
      <w:bookmarkEnd w:id="86"/>
      <w:bookmarkEnd w:id="87"/>
      <w:bookmarkEnd w:id="88"/>
      <w:bookmarkEnd w:id="89"/>
    </w:p>
    <w:p w14:paraId="57D18337" w14:textId="1EDCE4C4" w:rsidR="005A0219" w:rsidRPr="00C97275" w:rsidRDefault="005A0219" w:rsidP="00162BF5">
      <w:pPr>
        <w:keepNext/>
        <w:keepLines/>
        <w:numPr>
          <w:ilvl w:val="3"/>
          <w:numId w:val="37"/>
        </w:numPr>
        <w:spacing w:before="200" w:after="0" w:line="240" w:lineRule="auto"/>
        <w:ind w:hanging="1440"/>
        <w:outlineLvl w:val="1"/>
        <w:rPr>
          <w:rFonts w:ascii="Georgia" w:eastAsia="Times New Roman" w:hAnsi="Georgia" w:cs="Arial Unicode MS"/>
          <w:b/>
          <w:i/>
          <w:color w:val="821A1A"/>
          <w:sz w:val="32"/>
          <w:szCs w:val="26"/>
          <w:lang w:val="lt-LT"/>
        </w:rPr>
      </w:pPr>
      <w:bookmarkStart w:id="90" w:name="_Toc25594657"/>
      <w:r w:rsidRPr="00C97275">
        <w:rPr>
          <w:rFonts w:ascii="Georgia" w:eastAsia="Times New Roman" w:hAnsi="Georgia" w:cs="Arial Unicode MS"/>
          <w:b/>
          <w:i/>
          <w:color w:val="821A1A"/>
          <w:sz w:val="32"/>
          <w:szCs w:val="26"/>
          <w:lang w:val="lt-LT"/>
        </w:rPr>
        <w:t>Gatvių apšvietimo tinklo modernizavimo paklausos skaičiavimas</w:t>
      </w:r>
      <w:bookmarkEnd w:id="90"/>
    </w:p>
    <w:p w14:paraId="1BA3C5D3"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74E8F841" w14:textId="4ECD8636"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lastRenderedPageBreak/>
        <w:t>Žemiau esančioje lentelėje pateikiamos prielaidos ir skaičiavimai, bei jų pagrindimas skaičiuojant gatvių apšvietimo tinklo modernizavimo paklausą.</w:t>
      </w:r>
    </w:p>
    <w:p w14:paraId="2888D631"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248DE3F4" w14:textId="137208B6" w:rsidR="005A0219" w:rsidRPr="00C97275" w:rsidRDefault="005A0219" w:rsidP="005A0219">
      <w:pPr>
        <w:spacing w:after="120" w:line="240" w:lineRule="auto"/>
        <w:jc w:val="both"/>
        <w:rPr>
          <w:rFonts w:ascii="Georgia" w:eastAsia="Georgia" w:hAnsi="Georgia" w:cs="Times New Roman"/>
          <w:i/>
          <w:iCs/>
          <w:color w:val="821A1A"/>
          <w:sz w:val="20"/>
          <w:szCs w:val="18"/>
          <w:lang w:val="lt-LT"/>
        </w:rPr>
      </w:pPr>
      <w:bookmarkStart w:id="91" w:name="_Ref399585209"/>
      <w:bookmarkStart w:id="92" w:name="_Toc19105230"/>
      <w:bookmarkStart w:id="93" w:name="_Toc455735511"/>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17</w:t>
      </w:r>
      <w:r w:rsidRPr="00C97275">
        <w:rPr>
          <w:rFonts w:ascii="Georgia" w:eastAsia="Georgia" w:hAnsi="Georgia" w:cs="Arial Unicode MS"/>
          <w:i/>
          <w:iCs/>
          <w:color w:val="821A1A"/>
          <w:sz w:val="20"/>
          <w:szCs w:val="18"/>
          <w:lang w:val="lt-LT"/>
        </w:rPr>
        <w:fldChar w:fldCharType="end"/>
      </w:r>
      <w:bookmarkEnd w:id="91"/>
      <w:r w:rsidRPr="00C97275">
        <w:rPr>
          <w:rFonts w:ascii="Georgia" w:eastAsia="Georgia" w:hAnsi="Georgia" w:cs="Arial Unicode MS"/>
          <w:i/>
          <w:iCs/>
          <w:color w:val="821A1A"/>
          <w:sz w:val="20"/>
          <w:szCs w:val="18"/>
          <w:lang w:val="lt-LT"/>
        </w:rPr>
        <w:t>. Gatvių apšvietimo tinklo modernizavimo p</w:t>
      </w:r>
      <w:r w:rsidRPr="00C97275">
        <w:rPr>
          <w:rFonts w:ascii="Georgia" w:eastAsia="Georgia" w:hAnsi="Georgia" w:cs="Georgia"/>
          <w:i/>
          <w:iCs/>
          <w:color w:val="821A1A"/>
          <w:sz w:val="20"/>
          <w:szCs w:val="20"/>
          <w:lang w:val="lt-LT"/>
        </w:rPr>
        <w:t>aklausos skaičiavimo prielaidos ir paklausos rodiklių skaičiavimas</w:t>
      </w:r>
      <w:bookmarkEnd w:id="92"/>
      <w:r w:rsidRPr="00C97275">
        <w:rPr>
          <w:rFonts w:ascii="Georgia" w:eastAsia="Georgia" w:hAnsi="Georgia" w:cs="Georgia"/>
          <w:i/>
          <w:iCs/>
          <w:color w:val="821A1A"/>
          <w:sz w:val="20"/>
          <w:szCs w:val="20"/>
          <w:lang w:val="lt-LT"/>
        </w:rPr>
        <w:t xml:space="preserve"> </w:t>
      </w:r>
      <w:bookmarkEnd w:id="93"/>
    </w:p>
    <w:tbl>
      <w:tblPr>
        <w:tblStyle w:val="LightList-Accent21"/>
        <w:tblW w:w="5000" w:type="pct"/>
        <w:tblLook w:val="04A0" w:firstRow="1" w:lastRow="0" w:firstColumn="1" w:lastColumn="0" w:noHBand="0" w:noVBand="1"/>
      </w:tblPr>
      <w:tblGrid>
        <w:gridCol w:w="667"/>
        <w:gridCol w:w="3050"/>
        <w:gridCol w:w="1407"/>
        <w:gridCol w:w="4118"/>
      </w:tblGrid>
      <w:tr w:rsidR="00CB4D9D" w:rsidRPr="00C97275" w14:paraId="433FE75E" w14:textId="77777777" w:rsidTr="00F935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Borders>
              <w:top w:val="single" w:sz="8" w:space="0" w:color="D62E1C"/>
              <w:left w:val="single" w:sz="8" w:space="0" w:color="D62E1C"/>
              <w:bottom w:val="nil"/>
              <w:right w:val="nil"/>
            </w:tcBorders>
            <w:hideMark/>
          </w:tcPr>
          <w:p w14:paraId="726ECC6C" w14:textId="77777777" w:rsidR="005A0219" w:rsidRPr="00C97275" w:rsidRDefault="005A0219" w:rsidP="005A0219">
            <w:pPr>
              <w:autoSpaceDE w:val="0"/>
              <w:autoSpaceDN w:val="0"/>
              <w:adjustRightInd w:val="0"/>
              <w:jc w:val="center"/>
              <w:rPr>
                <w:rFonts w:ascii="Georgia" w:eastAsia="Georgia" w:hAnsi="Georgia" w:cs="Arial Unicode MS"/>
                <w:sz w:val="20"/>
                <w:szCs w:val="24"/>
              </w:rPr>
            </w:pPr>
            <w:r w:rsidRPr="00C97275">
              <w:rPr>
                <w:rFonts w:ascii="Georgia" w:eastAsia="Georgia" w:hAnsi="Georgia" w:cs="Arial Unicode MS"/>
                <w:sz w:val="20"/>
                <w:szCs w:val="24"/>
              </w:rPr>
              <w:t>Eil.</w:t>
            </w:r>
          </w:p>
          <w:p w14:paraId="1FA541B3" w14:textId="77777777" w:rsidR="005A0219" w:rsidRPr="00C97275" w:rsidRDefault="005A0219" w:rsidP="005A0219">
            <w:pPr>
              <w:autoSpaceDE w:val="0"/>
              <w:autoSpaceDN w:val="0"/>
              <w:adjustRightInd w:val="0"/>
              <w:jc w:val="center"/>
              <w:rPr>
                <w:rFonts w:ascii="Georgia" w:eastAsia="Georgia" w:hAnsi="Georgia" w:cs="Arial Unicode MS"/>
                <w:sz w:val="20"/>
                <w:szCs w:val="24"/>
              </w:rPr>
            </w:pPr>
            <w:r w:rsidRPr="00C97275">
              <w:rPr>
                <w:rFonts w:ascii="Georgia" w:eastAsia="Georgia" w:hAnsi="Georgia" w:cs="Arial Unicode MS"/>
                <w:sz w:val="20"/>
                <w:szCs w:val="24"/>
              </w:rPr>
              <w:t>Nr.</w:t>
            </w:r>
          </w:p>
        </w:tc>
        <w:tc>
          <w:tcPr>
            <w:tcW w:w="1650" w:type="pct"/>
            <w:tcBorders>
              <w:top w:val="single" w:sz="8" w:space="0" w:color="D62E1C"/>
              <w:left w:val="nil"/>
              <w:bottom w:val="nil"/>
              <w:right w:val="nil"/>
            </w:tcBorders>
            <w:hideMark/>
          </w:tcPr>
          <w:p w14:paraId="21D62A40"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4"/>
              </w:rPr>
            </w:pPr>
            <w:r w:rsidRPr="00C97275">
              <w:rPr>
                <w:rFonts w:ascii="Georgia" w:eastAsia="Georgia" w:hAnsi="Georgia" w:cs="Arial Unicode MS"/>
                <w:sz w:val="20"/>
                <w:szCs w:val="24"/>
              </w:rPr>
              <w:t>Rodiklis</w:t>
            </w:r>
          </w:p>
        </w:tc>
        <w:tc>
          <w:tcPr>
            <w:tcW w:w="761" w:type="pct"/>
            <w:tcBorders>
              <w:top w:val="single" w:sz="8" w:space="0" w:color="D62E1C"/>
              <w:left w:val="nil"/>
              <w:bottom w:val="nil"/>
              <w:right w:val="nil"/>
            </w:tcBorders>
            <w:hideMark/>
          </w:tcPr>
          <w:p w14:paraId="301F91E6" w14:textId="77777777" w:rsidR="005A0219" w:rsidRPr="00C97275"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4"/>
              </w:rPr>
            </w:pPr>
            <w:r w:rsidRPr="00C97275">
              <w:rPr>
                <w:rFonts w:ascii="Georgia" w:eastAsia="Georgia" w:hAnsi="Georgia" w:cs="Arial Unicode MS"/>
                <w:sz w:val="20"/>
                <w:szCs w:val="24"/>
              </w:rPr>
              <w:t>Rodiklio dydis</w:t>
            </w:r>
          </w:p>
        </w:tc>
        <w:tc>
          <w:tcPr>
            <w:tcW w:w="2228" w:type="pct"/>
            <w:tcBorders>
              <w:top w:val="single" w:sz="8" w:space="0" w:color="D62E1C"/>
              <w:left w:val="nil"/>
              <w:bottom w:val="nil"/>
              <w:right w:val="single" w:sz="8" w:space="0" w:color="D62E1C"/>
            </w:tcBorders>
            <w:hideMark/>
          </w:tcPr>
          <w:p w14:paraId="462CE452" w14:textId="77777777" w:rsidR="005A0219" w:rsidRPr="00C97275"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4"/>
              </w:rPr>
            </w:pPr>
            <w:r w:rsidRPr="00C97275">
              <w:rPr>
                <w:rFonts w:ascii="Georgia" w:eastAsia="Georgia" w:hAnsi="Georgia" w:cs="Arial Unicode MS"/>
                <w:sz w:val="20"/>
                <w:szCs w:val="24"/>
              </w:rPr>
              <w:t>Informacijos šaltinis, pagrindimas</w:t>
            </w:r>
          </w:p>
        </w:tc>
      </w:tr>
      <w:tr w:rsidR="005A0219" w:rsidRPr="00C97275" w14:paraId="715D8328"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tcBorders>
              <w:right w:val="nil"/>
            </w:tcBorders>
            <w:vAlign w:val="center"/>
            <w:hideMark/>
          </w:tcPr>
          <w:p w14:paraId="059BE93A" w14:textId="77777777" w:rsidR="005A0219" w:rsidRPr="00C97275" w:rsidRDefault="005A0219" w:rsidP="005B31C6">
            <w:pPr>
              <w:autoSpaceDE w:val="0"/>
              <w:autoSpaceDN w:val="0"/>
              <w:adjustRightInd w:val="0"/>
              <w:jc w:val="center"/>
              <w:rPr>
                <w:rFonts w:ascii="Georgia" w:eastAsia="Georgia" w:hAnsi="Georgia" w:cs="Arial Unicode MS"/>
                <w:sz w:val="20"/>
                <w:szCs w:val="24"/>
              </w:rPr>
            </w:pPr>
            <w:r w:rsidRPr="00C97275">
              <w:rPr>
                <w:rFonts w:ascii="Georgia" w:eastAsia="Georgia" w:hAnsi="Georgia" w:cs="Arial Unicode MS"/>
                <w:sz w:val="20"/>
                <w:szCs w:val="24"/>
              </w:rPr>
              <w:t>1.</w:t>
            </w:r>
          </w:p>
        </w:tc>
        <w:tc>
          <w:tcPr>
            <w:tcW w:w="0" w:type="pct"/>
            <w:tcBorders>
              <w:left w:val="nil"/>
              <w:right w:val="nil"/>
            </w:tcBorders>
            <w:vAlign w:val="center"/>
            <w:hideMark/>
          </w:tcPr>
          <w:p w14:paraId="494F1503" w14:textId="77777777" w:rsidR="005A0219" w:rsidRPr="00C97275" w:rsidRDefault="005A0219" w:rsidP="005A02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C97275">
              <w:rPr>
                <w:rFonts w:ascii="Georgia" w:eastAsia="Georgia" w:hAnsi="Georgia" w:cs="Arial Unicode MS"/>
                <w:bCs/>
                <w:sz w:val="20"/>
                <w:szCs w:val="24"/>
              </w:rPr>
              <w:t>Renovuotinų šviestuvų kiekis, vnt.</w:t>
            </w:r>
          </w:p>
        </w:tc>
        <w:tc>
          <w:tcPr>
            <w:tcW w:w="0" w:type="pct"/>
            <w:tcBorders>
              <w:left w:val="nil"/>
              <w:right w:val="nil"/>
            </w:tcBorders>
            <w:vAlign w:val="center"/>
          </w:tcPr>
          <w:p w14:paraId="79E5DDBE" w14:textId="2525652F" w:rsidR="005A0219" w:rsidRPr="00C97275" w:rsidRDefault="005A0219"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p>
          <w:p w14:paraId="0278B112" w14:textId="77777777" w:rsidR="005A0219" w:rsidRPr="00C97275" w:rsidRDefault="005A0219"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C97275">
              <w:rPr>
                <w:rFonts w:ascii="Georgia" w:eastAsia="Georgia" w:hAnsi="Georgia" w:cs="Arial Unicode MS"/>
                <w:bCs/>
                <w:sz w:val="20"/>
                <w:szCs w:val="24"/>
              </w:rPr>
              <w:t>174 555</w:t>
            </w:r>
          </w:p>
          <w:p w14:paraId="6B2DBA81" w14:textId="77777777" w:rsidR="005A0219" w:rsidRPr="00C97275" w:rsidRDefault="005A0219" w:rsidP="0063781D">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4"/>
              </w:rPr>
            </w:pPr>
          </w:p>
        </w:tc>
        <w:tc>
          <w:tcPr>
            <w:tcW w:w="0" w:type="pct"/>
            <w:tcBorders>
              <w:left w:val="nil"/>
            </w:tcBorders>
            <w:hideMark/>
          </w:tcPr>
          <w:p w14:paraId="5458E532" w14:textId="77777777" w:rsidR="005A0219" w:rsidRPr="00C97275" w:rsidRDefault="005A0219" w:rsidP="005A021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C97275">
              <w:rPr>
                <w:rFonts w:ascii="Georgia" w:eastAsia="Georgia" w:hAnsi="Georgia" w:cs="Georgia"/>
                <w:sz w:val="20"/>
                <w:szCs w:val="20"/>
              </w:rPr>
              <w:t xml:space="preserve">Pagal Energetikos ministerijos pateiktus duomenis, surinktus iš savivaldybių, neįtraukiant AB Lietuvos geležinkelių </w:t>
            </w:r>
          </w:p>
        </w:tc>
      </w:tr>
      <w:tr w:rsidR="005A0219" w:rsidRPr="00C97275" w14:paraId="3678AD4C"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vAlign w:val="center"/>
            <w:hideMark/>
          </w:tcPr>
          <w:p w14:paraId="2B7D8720" w14:textId="77777777" w:rsidR="005A0219" w:rsidRPr="00C97275" w:rsidRDefault="005A0219" w:rsidP="005B31C6">
            <w:pPr>
              <w:autoSpaceDE w:val="0"/>
              <w:autoSpaceDN w:val="0"/>
              <w:adjustRightInd w:val="0"/>
              <w:jc w:val="center"/>
              <w:rPr>
                <w:rFonts w:ascii="Georgia" w:eastAsia="Georgia" w:hAnsi="Georgia" w:cs="Georgia"/>
                <w:sz w:val="20"/>
                <w:szCs w:val="20"/>
              </w:rPr>
            </w:pPr>
            <w:r w:rsidRPr="00C97275">
              <w:rPr>
                <w:rFonts w:ascii="Georgia" w:eastAsia="Georgia" w:hAnsi="Georgia" w:cs="Georgia"/>
                <w:sz w:val="20"/>
                <w:szCs w:val="20"/>
              </w:rPr>
              <w:t>2.</w:t>
            </w:r>
          </w:p>
        </w:tc>
        <w:tc>
          <w:tcPr>
            <w:tcW w:w="0" w:type="pct"/>
            <w:tcBorders>
              <w:top w:val="nil"/>
              <w:left w:val="nil"/>
              <w:bottom w:val="nil"/>
              <w:right w:val="nil"/>
            </w:tcBorders>
            <w:vAlign w:val="center"/>
            <w:hideMark/>
          </w:tcPr>
          <w:p w14:paraId="09B59831" w14:textId="3DA292F2" w:rsidR="005A0219" w:rsidRPr="00C97275" w:rsidRDefault="005A0219" w:rsidP="00E2340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 w:val="20"/>
                <w:szCs w:val="24"/>
              </w:rPr>
            </w:pPr>
            <w:r w:rsidRPr="00C97275">
              <w:rPr>
                <w:rFonts w:ascii="Georgia" w:eastAsia="Georgia" w:hAnsi="Georgia" w:cs="Georgia"/>
                <w:sz w:val="20"/>
                <w:szCs w:val="20"/>
              </w:rPr>
              <w:t xml:space="preserve">Vidutiniai vieno šviestuvo pakeitimo kaštai, </w:t>
            </w:r>
            <w:r w:rsidR="00E23406" w:rsidRPr="00C97275">
              <w:rPr>
                <w:rFonts w:ascii="Georgia" w:eastAsia="Georgia" w:hAnsi="Georgia" w:cs="Georgia"/>
                <w:sz w:val="20"/>
                <w:szCs w:val="20"/>
              </w:rPr>
              <w:t>eurų</w:t>
            </w:r>
            <w:r w:rsidRPr="00C97275">
              <w:rPr>
                <w:rFonts w:ascii="Georgia" w:eastAsia="Georgia" w:hAnsi="Georgia" w:cs="Georgia"/>
                <w:sz w:val="20"/>
                <w:szCs w:val="20"/>
              </w:rPr>
              <w:t xml:space="preserve">/vnt. </w:t>
            </w:r>
          </w:p>
        </w:tc>
        <w:tc>
          <w:tcPr>
            <w:tcW w:w="0" w:type="pct"/>
            <w:tcBorders>
              <w:top w:val="nil"/>
              <w:left w:val="nil"/>
              <w:bottom w:val="nil"/>
              <w:right w:val="nil"/>
            </w:tcBorders>
            <w:vAlign w:val="center"/>
            <w:hideMark/>
          </w:tcPr>
          <w:p w14:paraId="036EF0BD" w14:textId="3803ABC1" w:rsidR="005A0219" w:rsidRPr="00C97275" w:rsidRDefault="00BD3004" w:rsidP="0063781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 w:val="20"/>
                <w:szCs w:val="24"/>
              </w:rPr>
            </w:pPr>
            <w:r w:rsidRPr="00C97275">
              <w:rPr>
                <w:rFonts w:ascii="Georgia" w:eastAsia="Georgia" w:hAnsi="Georgia" w:cs="Arial Unicode MS"/>
                <w:bCs/>
                <w:sz w:val="20"/>
                <w:szCs w:val="24"/>
              </w:rPr>
              <w:t>684</w:t>
            </w:r>
          </w:p>
        </w:tc>
        <w:tc>
          <w:tcPr>
            <w:tcW w:w="0" w:type="pct"/>
            <w:tcBorders>
              <w:top w:val="nil"/>
              <w:left w:val="nil"/>
              <w:bottom w:val="nil"/>
              <w:right w:val="single" w:sz="8" w:space="0" w:color="D62E1C"/>
            </w:tcBorders>
            <w:hideMark/>
          </w:tcPr>
          <w:p w14:paraId="5216243A" w14:textId="77777777" w:rsidR="005A0219" w:rsidRPr="00C97275" w:rsidRDefault="005A0219" w:rsidP="005A021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 w:val="20"/>
                <w:szCs w:val="24"/>
              </w:rPr>
            </w:pPr>
            <w:r w:rsidRPr="00C97275">
              <w:rPr>
                <w:rFonts w:ascii="Georgia" w:eastAsia="Georgia" w:hAnsi="Georgia" w:cs="Georgia"/>
                <w:sz w:val="20"/>
                <w:szCs w:val="20"/>
              </w:rPr>
              <w:t xml:space="preserve">Remiantis ENEF fondo valdytojui pateiktų garantijos gatvių apšvietimo modernizavimui paraiškų duomenimis </w:t>
            </w:r>
          </w:p>
        </w:tc>
      </w:tr>
      <w:tr w:rsidR="005A0219" w:rsidRPr="00C97275" w14:paraId="57CA5CC0"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tcBorders>
              <w:right w:val="nil"/>
            </w:tcBorders>
            <w:vAlign w:val="center"/>
            <w:hideMark/>
          </w:tcPr>
          <w:p w14:paraId="4E9D097C" w14:textId="77777777" w:rsidR="005A0219" w:rsidRPr="00C97275" w:rsidRDefault="005A0219" w:rsidP="005B31C6">
            <w:pPr>
              <w:autoSpaceDE w:val="0"/>
              <w:autoSpaceDN w:val="0"/>
              <w:adjustRightInd w:val="0"/>
              <w:jc w:val="center"/>
              <w:rPr>
                <w:rFonts w:ascii="Georgia" w:eastAsia="Georgia" w:hAnsi="Georgia" w:cs="Georgia"/>
                <w:sz w:val="20"/>
                <w:szCs w:val="20"/>
              </w:rPr>
            </w:pPr>
            <w:r w:rsidRPr="00C97275">
              <w:rPr>
                <w:rFonts w:ascii="Georgia" w:eastAsia="Georgia" w:hAnsi="Georgia" w:cs="Georgia"/>
                <w:sz w:val="20"/>
                <w:szCs w:val="20"/>
              </w:rPr>
              <w:t>3.</w:t>
            </w:r>
          </w:p>
        </w:tc>
        <w:tc>
          <w:tcPr>
            <w:tcW w:w="0" w:type="pct"/>
            <w:tcBorders>
              <w:left w:val="nil"/>
              <w:right w:val="nil"/>
            </w:tcBorders>
            <w:vAlign w:val="center"/>
            <w:hideMark/>
          </w:tcPr>
          <w:p w14:paraId="7981C1D2" w14:textId="20EC12C6" w:rsidR="005A0219" w:rsidRPr="00C97275" w:rsidRDefault="005A0219" w:rsidP="00E234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 xml:space="preserve">Gatvių apšvietimo tinklo modernizavimo paklausa, mln. </w:t>
            </w:r>
            <w:r w:rsidR="00E23406" w:rsidRPr="00C97275">
              <w:rPr>
                <w:rFonts w:ascii="Georgia" w:eastAsia="Georgia" w:hAnsi="Georgia" w:cs="Georgia"/>
                <w:sz w:val="20"/>
                <w:szCs w:val="20"/>
              </w:rPr>
              <w:t>eurų</w:t>
            </w:r>
          </w:p>
        </w:tc>
        <w:tc>
          <w:tcPr>
            <w:tcW w:w="0" w:type="pct"/>
            <w:tcBorders>
              <w:left w:val="nil"/>
              <w:right w:val="nil"/>
            </w:tcBorders>
            <w:vAlign w:val="center"/>
            <w:hideMark/>
          </w:tcPr>
          <w:p w14:paraId="01F58516" w14:textId="7FE0CA0D" w:rsidR="005A0219" w:rsidRPr="00C97275" w:rsidRDefault="00B03E98"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C97275">
              <w:rPr>
                <w:rFonts w:ascii="Georgia" w:eastAsia="Georgia" w:hAnsi="Georgia" w:cs="Georgia"/>
                <w:sz w:val="20"/>
                <w:szCs w:val="20"/>
              </w:rPr>
              <w:t>119,4</w:t>
            </w:r>
          </w:p>
        </w:tc>
        <w:tc>
          <w:tcPr>
            <w:tcW w:w="0" w:type="pct"/>
            <w:tcBorders>
              <w:left w:val="nil"/>
            </w:tcBorders>
            <w:hideMark/>
          </w:tcPr>
          <w:p w14:paraId="42FF50C5" w14:textId="77777777" w:rsidR="005A0219" w:rsidRPr="00C97275" w:rsidRDefault="005A0219" w:rsidP="005A021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Daroma prielaidą, kad vidutinė vieno šviestuvo renovacijos kaina bus tokia pati kaip Vilniaus gatvių apšvietimo projekte</w:t>
            </w:r>
          </w:p>
        </w:tc>
      </w:tr>
    </w:tbl>
    <w:p w14:paraId="095511A9" w14:textId="77777777" w:rsidR="005A0219" w:rsidRPr="00C97275" w:rsidRDefault="005A0219" w:rsidP="005A0219">
      <w:pPr>
        <w:spacing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t xml:space="preserve">Šaltinis: sudaryta autorių. </w:t>
      </w:r>
    </w:p>
    <w:p w14:paraId="1F93470E" w14:textId="1B990D00"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Remiantis 13-os lentelės duomenimis, įvertinta gatvių apšvietimo modernizavimo investicijų paklausa siekia 95 mln. eurų. 2017 m. liepos mėn. VIPA atliko apklausą dėl savivaldybių poreikio gatvių apšvietimo modernizavimui naudojantis ENEF teikiamomis garantijomis projektų finansavimui. Informaciją pateikė 25 savivaldybės, iš kurių 16 nurodė, jog neplanuoja pasinaudoti ENEF garantija arba naudos kitus finansavimo šaltinius, 2 svarsto galimybę, o 7 planuoja pasinaudoti. </w:t>
      </w:r>
    </w:p>
    <w:p w14:paraId="7019A293"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566DD078" w14:textId="1DEEDCC5" w:rsidR="000264DA" w:rsidRPr="00C97275" w:rsidRDefault="000264DA" w:rsidP="000264DA">
      <w:pPr>
        <w:autoSpaceDE w:val="0"/>
        <w:autoSpaceDN w:val="0"/>
        <w:adjustRightInd w:val="0"/>
        <w:spacing w:after="0"/>
        <w:jc w:val="both"/>
        <w:rPr>
          <w:rFonts w:ascii="Georgia" w:hAnsi="Georgia" w:cs="Georgia"/>
          <w:color w:val="FF0000"/>
          <w:sz w:val="20"/>
          <w:szCs w:val="20"/>
          <w:lang w:val="lt-LT"/>
        </w:rPr>
      </w:pPr>
      <w:r w:rsidRPr="00C97275">
        <w:rPr>
          <w:rFonts w:ascii="Georgia" w:hAnsi="Georgia" w:cs="Georgia"/>
          <w:sz w:val="20"/>
          <w:szCs w:val="20"/>
          <w:lang w:val="lt-LT"/>
        </w:rPr>
        <w:t>Pagal savivaldybių pateiktus duomenis, didžiausią poreikį investicijoms gatvių apšvietimo modernizavimui nurodė Kauno miesto (14 mln. eurų 2018-2019</w:t>
      </w:r>
      <w:r w:rsidR="00A93D12" w:rsidRPr="00C97275">
        <w:rPr>
          <w:rFonts w:ascii="Georgia" w:hAnsi="Georgia" w:cs="Georgia"/>
          <w:sz w:val="20"/>
          <w:szCs w:val="20"/>
          <w:lang w:val="lt-LT"/>
        </w:rPr>
        <w:t xml:space="preserve"> m.</w:t>
      </w:r>
      <w:r w:rsidRPr="00C97275">
        <w:rPr>
          <w:rStyle w:val="Puslapioinaosnuoroda"/>
          <w:rFonts w:ascii="Georgia" w:hAnsi="Georgia" w:cs="Georgia"/>
          <w:sz w:val="20"/>
          <w:szCs w:val="20"/>
          <w:lang w:val="lt-LT"/>
        </w:rPr>
        <w:footnoteReference w:id="21"/>
      </w:r>
      <w:r w:rsidRPr="00C97275">
        <w:rPr>
          <w:rFonts w:ascii="Georgia" w:hAnsi="Georgia" w:cs="Georgia"/>
          <w:sz w:val="20"/>
          <w:szCs w:val="20"/>
          <w:lang w:val="lt-LT"/>
        </w:rPr>
        <w:t>), Klaipėdos miesto (5 mln. eurų 2018-2019</w:t>
      </w:r>
      <w:r w:rsidR="00A93D12" w:rsidRPr="00C97275">
        <w:rPr>
          <w:rFonts w:ascii="Georgia" w:hAnsi="Georgia" w:cs="Georgia"/>
          <w:sz w:val="20"/>
          <w:szCs w:val="20"/>
          <w:lang w:val="lt-LT"/>
        </w:rPr>
        <w:t xml:space="preserve"> m.</w:t>
      </w:r>
      <w:r w:rsidRPr="00C97275">
        <w:rPr>
          <w:rStyle w:val="Puslapioinaosnuoroda"/>
          <w:rFonts w:ascii="Georgia" w:hAnsi="Georgia" w:cs="Georgia"/>
          <w:sz w:val="20"/>
          <w:szCs w:val="20"/>
          <w:lang w:val="lt-LT"/>
        </w:rPr>
        <w:footnoteReference w:id="22"/>
      </w:r>
      <w:r w:rsidRPr="00C97275">
        <w:rPr>
          <w:rFonts w:ascii="Georgia" w:hAnsi="Georgia" w:cs="Georgia"/>
          <w:sz w:val="20"/>
          <w:szCs w:val="20"/>
          <w:lang w:val="lt-LT"/>
        </w:rPr>
        <w:t>), Šiaulių miesto (2 mln. eurų</w:t>
      </w:r>
      <w:r w:rsidRPr="00C97275">
        <w:rPr>
          <w:rStyle w:val="Puslapioinaosnuoroda"/>
          <w:rFonts w:ascii="Georgia" w:hAnsi="Georgia" w:cs="Georgia"/>
          <w:sz w:val="20"/>
          <w:szCs w:val="20"/>
          <w:lang w:val="lt-LT"/>
        </w:rPr>
        <w:footnoteReference w:id="23"/>
      </w:r>
      <w:r w:rsidRPr="00C97275">
        <w:rPr>
          <w:rFonts w:ascii="Georgia" w:hAnsi="Georgia" w:cs="Georgia"/>
          <w:sz w:val="20"/>
          <w:szCs w:val="20"/>
          <w:lang w:val="lt-LT"/>
        </w:rPr>
        <w:t>),</w:t>
      </w:r>
      <w:r w:rsidRPr="00C97275">
        <w:rPr>
          <w:rFonts w:ascii="Georgia" w:hAnsi="Georgia" w:cs="Georgia"/>
          <w:color w:val="FF0000"/>
          <w:sz w:val="20"/>
          <w:szCs w:val="20"/>
          <w:lang w:val="lt-LT"/>
        </w:rPr>
        <w:t xml:space="preserve"> </w:t>
      </w:r>
      <w:r w:rsidRPr="00C97275">
        <w:rPr>
          <w:rFonts w:ascii="Georgia" w:hAnsi="Georgia" w:cs="Georgia"/>
          <w:sz w:val="20"/>
          <w:szCs w:val="20"/>
          <w:lang w:val="lt-LT"/>
        </w:rPr>
        <w:t>Panevėžio (2 mln. eurų</w:t>
      </w:r>
      <w:r w:rsidRPr="00C97275">
        <w:rPr>
          <w:rStyle w:val="Puslapioinaosnuoroda"/>
          <w:rFonts w:ascii="Georgia" w:hAnsi="Georgia" w:cs="Georgia"/>
          <w:sz w:val="20"/>
          <w:szCs w:val="20"/>
          <w:lang w:val="lt-LT"/>
        </w:rPr>
        <w:footnoteReference w:id="24"/>
      </w:r>
      <w:r w:rsidRPr="00C97275">
        <w:rPr>
          <w:rFonts w:ascii="Georgia" w:hAnsi="Georgia" w:cs="Georgia"/>
          <w:sz w:val="20"/>
          <w:szCs w:val="20"/>
          <w:lang w:val="lt-LT"/>
        </w:rPr>
        <w:t>), Marijampolės (apie 563 tūkst. eurų</w:t>
      </w:r>
      <w:r w:rsidRPr="00C97275">
        <w:rPr>
          <w:rStyle w:val="Puslapioinaosnuoroda"/>
          <w:rFonts w:ascii="Georgia" w:hAnsi="Georgia" w:cs="Georgia"/>
          <w:sz w:val="20"/>
          <w:szCs w:val="20"/>
          <w:lang w:val="lt-LT"/>
        </w:rPr>
        <w:footnoteReference w:id="25"/>
      </w:r>
      <w:r w:rsidRPr="00C97275">
        <w:rPr>
          <w:rFonts w:ascii="Georgia" w:hAnsi="Georgia" w:cs="Georgia"/>
          <w:sz w:val="20"/>
          <w:szCs w:val="20"/>
          <w:lang w:val="lt-LT"/>
        </w:rPr>
        <w:t>), Ukmergės (508 tūkst. eurų</w:t>
      </w:r>
      <w:r w:rsidRPr="00C97275">
        <w:rPr>
          <w:rFonts w:ascii="Georgia" w:hAnsi="Georgia" w:cs="Georgia"/>
          <w:color w:val="FF0000"/>
          <w:sz w:val="20"/>
          <w:szCs w:val="20"/>
          <w:lang w:val="lt-LT"/>
        </w:rPr>
        <w:t xml:space="preserve"> </w:t>
      </w:r>
      <w:r w:rsidRPr="00C97275">
        <w:rPr>
          <w:rStyle w:val="Puslapioinaosnuoroda"/>
          <w:rFonts w:ascii="Georgia" w:hAnsi="Georgia" w:cs="Georgia"/>
          <w:sz w:val="20"/>
          <w:szCs w:val="20"/>
          <w:lang w:val="lt-LT"/>
        </w:rPr>
        <w:footnoteReference w:id="26"/>
      </w:r>
      <w:r w:rsidRPr="00C97275">
        <w:rPr>
          <w:rFonts w:ascii="Georgia" w:hAnsi="Georgia" w:cs="Georgia"/>
          <w:sz w:val="20"/>
          <w:szCs w:val="20"/>
          <w:lang w:val="lt-LT"/>
        </w:rPr>
        <w:t xml:space="preserve">) ir Vilniaus rajono (1,66 mln. eurų 2016-2020 </w:t>
      </w:r>
      <w:r w:rsidR="00A93D12" w:rsidRPr="00C97275">
        <w:rPr>
          <w:rFonts w:ascii="Georgia" w:hAnsi="Georgia" w:cs="Georgia"/>
          <w:sz w:val="20"/>
          <w:szCs w:val="20"/>
          <w:lang w:val="lt-LT"/>
        </w:rPr>
        <w:t>m.</w:t>
      </w:r>
      <w:r w:rsidRPr="00C97275">
        <w:rPr>
          <w:rStyle w:val="Puslapioinaosnuoroda"/>
          <w:rFonts w:ascii="Georgia" w:hAnsi="Georgia" w:cs="Georgia"/>
          <w:sz w:val="20"/>
          <w:szCs w:val="20"/>
          <w:lang w:val="lt-LT"/>
        </w:rPr>
        <w:footnoteReference w:id="27"/>
      </w:r>
      <w:r w:rsidRPr="00C97275">
        <w:rPr>
          <w:rFonts w:ascii="Georgia" w:hAnsi="Georgia" w:cs="Georgia"/>
          <w:sz w:val="20"/>
          <w:szCs w:val="20"/>
          <w:lang w:val="lt-LT"/>
        </w:rPr>
        <w:t>)</w:t>
      </w:r>
      <w:r w:rsidRPr="00C97275">
        <w:rPr>
          <w:rFonts w:ascii="Georgia" w:hAnsi="Georgia" w:cs="Georgia"/>
          <w:color w:val="FF0000"/>
          <w:sz w:val="20"/>
          <w:szCs w:val="20"/>
          <w:lang w:val="lt-LT"/>
        </w:rPr>
        <w:t xml:space="preserve"> </w:t>
      </w:r>
      <w:r w:rsidRPr="00C97275">
        <w:rPr>
          <w:rFonts w:ascii="Georgia" w:hAnsi="Georgia" w:cs="Georgia"/>
          <w:sz w:val="20"/>
          <w:szCs w:val="20"/>
          <w:lang w:val="lt-LT"/>
        </w:rPr>
        <w:t xml:space="preserve">savivaldybės. </w:t>
      </w:r>
    </w:p>
    <w:p w14:paraId="75B0AAF0" w14:textId="572C192D" w:rsidR="005A0219" w:rsidRPr="00C97275" w:rsidRDefault="005A0219" w:rsidP="00162BF5">
      <w:pPr>
        <w:keepNext/>
        <w:keepLines/>
        <w:numPr>
          <w:ilvl w:val="3"/>
          <w:numId w:val="37"/>
        </w:numPr>
        <w:spacing w:before="200" w:after="0" w:line="240" w:lineRule="auto"/>
        <w:ind w:hanging="1298"/>
        <w:outlineLvl w:val="1"/>
        <w:rPr>
          <w:rFonts w:ascii="Georgia" w:eastAsia="Times New Roman" w:hAnsi="Georgia" w:cs="Arial Unicode MS"/>
          <w:b/>
          <w:i/>
          <w:color w:val="821A1A"/>
          <w:sz w:val="32"/>
          <w:szCs w:val="26"/>
          <w:lang w:val="lt-LT"/>
        </w:rPr>
      </w:pPr>
      <w:bookmarkStart w:id="94" w:name="_Toc25594658"/>
      <w:r w:rsidRPr="00C97275">
        <w:rPr>
          <w:rFonts w:ascii="Georgia" w:eastAsia="Times New Roman" w:hAnsi="Georgia" w:cs="Arial Unicode MS"/>
          <w:b/>
          <w:i/>
          <w:color w:val="821A1A"/>
          <w:sz w:val="32"/>
          <w:szCs w:val="26"/>
          <w:lang w:val="lt-LT"/>
        </w:rPr>
        <w:t>Investicijų paklausos apibendrinti duomenys</w:t>
      </w:r>
      <w:bookmarkEnd w:id="94"/>
    </w:p>
    <w:p w14:paraId="159A9F18" w14:textId="77777777" w:rsidR="005A0219" w:rsidRPr="00C97275" w:rsidRDefault="005A0219" w:rsidP="005A0219">
      <w:pPr>
        <w:spacing w:after="160" w:line="240" w:lineRule="auto"/>
        <w:rPr>
          <w:rFonts w:ascii="Georgia" w:eastAsia="Georgia" w:hAnsi="Georgia" w:cs="Arial Unicode MS"/>
          <w:sz w:val="20"/>
          <w:szCs w:val="20"/>
          <w:lang w:val="lt-LT"/>
        </w:rPr>
      </w:pPr>
    </w:p>
    <w:p w14:paraId="67D61064" w14:textId="77777777" w:rsidR="005A0219" w:rsidRPr="00C97275" w:rsidRDefault="005A0219" w:rsidP="005A0219">
      <w:pPr>
        <w:spacing w:after="160" w:line="240" w:lineRule="auto"/>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Lentelė žemiau apibendrina paklausos duomenis visiems infrastruktūros tipams. </w:t>
      </w:r>
    </w:p>
    <w:p w14:paraId="1A3FC0C5" w14:textId="02F47FE9" w:rsidR="005A0219" w:rsidRPr="00C97275" w:rsidRDefault="005A0219" w:rsidP="005A0219">
      <w:pPr>
        <w:spacing w:after="120" w:line="240" w:lineRule="auto"/>
        <w:jc w:val="both"/>
        <w:rPr>
          <w:rFonts w:ascii="Georgia" w:eastAsia="Georgia" w:hAnsi="Georgia" w:cs="Times New Roman"/>
          <w:i/>
          <w:iCs/>
          <w:color w:val="821A1A"/>
          <w:sz w:val="20"/>
          <w:szCs w:val="18"/>
          <w:lang w:val="lt-LT"/>
        </w:rPr>
      </w:pPr>
      <w:bookmarkStart w:id="95" w:name="_Toc19105231"/>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18</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Paklausos apibendrinimas visiems infrastruktūros tipams</w:t>
      </w:r>
      <w:bookmarkEnd w:id="95"/>
      <w:r w:rsidRPr="00C97275">
        <w:rPr>
          <w:rFonts w:ascii="Georgia" w:eastAsia="Georgia" w:hAnsi="Georgia" w:cs="Georgia"/>
          <w:i/>
          <w:iCs/>
          <w:color w:val="821A1A"/>
          <w:sz w:val="20"/>
          <w:szCs w:val="20"/>
          <w:lang w:val="lt-LT"/>
        </w:rPr>
        <w:t xml:space="preserve"> </w:t>
      </w:r>
    </w:p>
    <w:tbl>
      <w:tblPr>
        <w:tblStyle w:val="LightList-Accent21"/>
        <w:tblW w:w="9180" w:type="dxa"/>
        <w:tblLook w:val="04A0" w:firstRow="1" w:lastRow="0" w:firstColumn="1" w:lastColumn="0" w:noHBand="0" w:noVBand="1"/>
      </w:tblPr>
      <w:tblGrid>
        <w:gridCol w:w="2897"/>
        <w:gridCol w:w="1951"/>
        <w:gridCol w:w="1951"/>
        <w:gridCol w:w="2381"/>
      </w:tblGrid>
      <w:tr w:rsidR="005A0219" w:rsidRPr="00C97275" w14:paraId="5AC18C71" w14:textId="77777777" w:rsidTr="00D95F6B">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897" w:type="dxa"/>
            <w:hideMark/>
          </w:tcPr>
          <w:p w14:paraId="1AD30363" w14:textId="77777777" w:rsidR="005A0219" w:rsidRPr="00C97275" w:rsidRDefault="005A0219" w:rsidP="005A0219">
            <w:pPr>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Infrastruktūros tipas</w:t>
            </w:r>
          </w:p>
          <w:p w14:paraId="2C359AD3" w14:textId="77777777" w:rsidR="005A0219" w:rsidRPr="00C97275" w:rsidRDefault="005A0219" w:rsidP="005A0219">
            <w:pPr>
              <w:jc w:val="center"/>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 </w:t>
            </w:r>
          </w:p>
        </w:tc>
        <w:tc>
          <w:tcPr>
            <w:tcW w:w="1951" w:type="dxa"/>
            <w:hideMark/>
          </w:tcPr>
          <w:p w14:paraId="1F814A6D" w14:textId="20E7AC43" w:rsidR="005A0219" w:rsidRPr="00C97275" w:rsidRDefault="00D95F6B"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Investicijų paklausa, mln. eurų</w:t>
            </w:r>
            <w:r w:rsidR="005A0219" w:rsidRPr="00C97275">
              <w:rPr>
                <w:rFonts w:ascii="Georgia" w:eastAsia="Times New Roman" w:hAnsi="Georgia" w:cs="Times New Roman"/>
                <w:sz w:val="20"/>
                <w:szCs w:val="20"/>
                <w:lang w:eastAsia="lt-LT"/>
              </w:rPr>
              <w:t xml:space="preserve"> </w:t>
            </w:r>
          </w:p>
          <w:p w14:paraId="3E10ECCC" w14:textId="2096CC25" w:rsidR="005A0219" w:rsidRPr="00C97275" w:rsidRDefault="00D95F6B"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Pradinė ataskaita</w:t>
            </w:r>
          </w:p>
        </w:tc>
        <w:tc>
          <w:tcPr>
            <w:tcW w:w="1951" w:type="dxa"/>
            <w:hideMark/>
          </w:tcPr>
          <w:p w14:paraId="2A59269A"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 xml:space="preserve">Investicijų paklausa, mln. EUR </w:t>
            </w:r>
          </w:p>
          <w:p w14:paraId="392AA947" w14:textId="3296027C"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c>
          <w:tcPr>
            <w:tcW w:w="2381" w:type="dxa"/>
            <w:hideMark/>
          </w:tcPr>
          <w:p w14:paraId="34ACDFA3"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Skirtumas, mln. EUR</w:t>
            </w:r>
          </w:p>
          <w:p w14:paraId="670C37B2"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r>
      <w:tr w:rsidR="005A0219" w:rsidRPr="00C97275" w14:paraId="0EA17D97" w14:textId="77777777" w:rsidTr="00D95F6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97" w:type="dxa"/>
            <w:hideMark/>
          </w:tcPr>
          <w:p w14:paraId="4E35B0A7" w14:textId="77777777" w:rsidR="005A0219" w:rsidRPr="00C97275" w:rsidRDefault="005A0219" w:rsidP="005A0219">
            <w:pPr>
              <w:rPr>
                <w:rFonts w:ascii="Georgia" w:eastAsia="Times New Roman" w:hAnsi="Georgia" w:cs="Times New Roman"/>
                <w:b w:val="0"/>
                <w:color w:val="000000"/>
                <w:sz w:val="20"/>
                <w:szCs w:val="20"/>
                <w:lang w:eastAsia="lt-LT"/>
              </w:rPr>
            </w:pPr>
            <w:r w:rsidRPr="00C97275">
              <w:rPr>
                <w:rFonts w:ascii="Georgia" w:eastAsia="Times New Roman" w:hAnsi="Georgia" w:cs="Times New Roman"/>
                <w:color w:val="000000"/>
                <w:sz w:val="20"/>
                <w:szCs w:val="20"/>
                <w:lang w:eastAsia="lt-LT"/>
              </w:rPr>
              <w:t>Centrinės valdžios pastatų modernizavimas</w:t>
            </w:r>
          </w:p>
        </w:tc>
        <w:tc>
          <w:tcPr>
            <w:tcW w:w="1951" w:type="dxa"/>
            <w:hideMark/>
          </w:tcPr>
          <w:p w14:paraId="7CC6DC31"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Georgia"/>
                <w:color w:val="000000"/>
                <w:sz w:val="20"/>
                <w:szCs w:val="20"/>
                <w:lang w:eastAsia="lt-LT"/>
              </w:rPr>
              <w:t>169,7</w:t>
            </w:r>
          </w:p>
        </w:tc>
        <w:tc>
          <w:tcPr>
            <w:tcW w:w="1951" w:type="dxa"/>
            <w:hideMark/>
          </w:tcPr>
          <w:p w14:paraId="73FA48B9"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Georgia"/>
                <w:color w:val="000000"/>
                <w:sz w:val="20"/>
                <w:szCs w:val="20"/>
                <w:lang w:eastAsia="lt-LT"/>
              </w:rPr>
              <w:t>610,3</w:t>
            </w:r>
          </w:p>
        </w:tc>
        <w:tc>
          <w:tcPr>
            <w:tcW w:w="2381" w:type="dxa"/>
            <w:hideMark/>
          </w:tcPr>
          <w:p w14:paraId="63C4C409"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Georgia"/>
                <w:color w:val="000000"/>
                <w:sz w:val="20"/>
                <w:szCs w:val="20"/>
                <w:lang w:eastAsia="lt-LT"/>
              </w:rPr>
              <w:t>440,6</w:t>
            </w:r>
          </w:p>
        </w:tc>
      </w:tr>
      <w:tr w:rsidR="005A0219" w:rsidRPr="00C97275" w14:paraId="795F61DB" w14:textId="77777777" w:rsidTr="00D95F6B">
        <w:trPr>
          <w:trHeight w:val="525"/>
        </w:trPr>
        <w:tc>
          <w:tcPr>
            <w:cnfStyle w:val="001000000000" w:firstRow="0" w:lastRow="0" w:firstColumn="1" w:lastColumn="0" w:oddVBand="0" w:evenVBand="0" w:oddHBand="0" w:evenHBand="0" w:firstRowFirstColumn="0" w:firstRowLastColumn="0" w:lastRowFirstColumn="0" w:lastRowLastColumn="0"/>
            <w:tcW w:w="2897" w:type="dxa"/>
            <w:hideMark/>
          </w:tcPr>
          <w:p w14:paraId="645BC80B" w14:textId="77777777" w:rsidR="005A0219" w:rsidRPr="00C97275" w:rsidRDefault="005A0219" w:rsidP="005A0219">
            <w:pPr>
              <w:rPr>
                <w:rFonts w:ascii="Georgia" w:eastAsia="Times New Roman" w:hAnsi="Georgia" w:cs="Times New Roman"/>
                <w:b w:val="0"/>
                <w:color w:val="000000"/>
                <w:sz w:val="20"/>
                <w:szCs w:val="20"/>
                <w:lang w:eastAsia="lt-LT"/>
              </w:rPr>
            </w:pPr>
            <w:r w:rsidRPr="00C97275">
              <w:rPr>
                <w:rFonts w:ascii="Georgia" w:eastAsia="Times New Roman" w:hAnsi="Georgia" w:cs="Times New Roman"/>
                <w:color w:val="000000"/>
                <w:sz w:val="20"/>
                <w:szCs w:val="20"/>
                <w:lang w:eastAsia="lt-LT"/>
              </w:rPr>
              <w:t>Savivaldybių viešųjų pastatų modernizavimas</w:t>
            </w:r>
          </w:p>
        </w:tc>
        <w:tc>
          <w:tcPr>
            <w:tcW w:w="1951" w:type="dxa"/>
            <w:hideMark/>
          </w:tcPr>
          <w:p w14:paraId="3016450F"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234,6</w:t>
            </w:r>
          </w:p>
        </w:tc>
        <w:tc>
          <w:tcPr>
            <w:tcW w:w="1951" w:type="dxa"/>
            <w:hideMark/>
          </w:tcPr>
          <w:p w14:paraId="61641BFA"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298,6</w:t>
            </w:r>
          </w:p>
        </w:tc>
        <w:tc>
          <w:tcPr>
            <w:tcW w:w="2381" w:type="dxa"/>
            <w:hideMark/>
          </w:tcPr>
          <w:p w14:paraId="58922341"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Georgia"/>
                <w:color w:val="000000"/>
                <w:sz w:val="20"/>
                <w:szCs w:val="20"/>
                <w:lang w:eastAsia="lt-LT"/>
              </w:rPr>
              <w:t>64,0</w:t>
            </w:r>
          </w:p>
        </w:tc>
      </w:tr>
      <w:tr w:rsidR="005A0219" w:rsidRPr="00C97275" w14:paraId="41CEC75E" w14:textId="77777777" w:rsidTr="00D95F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7" w:type="dxa"/>
            <w:hideMark/>
          </w:tcPr>
          <w:p w14:paraId="5B3A0851" w14:textId="77777777" w:rsidR="005A0219" w:rsidRPr="00C97275" w:rsidRDefault="005A0219" w:rsidP="005A0219">
            <w:pPr>
              <w:rPr>
                <w:rFonts w:ascii="Georgia" w:eastAsia="Times New Roman" w:hAnsi="Georgia" w:cs="Times New Roman"/>
                <w:b w:val="0"/>
                <w:color w:val="000000"/>
                <w:sz w:val="20"/>
                <w:szCs w:val="20"/>
                <w:lang w:eastAsia="lt-LT"/>
              </w:rPr>
            </w:pPr>
            <w:r w:rsidRPr="00C97275">
              <w:rPr>
                <w:rFonts w:ascii="Georgia" w:eastAsia="Times New Roman" w:hAnsi="Georgia" w:cs="Times New Roman"/>
                <w:color w:val="000000"/>
                <w:sz w:val="20"/>
                <w:szCs w:val="20"/>
                <w:lang w:eastAsia="lt-LT"/>
              </w:rPr>
              <w:t>Daugiabučių modernizavimas</w:t>
            </w:r>
          </w:p>
        </w:tc>
        <w:tc>
          <w:tcPr>
            <w:tcW w:w="1951" w:type="dxa"/>
            <w:hideMark/>
          </w:tcPr>
          <w:p w14:paraId="5C5DEBB5"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Georgia"/>
                <w:color w:val="000000"/>
                <w:sz w:val="20"/>
                <w:szCs w:val="20"/>
                <w:lang w:eastAsia="lt-LT"/>
              </w:rPr>
              <w:t>1 347,3</w:t>
            </w:r>
          </w:p>
        </w:tc>
        <w:tc>
          <w:tcPr>
            <w:tcW w:w="1951" w:type="dxa"/>
            <w:hideMark/>
          </w:tcPr>
          <w:p w14:paraId="1A286841" w14:textId="3E4FD480"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Georgia"/>
                <w:color w:val="000000"/>
                <w:sz w:val="20"/>
                <w:szCs w:val="20"/>
                <w:lang w:eastAsia="lt-LT"/>
              </w:rPr>
              <w:t>1</w:t>
            </w:r>
            <w:r w:rsidR="00D95F6B" w:rsidRPr="00C97275">
              <w:rPr>
                <w:rFonts w:ascii="Georgia" w:eastAsia="Times New Roman" w:hAnsi="Georgia" w:cs="Georgia"/>
                <w:color w:val="000000"/>
                <w:sz w:val="20"/>
                <w:szCs w:val="20"/>
                <w:lang w:eastAsia="lt-LT"/>
              </w:rPr>
              <w:t xml:space="preserve"> </w:t>
            </w:r>
            <w:r w:rsidRPr="00C97275">
              <w:rPr>
                <w:rFonts w:ascii="Georgia" w:eastAsia="Times New Roman" w:hAnsi="Georgia" w:cs="Georgia"/>
                <w:color w:val="000000"/>
                <w:sz w:val="20"/>
                <w:szCs w:val="20"/>
                <w:lang w:eastAsia="lt-LT"/>
              </w:rPr>
              <w:t>063,4</w:t>
            </w:r>
          </w:p>
        </w:tc>
        <w:tc>
          <w:tcPr>
            <w:tcW w:w="2381" w:type="dxa"/>
            <w:hideMark/>
          </w:tcPr>
          <w:p w14:paraId="1B3455DD"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-283,9</w:t>
            </w:r>
          </w:p>
        </w:tc>
      </w:tr>
      <w:tr w:rsidR="005A0219" w:rsidRPr="00C97275" w14:paraId="5E6286CD" w14:textId="77777777" w:rsidTr="00D95F6B">
        <w:trPr>
          <w:trHeight w:val="315"/>
        </w:trPr>
        <w:tc>
          <w:tcPr>
            <w:cnfStyle w:val="001000000000" w:firstRow="0" w:lastRow="0" w:firstColumn="1" w:lastColumn="0" w:oddVBand="0" w:evenVBand="0" w:oddHBand="0" w:evenHBand="0" w:firstRowFirstColumn="0" w:firstRowLastColumn="0" w:lastRowFirstColumn="0" w:lastRowLastColumn="0"/>
            <w:tcW w:w="2897" w:type="dxa"/>
            <w:hideMark/>
          </w:tcPr>
          <w:p w14:paraId="34C330F3" w14:textId="77777777" w:rsidR="005A0219" w:rsidRPr="00C97275" w:rsidRDefault="005A0219" w:rsidP="005A0219">
            <w:pPr>
              <w:rPr>
                <w:rFonts w:ascii="Georgia" w:eastAsia="Times New Roman" w:hAnsi="Georgia" w:cs="Times New Roman"/>
                <w:b w:val="0"/>
                <w:color w:val="000000"/>
                <w:sz w:val="20"/>
                <w:szCs w:val="20"/>
                <w:lang w:eastAsia="lt-LT"/>
              </w:rPr>
            </w:pPr>
            <w:r w:rsidRPr="00C97275">
              <w:rPr>
                <w:rFonts w:ascii="Georgia" w:eastAsia="Times New Roman" w:hAnsi="Georgia" w:cs="Times New Roman"/>
                <w:color w:val="000000"/>
                <w:sz w:val="20"/>
                <w:szCs w:val="20"/>
                <w:lang w:eastAsia="lt-LT"/>
              </w:rPr>
              <w:t>Gatvių apšvietimo modernizavimas</w:t>
            </w:r>
          </w:p>
        </w:tc>
        <w:tc>
          <w:tcPr>
            <w:tcW w:w="1951" w:type="dxa"/>
            <w:vAlign w:val="center"/>
            <w:hideMark/>
          </w:tcPr>
          <w:p w14:paraId="3F399EE9"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95,1</w:t>
            </w:r>
          </w:p>
        </w:tc>
        <w:tc>
          <w:tcPr>
            <w:tcW w:w="1951" w:type="dxa"/>
            <w:vAlign w:val="center"/>
            <w:hideMark/>
          </w:tcPr>
          <w:p w14:paraId="2092392C" w14:textId="59B16384" w:rsidR="005A0219" w:rsidRPr="00C97275" w:rsidRDefault="00190AA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119</w:t>
            </w:r>
            <w:r w:rsidR="005A0219" w:rsidRPr="00C97275">
              <w:rPr>
                <w:rFonts w:ascii="Georgia" w:eastAsia="Times New Roman" w:hAnsi="Georgia" w:cs="Times New Roman"/>
                <w:color w:val="000000"/>
                <w:sz w:val="20"/>
                <w:szCs w:val="20"/>
                <w:lang w:eastAsia="lt-LT"/>
              </w:rPr>
              <w:t>,</w:t>
            </w:r>
            <w:r w:rsidRPr="00C97275">
              <w:rPr>
                <w:rFonts w:ascii="Georgia" w:eastAsia="Times New Roman" w:hAnsi="Georgia" w:cs="Times New Roman"/>
                <w:color w:val="000000"/>
                <w:sz w:val="20"/>
                <w:szCs w:val="20"/>
                <w:lang w:eastAsia="lt-LT"/>
              </w:rPr>
              <w:t>4</w:t>
            </w:r>
          </w:p>
        </w:tc>
        <w:tc>
          <w:tcPr>
            <w:tcW w:w="2381" w:type="dxa"/>
            <w:vAlign w:val="center"/>
            <w:hideMark/>
          </w:tcPr>
          <w:p w14:paraId="24A80F5F" w14:textId="107F906F" w:rsidR="005A0219" w:rsidRPr="00C97275" w:rsidRDefault="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w:t>
            </w:r>
            <w:r w:rsidR="00190AA0" w:rsidRPr="00C97275">
              <w:rPr>
                <w:rFonts w:ascii="Georgia" w:eastAsia="Times New Roman" w:hAnsi="Georgia" w:cs="Times New Roman"/>
                <w:color w:val="000000"/>
                <w:sz w:val="20"/>
                <w:szCs w:val="20"/>
                <w:lang w:eastAsia="lt-LT"/>
              </w:rPr>
              <w:t>24</w:t>
            </w:r>
            <w:r w:rsidRPr="00C97275">
              <w:rPr>
                <w:rFonts w:ascii="Georgia" w:eastAsia="Times New Roman" w:hAnsi="Georgia" w:cs="Times New Roman"/>
                <w:color w:val="000000"/>
                <w:sz w:val="20"/>
                <w:szCs w:val="20"/>
                <w:lang w:eastAsia="lt-LT"/>
              </w:rPr>
              <w:t>,</w:t>
            </w:r>
            <w:r w:rsidR="00190AA0" w:rsidRPr="00C97275">
              <w:rPr>
                <w:rFonts w:ascii="Georgia" w:eastAsia="Times New Roman" w:hAnsi="Georgia" w:cs="Times New Roman"/>
                <w:color w:val="000000"/>
                <w:sz w:val="20"/>
                <w:szCs w:val="20"/>
                <w:lang w:eastAsia="lt-LT"/>
              </w:rPr>
              <w:t>3</w:t>
            </w:r>
          </w:p>
        </w:tc>
      </w:tr>
      <w:tr w:rsidR="005A0219" w:rsidRPr="00C97275" w14:paraId="330A5282" w14:textId="77777777" w:rsidTr="00D95F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7" w:type="dxa"/>
            <w:hideMark/>
          </w:tcPr>
          <w:p w14:paraId="04DA57C5" w14:textId="6F984569" w:rsidR="005A0219" w:rsidRPr="00C97275" w:rsidRDefault="00E23406" w:rsidP="005A0219">
            <w:pPr>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lastRenderedPageBreak/>
              <w:t>Iš viso</w:t>
            </w:r>
          </w:p>
        </w:tc>
        <w:tc>
          <w:tcPr>
            <w:tcW w:w="1951" w:type="dxa"/>
            <w:hideMark/>
          </w:tcPr>
          <w:p w14:paraId="4765C641"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1 846,7</w:t>
            </w:r>
          </w:p>
        </w:tc>
        <w:tc>
          <w:tcPr>
            <w:tcW w:w="1951" w:type="dxa"/>
            <w:hideMark/>
          </w:tcPr>
          <w:p w14:paraId="26739377"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2 082,3</w:t>
            </w:r>
          </w:p>
        </w:tc>
        <w:tc>
          <w:tcPr>
            <w:tcW w:w="2381" w:type="dxa"/>
            <w:hideMark/>
          </w:tcPr>
          <w:p w14:paraId="3AED0CA1"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235,6</w:t>
            </w:r>
          </w:p>
        </w:tc>
      </w:tr>
    </w:tbl>
    <w:p w14:paraId="2E0C0CC9" w14:textId="77777777" w:rsidR="005A0219" w:rsidRPr="00C97275" w:rsidRDefault="005A0219" w:rsidP="005A0219">
      <w:pPr>
        <w:spacing w:after="160" w:line="240" w:lineRule="auto"/>
        <w:jc w:val="both"/>
        <w:rPr>
          <w:rFonts w:ascii="Georgia" w:eastAsia="Georgia" w:hAnsi="Georgia" w:cs="Georgia"/>
          <w:b/>
          <w:iCs/>
          <w:color w:val="821A1A"/>
          <w:sz w:val="20"/>
          <w:szCs w:val="20"/>
          <w:lang w:val="lt-LT"/>
        </w:rPr>
      </w:pPr>
      <w:r w:rsidRPr="00C97275">
        <w:rPr>
          <w:rFonts w:ascii="Georgia" w:eastAsia="Georgia" w:hAnsi="Georgia" w:cs="Georgia"/>
          <w:i/>
          <w:iCs/>
          <w:color w:val="821A1A"/>
          <w:sz w:val="20"/>
          <w:szCs w:val="20"/>
          <w:lang w:val="lt-LT"/>
        </w:rPr>
        <w:t xml:space="preserve">Šaltinis: sudaryta autorių. </w:t>
      </w:r>
    </w:p>
    <w:p w14:paraId="1F534068" w14:textId="77777777" w:rsidR="005A0219" w:rsidRPr="00C97275" w:rsidRDefault="005A0219" w:rsidP="005A0219">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96" w:name="_Toc25594659"/>
      <w:r w:rsidRPr="00C97275">
        <w:rPr>
          <w:rFonts w:ascii="Georgia" w:eastAsia="Times New Roman" w:hAnsi="Georgia" w:cs="Arial Unicode MS"/>
          <w:b/>
          <w:i/>
          <w:color w:val="821A1A"/>
          <w:sz w:val="32"/>
          <w:szCs w:val="26"/>
          <w:lang w:val="lt-LT"/>
        </w:rPr>
        <w:t>Investicijų pasiūlos analizė</w:t>
      </w:r>
      <w:bookmarkEnd w:id="96"/>
    </w:p>
    <w:p w14:paraId="57DA90E6"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Energijos efektyvumo projektai pastaruoju metu tampa itin populiarūs dėl kelių priežasčių. Pirmiausia, energijos efektyvumas įvairiuose sektoriuose yra valstybių narių strateginis tikslas – visos šalys narės turi strateginius tikslus įgyvendinti bent jau Energijos efektyvumo direktyvos keliamus reikalavimus, o kai kurios šalys turi ir dar didesnius siekius. Antra, energijos efektyvumo projektai turi aiškų investicijų atsipirkimo šaltinį – energijos kaštų sutaupymus, iš kurių yra padengiamos investicijos. Trečia, pradeda augti energijos efektyvumo projektų rinka, atsiranda gerųjų ir blogųjų projektų pavyzdžių, kuriama ir tobulinama teisinė bazė, siekiama pritraukti privatų kapitalą tokio pobūdžio projektų finansavimui, skatinama Energetinių paslaugų tiekėjų </w:t>
      </w:r>
      <w:r w:rsidRPr="00C97275">
        <w:rPr>
          <w:rFonts w:ascii="Georgia" w:eastAsia="Georgia" w:hAnsi="Georgia" w:cs="Georgia"/>
          <w:i/>
          <w:sz w:val="20"/>
          <w:szCs w:val="20"/>
          <w:lang w:val="lt-LT"/>
        </w:rPr>
        <w:t>ESCO</w:t>
      </w:r>
      <w:r w:rsidRPr="00C97275">
        <w:rPr>
          <w:rFonts w:ascii="Georgia" w:eastAsia="Georgia" w:hAnsi="Georgia" w:cs="Georgia"/>
          <w:sz w:val="20"/>
          <w:szCs w:val="20"/>
          <w:lang w:val="lt-LT"/>
        </w:rPr>
        <w:t xml:space="preserve"> rinka. Dėl šių priežasčių atsiranda didesnis suinteresuotumas iš įvairių finansavimo teikėjų finansuoti tokius projektus.</w:t>
      </w:r>
    </w:p>
    <w:p w14:paraId="76F5AD74"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Finansavimo šaltinių analizė yra ex-ante vertinimo dalis, kuri yra būtina siekiant įvertinti, koks yra sektoriaus investicijų trūkumas. Finansavimo šaltinių analizė apima dvi dalis – egzistuojantį finansavimą energijos efektyvumo projektams bei potencialų 2017-2023 m. finansavimą. 2017-2023 m. finansavimo šaltinių analizėje apžvelgiami šie finansavimo šaltiniai: komercinių bankų, veikiančių Lietuvoje, finansavimas; tarptautinių finansų institucijų finansavimas; ESI fondų finansavimas; kitos lėšos, kurios gali būti skiriamos energijos efektyvumo projektams iš įvairių Lietuvos ar ES programų. </w:t>
      </w:r>
    </w:p>
    <w:p w14:paraId="4A0C3C8B" w14:textId="77777777" w:rsidR="005A0219" w:rsidRPr="00C97275" w:rsidRDefault="005A0219" w:rsidP="005A0219">
      <w:pPr>
        <w:keepNext/>
        <w:keepLines/>
        <w:numPr>
          <w:ilvl w:val="3"/>
          <w:numId w:val="2"/>
        </w:numPr>
        <w:spacing w:before="200" w:after="240" w:line="240" w:lineRule="auto"/>
        <w:ind w:hanging="1440"/>
        <w:outlineLvl w:val="1"/>
        <w:rPr>
          <w:rFonts w:ascii="Georgia" w:eastAsia="Times New Roman" w:hAnsi="Georgia" w:cs="Arial Unicode MS"/>
          <w:b/>
          <w:i/>
          <w:color w:val="821A1A"/>
          <w:sz w:val="32"/>
          <w:szCs w:val="26"/>
          <w:lang w:val="lt-LT"/>
        </w:rPr>
      </w:pPr>
      <w:bookmarkStart w:id="97" w:name="_Toc25594660"/>
      <w:r w:rsidRPr="00C97275">
        <w:rPr>
          <w:rFonts w:ascii="Georgia" w:eastAsia="Times New Roman" w:hAnsi="Georgia" w:cs="Arial Unicode MS"/>
          <w:b/>
          <w:i/>
          <w:color w:val="821A1A"/>
          <w:sz w:val="32"/>
          <w:szCs w:val="26"/>
          <w:lang w:val="lt-LT"/>
        </w:rPr>
        <w:t>Finansavimas 2007-2013 m. periodu</w:t>
      </w:r>
      <w:bookmarkEnd w:id="97"/>
    </w:p>
    <w:p w14:paraId="527B6EA5"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Šiame skyriuje yra remiamasi PwC studija, kurioje buvo aptartas daugiabučių, viešųjų pastatų ir gatvių apšvietimo modernizavimo projektų finansavimas. Pažymėtina, jog siekiant atspindėti dabartinę aktualią finansavimo situaciją šioje dalyje yra aptariamas tik 2007-2013 m. periodo finansavimas, nors energijos efektyvumo sritys buvo finansuojamos ir anksčiau. </w:t>
      </w:r>
    </w:p>
    <w:p w14:paraId="64509B16" w14:textId="77777777" w:rsidR="005A0219" w:rsidRPr="00C97275" w:rsidRDefault="005A0219" w:rsidP="005A0219">
      <w:pPr>
        <w:spacing w:after="160" w:line="240" w:lineRule="auto"/>
        <w:rPr>
          <w:rFonts w:ascii="Georgia" w:eastAsia="Georgia" w:hAnsi="Georgia" w:cs="Arial Unicode MS"/>
          <w:i/>
          <w:sz w:val="24"/>
          <w:szCs w:val="20"/>
          <w:lang w:val="lt-LT"/>
        </w:rPr>
      </w:pPr>
      <w:r w:rsidRPr="00C97275">
        <w:rPr>
          <w:rFonts w:ascii="Georgia" w:eastAsia="Georgia" w:hAnsi="Georgia" w:cs="Arial Unicode MS"/>
          <w:i/>
          <w:sz w:val="24"/>
          <w:szCs w:val="20"/>
          <w:lang w:val="lt-LT"/>
        </w:rPr>
        <w:t>Daugiabučių modernizavimo projektų finansavimas</w:t>
      </w:r>
    </w:p>
    <w:p w14:paraId="035A9175"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Vienas iš daugiabučių namų modernizavimo projektų finansavimo šaltinių yra JESSICA KF, įsteigtas 2009 m. birželį ir valdomas EIB. </w:t>
      </w:r>
    </w:p>
    <w:p w14:paraId="448AEFA6"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JESSICA KF dydis – 227 mln. eurų, tačiau įsteigus fondą buvo pervesta 149 mln. eurų. JESSICA KF 2009-2013 m. laikotarpiu paskelbė keturis kvietimus finansiniams tarpininkams atrinkti, iš kurių trys kvietimai buvo skirti daugiabučių modernizavimo finansavimui ir vienas kvietimas skirtas bendrabučių modernizavimui. </w:t>
      </w:r>
    </w:p>
    <w:p w14:paraId="21188B59"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Pirmasis kvietimas buvo paskelbtas 54 mln. eurų sumai. Pirmojo kvietimo metu buvo atrinkti trys komerciniai bankai, su kuriais buvo pasirašytos finansavimo sutartys ir kurių pagrindu jie veikia kaip JESSICA KF finansiniai tarpininkai. 2010 metais pirmosios lengvatinės paskolos jau buvo prieinamos rinkoje, be to, papildoma parama iš valstybės biudžeto lėšų buvo skiriama projektų pasirengimo išlaidoms, projektų administravimui padengti, taip pat žemas pajamas gaunantiems asmenims. Pirmojo kvietimo lėšomis paskolos per finansinius tarpininkus buvo skiriamos tiesiogiai su kiekvieno buto gyventojais pasirašant paskolos sutartį. </w:t>
      </w:r>
    </w:p>
    <w:p w14:paraId="45A69938"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Antrasis kvietimas buvo paskelbtas 20 mln. eurų sumai, tačiau remiantis EIB duomenimis, nesant tokiam dideliam projektų kiekiui, ši suma buvo sumažinta iki 3 mln. eurų. Antrasis kvietimas buvo paskelbtas siekiant padėti užbaigti įgyvendinti projektus, kurie buvo pradėti pagal senesniąją renovacijos programą, pagal kurios sąlygas 50 proc. projekto lėšų buvo finansuojama iš valstybės biudžeto lėšų, o likusi 50 proc. dalis turėjo būti skolinamasi iš komercinių bankų. Tačiau prasidėjus pasaulinei finansų krizei, iš komercinių bankų tapo itin sunku pasiskolinti projekto finansavimui reikalingą dalį. Antrasis kvietimas padėjo padengti būtent šią lėšų sumą, kurią reikėjo pasiskolinti iš komercinių bankų. </w:t>
      </w:r>
    </w:p>
    <w:p w14:paraId="2350C28D"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Trečiasis kvietimas, skirtas aukštųjų mokyklų ir profesinio mokymo įstaigų bendrabučių renovacijai ir skelbtas 20 mln. eurų sumai, aprašytas 2.2.1. skirsnyje. </w:t>
      </w:r>
    </w:p>
    <w:p w14:paraId="6C446074"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lastRenderedPageBreak/>
        <w:t xml:space="preserve">Ketvirtasis kvietimas finansiniams tarpininkams atrinkti buvo paskelbtas 60 mln. eurų sumai 2013 m. pradžioje po teisinės bazės pakeitimų, kurie įgalino daugiabučių namų administratorius skolintis savo vardu gyventojų naudai. Finansinis produktas, siūlomas pagal ketvirtąjį kvietimą, buvo identiškas pirmojo kvietimo finansiniam produktui, tačiau skyrėsi paskolos gavėjas – šį kartą tai buvo daugiabučių namų administratoriai. </w:t>
      </w:r>
    </w:p>
    <w:p w14:paraId="16353C0D"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JESSICA KF 2009-2013 m. laikotarpiu paskelbtų 4 kvietimų finansiniams tarpininkams atrinkti finansinė apžvalga pateikta žemiau esančioje lentelėje, kurioje pateiktos  kiekvienam iš kvietimų skirtos sumos (kvietimo paskelbimo metu) bei su finansiniais tarpininkais pasirašytos finansavimo sutartys</w:t>
      </w:r>
      <w:r w:rsidRPr="00C97275">
        <w:rPr>
          <w:rFonts w:ascii="Georgia" w:eastAsia="Georgia" w:hAnsi="Georgia" w:cs="Georgia"/>
          <w:color w:val="000000"/>
          <w:sz w:val="20"/>
          <w:szCs w:val="20"/>
          <w:vertAlign w:val="superscript"/>
          <w:lang w:val="lt-LT"/>
        </w:rPr>
        <w:footnoteReference w:id="28"/>
      </w:r>
      <w:r w:rsidRPr="00C97275">
        <w:rPr>
          <w:rFonts w:ascii="Georgia" w:eastAsia="Georgia" w:hAnsi="Georgia" w:cs="Georgia"/>
          <w:sz w:val="20"/>
          <w:szCs w:val="20"/>
          <w:lang w:val="lt-LT"/>
        </w:rPr>
        <w:t>. Detalus JESSICA kvietimų palyginimas buvo atliktas PwC studijoje ir yra pateikiamas priede Nr. 1.</w:t>
      </w:r>
    </w:p>
    <w:p w14:paraId="134D8695" w14:textId="77777777" w:rsidR="005A0219" w:rsidRPr="00C97275"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2030BD06" w14:textId="2279D61E" w:rsidR="005A0219" w:rsidRPr="00C97275" w:rsidRDefault="005A0219" w:rsidP="005A0219">
      <w:pPr>
        <w:spacing w:after="160" w:line="240" w:lineRule="auto"/>
        <w:jc w:val="both"/>
        <w:rPr>
          <w:rFonts w:ascii="Georgia" w:eastAsia="Georgia" w:hAnsi="Georgia" w:cs="Georgia"/>
          <w:i/>
          <w:iCs/>
          <w:color w:val="821A1A"/>
          <w:sz w:val="20"/>
          <w:szCs w:val="20"/>
          <w:lang w:val="lt-LT"/>
        </w:rPr>
      </w:pPr>
      <w:bookmarkStart w:id="98" w:name="_Toc19105232"/>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19</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Georgia"/>
          <w:i/>
          <w:iCs/>
          <w:color w:val="821A1A"/>
          <w:sz w:val="20"/>
          <w:szCs w:val="20"/>
          <w:lang w:val="lt-LT"/>
        </w:rPr>
        <w:t>JESSICA KF 2009-2013 m. paskelbtų kvietimų charakteristikos.</w:t>
      </w:r>
      <w:bookmarkEnd w:id="98"/>
    </w:p>
    <w:tbl>
      <w:tblPr>
        <w:tblStyle w:val="LightList-Accent21"/>
        <w:tblW w:w="5000" w:type="pct"/>
        <w:tblLook w:val="04A0" w:firstRow="1" w:lastRow="0" w:firstColumn="1" w:lastColumn="0" w:noHBand="0" w:noVBand="1"/>
      </w:tblPr>
      <w:tblGrid>
        <w:gridCol w:w="1849"/>
        <w:gridCol w:w="1849"/>
        <w:gridCol w:w="1848"/>
        <w:gridCol w:w="1848"/>
        <w:gridCol w:w="1848"/>
      </w:tblGrid>
      <w:tr w:rsidR="00CB4D9D" w:rsidRPr="00C97275" w14:paraId="5AB003AC" w14:textId="77777777" w:rsidTr="00F9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D62E1C"/>
              <w:left w:val="single" w:sz="8" w:space="0" w:color="D62E1C"/>
              <w:bottom w:val="nil"/>
              <w:right w:val="nil"/>
            </w:tcBorders>
            <w:hideMark/>
          </w:tcPr>
          <w:p w14:paraId="08D0602E" w14:textId="77777777" w:rsidR="005A0219" w:rsidRPr="00C97275" w:rsidRDefault="005A0219"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Kvietimas</w:t>
            </w:r>
          </w:p>
        </w:tc>
        <w:tc>
          <w:tcPr>
            <w:tcW w:w="1000" w:type="pct"/>
            <w:tcBorders>
              <w:top w:val="single" w:sz="8" w:space="0" w:color="D62E1C"/>
              <w:left w:val="nil"/>
              <w:bottom w:val="nil"/>
              <w:right w:val="nil"/>
            </w:tcBorders>
            <w:hideMark/>
          </w:tcPr>
          <w:p w14:paraId="3D0685C0" w14:textId="77777777" w:rsidR="005A0219" w:rsidRPr="00C97275"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Tikslas</w:t>
            </w:r>
          </w:p>
        </w:tc>
        <w:tc>
          <w:tcPr>
            <w:tcW w:w="1000" w:type="pct"/>
            <w:tcBorders>
              <w:top w:val="single" w:sz="8" w:space="0" w:color="D62E1C"/>
              <w:left w:val="nil"/>
              <w:bottom w:val="nil"/>
              <w:right w:val="nil"/>
            </w:tcBorders>
            <w:hideMark/>
          </w:tcPr>
          <w:p w14:paraId="3E45E3B4" w14:textId="77777777" w:rsidR="005A0219" w:rsidRPr="00C97275"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Pradinė kvietimo suma</w:t>
            </w:r>
          </w:p>
        </w:tc>
        <w:tc>
          <w:tcPr>
            <w:tcW w:w="1000" w:type="pct"/>
            <w:tcBorders>
              <w:top w:val="single" w:sz="8" w:space="0" w:color="D62E1C"/>
              <w:left w:val="nil"/>
              <w:bottom w:val="nil"/>
              <w:right w:val="nil"/>
            </w:tcBorders>
            <w:hideMark/>
          </w:tcPr>
          <w:p w14:paraId="1A3D38C6" w14:textId="77777777" w:rsidR="005A0219" w:rsidRPr="00C97275"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Finansiniams tarpininkams skirta suma</w:t>
            </w:r>
          </w:p>
        </w:tc>
        <w:tc>
          <w:tcPr>
            <w:tcW w:w="1000" w:type="pct"/>
            <w:tcBorders>
              <w:top w:val="single" w:sz="8" w:space="0" w:color="D62E1C"/>
              <w:left w:val="nil"/>
              <w:bottom w:val="nil"/>
              <w:right w:val="single" w:sz="8" w:space="0" w:color="D62E1C"/>
            </w:tcBorders>
            <w:hideMark/>
          </w:tcPr>
          <w:p w14:paraId="39B7C93D" w14:textId="77777777" w:rsidR="005A0219" w:rsidRPr="00C97275"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Statusas</w:t>
            </w:r>
          </w:p>
        </w:tc>
      </w:tr>
      <w:tr w:rsidR="005A0219" w:rsidRPr="00C97275" w14:paraId="6C2E14A2"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D89C782" w14:textId="77777777" w:rsidR="005A0219" w:rsidRPr="00C97275" w:rsidRDefault="005A0219"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Pirmasis kvietimas (2009 11 13)</w:t>
            </w:r>
          </w:p>
        </w:tc>
        <w:tc>
          <w:tcPr>
            <w:tcW w:w="0" w:type="pct"/>
            <w:tcBorders>
              <w:left w:val="nil"/>
              <w:right w:val="nil"/>
            </w:tcBorders>
            <w:hideMark/>
          </w:tcPr>
          <w:p w14:paraId="19B7A0E4"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Daugiabučių renovacija</w:t>
            </w:r>
          </w:p>
        </w:tc>
        <w:tc>
          <w:tcPr>
            <w:tcW w:w="0" w:type="pct"/>
            <w:tcBorders>
              <w:left w:val="nil"/>
              <w:right w:val="nil"/>
            </w:tcBorders>
            <w:hideMark/>
          </w:tcPr>
          <w:p w14:paraId="34A41C6D"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54 mln. eurų</w:t>
            </w:r>
          </w:p>
        </w:tc>
        <w:tc>
          <w:tcPr>
            <w:tcW w:w="0" w:type="pct"/>
            <w:tcBorders>
              <w:left w:val="nil"/>
              <w:right w:val="nil"/>
            </w:tcBorders>
            <w:hideMark/>
          </w:tcPr>
          <w:p w14:paraId="16E35406"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54 mln. eurų</w:t>
            </w:r>
          </w:p>
        </w:tc>
        <w:tc>
          <w:tcPr>
            <w:tcW w:w="0" w:type="pct"/>
            <w:tcBorders>
              <w:left w:val="nil"/>
            </w:tcBorders>
            <w:hideMark/>
          </w:tcPr>
          <w:p w14:paraId="2A1B162A"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Vyksta</w:t>
            </w:r>
          </w:p>
        </w:tc>
      </w:tr>
      <w:tr w:rsidR="005A0219" w:rsidRPr="00C97275" w14:paraId="1CD1BF4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hideMark/>
          </w:tcPr>
          <w:p w14:paraId="3EDA80B7" w14:textId="77777777" w:rsidR="005A0219" w:rsidRPr="00C97275" w:rsidRDefault="005A0219"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Antrasis kvietimas (2010 06 17)</w:t>
            </w:r>
          </w:p>
        </w:tc>
        <w:tc>
          <w:tcPr>
            <w:tcW w:w="0" w:type="pct"/>
            <w:tcBorders>
              <w:top w:val="nil"/>
              <w:left w:val="nil"/>
              <w:bottom w:val="nil"/>
              <w:right w:val="nil"/>
            </w:tcBorders>
            <w:hideMark/>
          </w:tcPr>
          <w:p w14:paraId="5F88BBAE"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Daugiabučių renovacija</w:t>
            </w:r>
          </w:p>
        </w:tc>
        <w:tc>
          <w:tcPr>
            <w:tcW w:w="0" w:type="pct"/>
            <w:tcBorders>
              <w:top w:val="nil"/>
              <w:left w:val="nil"/>
              <w:bottom w:val="nil"/>
              <w:right w:val="nil"/>
            </w:tcBorders>
            <w:hideMark/>
          </w:tcPr>
          <w:p w14:paraId="1B94DBD4"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iki 15 mln. eurų</w:t>
            </w:r>
          </w:p>
        </w:tc>
        <w:tc>
          <w:tcPr>
            <w:tcW w:w="0" w:type="pct"/>
            <w:tcBorders>
              <w:top w:val="nil"/>
              <w:left w:val="nil"/>
              <w:bottom w:val="nil"/>
              <w:right w:val="nil"/>
            </w:tcBorders>
            <w:hideMark/>
          </w:tcPr>
          <w:p w14:paraId="38C210C9"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3 mln. eurų</w:t>
            </w:r>
          </w:p>
        </w:tc>
        <w:tc>
          <w:tcPr>
            <w:tcW w:w="0" w:type="pct"/>
            <w:tcBorders>
              <w:top w:val="nil"/>
              <w:left w:val="nil"/>
              <w:bottom w:val="nil"/>
              <w:right w:val="single" w:sz="8" w:space="0" w:color="D62E1C"/>
            </w:tcBorders>
            <w:hideMark/>
          </w:tcPr>
          <w:p w14:paraId="080AAE6A"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Vyksta</w:t>
            </w:r>
          </w:p>
        </w:tc>
      </w:tr>
      <w:tr w:rsidR="005A0219" w:rsidRPr="00C97275" w14:paraId="76AFD826"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35A2AA34" w14:textId="77777777" w:rsidR="005A0219" w:rsidRPr="00C97275" w:rsidRDefault="005A0219"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Trečiasis kvietimas</w:t>
            </w:r>
          </w:p>
          <w:p w14:paraId="3C687052" w14:textId="77777777" w:rsidR="005A0219" w:rsidRPr="00C97275" w:rsidRDefault="005A0219"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(2012 01 12)</w:t>
            </w:r>
          </w:p>
        </w:tc>
        <w:tc>
          <w:tcPr>
            <w:tcW w:w="0" w:type="pct"/>
            <w:tcBorders>
              <w:left w:val="nil"/>
              <w:right w:val="nil"/>
            </w:tcBorders>
            <w:hideMark/>
          </w:tcPr>
          <w:p w14:paraId="0DA9D50E"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Bendrabučių renovacija</w:t>
            </w:r>
          </w:p>
        </w:tc>
        <w:tc>
          <w:tcPr>
            <w:tcW w:w="0" w:type="pct"/>
            <w:tcBorders>
              <w:left w:val="nil"/>
              <w:right w:val="nil"/>
            </w:tcBorders>
            <w:hideMark/>
          </w:tcPr>
          <w:p w14:paraId="475F36B4"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20 mln. eurų</w:t>
            </w:r>
          </w:p>
        </w:tc>
        <w:tc>
          <w:tcPr>
            <w:tcW w:w="0" w:type="pct"/>
            <w:tcBorders>
              <w:left w:val="nil"/>
              <w:right w:val="nil"/>
            </w:tcBorders>
            <w:hideMark/>
          </w:tcPr>
          <w:p w14:paraId="2AC26F35"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20 mln. eurų</w:t>
            </w:r>
          </w:p>
        </w:tc>
        <w:tc>
          <w:tcPr>
            <w:tcW w:w="0" w:type="pct"/>
            <w:tcBorders>
              <w:left w:val="nil"/>
            </w:tcBorders>
            <w:hideMark/>
          </w:tcPr>
          <w:p w14:paraId="0031199A"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Vyksta</w:t>
            </w:r>
          </w:p>
        </w:tc>
      </w:tr>
      <w:tr w:rsidR="005A0219" w:rsidRPr="00C97275" w14:paraId="3BFD86AB"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single" w:sz="8" w:space="0" w:color="D62E1C"/>
              <w:right w:val="nil"/>
            </w:tcBorders>
            <w:hideMark/>
          </w:tcPr>
          <w:p w14:paraId="53041447" w14:textId="77777777" w:rsidR="005A0219" w:rsidRPr="00C97275" w:rsidRDefault="005A0219"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 xml:space="preserve">Ketvirtasis kvietimas </w:t>
            </w:r>
          </w:p>
          <w:p w14:paraId="5E8AD45D" w14:textId="77777777" w:rsidR="005A0219" w:rsidRPr="00C97275" w:rsidRDefault="005A0219"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(2013 04 30)</w:t>
            </w:r>
          </w:p>
        </w:tc>
        <w:tc>
          <w:tcPr>
            <w:tcW w:w="0" w:type="pct"/>
            <w:tcBorders>
              <w:top w:val="nil"/>
              <w:left w:val="nil"/>
              <w:bottom w:val="single" w:sz="8" w:space="0" w:color="D62E1C"/>
              <w:right w:val="nil"/>
            </w:tcBorders>
            <w:hideMark/>
          </w:tcPr>
          <w:p w14:paraId="0F01D532"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Daugiabučių renovacija</w:t>
            </w:r>
          </w:p>
        </w:tc>
        <w:tc>
          <w:tcPr>
            <w:tcW w:w="0" w:type="pct"/>
            <w:tcBorders>
              <w:top w:val="nil"/>
              <w:left w:val="nil"/>
              <w:bottom w:val="single" w:sz="8" w:space="0" w:color="D62E1C"/>
              <w:right w:val="nil"/>
            </w:tcBorders>
            <w:hideMark/>
          </w:tcPr>
          <w:p w14:paraId="545C97BC"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Iki 100 mln. eurų</w:t>
            </w:r>
          </w:p>
        </w:tc>
        <w:tc>
          <w:tcPr>
            <w:tcW w:w="0" w:type="pct"/>
            <w:tcBorders>
              <w:top w:val="nil"/>
              <w:left w:val="nil"/>
              <w:bottom w:val="single" w:sz="8" w:space="0" w:color="D62E1C"/>
              <w:right w:val="nil"/>
            </w:tcBorders>
            <w:hideMark/>
          </w:tcPr>
          <w:p w14:paraId="7F35E674"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60 mln. eurų</w:t>
            </w:r>
          </w:p>
        </w:tc>
        <w:tc>
          <w:tcPr>
            <w:tcW w:w="0" w:type="pct"/>
            <w:tcBorders>
              <w:top w:val="nil"/>
              <w:left w:val="nil"/>
              <w:bottom w:val="single" w:sz="8" w:space="0" w:color="D62E1C"/>
              <w:right w:val="single" w:sz="8" w:space="0" w:color="D62E1C"/>
            </w:tcBorders>
            <w:hideMark/>
          </w:tcPr>
          <w:p w14:paraId="51D6E434" w14:textId="77777777" w:rsidR="005A0219" w:rsidRPr="00C97275"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Vyksta</w:t>
            </w:r>
          </w:p>
        </w:tc>
      </w:tr>
      <w:tr w:rsidR="005A0219" w:rsidRPr="00C97275" w14:paraId="00733306"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right w:val="nil"/>
            </w:tcBorders>
            <w:hideMark/>
          </w:tcPr>
          <w:p w14:paraId="0824178E" w14:textId="3FABB0CD" w:rsidR="005A0219" w:rsidRPr="00C97275" w:rsidRDefault="0077117B" w:rsidP="005A0219">
            <w:pPr>
              <w:autoSpaceDE w:val="0"/>
              <w:autoSpaceDN w:val="0"/>
              <w:adjustRightInd w:val="0"/>
              <w:jc w:val="right"/>
              <w:rPr>
                <w:rFonts w:ascii="Georgia" w:eastAsia="Georgia" w:hAnsi="Georgia" w:cs="Georgia"/>
                <w:sz w:val="20"/>
                <w:szCs w:val="20"/>
              </w:rPr>
            </w:pPr>
            <w:r w:rsidRPr="00C97275">
              <w:rPr>
                <w:rFonts w:ascii="Georgia" w:eastAsia="Georgia" w:hAnsi="Georgia" w:cs="Georgia"/>
                <w:sz w:val="20"/>
                <w:szCs w:val="20"/>
              </w:rPr>
              <w:t>Iš viso</w:t>
            </w:r>
          </w:p>
        </w:tc>
        <w:tc>
          <w:tcPr>
            <w:tcW w:w="0" w:type="pct"/>
            <w:tcBorders>
              <w:top w:val="nil"/>
              <w:left w:val="nil"/>
              <w:right w:val="nil"/>
            </w:tcBorders>
            <w:hideMark/>
          </w:tcPr>
          <w:p w14:paraId="6BA8565C"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p>
        </w:tc>
        <w:tc>
          <w:tcPr>
            <w:tcW w:w="0" w:type="pct"/>
            <w:tcBorders>
              <w:top w:val="nil"/>
              <w:left w:val="nil"/>
              <w:right w:val="nil"/>
            </w:tcBorders>
            <w:hideMark/>
          </w:tcPr>
          <w:p w14:paraId="3405F4F8"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Iki 189 mln. eurų</w:t>
            </w:r>
          </w:p>
        </w:tc>
        <w:tc>
          <w:tcPr>
            <w:tcW w:w="0" w:type="pct"/>
            <w:tcBorders>
              <w:top w:val="nil"/>
              <w:left w:val="nil"/>
              <w:right w:val="nil"/>
            </w:tcBorders>
            <w:hideMark/>
          </w:tcPr>
          <w:p w14:paraId="63939726"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137 mln. eurų</w:t>
            </w:r>
          </w:p>
        </w:tc>
        <w:tc>
          <w:tcPr>
            <w:tcW w:w="0" w:type="pct"/>
            <w:tcBorders>
              <w:top w:val="nil"/>
              <w:left w:val="nil"/>
            </w:tcBorders>
            <w:hideMark/>
          </w:tcPr>
          <w:p w14:paraId="301A6A77" w14:textId="77777777" w:rsidR="005A0219" w:rsidRPr="00C97275"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C97275">
              <w:rPr>
                <w:rFonts w:ascii="Georgia" w:eastAsia="Georgia" w:hAnsi="Georgia" w:cs="Georgia"/>
                <w:sz w:val="20"/>
                <w:szCs w:val="20"/>
              </w:rPr>
              <w:t>Vyksta</w:t>
            </w:r>
          </w:p>
        </w:tc>
      </w:tr>
    </w:tbl>
    <w:p w14:paraId="5E790DD9" w14:textId="77777777" w:rsidR="005A0219" w:rsidRPr="00C97275" w:rsidRDefault="005A0219" w:rsidP="005A0219">
      <w:pPr>
        <w:spacing w:after="160" w:line="240" w:lineRule="auto"/>
        <w:jc w:val="both"/>
        <w:rPr>
          <w:rFonts w:ascii="Georgia" w:eastAsia="Georgia" w:hAnsi="Georgia" w:cs="Georgia"/>
          <w:iCs/>
          <w:color w:val="821A1A"/>
          <w:sz w:val="20"/>
          <w:szCs w:val="20"/>
          <w:lang w:val="lt-LT"/>
        </w:rPr>
      </w:pPr>
      <w:r w:rsidRPr="00C97275">
        <w:rPr>
          <w:rFonts w:ascii="Georgia" w:eastAsia="Georgia" w:hAnsi="Georgia" w:cs="Georgia"/>
          <w:i/>
          <w:iCs/>
          <w:color w:val="821A1A"/>
          <w:sz w:val="20"/>
          <w:szCs w:val="20"/>
          <w:lang w:val="lt-LT"/>
        </w:rPr>
        <w:t>Šaltinis: Finansų ministerija, 2014 09 24 duomenys.</w:t>
      </w:r>
    </w:p>
    <w:p w14:paraId="65151F2A" w14:textId="7DEEE468"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Be JESSICA KF, egzistuoja ir kiti finansavimo šaltiniai daugiabučių namų renovacijai. Vienas tokių yra 2007-2013 m. periodu įgyvendinta Vidaus reikalų ministerijos priemonė „Daugiabučių namų atnaujinimas pirmiausia didinant jų energijos vartojimo efektyvumą“, kuriai buvo skirta apie </w:t>
      </w:r>
      <w:r w:rsidR="0077117B" w:rsidRPr="00C97275">
        <w:rPr>
          <w:rFonts w:ascii="Georgia" w:eastAsia="Georgia" w:hAnsi="Georgia" w:cs="Georgia"/>
          <w:sz w:val="20"/>
          <w:szCs w:val="20"/>
          <w:lang w:val="lt-LT"/>
        </w:rPr>
        <w:t xml:space="preserve">58 </w:t>
      </w:r>
      <w:r w:rsidRPr="00C97275">
        <w:rPr>
          <w:rFonts w:ascii="Georgia" w:eastAsia="Georgia" w:hAnsi="Georgia" w:cs="Georgia"/>
          <w:sz w:val="20"/>
          <w:szCs w:val="20"/>
          <w:lang w:val="lt-LT"/>
        </w:rPr>
        <w:t xml:space="preserve">mln. </w:t>
      </w:r>
      <w:r w:rsidR="0077117B" w:rsidRPr="00C97275">
        <w:rPr>
          <w:rFonts w:ascii="Georgia" w:eastAsia="Georgia" w:hAnsi="Georgia" w:cs="Georgia"/>
          <w:sz w:val="20"/>
          <w:szCs w:val="20"/>
          <w:lang w:val="lt-LT"/>
        </w:rPr>
        <w:t>eurų</w:t>
      </w:r>
      <w:r w:rsidRPr="00C97275">
        <w:rPr>
          <w:rFonts w:ascii="Georgia" w:eastAsia="Georgia" w:hAnsi="Georgia" w:cs="Georgia"/>
          <w:sz w:val="20"/>
          <w:szCs w:val="20"/>
          <w:lang w:val="lt-LT"/>
        </w:rPr>
        <w:t xml:space="preserve">. Priemonė buvo skirta pirmiausia siekiant gerinti būsto sąlygas probleminėse teritorijose, o tinkama pareiškėjų grupė pagal šią priemonę – probleminėmis teritorijomis pripažintų savivaldybių administracijos. Šia priemone siekiama atnaujinti 300 daugiabučių namų bei pagerinti būsto sąlygas 10 000 asmenų, gyvenančių probleminėse teritorijose. </w:t>
      </w:r>
    </w:p>
    <w:p w14:paraId="765971AF" w14:textId="4F64D974"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Dar viena 2007-2013 m. periodu Vidaus reikalų ministerijos įgyvendinama priemonė, susijusi su būsto sektoriumi, yra „Socialinio būsto plėtra ir jo kokybės gerinimas“. Šios priemonės tikslas - padidinti ar pagerinti savivaldybių socialinio būsto fondą, kuris būtų nuomojamas nepasiturintiems asmenims (šeimoms), turintiems teisę į socialinį būstą. Priemonei įgyvendinti skirta apie </w:t>
      </w:r>
      <w:r w:rsidR="0077117B" w:rsidRPr="00C97275">
        <w:rPr>
          <w:rFonts w:ascii="Georgia" w:eastAsia="Georgia" w:hAnsi="Georgia" w:cs="Georgia"/>
          <w:sz w:val="20"/>
          <w:szCs w:val="20"/>
          <w:lang w:val="lt-LT"/>
        </w:rPr>
        <w:t>10,7 mln. eurų (</w:t>
      </w:r>
      <w:r w:rsidRPr="00C97275">
        <w:rPr>
          <w:rFonts w:ascii="Georgia" w:eastAsia="Georgia" w:hAnsi="Georgia" w:cs="Georgia"/>
          <w:sz w:val="20"/>
          <w:szCs w:val="20"/>
          <w:lang w:val="lt-LT"/>
        </w:rPr>
        <w:t>37 mln. litų</w:t>
      </w:r>
      <w:r w:rsidR="0077117B" w:rsidRPr="00C97275">
        <w:rPr>
          <w:rFonts w:ascii="Georgia" w:eastAsia="Georgia" w:hAnsi="Georgia" w:cs="Georgia"/>
          <w:sz w:val="20"/>
          <w:szCs w:val="20"/>
          <w:lang w:val="lt-LT"/>
        </w:rPr>
        <w:t>)</w:t>
      </w:r>
      <w:r w:rsidRPr="00C97275">
        <w:rPr>
          <w:rFonts w:ascii="Georgia" w:eastAsia="Georgia" w:hAnsi="Georgia" w:cs="Georgia"/>
          <w:sz w:val="20"/>
          <w:szCs w:val="20"/>
          <w:lang w:val="lt-LT"/>
        </w:rPr>
        <w:t>.</w:t>
      </w:r>
    </w:p>
    <w:p w14:paraId="606B4833"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Pažymėtina, kad egzistuoja ir galimybė patiems daugiabučių namų gyventojams skolintis iš komercinių bankų ir savo iniciatyva įgyvendinti daugiabučio modernizavimo projektus. Tokiu atveju komerciniai bankai reikalautų užstato iš paskolos gavėjų, o paskolos palūkanos - rinkos. </w:t>
      </w:r>
    </w:p>
    <w:p w14:paraId="0EBDAFA9" w14:textId="77777777" w:rsidR="005A0219" w:rsidRPr="00C97275" w:rsidRDefault="005A0219" w:rsidP="005A0219">
      <w:pPr>
        <w:keepNext/>
        <w:spacing w:after="160" w:line="240" w:lineRule="auto"/>
        <w:rPr>
          <w:rFonts w:ascii="Georgia" w:eastAsia="Georgia" w:hAnsi="Georgia" w:cs="Arial Unicode MS"/>
          <w:i/>
          <w:sz w:val="24"/>
          <w:szCs w:val="20"/>
          <w:lang w:val="lt-LT"/>
        </w:rPr>
      </w:pPr>
      <w:r w:rsidRPr="00C97275">
        <w:rPr>
          <w:rFonts w:ascii="Georgia" w:eastAsia="Georgia" w:hAnsi="Georgia" w:cs="Arial Unicode MS"/>
          <w:i/>
          <w:sz w:val="24"/>
          <w:szCs w:val="20"/>
          <w:lang w:val="lt-LT"/>
        </w:rPr>
        <w:t xml:space="preserve">Viešųjų pastatų modernizavimo finansavimas </w:t>
      </w:r>
    </w:p>
    <w:p w14:paraId="1E08A5C9" w14:textId="77777777" w:rsidR="005A0219" w:rsidRPr="00C97275" w:rsidRDefault="005A0219" w:rsidP="005A0219">
      <w:pPr>
        <w:keepNext/>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2007-2013 m. periodu viešųjų pastatų renovacija buvo remiama ESI fondų lėšomis pagal tris Ūkio ministerijos priemones: “Viešosios paskirties pastatų renovavimas nacionaliniu lygiu”, “Viešosios paskirties pastatų renovavimas regioniniu lygiu” ir “Viešosios paskirties pastatų renovavimo projektai, atitinkantys Lietuvos 2004–2006 m. Bendrojo programavimo dokumento 1.2 priemonės „Energijos tiekimo stabilumo, prieinamumo ir didesnio energetikos efektyvumo užtikrinimas“ naudos ir kokybės vertinimo kriterijus”. Įgyvendinant šių pastatų renovacijos projektus buvo taikytis patrauklus, tačiau ne itin efektyvus finansavimo būdas, kai projektams įgyvendinti buvo skiriamas finansavimas </w:t>
      </w:r>
      <w:r w:rsidRPr="00C97275">
        <w:rPr>
          <w:rFonts w:ascii="Georgia" w:eastAsia="Georgia" w:hAnsi="Georgia" w:cs="Georgia"/>
          <w:sz w:val="20"/>
          <w:szCs w:val="20"/>
          <w:lang w:val="lt-LT"/>
        </w:rPr>
        <w:lastRenderedPageBreak/>
        <w:t xml:space="preserve">(subsidija), nesiejant šių investicijų ir siekiamo rezultato, su atsipirkimu ir investicijų padengimu sutaupytos šilumos energijos sąskaita. Lentelėje žemiau yra pateikiamas šių priemonių palyginimas bei šių priemonių pasiekti rezultatai. </w:t>
      </w:r>
    </w:p>
    <w:p w14:paraId="4CCCDD1F" w14:textId="7A99A96B" w:rsidR="005A0219" w:rsidRPr="00C97275" w:rsidRDefault="005A0219" w:rsidP="005A0219">
      <w:pPr>
        <w:spacing w:after="160" w:line="240" w:lineRule="auto"/>
        <w:rPr>
          <w:rFonts w:ascii="Georgia" w:eastAsia="Georgia" w:hAnsi="Georgia" w:cs="Arial Unicode MS"/>
          <w:i/>
          <w:iCs/>
          <w:color w:val="821A1A"/>
          <w:sz w:val="20"/>
          <w:szCs w:val="18"/>
          <w:lang w:val="lt-LT"/>
        </w:rPr>
      </w:pPr>
      <w:bookmarkStart w:id="99" w:name="_Toc19105233"/>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20</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Viešųjų pastatų renovacijos Ūkio ministerijos 2007-2013 m. priemonių palyginimas.</w:t>
      </w:r>
      <w:bookmarkEnd w:id="99"/>
    </w:p>
    <w:tbl>
      <w:tblPr>
        <w:tblStyle w:val="LightList-Accent21"/>
        <w:tblW w:w="5000" w:type="pct"/>
        <w:tblLook w:val="04A0" w:firstRow="1" w:lastRow="0" w:firstColumn="1" w:lastColumn="0" w:noHBand="0" w:noVBand="1"/>
      </w:tblPr>
      <w:tblGrid>
        <w:gridCol w:w="2161"/>
        <w:gridCol w:w="2362"/>
        <w:gridCol w:w="2368"/>
        <w:gridCol w:w="2351"/>
      </w:tblGrid>
      <w:tr w:rsidR="00CB4D9D" w:rsidRPr="00C97275" w14:paraId="2E735753" w14:textId="77777777" w:rsidTr="00F935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D62E1C"/>
              <w:left w:val="single" w:sz="8" w:space="0" w:color="D62E1C"/>
              <w:bottom w:val="nil"/>
              <w:right w:val="nil"/>
            </w:tcBorders>
            <w:hideMark/>
          </w:tcPr>
          <w:p w14:paraId="6A4BC494" w14:textId="77777777" w:rsidR="005A0219" w:rsidRPr="00C97275" w:rsidRDefault="005A0219" w:rsidP="005A0219">
            <w:pPr>
              <w:ind w:left="113" w:right="113"/>
              <w:jc w:val="center"/>
              <w:rPr>
                <w:rFonts w:ascii="Georgia" w:eastAsia="Calibri" w:hAnsi="Georgia" w:cs="Arial Unicode MS"/>
                <w:sz w:val="20"/>
                <w:szCs w:val="20"/>
              </w:rPr>
            </w:pPr>
            <w:r w:rsidRPr="00C97275">
              <w:rPr>
                <w:rFonts w:ascii="Georgia" w:eastAsia="Calibri" w:hAnsi="Georgia" w:cs="Arial Unicode MS"/>
                <w:sz w:val="20"/>
                <w:szCs w:val="20"/>
              </w:rPr>
              <w:t>Priemonė</w:t>
            </w:r>
          </w:p>
        </w:tc>
        <w:tc>
          <w:tcPr>
            <w:tcW w:w="1278" w:type="pct"/>
            <w:tcBorders>
              <w:top w:val="single" w:sz="8" w:space="0" w:color="D62E1C"/>
              <w:left w:val="nil"/>
              <w:bottom w:val="nil"/>
              <w:right w:val="nil"/>
            </w:tcBorders>
            <w:hideMark/>
          </w:tcPr>
          <w:p w14:paraId="77C14531" w14:textId="77777777" w:rsidR="005A0219" w:rsidRPr="00C97275" w:rsidRDefault="005A0219" w:rsidP="005A0219">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Viešosios paskirties pastatų renovavimas nacionaliniu lygmeniu</w:t>
            </w:r>
            <w:r w:rsidRPr="00C97275">
              <w:rPr>
                <w:rFonts w:ascii="Georgia" w:eastAsia="Calibri" w:hAnsi="Georgia" w:cs="Arial Unicode MS"/>
                <w:color w:val="FFFFFF" w:themeColor="background1"/>
                <w:sz w:val="20"/>
                <w:szCs w:val="20"/>
                <w:vertAlign w:val="superscript"/>
              </w:rPr>
              <w:footnoteReference w:id="29"/>
            </w:r>
          </w:p>
        </w:tc>
        <w:tc>
          <w:tcPr>
            <w:tcW w:w="1281" w:type="pct"/>
            <w:tcBorders>
              <w:top w:val="single" w:sz="8" w:space="0" w:color="D62E1C"/>
              <w:left w:val="nil"/>
              <w:bottom w:val="nil"/>
              <w:right w:val="nil"/>
            </w:tcBorders>
            <w:hideMark/>
          </w:tcPr>
          <w:p w14:paraId="4C886A6D" w14:textId="77777777" w:rsidR="005A0219" w:rsidRPr="00C97275" w:rsidRDefault="005A0219" w:rsidP="005A0219">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Viešosios paskirties pastatų renovavimas regioniniu lygmeniu</w:t>
            </w:r>
            <w:r w:rsidRPr="00C97275">
              <w:rPr>
                <w:rFonts w:ascii="Georgia" w:eastAsia="Calibri" w:hAnsi="Georgia" w:cs="Arial Unicode MS"/>
                <w:color w:val="FFFFFF" w:themeColor="background1"/>
                <w:sz w:val="20"/>
                <w:szCs w:val="20"/>
                <w:vertAlign w:val="superscript"/>
              </w:rPr>
              <w:footnoteReference w:id="30"/>
            </w:r>
          </w:p>
        </w:tc>
        <w:tc>
          <w:tcPr>
            <w:tcW w:w="1272" w:type="pct"/>
            <w:tcBorders>
              <w:top w:val="single" w:sz="8" w:space="0" w:color="D62E1C"/>
              <w:left w:val="nil"/>
              <w:bottom w:val="nil"/>
              <w:right w:val="single" w:sz="8" w:space="0" w:color="D62E1C"/>
            </w:tcBorders>
            <w:hideMark/>
          </w:tcPr>
          <w:p w14:paraId="2867BABB" w14:textId="77777777" w:rsidR="005A0219" w:rsidRPr="00C97275" w:rsidRDefault="005A0219" w:rsidP="005A0219">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Viešosios paskirties pastatų renovacija, atitinkanti 2004-2006 m. kriterijus</w:t>
            </w:r>
            <w:r w:rsidRPr="00C97275">
              <w:rPr>
                <w:rFonts w:ascii="Georgia" w:eastAsia="Calibri" w:hAnsi="Georgia" w:cs="Arial Unicode MS"/>
                <w:color w:val="FFFFFF" w:themeColor="background1"/>
                <w:sz w:val="20"/>
                <w:szCs w:val="20"/>
                <w:vertAlign w:val="superscript"/>
              </w:rPr>
              <w:footnoteReference w:id="31"/>
            </w:r>
          </w:p>
        </w:tc>
      </w:tr>
      <w:tr w:rsidR="005A0219" w:rsidRPr="00C97275" w14:paraId="6B5B6F7C"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19E9D842" w14:textId="77777777" w:rsidR="005A0219" w:rsidRPr="00C97275" w:rsidRDefault="005A0219" w:rsidP="005A0219">
            <w:pPr>
              <w:ind w:left="113" w:right="113"/>
              <w:rPr>
                <w:rFonts w:ascii="Georgia" w:eastAsia="Calibri" w:hAnsi="Georgia" w:cs="Arial Unicode MS"/>
                <w:sz w:val="20"/>
                <w:szCs w:val="20"/>
              </w:rPr>
            </w:pPr>
            <w:r w:rsidRPr="00C97275">
              <w:rPr>
                <w:rFonts w:ascii="Georgia" w:eastAsia="Calibri" w:hAnsi="Georgia" w:cs="Arial Unicode MS"/>
                <w:sz w:val="20"/>
                <w:szCs w:val="20"/>
              </w:rPr>
              <w:t>Galutiniai naudos gavėjai</w:t>
            </w:r>
          </w:p>
        </w:tc>
        <w:tc>
          <w:tcPr>
            <w:tcW w:w="0" w:type="pct"/>
            <w:tcBorders>
              <w:left w:val="nil"/>
              <w:right w:val="nil"/>
            </w:tcBorders>
            <w:hideMark/>
          </w:tcPr>
          <w:p w14:paraId="3B1A0BEE"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Sveikatos institucijos, švietimo institucijos, socialinių paslaugų institucijos, kultūros institucijos, savivaldybės ir savivaldybių įsteigtos institucijos</w:t>
            </w:r>
          </w:p>
        </w:tc>
        <w:tc>
          <w:tcPr>
            <w:tcW w:w="0" w:type="pct"/>
            <w:tcBorders>
              <w:left w:val="nil"/>
              <w:right w:val="nil"/>
            </w:tcBorders>
            <w:hideMark/>
          </w:tcPr>
          <w:p w14:paraId="71488CE3"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Projektus pagal priemonę įgyvendina savivaldybės ar jos įstaigų įsteigti viešieji juridiniai asmenys (savivaldybių biudžetinės įstaigos ir viešosios įstaigos) arba šių juridinių asmenų steigėjai</w:t>
            </w:r>
          </w:p>
        </w:tc>
        <w:tc>
          <w:tcPr>
            <w:tcW w:w="0" w:type="pct"/>
            <w:tcBorders>
              <w:left w:val="nil"/>
            </w:tcBorders>
            <w:hideMark/>
          </w:tcPr>
          <w:p w14:paraId="0751E218"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Valstybė ar savivaldybės arba jų įstaigų įsteigti viešieji juridiniai asmenys (valstybės ar savivaldybių biudžetinės įstaigos, viešosios įstaigos) arba šių juridinių asmenų steigėjai</w:t>
            </w:r>
          </w:p>
        </w:tc>
      </w:tr>
      <w:tr w:rsidR="005A0219" w:rsidRPr="00C97275" w14:paraId="2023521A"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hideMark/>
          </w:tcPr>
          <w:p w14:paraId="2DD0CDCD" w14:textId="77777777" w:rsidR="005A0219" w:rsidRPr="00C97275" w:rsidRDefault="005A0219" w:rsidP="005A0219">
            <w:pPr>
              <w:ind w:left="113" w:right="113"/>
              <w:rPr>
                <w:rFonts w:ascii="Georgia" w:eastAsia="Calibri" w:hAnsi="Georgia" w:cs="Arial Unicode MS"/>
                <w:sz w:val="20"/>
                <w:szCs w:val="20"/>
              </w:rPr>
            </w:pPr>
            <w:r w:rsidRPr="00C97275">
              <w:rPr>
                <w:rFonts w:ascii="Georgia" w:eastAsia="Calibri" w:hAnsi="Georgia" w:cs="Arial Unicode MS"/>
                <w:sz w:val="20"/>
                <w:szCs w:val="20"/>
              </w:rPr>
              <w:t>Priemonės rodikliai (rezultato ir produkto)</w:t>
            </w:r>
          </w:p>
        </w:tc>
        <w:tc>
          <w:tcPr>
            <w:tcW w:w="0" w:type="pct"/>
            <w:tcBorders>
              <w:top w:val="nil"/>
              <w:left w:val="nil"/>
              <w:bottom w:val="nil"/>
              <w:right w:val="nil"/>
            </w:tcBorders>
            <w:hideMark/>
          </w:tcPr>
          <w:p w14:paraId="3E73FEB9" w14:textId="77777777" w:rsidR="005A0219" w:rsidRPr="00C97275"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Energijos sutaupymai – 56 GWh; renovuotų pastatų skaičius – 94 iki 2015</w:t>
            </w:r>
          </w:p>
        </w:tc>
        <w:tc>
          <w:tcPr>
            <w:tcW w:w="0" w:type="pct"/>
            <w:tcBorders>
              <w:top w:val="nil"/>
              <w:left w:val="nil"/>
              <w:bottom w:val="nil"/>
              <w:right w:val="nil"/>
            </w:tcBorders>
            <w:hideMark/>
          </w:tcPr>
          <w:p w14:paraId="02FFE377" w14:textId="77777777" w:rsidR="005A0219" w:rsidRPr="00C97275"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Energijos sutaupymai – 36 GWh; renovuotų pastatų skaičius – 80 iki 2015</w:t>
            </w:r>
          </w:p>
        </w:tc>
        <w:tc>
          <w:tcPr>
            <w:tcW w:w="0" w:type="pct"/>
            <w:tcBorders>
              <w:top w:val="nil"/>
              <w:left w:val="nil"/>
              <w:bottom w:val="nil"/>
              <w:right w:val="single" w:sz="8" w:space="0" w:color="D62E1C"/>
            </w:tcBorders>
            <w:hideMark/>
          </w:tcPr>
          <w:p w14:paraId="2DC6010E" w14:textId="77777777" w:rsidR="005A0219" w:rsidRPr="00C97275"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Energijos sutaupymai – 8 GWh; renovuotų pastatų skaičius – 26 iki 2015</w:t>
            </w:r>
          </w:p>
        </w:tc>
      </w:tr>
      <w:tr w:rsidR="005A0219" w:rsidRPr="00C97275" w14:paraId="334CD9FC"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06117C07" w14:textId="77777777" w:rsidR="005A0219" w:rsidRPr="00C97275" w:rsidRDefault="005A0219" w:rsidP="005A0219">
            <w:pPr>
              <w:ind w:left="113" w:right="113"/>
              <w:rPr>
                <w:rFonts w:ascii="Georgia" w:eastAsia="Calibri" w:hAnsi="Georgia" w:cs="Arial Unicode MS"/>
                <w:sz w:val="20"/>
                <w:szCs w:val="20"/>
              </w:rPr>
            </w:pPr>
            <w:r w:rsidRPr="00C97275">
              <w:rPr>
                <w:rFonts w:ascii="Georgia" w:eastAsia="Calibri" w:hAnsi="Georgia" w:cs="Arial Unicode MS"/>
                <w:sz w:val="20"/>
                <w:szCs w:val="20"/>
              </w:rPr>
              <w:t>Finansinis produktas</w:t>
            </w:r>
          </w:p>
        </w:tc>
        <w:tc>
          <w:tcPr>
            <w:tcW w:w="0" w:type="pct"/>
            <w:tcBorders>
              <w:left w:val="nil"/>
              <w:right w:val="nil"/>
            </w:tcBorders>
            <w:hideMark/>
          </w:tcPr>
          <w:p w14:paraId="67CFBE14"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Subsidija iki 100%; prisidedama valstybės biudžeto lėšomis</w:t>
            </w:r>
          </w:p>
        </w:tc>
        <w:tc>
          <w:tcPr>
            <w:tcW w:w="0" w:type="pct"/>
            <w:tcBorders>
              <w:left w:val="nil"/>
              <w:right w:val="nil"/>
            </w:tcBorders>
            <w:hideMark/>
          </w:tcPr>
          <w:p w14:paraId="27BC058B"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Subsidija iki 100%; prisidedama valstybės biudžeto lėšomis</w:t>
            </w:r>
          </w:p>
        </w:tc>
        <w:tc>
          <w:tcPr>
            <w:tcW w:w="0" w:type="pct"/>
            <w:tcBorders>
              <w:left w:val="nil"/>
            </w:tcBorders>
            <w:hideMark/>
          </w:tcPr>
          <w:p w14:paraId="732D7E22"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Subsidija iki 100%; prisidedama valstybės biudžeto lėšomis</w:t>
            </w:r>
          </w:p>
        </w:tc>
      </w:tr>
      <w:tr w:rsidR="005A0219" w:rsidRPr="00C97275" w14:paraId="6E5E03E8"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hideMark/>
          </w:tcPr>
          <w:p w14:paraId="2653674C" w14:textId="77777777" w:rsidR="005A0219" w:rsidRPr="00C97275" w:rsidRDefault="005A0219" w:rsidP="005A0219">
            <w:pPr>
              <w:ind w:left="113" w:right="113"/>
              <w:rPr>
                <w:rFonts w:ascii="Georgia" w:eastAsia="Calibri" w:hAnsi="Georgia" w:cs="Arial Unicode MS"/>
                <w:sz w:val="20"/>
                <w:szCs w:val="20"/>
              </w:rPr>
            </w:pPr>
            <w:r w:rsidRPr="00C97275">
              <w:rPr>
                <w:rFonts w:ascii="Georgia" w:eastAsia="Calibri" w:hAnsi="Georgia" w:cs="Arial Unicode MS"/>
                <w:sz w:val="20"/>
                <w:szCs w:val="20"/>
              </w:rPr>
              <w:t>Priemonei skirtas finansavimas</w:t>
            </w:r>
          </w:p>
        </w:tc>
        <w:tc>
          <w:tcPr>
            <w:tcW w:w="0" w:type="pct"/>
            <w:tcBorders>
              <w:top w:val="nil"/>
              <w:left w:val="nil"/>
              <w:bottom w:val="nil"/>
              <w:right w:val="nil"/>
            </w:tcBorders>
            <w:hideMark/>
          </w:tcPr>
          <w:p w14:paraId="68AEA4C6" w14:textId="77777777" w:rsidR="005A0219" w:rsidRPr="00C97275"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211 mln. EUR</w:t>
            </w:r>
          </w:p>
        </w:tc>
        <w:tc>
          <w:tcPr>
            <w:tcW w:w="0" w:type="pct"/>
            <w:tcBorders>
              <w:top w:val="nil"/>
              <w:left w:val="nil"/>
              <w:bottom w:val="nil"/>
              <w:right w:val="nil"/>
            </w:tcBorders>
            <w:hideMark/>
          </w:tcPr>
          <w:p w14:paraId="0EF43BCA" w14:textId="77777777" w:rsidR="005A0219" w:rsidRPr="00C97275"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100 mln. EUR</w:t>
            </w:r>
          </w:p>
        </w:tc>
        <w:tc>
          <w:tcPr>
            <w:tcW w:w="0" w:type="pct"/>
            <w:tcBorders>
              <w:top w:val="nil"/>
              <w:left w:val="nil"/>
              <w:bottom w:val="nil"/>
              <w:right w:val="single" w:sz="8" w:space="0" w:color="D62E1C"/>
            </w:tcBorders>
            <w:hideMark/>
          </w:tcPr>
          <w:p w14:paraId="4AA67186" w14:textId="77777777" w:rsidR="005A0219" w:rsidRPr="00C97275"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12,42 mln. EUR</w:t>
            </w:r>
          </w:p>
        </w:tc>
      </w:tr>
      <w:tr w:rsidR="005A0219" w:rsidRPr="00C97275" w14:paraId="7BCF610F"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7C8E081" w14:textId="77777777" w:rsidR="005A0219" w:rsidRPr="00C97275" w:rsidRDefault="005A0219" w:rsidP="005A0219">
            <w:pPr>
              <w:ind w:left="113" w:right="113"/>
              <w:rPr>
                <w:rFonts w:ascii="Georgia" w:eastAsia="Calibri" w:hAnsi="Georgia" w:cs="Arial Unicode MS"/>
                <w:sz w:val="20"/>
                <w:szCs w:val="20"/>
              </w:rPr>
            </w:pPr>
            <w:r w:rsidRPr="00C97275">
              <w:rPr>
                <w:rFonts w:ascii="Georgia" w:eastAsia="Calibri" w:hAnsi="Georgia" w:cs="Arial Unicode MS"/>
                <w:sz w:val="20"/>
                <w:szCs w:val="20"/>
              </w:rPr>
              <w:t>Pasirašyta sutarčių</w:t>
            </w:r>
          </w:p>
        </w:tc>
        <w:tc>
          <w:tcPr>
            <w:tcW w:w="0" w:type="pct"/>
            <w:tcBorders>
              <w:left w:val="nil"/>
              <w:right w:val="nil"/>
            </w:tcBorders>
            <w:hideMark/>
          </w:tcPr>
          <w:p w14:paraId="60598D34"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304</w:t>
            </w:r>
          </w:p>
        </w:tc>
        <w:tc>
          <w:tcPr>
            <w:tcW w:w="0" w:type="pct"/>
            <w:tcBorders>
              <w:left w:val="nil"/>
              <w:right w:val="nil"/>
            </w:tcBorders>
            <w:hideMark/>
          </w:tcPr>
          <w:p w14:paraId="668AE3A6"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323</w:t>
            </w:r>
          </w:p>
        </w:tc>
        <w:tc>
          <w:tcPr>
            <w:tcW w:w="0" w:type="pct"/>
            <w:tcBorders>
              <w:left w:val="nil"/>
            </w:tcBorders>
            <w:hideMark/>
          </w:tcPr>
          <w:p w14:paraId="794C3663" w14:textId="77777777" w:rsidR="005A0219" w:rsidRPr="00C97275"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21</w:t>
            </w:r>
          </w:p>
        </w:tc>
      </w:tr>
      <w:tr w:rsidR="005A0219" w:rsidRPr="00C97275" w14:paraId="1B63BFE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single" w:sz="8" w:space="0" w:color="D62E1C"/>
              <w:right w:val="nil"/>
            </w:tcBorders>
            <w:hideMark/>
          </w:tcPr>
          <w:p w14:paraId="5DCB6845" w14:textId="50BD6915" w:rsidR="005A0219" w:rsidRPr="00C97275" w:rsidRDefault="005A0219" w:rsidP="00E23406">
            <w:pPr>
              <w:keepNext/>
              <w:ind w:left="113" w:right="113"/>
              <w:rPr>
                <w:rFonts w:ascii="Georgia" w:eastAsia="Calibri" w:hAnsi="Georgia" w:cs="Arial Unicode MS"/>
                <w:sz w:val="20"/>
                <w:szCs w:val="20"/>
              </w:rPr>
            </w:pPr>
            <w:r w:rsidRPr="00C97275">
              <w:rPr>
                <w:rFonts w:ascii="Georgia" w:eastAsia="Calibri" w:hAnsi="Georgia" w:cs="Arial Unicode MS"/>
                <w:sz w:val="20"/>
                <w:szCs w:val="20"/>
              </w:rPr>
              <w:t xml:space="preserve">Vidutinis projekto finansavimas, </w:t>
            </w:r>
            <w:r w:rsidR="00E23406" w:rsidRPr="00C97275">
              <w:rPr>
                <w:rFonts w:ascii="Georgia" w:eastAsia="Calibri" w:hAnsi="Georgia" w:cs="Arial Unicode MS"/>
                <w:sz w:val="20"/>
                <w:szCs w:val="20"/>
              </w:rPr>
              <w:t>eurais</w:t>
            </w:r>
          </w:p>
        </w:tc>
        <w:tc>
          <w:tcPr>
            <w:tcW w:w="0" w:type="pct"/>
            <w:tcBorders>
              <w:top w:val="nil"/>
              <w:left w:val="nil"/>
              <w:bottom w:val="single" w:sz="8" w:space="0" w:color="D62E1C"/>
              <w:right w:val="nil"/>
            </w:tcBorders>
            <w:vAlign w:val="center"/>
            <w:hideMark/>
          </w:tcPr>
          <w:p w14:paraId="5F6C0797" w14:textId="77777777" w:rsidR="005A0219" w:rsidRPr="00C97275" w:rsidRDefault="005A0219" w:rsidP="005A0219">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694 tūkst.</w:t>
            </w:r>
          </w:p>
        </w:tc>
        <w:tc>
          <w:tcPr>
            <w:tcW w:w="0" w:type="pct"/>
            <w:tcBorders>
              <w:top w:val="nil"/>
              <w:left w:val="nil"/>
              <w:bottom w:val="single" w:sz="8" w:space="0" w:color="D62E1C"/>
              <w:right w:val="nil"/>
            </w:tcBorders>
            <w:vAlign w:val="center"/>
            <w:hideMark/>
          </w:tcPr>
          <w:p w14:paraId="4E6C149B" w14:textId="77777777" w:rsidR="005A0219" w:rsidRPr="00C97275" w:rsidRDefault="005A0219" w:rsidP="005A0219">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309 tūkst.</w:t>
            </w:r>
          </w:p>
        </w:tc>
        <w:tc>
          <w:tcPr>
            <w:tcW w:w="0" w:type="pct"/>
            <w:tcBorders>
              <w:top w:val="nil"/>
              <w:left w:val="nil"/>
              <w:bottom w:val="single" w:sz="8" w:space="0" w:color="D62E1C"/>
              <w:right w:val="single" w:sz="8" w:space="0" w:color="D62E1C"/>
            </w:tcBorders>
            <w:vAlign w:val="center"/>
            <w:hideMark/>
          </w:tcPr>
          <w:p w14:paraId="235F559A" w14:textId="77777777" w:rsidR="005A0219" w:rsidRPr="00C97275" w:rsidRDefault="005A0219" w:rsidP="005A0219">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C97275">
              <w:rPr>
                <w:rFonts w:ascii="Georgia" w:eastAsia="Calibri" w:hAnsi="Georgia" w:cs="Arial Unicode MS"/>
                <w:sz w:val="20"/>
                <w:szCs w:val="20"/>
              </w:rPr>
              <w:t>591 tūkst.</w:t>
            </w:r>
          </w:p>
        </w:tc>
      </w:tr>
    </w:tbl>
    <w:p w14:paraId="5CC4C06D" w14:textId="740559B1" w:rsidR="005A0219" w:rsidRPr="00C97275" w:rsidRDefault="005A0219" w:rsidP="005A0219">
      <w:pPr>
        <w:spacing w:after="160" w:line="240" w:lineRule="auto"/>
        <w:rPr>
          <w:rFonts w:ascii="Georgia" w:eastAsia="Georgia" w:hAnsi="Georgia" w:cs="Arial Unicode MS"/>
          <w:iCs/>
          <w:color w:val="821A1A"/>
          <w:sz w:val="20"/>
          <w:szCs w:val="18"/>
          <w:lang w:val="lt-LT"/>
        </w:rPr>
      </w:pPr>
      <w:r w:rsidRPr="00C97275">
        <w:rPr>
          <w:rFonts w:ascii="Georgia" w:eastAsia="Georgia" w:hAnsi="Georgia" w:cs="Arial Unicode MS"/>
          <w:i/>
          <w:iCs/>
          <w:color w:val="821A1A"/>
          <w:sz w:val="20"/>
          <w:szCs w:val="18"/>
          <w:lang w:val="lt-LT"/>
        </w:rPr>
        <w:t xml:space="preserve">Šaltinis: PwC studija, </w:t>
      </w:r>
      <w:hyperlink r:id="rId18" w:history="1">
        <w:r w:rsidRPr="00C97275">
          <w:rPr>
            <w:rFonts w:ascii="Georgia" w:eastAsia="Georgia" w:hAnsi="Georgia" w:cs="Arial Unicode MS"/>
            <w:i/>
            <w:iCs/>
            <w:color w:val="0070C0"/>
            <w:sz w:val="20"/>
            <w:szCs w:val="18"/>
            <w:u w:val="single"/>
            <w:lang w:val="lt-LT"/>
          </w:rPr>
          <w:t>www.esparama.lt</w:t>
        </w:r>
      </w:hyperlink>
      <w:r w:rsidRPr="00C97275">
        <w:rPr>
          <w:rFonts w:ascii="Georgia" w:eastAsia="Georgia" w:hAnsi="Georgia" w:cs="Arial Unicode MS"/>
          <w:i/>
          <w:iCs/>
          <w:color w:val="821A1A"/>
          <w:sz w:val="20"/>
          <w:szCs w:val="18"/>
          <w:lang w:val="lt-LT"/>
        </w:rPr>
        <w:t xml:space="preserve">, sudaryta autorių. </w:t>
      </w:r>
    </w:p>
    <w:p w14:paraId="0316FD74" w14:textId="77777777" w:rsidR="005A0219" w:rsidRPr="00C97275" w:rsidRDefault="005A0219" w:rsidP="005A0219">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Per 2007-2013 m. periodą pagal šias priemones iš viso buvo skirta 323,4 mln. eurų 648 projektų finansavimui. Vidutinė projekto vertė remiantis šiais duomenimis siekia 500 tūkst. eurų. </w:t>
      </w:r>
    </w:p>
    <w:p w14:paraId="2405F52D" w14:textId="77777777" w:rsidR="005A0219" w:rsidRPr="00C97275" w:rsidRDefault="005A0219" w:rsidP="005A0219">
      <w:pPr>
        <w:spacing w:after="160" w:line="240" w:lineRule="auto"/>
        <w:rPr>
          <w:rFonts w:ascii="Georgia" w:eastAsia="Georgia" w:hAnsi="Georgia" w:cs="Arial Unicode MS"/>
          <w:i/>
          <w:sz w:val="24"/>
          <w:szCs w:val="20"/>
          <w:lang w:val="lt-LT"/>
        </w:rPr>
      </w:pPr>
      <w:r w:rsidRPr="00C97275">
        <w:rPr>
          <w:rFonts w:ascii="Georgia" w:eastAsia="Georgia" w:hAnsi="Georgia" w:cs="Arial Unicode MS"/>
          <w:i/>
          <w:sz w:val="24"/>
          <w:szCs w:val="20"/>
          <w:lang w:val="lt-LT"/>
        </w:rPr>
        <w:t>Gatvių apšvietimo modernizavimo finansavimas</w:t>
      </w:r>
    </w:p>
    <w:p w14:paraId="139B955F"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2007-2013 m. periodu ESI fondų lėšomis nebuvo įgyvendinta nė viena priemonė, skirta finansuoti gatvių apšvietimo modernizavimo projektus. Gatvių apšvietimo tinklai pastaraisiais metais buvo renovuojami savivaldybių lėšomis arba skolinantis iš komercinių bankų. Tačiau pažymėtina, jog praktiškai visos investicijos į gatvių apšvietimo tinklus buvo skirtos ne siekti energijos vartojimo efektyvumo, bet sutaisyti bei renovuoti sugedusius šviestuvus (kaip jau buvo aptarta 2.1.3. skirsnyje, kur pažymėta, kad gatvių apšvietimo tinklai yra pasenę ir susidėvėję). Gatvių apšvietimo tinklai taip </w:t>
      </w:r>
      <w:r w:rsidRPr="00C97275">
        <w:rPr>
          <w:rFonts w:ascii="Georgia" w:eastAsia="Georgia" w:hAnsi="Georgia" w:cs="Georgia"/>
          <w:sz w:val="20"/>
          <w:szCs w:val="20"/>
          <w:lang w:val="lt-LT"/>
        </w:rPr>
        <w:lastRenderedPageBreak/>
        <w:t>pat modernizuoti tais atvejais, kai buvo atliekama esminė kelių rekonstrukcija. Pavieniais atvejais naujos technologijos taip pat įdiegiamos tiesiant naujus kelius, pavyzdžiui LED tipo šviestuvais apšviestos Vilniaus vakarinio aplinkkelio atkarpos.</w:t>
      </w:r>
    </w:p>
    <w:p w14:paraId="52BE15B5"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Vienintelis pradedamas gatvių apšvietimo projektas yra Vilniaus gatvių apšvietimo projektas. 2012 m. Vilniaus miesto savivaldybė priėmė sprendimą modernizuoti Vilniaus gatvių apšvietimo tinklus, kadangi „</w:t>
      </w:r>
      <w:r w:rsidRPr="00C97275">
        <w:rPr>
          <w:rFonts w:ascii="Georgia" w:eastAsia="Georgia" w:hAnsi="Georgia" w:cs="Georgia"/>
          <w:i/>
          <w:sz w:val="20"/>
          <w:szCs w:val="20"/>
          <w:lang w:val="lt-LT"/>
        </w:rPr>
        <w:t>esama Vilniaus gatvių apšvietimo tinklo valdymo ir kontrolės sistema neefektyvi - naudoja energijai imlias technologijas, nėra galimybės reguliuoti apšvietimo lygį, gedimai fiksuojami tik fiziškai apžiūrint šviestuvus. Gatvių apšvietimo infrastruktūros nusidėvėjimas siekia 89,5 proc., ji neužtikrina normatyvuose nustatyto apšvietimo lygio, gedimai pastebimi pavėluotai</w:t>
      </w:r>
      <w:r w:rsidRPr="00C97275">
        <w:rPr>
          <w:rFonts w:ascii="Georgia" w:eastAsia="Georgia" w:hAnsi="Georgia" w:cs="Georgia"/>
          <w:sz w:val="20"/>
          <w:szCs w:val="20"/>
          <w:lang w:val="lt-LT"/>
        </w:rPr>
        <w:t xml:space="preserve">. </w:t>
      </w:r>
      <w:r w:rsidRPr="00C97275">
        <w:rPr>
          <w:rFonts w:ascii="Georgia" w:eastAsia="Georgia" w:hAnsi="Georgia" w:cs="Georgia"/>
          <w:i/>
          <w:sz w:val="20"/>
          <w:szCs w:val="20"/>
          <w:lang w:val="lt-LT"/>
        </w:rPr>
        <w:t>1997 – 2000 m. pasenę gatvių apšvietimui skirti gyvsidabrio lempų šviestuvai buvo pakeisti į ekonomiškesnius natrio lempų šviestuvus. Tai leido mažiausiai dvigubai sumažinti šviestuvų instaliuotą galią, o kartu suvartojamos elektros energijos kiekį. Tačiau daugumos šių šviestuvų eksploatacijos laikas baigsis už 1 – 4 metų, todėl nesiimant projekto įgyvendinimo kokybišką gatvių apšvietimą užtikrinti bus sudėtinga”</w:t>
      </w:r>
      <w:r w:rsidRPr="00C97275">
        <w:rPr>
          <w:rFonts w:ascii="Georgia" w:eastAsia="Georgia" w:hAnsi="Georgia" w:cs="Georgia"/>
          <w:color w:val="000000"/>
          <w:sz w:val="20"/>
          <w:szCs w:val="20"/>
          <w:vertAlign w:val="superscript"/>
          <w:lang w:val="lt-LT"/>
        </w:rPr>
        <w:footnoteReference w:id="32"/>
      </w:r>
      <w:r w:rsidRPr="00C97275">
        <w:rPr>
          <w:rFonts w:ascii="Georgia" w:eastAsia="Georgia" w:hAnsi="Georgia" w:cs="Georgia"/>
          <w:i/>
          <w:sz w:val="20"/>
          <w:szCs w:val="20"/>
          <w:lang w:val="lt-LT"/>
        </w:rPr>
        <w:t xml:space="preserve">. </w:t>
      </w:r>
    </w:p>
    <w:p w14:paraId="6153A36F" w14:textId="08D4AFFE"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Buvo nuspręsta, kad projektą įgyvendins savivaldybės įmonė UAB „Vilniaus gatvių apšvietimo elektros tinklai“ be </w:t>
      </w:r>
      <w:r w:rsidR="00FB6F18" w:rsidRPr="00C97275">
        <w:rPr>
          <w:rFonts w:ascii="Georgia" w:eastAsia="Georgia" w:hAnsi="Georgia" w:cs="Georgia"/>
          <w:sz w:val="20"/>
          <w:szCs w:val="20"/>
          <w:lang w:val="lt-LT"/>
        </w:rPr>
        <w:t>ESCO</w:t>
      </w:r>
      <w:r w:rsidRPr="00C97275">
        <w:rPr>
          <w:rFonts w:ascii="Georgia" w:eastAsia="Georgia" w:hAnsi="Georgia" w:cs="Georgia"/>
          <w:sz w:val="20"/>
          <w:szCs w:val="20"/>
          <w:lang w:val="lt-LT"/>
        </w:rPr>
        <w:t xml:space="preserve">. Vilniaus gatvių apšvietimo modernizavimo projekto finansavimui pasirinktas modelis yra valdžios ir privataus subjektų partnerystė. Šio projekto vertė – 25,6 mln. EUR, trukmė – 36 m. Planuojama, kad įgyvendinus projektą elektros energijos suvartojimas kiekis ir kaštai sumažės apie 50 proc., elektros įrenginių sąnaudos – iki 31 proc. Tuo pačiu bus sumažinta aplinkos tarša, ŠESD emisija, sumažės nusikalstamumas ir pagerės apšvietimo kokybė.   </w:t>
      </w:r>
    </w:p>
    <w:p w14:paraId="60B1BBA1" w14:textId="0D753BD9" w:rsidR="005A0219" w:rsidRPr="00C97275" w:rsidRDefault="005A0219" w:rsidP="005A0219">
      <w:pPr>
        <w:keepNext/>
        <w:keepLines/>
        <w:numPr>
          <w:ilvl w:val="3"/>
          <w:numId w:val="2"/>
        </w:numPr>
        <w:spacing w:before="200" w:after="240" w:line="240" w:lineRule="auto"/>
        <w:ind w:hanging="1440"/>
        <w:outlineLvl w:val="1"/>
        <w:rPr>
          <w:rFonts w:ascii="Georgia" w:eastAsia="Times New Roman" w:hAnsi="Georgia" w:cs="Arial Unicode MS"/>
          <w:b/>
          <w:i/>
          <w:color w:val="821A1A"/>
          <w:sz w:val="32"/>
          <w:szCs w:val="26"/>
          <w:lang w:val="lt-LT"/>
        </w:rPr>
      </w:pPr>
      <w:bookmarkStart w:id="100" w:name="_Toc25594661"/>
      <w:r w:rsidRPr="00C97275">
        <w:rPr>
          <w:rFonts w:ascii="Georgia" w:eastAsia="Times New Roman" w:hAnsi="Georgia" w:cs="Arial Unicode MS"/>
          <w:b/>
          <w:i/>
          <w:color w:val="821A1A"/>
          <w:sz w:val="32"/>
          <w:szCs w:val="26"/>
          <w:lang w:val="lt-LT"/>
        </w:rPr>
        <w:t>Finansavimas 2014-202</w:t>
      </w:r>
      <w:r w:rsidR="008B57EC" w:rsidRPr="00C97275">
        <w:rPr>
          <w:rFonts w:ascii="Georgia" w:eastAsia="Times New Roman" w:hAnsi="Georgia" w:cs="Arial Unicode MS"/>
          <w:b/>
          <w:i/>
          <w:color w:val="821A1A"/>
          <w:sz w:val="32"/>
          <w:szCs w:val="26"/>
          <w:lang w:val="lt-LT"/>
        </w:rPr>
        <w:t>0</w:t>
      </w:r>
      <w:r w:rsidRPr="00C97275">
        <w:rPr>
          <w:rFonts w:ascii="Georgia" w:eastAsia="Times New Roman" w:hAnsi="Georgia" w:cs="Arial Unicode MS"/>
          <w:b/>
          <w:i/>
          <w:color w:val="821A1A"/>
          <w:sz w:val="32"/>
          <w:szCs w:val="26"/>
          <w:lang w:val="lt-LT"/>
        </w:rPr>
        <w:t xml:space="preserve"> m. laikotarpiu</w:t>
      </w:r>
      <w:bookmarkEnd w:id="100"/>
    </w:p>
    <w:p w14:paraId="1D77F551"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 xml:space="preserve">Siekiant atspindėti dabartinę aktualią finansavimo situaciją šioje dalyje yra aptariamas 2014-2020 m. periodo finansavimas, nors energijos efektyvumo sritys buvo finansuojamos ir anksčiau. </w:t>
      </w:r>
    </w:p>
    <w:p w14:paraId="1E0AF87F" w14:textId="77777777" w:rsidR="005A0219" w:rsidRPr="00C97275" w:rsidRDefault="005A0219" w:rsidP="005A0219">
      <w:pPr>
        <w:spacing w:after="160" w:line="240" w:lineRule="auto"/>
        <w:rPr>
          <w:rFonts w:ascii="Georgia" w:eastAsia="Georgia" w:hAnsi="Georgia" w:cs="Arial Unicode MS"/>
          <w:b/>
          <w:i/>
          <w:sz w:val="24"/>
          <w:szCs w:val="20"/>
          <w:lang w:val="lt-LT"/>
        </w:rPr>
      </w:pPr>
      <w:r w:rsidRPr="00C97275">
        <w:rPr>
          <w:rFonts w:ascii="Georgia" w:eastAsia="Georgia" w:hAnsi="Georgia" w:cs="Arial Unicode MS"/>
          <w:b/>
          <w:i/>
          <w:sz w:val="24"/>
          <w:szCs w:val="20"/>
          <w:lang w:val="lt-LT"/>
        </w:rPr>
        <w:t>ESI fondų lėšos</w:t>
      </w:r>
    </w:p>
    <w:p w14:paraId="25EBF256"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2014-2020 m. periodo ESI fondų investicijos Lietuvoje energijos efektyvumo projektų finansavimui sudarys ženklią sumą ir bus skiriamos pagal Veiksmų programos 4-ąjį prioritetą „Energijos efektyvumo ir atsinaujinančių išteklių energijos gamybos ir naudojimo skatinimas“, 4.3 investicinį prioritetą „Energijos vartojimo efektyvumo, pažangaus energijos valdymo ir AIE vartojimo viešosiose infrastruktūrose, įskaitant viešuosius pastatus ir gyvenamųjų namų sektorių, rėmimas“ ir 4.3.1 konkretų uždavinį „Sumažinti energijos suvartojimą viešojoje infrastruktūroje ir daugiabučiuose namuose“.</w:t>
      </w:r>
    </w:p>
    <w:p w14:paraId="67BC8AAE"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Bendrai sritims, kurios yra analizuojamos šiame ex-ante vertinime, yra skiriama 448 mln. eurų</w:t>
      </w:r>
      <w:r w:rsidRPr="00C97275">
        <w:rPr>
          <w:rFonts w:ascii="Georgia" w:eastAsia="Georgia" w:hAnsi="Georgia" w:cs="Times New Roman"/>
          <w:color w:val="000000"/>
          <w:sz w:val="20"/>
          <w:szCs w:val="20"/>
          <w:vertAlign w:val="superscript"/>
          <w:lang w:val="lt-LT"/>
        </w:rPr>
        <w:footnoteReference w:id="33"/>
      </w:r>
      <w:r w:rsidRPr="00C97275">
        <w:rPr>
          <w:rFonts w:ascii="Georgia" w:eastAsia="Georgia" w:hAnsi="Georgia" w:cs="Times New Roman"/>
          <w:sz w:val="20"/>
          <w:szCs w:val="20"/>
          <w:lang w:val="lt-LT"/>
        </w:rPr>
        <w:t>, kurie, remiantis naujausiais duomenimis, yra paskirstyti lentelėje žemiau.</w:t>
      </w:r>
    </w:p>
    <w:p w14:paraId="47213351" w14:textId="029AB6F1" w:rsidR="005A0219" w:rsidRPr="00C97275" w:rsidRDefault="005A0219" w:rsidP="005A0219">
      <w:pPr>
        <w:spacing w:after="160" w:line="240" w:lineRule="auto"/>
        <w:rPr>
          <w:rFonts w:ascii="Georgia" w:eastAsia="Georgia" w:hAnsi="Georgia" w:cs="Arial Unicode MS"/>
          <w:i/>
          <w:iCs/>
          <w:color w:val="821A1A"/>
          <w:sz w:val="20"/>
          <w:szCs w:val="18"/>
          <w:lang w:val="lt-LT"/>
        </w:rPr>
      </w:pPr>
      <w:bookmarkStart w:id="101" w:name="_Toc19105234"/>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21</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Priemonės ir įsteigti fondai siekiant veiksmų programos 4 prioriteto „Energijos efektyvumo ir atsinaujinančių išteklių energijos gamybos ir naudojimo skatinimas“ 2014-2020 metais.</w:t>
      </w:r>
      <w:bookmarkEnd w:id="101"/>
    </w:p>
    <w:tbl>
      <w:tblPr>
        <w:tblStyle w:val="LightList-Accent21"/>
        <w:tblW w:w="0" w:type="auto"/>
        <w:tblInd w:w="-10" w:type="dxa"/>
        <w:tblLayout w:type="fixed"/>
        <w:tblLook w:val="04A0" w:firstRow="1" w:lastRow="0" w:firstColumn="1" w:lastColumn="0" w:noHBand="0" w:noVBand="1"/>
      </w:tblPr>
      <w:tblGrid>
        <w:gridCol w:w="1560"/>
        <w:gridCol w:w="3543"/>
        <w:gridCol w:w="1560"/>
        <w:gridCol w:w="1417"/>
        <w:gridCol w:w="1701"/>
      </w:tblGrid>
      <w:tr w:rsidR="005A0219" w:rsidRPr="00C97275" w14:paraId="5B445B45" w14:textId="77777777" w:rsidTr="003640C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FBA78CD"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Priemonės kodas</w:t>
            </w:r>
          </w:p>
        </w:tc>
        <w:tc>
          <w:tcPr>
            <w:tcW w:w="3543" w:type="dxa"/>
            <w:noWrap/>
            <w:hideMark/>
          </w:tcPr>
          <w:p w14:paraId="0FB92A2A" w14:textId="77777777" w:rsidR="005A0219" w:rsidRPr="00C97275" w:rsidRDefault="005A0219" w:rsidP="005A0219">
            <w:pPr>
              <w:spacing w:after="240" w:line="240" w:lineRule="atLeas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Priemonės pavadinimas</w:t>
            </w:r>
          </w:p>
        </w:tc>
        <w:tc>
          <w:tcPr>
            <w:tcW w:w="1560" w:type="dxa"/>
            <w:noWrap/>
            <w:hideMark/>
          </w:tcPr>
          <w:p w14:paraId="4D9350FE" w14:textId="6585B8EA" w:rsidR="005A0219" w:rsidRPr="00C97275" w:rsidRDefault="005A0219" w:rsidP="00192663">
            <w:pPr>
              <w:spacing w:after="240" w:line="240" w:lineRule="atLeast"/>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 xml:space="preserve">Suma, </w:t>
            </w:r>
            <w:r w:rsidR="00192663" w:rsidRPr="00C97275">
              <w:rPr>
                <w:rFonts w:ascii="Georgia" w:eastAsia="Georgia" w:hAnsi="Georgia" w:cs="Arial Unicode MS"/>
                <w:sz w:val="20"/>
                <w:szCs w:val="20"/>
              </w:rPr>
              <w:t>eurais</w:t>
            </w:r>
          </w:p>
        </w:tc>
        <w:tc>
          <w:tcPr>
            <w:tcW w:w="1417" w:type="dxa"/>
            <w:hideMark/>
          </w:tcPr>
          <w:p w14:paraId="279701E8" w14:textId="77777777" w:rsidR="005A0219" w:rsidRPr="00C97275" w:rsidRDefault="005A0219" w:rsidP="005A0219">
            <w:pPr>
              <w:spacing w:after="240" w:line="240" w:lineRule="atLeast"/>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Išmokėta (%)</w:t>
            </w:r>
          </w:p>
        </w:tc>
        <w:tc>
          <w:tcPr>
            <w:tcW w:w="1701" w:type="dxa"/>
            <w:hideMark/>
          </w:tcPr>
          <w:p w14:paraId="6730EEC1" w14:textId="77777777" w:rsidR="005A0219" w:rsidRPr="00C97275" w:rsidRDefault="005A0219" w:rsidP="005A0219">
            <w:pPr>
              <w:spacing w:after="240" w:line="240" w:lineRule="atLeast"/>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Sutarties pasirašymo data</w:t>
            </w:r>
          </w:p>
        </w:tc>
      </w:tr>
      <w:tr w:rsidR="005A0219" w:rsidRPr="00C97275" w14:paraId="7065B76A" w14:textId="77777777" w:rsidTr="003640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noWrap/>
            <w:hideMark/>
          </w:tcPr>
          <w:p w14:paraId="686E5B41"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04.3.1-VIPA-V-101</w:t>
            </w:r>
          </w:p>
        </w:tc>
        <w:tc>
          <w:tcPr>
            <w:tcW w:w="3543" w:type="dxa"/>
            <w:shd w:val="clear" w:color="auto" w:fill="F8D3CF"/>
            <w:noWrap/>
            <w:hideMark/>
          </w:tcPr>
          <w:p w14:paraId="6CAFA9BF" w14:textId="77777777" w:rsidR="005A0219" w:rsidRPr="00C97275"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Valstybei nuosavybės teise priklausančių pastatų atnaujinimas</w:t>
            </w:r>
          </w:p>
        </w:tc>
        <w:tc>
          <w:tcPr>
            <w:tcW w:w="1560" w:type="dxa"/>
            <w:shd w:val="clear" w:color="auto" w:fill="F8D3CF"/>
            <w:noWrap/>
            <w:hideMark/>
          </w:tcPr>
          <w:p w14:paraId="2A0FFC20"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28 962 001</w:t>
            </w:r>
          </w:p>
        </w:tc>
        <w:tc>
          <w:tcPr>
            <w:tcW w:w="1417" w:type="dxa"/>
            <w:shd w:val="clear" w:color="auto" w:fill="F8D3CF"/>
            <w:noWrap/>
            <w:hideMark/>
          </w:tcPr>
          <w:p w14:paraId="4248154B"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0%</w:t>
            </w:r>
          </w:p>
        </w:tc>
        <w:tc>
          <w:tcPr>
            <w:tcW w:w="1701" w:type="dxa"/>
            <w:shd w:val="clear" w:color="auto" w:fill="F8D3CF"/>
            <w:noWrap/>
            <w:hideMark/>
          </w:tcPr>
          <w:p w14:paraId="6265A487"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 </w:t>
            </w:r>
          </w:p>
        </w:tc>
      </w:tr>
      <w:tr w:rsidR="005A0219" w:rsidRPr="00C97275" w14:paraId="5A1BC447" w14:textId="77777777" w:rsidTr="003640C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noWrap/>
          </w:tcPr>
          <w:p w14:paraId="093A5EB0"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04.3.1-FM-F-105</w:t>
            </w:r>
          </w:p>
        </w:tc>
        <w:tc>
          <w:tcPr>
            <w:tcW w:w="3543" w:type="dxa"/>
            <w:shd w:val="clear" w:color="auto" w:fill="F8D3CF"/>
            <w:noWrap/>
          </w:tcPr>
          <w:p w14:paraId="1F4F3F1C" w14:textId="77777777" w:rsidR="005A0219" w:rsidRPr="00C97275"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Energijos vartojimo efektyvumo didinimas viešojoje infrastruktūroje</w:t>
            </w:r>
          </w:p>
        </w:tc>
        <w:tc>
          <w:tcPr>
            <w:tcW w:w="1560" w:type="dxa"/>
            <w:shd w:val="clear" w:color="auto" w:fill="F8D3CF"/>
            <w:noWrap/>
          </w:tcPr>
          <w:p w14:paraId="3E34DF5A"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bookmarkStart w:id="102" w:name="_Hlk496651910"/>
            <w:r w:rsidRPr="00C97275">
              <w:rPr>
                <w:rFonts w:ascii="Georgia" w:eastAsia="Georgia" w:hAnsi="Georgia" w:cs="Arial Unicode MS"/>
                <w:sz w:val="20"/>
                <w:szCs w:val="20"/>
              </w:rPr>
              <w:t>79 645 505</w:t>
            </w:r>
            <w:bookmarkEnd w:id="102"/>
          </w:p>
        </w:tc>
        <w:tc>
          <w:tcPr>
            <w:tcW w:w="1417" w:type="dxa"/>
            <w:shd w:val="clear" w:color="auto" w:fill="F8D3CF"/>
            <w:noWrap/>
          </w:tcPr>
          <w:p w14:paraId="0D6952CB" w14:textId="5613D4FA" w:rsidR="005A0219" w:rsidRPr="00C97275"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24</w:t>
            </w:r>
            <w:r w:rsidR="005A0219" w:rsidRPr="00C97275">
              <w:rPr>
                <w:rFonts w:ascii="Georgia" w:eastAsia="Georgia" w:hAnsi="Georgia" w:cs="Arial Unicode MS"/>
                <w:sz w:val="20"/>
                <w:szCs w:val="20"/>
              </w:rPr>
              <w:t>%</w:t>
            </w:r>
          </w:p>
        </w:tc>
        <w:tc>
          <w:tcPr>
            <w:tcW w:w="1701" w:type="dxa"/>
            <w:shd w:val="clear" w:color="auto" w:fill="F8D3CF"/>
            <w:noWrap/>
          </w:tcPr>
          <w:p w14:paraId="1C99FA15"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C97275" w14:paraId="59629BDF"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7645D106"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04.3.1-FM-F-105-</w:t>
            </w:r>
            <w:r w:rsidRPr="00C97275">
              <w:rPr>
                <w:rFonts w:ascii="Georgia" w:eastAsia="Georgia" w:hAnsi="Georgia" w:cs="Arial Unicode MS"/>
                <w:sz w:val="20"/>
                <w:szCs w:val="20"/>
              </w:rPr>
              <w:lastRenderedPageBreak/>
              <w:t>01-0001</w:t>
            </w:r>
          </w:p>
        </w:tc>
        <w:tc>
          <w:tcPr>
            <w:tcW w:w="3543" w:type="dxa"/>
            <w:hideMark/>
          </w:tcPr>
          <w:p w14:paraId="6F70CF55" w14:textId="77777777" w:rsidR="005A0219" w:rsidRPr="00C97275"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lastRenderedPageBreak/>
              <w:t xml:space="preserve">Energijos efektyvumo fondas, finansuojamas iš Europos regioninės </w:t>
            </w:r>
            <w:r w:rsidRPr="00C97275">
              <w:rPr>
                <w:rFonts w:ascii="Georgia" w:eastAsia="Georgia" w:hAnsi="Georgia" w:cs="Arial Unicode MS"/>
                <w:sz w:val="20"/>
                <w:szCs w:val="20"/>
              </w:rPr>
              <w:lastRenderedPageBreak/>
              <w:t>plėtros fondo</w:t>
            </w:r>
          </w:p>
        </w:tc>
        <w:tc>
          <w:tcPr>
            <w:tcW w:w="1560" w:type="dxa"/>
            <w:noWrap/>
            <w:hideMark/>
          </w:tcPr>
          <w:p w14:paraId="55CEEF55"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lastRenderedPageBreak/>
              <w:t>79 645 505</w:t>
            </w:r>
          </w:p>
        </w:tc>
        <w:tc>
          <w:tcPr>
            <w:tcW w:w="1417" w:type="dxa"/>
            <w:noWrap/>
            <w:hideMark/>
          </w:tcPr>
          <w:p w14:paraId="7EC068AA"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24%</w:t>
            </w:r>
          </w:p>
        </w:tc>
        <w:tc>
          <w:tcPr>
            <w:tcW w:w="1701" w:type="dxa"/>
            <w:noWrap/>
            <w:hideMark/>
          </w:tcPr>
          <w:p w14:paraId="367C4B54" w14:textId="5DA9D7CB"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2015</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02</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18</w:t>
            </w:r>
          </w:p>
        </w:tc>
      </w:tr>
      <w:tr w:rsidR="005A0219" w:rsidRPr="00C97275" w14:paraId="3223EFF9"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tcPr>
          <w:p w14:paraId="3702A95B"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lastRenderedPageBreak/>
              <w:t>Nr. 04.3.1-FM-F-001</w:t>
            </w:r>
          </w:p>
        </w:tc>
        <w:tc>
          <w:tcPr>
            <w:tcW w:w="3543" w:type="dxa"/>
            <w:shd w:val="clear" w:color="auto" w:fill="F8D3CF"/>
          </w:tcPr>
          <w:p w14:paraId="7C27DEBF" w14:textId="77777777" w:rsidR="005A0219" w:rsidRPr="00C97275"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Daugiabučių namų atnaujinimas</w:t>
            </w:r>
          </w:p>
        </w:tc>
        <w:tc>
          <w:tcPr>
            <w:tcW w:w="1560" w:type="dxa"/>
            <w:shd w:val="clear" w:color="auto" w:fill="F8D3CF"/>
            <w:noWrap/>
          </w:tcPr>
          <w:p w14:paraId="20994BA9"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314 000 000</w:t>
            </w:r>
          </w:p>
        </w:tc>
        <w:tc>
          <w:tcPr>
            <w:tcW w:w="1417" w:type="dxa"/>
            <w:shd w:val="clear" w:color="auto" w:fill="F8D3CF"/>
            <w:noWrap/>
          </w:tcPr>
          <w:p w14:paraId="33F8590E" w14:textId="57C862E8" w:rsidR="005A0219" w:rsidRPr="00C97275"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87</w:t>
            </w:r>
            <w:r w:rsidR="005A0219" w:rsidRPr="00C97275">
              <w:rPr>
                <w:rFonts w:ascii="Georgia" w:eastAsia="Georgia" w:hAnsi="Georgia" w:cs="Arial Unicode MS"/>
                <w:sz w:val="20"/>
                <w:szCs w:val="20"/>
              </w:rPr>
              <w:t>%</w:t>
            </w:r>
          </w:p>
        </w:tc>
        <w:tc>
          <w:tcPr>
            <w:tcW w:w="1701" w:type="dxa"/>
            <w:shd w:val="clear" w:color="auto" w:fill="F8D3CF"/>
            <w:noWrap/>
          </w:tcPr>
          <w:p w14:paraId="597D2C93"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C97275" w14:paraId="408FA9EA"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27BA04DE"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04.3.1-FM-F-001-01-0001</w:t>
            </w:r>
          </w:p>
        </w:tc>
        <w:tc>
          <w:tcPr>
            <w:tcW w:w="3543" w:type="dxa"/>
            <w:hideMark/>
          </w:tcPr>
          <w:p w14:paraId="26597139" w14:textId="77777777" w:rsidR="005A0219" w:rsidRPr="00C97275"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Daugiabučių namų modernizavimo fondas, finansuojamas Europos regioninės plėtros fondo lėšomis</w:t>
            </w:r>
          </w:p>
        </w:tc>
        <w:tc>
          <w:tcPr>
            <w:tcW w:w="1560" w:type="dxa"/>
            <w:noWrap/>
            <w:hideMark/>
          </w:tcPr>
          <w:p w14:paraId="50595081"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74 000 000</w:t>
            </w:r>
          </w:p>
        </w:tc>
        <w:tc>
          <w:tcPr>
            <w:tcW w:w="1417" w:type="dxa"/>
            <w:noWrap/>
            <w:hideMark/>
          </w:tcPr>
          <w:p w14:paraId="0D723291"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100%</w:t>
            </w:r>
          </w:p>
        </w:tc>
        <w:tc>
          <w:tcPr>
            <w:tcW w:w="1701" w:type="dxa"/>
            <w:noWrap/>
            <w:hideMark/>
          </w:tcPr>
          <w:p w14:paraId="710AA603" w14:textId="09E7F343"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2015</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03</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27</w:t>
            </w:r>
          </w:p>
        </w:tc>
      </w:tr>
      <w:tr w:rsidR="005A0219" w:rsidRPr="00C97275" w14:paraId="2C43552E"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62765457"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04.3.1-FM-F-001-02-0001</w:t>
            </w:r>
          </w:p>
        </w:tc>
        <w:tc>
          <w:tcPr>
            <w:tcW w:w="3543" w:type="dxa"/>
            <w:hideMark/>
          </w:tcPr>
          <w:p w14:paraId="708E81BE" w14:textId="77777777" w:rsidR="005A0219" w:rsidRPr="00C97275"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Jessica II Fondų fondas („FF“), finansuojamas Europos regioninės plėtros fondo</w:t>
            </w:r>
          </w:p>
        </w:tc>
        <w:tc>
          <w:tcPr>
            <w:tcW w:w="1560" w:type="dxa"/>
            <w:noWrap/>
            <w:hideMark/>
          </w:tcPr>
          <w:p w14:paraId="261444B2"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150 000 000</w:t>
            </w:r>
          </w:p>
        </w:tc>
        <w:tc>
          <w:tcPr>
            <w:tcW w:w="1417" w:type="dxa"/>
            <w:noWrap/>
            <w:hideMark/>
          </w:tcPr>
          <w:p w14:paraId="729C1F14"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100%</w:t>
            </w:r>
          </w:p>
        </w:tc>
        <w:tc>
          <w:tcPr>
            <w:tcW w:w="1701" w:type="dxa"/>
            <w:noWrap/>
            <w:hideMark/>
          </w:tcPr>
          <w:p w14:paraId="6A6127DE" w14:textId="25019799"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2015</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05</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07</w:t>
            </w:r>
          </w:p>
        </w:tc>
      </w:tr>
      <w:tr w:rsidR="005A0219" w:rsidRPr="00C97275" w14:paraId="74B0DD8C"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2E277DE9"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04.3.1-FM-F-001-02-0002</w:t>
            </w:r>
          </w:p>
        </w:tc>
        <w:tc>
          <w:tcPr>
            <w:tcW w:w="3543" w:type="dxa"/>
            <w:hideMark/>
          </w:tcPr>
          <w:p w14:paraId="3C160FF6" w14:textId="77777777" w:rsidR="005A0219" w:rsidRPr="00C97275"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Rizikos pasidalijimo fondas, finansuojamas Europos regioninės plėtros fondo ir grįžusių lėšų</w:t>
            </w:r>
          </w:p>
        </w:tc>
        <w:tc>
          <w:tcPr>
            <w:tcW w:w="1560" w:type="dxa"/>
            <w:noWrap/>
            <w:hideMark/>
          </w:tcPr>
          <w:p w14:paraId="356F32AD"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90 000 000</w:t>
            </w:r>
          </w:p>
        </w:tc>
        <w:tc>
          <w:tcPr>
            <w:tcW w:w="1417" w:type="dxa"/>
            <w:noWrap/>
            <w:hideMark/>
          </w:tcPr>
          <w:p w14:paraId="05F7D651" w14:textId="4921A1F9" w:rsidR="005A0219" w:rsidRPr="00C97275" w:rsidRDefault="00DA6728" w:rsidP="00DA6728">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56%</w:t>
            </w:r>
          </w:p>
        </w:tc>
        <w:tc>
          <w:tcPr>
            <w:tcW w:w="1701" w:type="dxa"/>
            <w:noWrap/>
            <w:hideMark/>
          </w:tcPr>
          <w:p w14:paraId="0FE58F23" w14:textId="4B145454"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2016</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10</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05</w:t>
            </w:r>
          </w:p>
        </w:tc>
      </w:tr>
      <w:tr w:rsidR="005A0219" w:rsidRPr="00C97275" w14:paraId="5F81AA46"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tcPr>
          <w:p w14:paraId="403027AA"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04.3.1-FM-F-002</w:t>
            </w:r>
          </w:p>
        </w:tc>
        <w:tc>
          <w:tcPr>
            <w:tcW w:w="3543" w:type="dxa"/>
            <w:shd w:val="clear" w:color="auto" w:fill="F8D3CF"/>
          </w:tcPr>
          <w:p w14:paraId="126E7C80" w14:textId="77777777" w:rsidR="005A0219" w:rsidRPr="00C97275"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Savivaldybių viešųjų pastatų atnaujinimas</w:t>
            </w:r>
          </w:p>
        </w:tc>
        <w:tc>
          <w:tcPr>
            <w:tcW w:w="1560" w:type="dxa"/>
            <w:shd w:val="clear" w:color="auto" w:fill="F8D3CF"/>
            <w:noWrap/>
          </w:tcPr>
          <w:p w14:paraId="33AB08E0"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17 268 692</w:t>
            </w:r>
          </w:p>
        </w:tc>
        <w:tc>
          <w:tcPr>
            <w:tcW w:w="1417" w:type="dxa"/>
            <w:shd w:val="clear" w:color="auto" w:fill="F8D3CF"/>
            <w:noWrap/>
          </w:tcPr>
          <w:p w14:paraId="43805310" w14:textId="65F3E67E" w:rsidR="005A0219" w:rsidRPr="00C97275"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25</w:t>
            </w:r>
            <w:r w:rsidR="005A0219" w:rsidRPr="00C97275">
              <w:rPr>
                <w:rFonts w:ascii="Georgia" w:eastAsia="Georgia" w:hAnsi="Georgia" w:cs="Arial Unicode MS"/>
                <w:sz w:val="20"/>
                <w:szCs w:val="20"/>
              </w:rPr>
              <w:t>%</w:t>
            </w:r>
          </w:p>
        </w:tc>
        <w:tc>
          <w:tcPr>
            <w:tcW w:w="1701" w:type="dxa"/>
            <w:shd w:val="clear" w:color="auto" w:fill="F8D3CF"/>
            <w:noWrap/>
          </w:tcPr>
          <w:p w14:paraId="2CFF76EA"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rPr>
            </w:pPr>
          </w:p>
        </w:tc>
      </w:tr>
      <w:tr w:rsidR="005A0219" w:rsidRPr="00C97275" w14:paraId="0E5AB66C"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0C6E3346"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04.3.1-FM-F-002-01-0001</w:t>
            </w:r>
          </w:p>
        </w:tc>
        <w:tc>
          <w:tcPr>
            <w:tcW w:w="3543" w:type="dxa"/>
            <w:hideMark/>
          </w:tcPr>
          <w:p w14:paraId="7AB1B0DC" w14:textId="77777777" w:rsidR="005A0219" w:rsidRPr="00C97275"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Savivaldybių pastatų fondas</w:t>
            </w:r>
          </w:p>
        </w:tc>
        <w:tc>
          <w:tcPr>
            <w:tcW w:w="1560" w:type="dxa"/>
            <w:noWrap/>
            <w:hideMark/>
          </w:tcPr>
          <w:p w14:paraId="0DDADD1D"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17 268 692</w:t>
            </w:r>
          </w:p>
        </w:tc>
        <w:tc>
          <w:tcPr>
            <w:tcW w:w="1417" w:type="dxa"/>
            <w:noWrap/>
            <w:hideMark/>
          </w:tcPr>
          <w:p w14:paraId="2061584F"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25%</w:t>
            </w:r>
          </w:p>
        </w:tc>
        <w:tc>
          <w:tcPr>
            <w:tcW w:w="1701" w:type="dxa"/>
            <w:noWrap/>
            <w:hideMark/>
          </w:tcPr>
          <w:p w14:paraId="5185A012" w14:textId="63C9118C"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2017</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06</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27</w:t>
            </w:r>
          </w:p>
        </w:tc>
      </w:tr>
      <w:tr w:rsidR="005A0219" w:rsidRPr="00C97275" w14:paraId="05FE426B"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tcPr>
          <w:p w14:paraId="49150595"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04.3.1-APVA-V-003</w:t>
            </w:r>
          </w:p>
        </w:tc>
        <w:tc>
          <w:tcPr>
            <w:tcW w:w="3543" w:type="dxa"/>
            <w:shd w:val="clear" w:color="auto" w:fill="F8D3CF"/>
          </w:tcPr>
          <w:p w14:paraId="4683EF62" w14:textId="77777777" w:rsidR="005A0219" w:rsidRPr="00C97275"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Daugiabučių namų ir savivaldybių viešųjų pastatų modernizavimo skatinimas</w:t>
            </w:r>
          </w:p>
        </w:tc>
        <w:tc>
          <w:tcPr>
            <w:tcW w:w="1560" w:type="dxa"/>
            <w:shd w:val="clear" w:color="auto" w:fill="F8D3CF"/>
            <w:noWrap/>
          </w:tcPr>
          <w:p w14:paraId="4E835CAA"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 xml:space="preserve"> 8 688 600</w:t>
            </w:r>
          </w:p>
        </w:tc>
        <w:tc>
          <w:tcPr>
            <w:tcW w:w="1417" w:type="dxa"/>
            <w:shd w:val="clear" w:color="auto" w:fill="F8D3CF"/>
            <w:noWrap/>
          </w:tcPr>
          <w:p w14:paraId="2086CC56" w14:textId="33B323DE" w:rsidR="005A0219" w:rsidRPr="00C97275"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23</w:t>
            </w:r>
            <w:r w:rsidR="005A0219" w:rsidRPr="00C97275">
              <w:rPr>
                <w:rFonts w:ascii="Georgia" w:eastAsia="Georgia" w:hAnsi="Georgia" w:cs="Arial Unicode MS"/>
                <w:sz w:val="20"/>
                <w:szCs w:val="20"/>
              </w:rPr>
              <w:t>%</w:t>
            </w:r>
          </w:p>
        </w:tc>
        <w:tc>
          <w:tcPr>
            <w:tcW w:w="1701" w:type="dxa"/>
            <w:shd w:val="clear" w:color="auto" w:fill="F8D3CF"/>
            <w:noWrap/>
          </w:tcPr>
          <w:p w14:paraId="6E59CC44"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C97275" w14:paraId="2DBA3830"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0646C423"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04.3.1-APVA-V-003-01-0001</w:t>
            </w:r>
          </w:p>
        </w:tc>
        <w:tc>
          <w:tcPr>
            <w:tcW w:w="3543" w:type="dxa"/>
            <w:hideMark/>
          </w:tcPr>
          <w:p w14:paraId="63DF2E35" w14:textId="77777777" w:rsidR="005A0219" w:rsidRPr="00C97275"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Daugiabučių namų ir savivaldybių viešųjų pastatų modernizavimo skatinimas</w:t>
            </w:r>
          </w:p>
        </w:tc>
        <w:tc>
          <w:tcPr>
            <w:tcW w:w="1560" w:type="dxa"/>
            <w:noWrap/>
            <w:hideMark/>
          </w:tcPr>
          <w:p w14:paraId="03FC89A4"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4 542 187</w:t>
            </w:r>
          </w:p>
        </w:tc>
        <w:tc>
          <w:tcPr>
            <w:tcW w:w="1417" w:type="dxa"/>
            <w:noWrap/>
            <w:hideMark/>
          </w:tcPr>
          <w:p w14:paraId="0A38F8A7"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40%</w:t>
            </w:r>
          </w:p>
        </w:tc>
        <w:tc>
          <w:tcPr>
            <w:tcW w:w="1701" w:type="dxa"/>
            <w:noWrap/>
            <w:hideMark/>
          </w:tcPr>
          <w:p w14:paraId="46A7C841" w14:textId="469BA78F"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2016</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08</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25</w:t>
            </w:r>
          </w:p>
        </w:tc>
      </w:tr>
      <w:tr w:rsidR="005A0219" w:rsidRPr="00C97275" w14:paraId="3AF8AB98"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5C0A435B" w14:textId="77777777" w:rsidR="005A0219" w:rsidRPr="00C97275" w:rsidRDefault="005A0219"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Nr. 04.3.1-APVA-V-003-01-0002</w:t>
            </w:r>
          </w:p>
        </w:tc>
        <w:tc>
          <w:tcPr>
            <w:tcW w:w="3543" w:type="dxa"/>
            <w:hideMark/>
          </w:tcPr>
          <w:p w14:paraId="10C6E390" w14:textId="77777777" w:rsidR="005A0219" w:rsidRPr="00C97275"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Atnaujinamų (modernizuojamų) pastatų statybos kokybės priežiūra ir kontrolė</w:t>
            </w:r>
          </w:p>
        </w:tc>
        <w:tc>
          <w:tcPr>
            <w:tcW w:w="1560" w:type="dxa"/>
            <w:noWrap/>
            <w:hideMark/>
          </w:tcPr>
          <w:p w14:paraId="3914B533"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429 018</w:t>
            </w:r>
          </w:p>
        </w:tc>
        <w:tc>
          <w:tcPr>
            <w:tcW w:w="1417" w:type="dxa"/>
            <w:noWrap/>
            <w:hideMark/>
          </w:tcPr>
          <w:p w14:paraId="6A782D9B" w14:textId="77777777"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34%</w:t>
            </w:r>
          </w:p>
        </w:tc>
        <w:tc>
          <w:tcPr>
            <w:tcW w:w="1701" w:type="dxa"/>
            <w:noWrap/>
            <w:hideMark/>
          </w:tcPr>
          <w:p w14:paraId="1F7A8979" w14:textId="018A36F9" w:rsidR="005A0219" w:rsidRPr="00C97275"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2016</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12</w:t>
            </w:r>
            <w:r w:rsidR="00192663" w:rsidRPr="00C97275">
              <w:rPr>
                <w:rFonts w:ascii="Georgia" w:eastAsia="Georgia" w:hAnsi="Georgia" w:cs="Arial Unicode MS"/>
                <w:sz w:val="20"/>
                <w:szCs w:val="20"/>
              </w:rPr>
              <w:t>-</w:t>
            </w:r>
            <w:r w:rsidRPr="00C97275">
              <w:rPr>
                <w:rFonts w:ascii="Georgia" w:eastAsia="Georgia" w:hAnsi="Georgia" w:cs="Arial Unicode MS"/>
                <w:sz w:val="20"/>
                <w:szCs w:val="20"/>
              </w:rPr>
              <w:t>13</w:t>
            </w:r>
          </w:p>
        </w:tc>
      </w:tr>
      <w:tr w:rsidR="005A0219" w:rsidRPr="00C97275" w14:paraId="3B67D0DD" w14:textId="77777777" w:rsidTr="003640C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60" w:type="dxa"/>
          </w:tcPr>
          <w:p w14:paraId="70DBA861" w14:textId="2E6B92F3" w:rsidR="005A0219" w:rsidRPr="00C97275" w:rsidRDefault="00192663" w:rsidP="005A0219">
            <w:pPr>
              <w:spacing w:after="240" w:line="240" w:lineRule="atLeast"/>
              <w:rPr>
                <w:rFonts w:ascii="Georgia" w:eastAsia="Georgia" w:hAnsi="Georgia" w:cs="Arial Unicode MS"/>
                <w:sz w:val="20"/>
                <w:szCs w:val="20"/>
              </w:rPr>
            </w:pPr>
            <w:r w:rsidRPr="00C97275">
              <w:rPr>
                <w:rFonts w:ascii="Georgia" w:eastAsia="Georgia" w:hAnsi="Georgia" w:cs="Arial Unicode MS"/>
                <w:sz w:val="20"/>
                <w:szCs w:val="20"/>
              </w:rPr>
              <w:t>Iš viso</w:t>
            </w:r>
          </w:p>
        </w:tc>
        <w:tc>
          <w:tcPr>
            <w:tcW w:w="3543" w:type="dxa"/>
          </w:tcPr>
          <w:p w14:paraId="35D779FD" w14:textId="77777777" w:rsidR="005A0219" w:rsidRPr="00C97275"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p>
        </w:tc>
        <w:tc>
          <w:tcPr>
            <w:tcW w:w="1560" w:type="dxa"/>
            <w:noWrap/>
          </w:tcPr>
          <w:p w14:paraId="266FB65A"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sz w:val="20"/>
                <w:szCs w:val="20"/>
              </w:rPr>
            </w:pPr>
            <w:r w:rsidRPr="00C97275">
              <w:rPr>
                <w:rFonts w:ascii="Georgia" w:eastAsia="Georgia" w:hAnsi="Georgia" w:cs="Arial Unicode MS"/>
                <w:b/>
                <w:sz w:val="20"/>
                <w:szCs w:val="20"/>
              </w:rPr>
              <w:t>448 564 798</w:t>
            </w:r>
          </w:p>
        </w:tc>
        <w:tc>
          <w:tcPr>
            <w:tcW w:w="1417" w:type="dxa"/>
            <w:noWrap/>
          </w:tcPr>
          <w:p w14:paraId="26B37390"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rPr>
            </w:pPr>
          </w:p>
        </w:tc>
        <w:tc>
          <w:tcPr>
            <w:tcW w:w="1701" w:type="dxa"/>
            <w:noWrap/>
          </w:tcPr>
          <w:p w14:paraId="4D651F1F" w14:textId="77777777" w:rsidR="005A0219" w:rsidRPr="00C97275"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rPr>
            </w:pPr>
          </w:p>
        </w:tc>
      </w:tr>
    </w:tbl>
    <w:p w14:paraId="18C477A5" w14:textId="77777777" w:rsidR="005A0219" w:rsidRPr="00C97275" w:rsidRDefault="005A0219" w:rsidP="005A0219">
      <w:pPr>
        <w:spacing w:after="160" w:line="240" w:lineRule="auto"/>
        <w:rPr>
          <w:rFonts w:ascii="Georgia" w:eastAsia="Georgia" w:hAnsi="Georgia" w:cs="Georgia"/>
          <w:i/>
          <w:iCs/>
          <w:color w:val="821A1A"/>
          <w:sz w:val="20"/>
          <w:szCs w:val="18"/>
          <w:lang w:val="lt-LT"/>
        </w:rPr>
      </w:pPr>
      <w:r w:rsidRPr="00C97275">
        <w:rPr>
          <w:rFonts w:ascii="Georgia" w:eastAsia="Georgia" w:hAnsi="Georgia" w:cs="Georgia"/>
          <w:i/>
          <w:iCs/>
          <w:color w:val="821A1A"/>
          <w:sz w:val="20"/>
          <w:szCs w:val="18"/>
          <w:lang w:val="lt-LT"/>
        </w:rPr>
        <w:t>Šaltinis: sudaryta autorių</w:t>
      </w:r>
    </w:p>
    <w:p w14:paraId="442EA1C0" w14:textId="77777777" w:rsidR="005A0219" w:rsidRPr="00C97275" w:rsidRDefault="005A0219" w:rsidP="005A0219">
      <w:pPr>
        <w:spacing w:after="160" w:line="240" w:lineRule="auto"/>
        <w:jc w:val="both"/>
        <w:rPr>
          <w:rFonts w:ascii="Georgia" w:eastAsia="Georgia" w:hAnsi="Georgia" w:cs="Times New Roman"/>
          <w:b/>
          <w:sz w:val="20"/>
          <w:szCs w:val="20"/>
          <w:lang w:val="lt-LT"/>
        </w:rPr>
      </w:pPr>
      <w:r w:rsidRPr="00C97275">
        <w:rPr>
          <w:rFonts w:ascii="Georgia" w:eastAsia="Georgia" w:hAnsi="Georgia" w:cs="Times New Roman"/>
          <w:b/>
          <w:sz w:val="20"/>
          <w:szCs w:val="20"/>
          <w:lang w:val="lt-LT"/>
        </w:rPr>
        <w:t>Energijos efektyvumo fondas (ENEF)</w:t>
      </w:r>
    </w:p>
    <w:p w14:paraId="4C000E0D"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2015 m. vasario 18 d. trišale sutartimi, sudaryta tarp Lietuvos Respublikos finansų ministerijos, Lietuvos Respublikos energetikos ministerijos ir VIPA, įsteigtas Energijos efektyvumo fondas (ENEF fondas), finansuojamas Europos regioninės plėtros fondo lėšomis, o VIPA veikia kaip šio fondo valdytoja.</w:t>
      </w:r>
    </w:p>
    <w:p w14:paraId="3927F79E"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Energijos efektyvumo fondo tikslas – skatinti energijos efektyvumą investuojant į viešąją infrastruktūrą. Fondo apimtyje bus įgyvendinamos dvi finansinės priemonės: </w:t>
      </w:r>
    </w:p>
    <w:p w14:paraId="4D533BA5" w14:textId="77777777" w:rsidR="005A0219" w:rsidRPr="00C97275" w:rsidRDefault="005A0219" w:rsidP="00162BF5">
      <w:pPr>
        <w:numPr>
          <w:ilvl w:val="0"/>
          <w:numId w:val="71"/>
        </w:numPr>
        <w:spacing w:after="120" w:line="240" w:lineRule="auto"/>
        <w:contextualSpacing/>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Paskolų finansinė priemonė, kuria teikiamos lengvatinės paskolos centrinės valdžios viešųjų pastatų modernizavimo projektams finansuoti. Šiai priemonei skirta 65,16 mln. eurų;</w:t>
      </w:r>
    </w:p>
    <w:p w14:paraId="0D23FB37" w14:textId="77777777" w:rsidR="005A0219" w:rsidRPr="00C97275" w:rsidRDefault="005A0219" w:rsidP="00162BF5">
      <w:pPr>
        <w:numPr>
          <w:ilvl w:val="0"/>
          <w:numId w:val="71"/>
        </w:numPr>
        <w:spacing w:after="120" w:line="240" w:lineRule="auto"/>
        <w:contextualSpacing/>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Garantijų finansinė priemonė, kuri skirta garantuoti  gatvių apšvietimo modernizavimo projektams finansuoti komercinių bankų suteiktas paskolas. Priemonei skirta 14,49 mln. eurų.</w:t>
      </w:r>
    </w:p>
    <w:p w14:paraId="38693164" w14:textId="0D8E54F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Įgyvendinant šias finansines priemones </w:t>
      </w:r>
      <w:r w:rsidR="00FB6F18" w:rsidRPr="00C97275">
        <w:rPr>
          <w:rFonts w:ascii="Georgia" w:eastAsia="Georgia" w:hAnsi="Georgia" w:cs="Times New Roman"/>
          <w:sz w:val="20"/>
          <w:szCs w:val="20"/>
          <w:lang w:val="lt-LT"/>
        </w:rPr>
        <w:t xml:space="preserve">ESCO </w:t>
      </w:r>
      <w:r w:rsidRPr="00C97275">
        <w:rPr>
          <w:rFonts w:ascii="Georgia" w:eastAsia="Georgia" w:hAnsi="Georgia" w:cs="Times New Roman"/>
          <w:sz w:val="20"/>
          <w:szCs w:val="20"/>
          <w:lang w:val="lt-LT"/>
        </w:rPr>
        <w:t xml:space="preserve">(energijos taupymo paslaugų teikėjas) bendrovėms, centrinės valdžios subjektams (kurie turi teisę skolintis) sudaromos galimybės įgyvendinti energijos vartojimo efektyvumo projektus pasinaudojant teikiamu finansavimu. Sudarant galimybę pasinaudoti </w:t>
      </w:r>
      <w:r w:rsidRPr="00C97275">
        <w:rPr>
          <w:rFonts w:ascii="Georgia" w:eastAsia="Georgia" w:hAnsi="Georgia" w:cs="Times New Roman"/>
          <w:sz w:val="20"/>
          <w:szCs w:val="20"/>
          <w:lang w:val="lt-LT"/>
        </w:rPr>
        <w:lastRenderedPageBreak/>
        <w:t xml:space="preserve">palankiomis finansavimo sąlygomis bus siekiama pritraukti privataus sektoriaus </w:t>
      </w:r>
      <w:r w:rsidR="00FB6F18" w:rsidRPr="00C97275">
        <w:rPr>
          <w:rFonts w:ascii="Georgia" w:eastAsia="Georgia" w:hAnsi="Georgia" w:cs="Times New Roman"/>
          <w:sz w:val="20"/>
          <w:szCs w:val="20"/>
          <w:lang w:val="lt-LT"/>
        </w:rPr>
        <w:t xml:space="preserve">ESCO </w:t>
      </w:r>
      <w:r w:rsidRPr="00C97275">
        <w:rPr>
          <w:rFonts w:ascii="Georgia" w:eastAsia="Georgia" w:hAnsi="Georgia" w:cs="Times New Roman"/>
          <w:sz w:val="20"/>
          <w:szCs w:val="20"/>
          <w:lang w:val="lt-LT"/>
        </w:rPr>
        <w:t xml:space="preserve">kompanijas įgyvendinti energijos vartojimo efektyvumo projektus viešajame sektoriuje, bei plėtoti šią rinką Lietuvoje. </w:t>
      </w:r>
    </w:p>
    <w:p w14:paraId="36989CF3"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Pagrindiniai numatomi reikalavimai finansuojamiems centrinės valdžios pastatų energijos efektyvumo projektams yra pasiekti ne žemesnę, nei C energinio naudingumo klasė, o įgyvendinant gatvių apšvietimo modernizavimo projektus turi būti pasiektas minimalus 40 proc. energijos sutaupymas. Finansavimas centrinės valdžios pastatų modernizavimui teikiamas įgyvendinant 2014 m. lapkričio 26 d. Lietuvos Respublikos Vyriausybės nutarimu Nr. 1328 patvirtintą Viešųjų pastatų energinio efektyvumo didinimo programą.</w:t>
      </w:r>
    </w:p>
    <w:p w14:paraId="17C9E508" w14:textId="4CA7E4BC"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2017</w:t>
      </w:r>
      <w:r w:rsidR="0077117B" w:rsidRPr="00C97275">
        <w:rPr>
          <w:rFonts w:ascii="Georgia" w:eastAsia="Georgia" w:hAnsi="Georgia" w:cs="Times New Roman"/>
          <w:sz w:val="20"/>
          <w:szCs w:val="20"/>
          <w:lang w:val="lt-LT"/>
        </w:rPr>
        <w:t xml:space="preserve"> </w:t>
      </w:r>
      <w:r w:rsidR="00D9139B" w:rsidRPr="00C97275">
        <w:rPr>
          <w:rFonts w:ascii="Georgia" w:eastAsia="Georgia" w:hAnsi="Georgia" w:cs="Times New Roman"/>
          <w:sz w:val="20"/>
          <w:szCs w:val="20"/>
          <w:lang w:val="lt-LT"/>
        </w:rPr>
        <w:t>rugpjūčio</w:t>
      </w:r>
      <w:r w:rsidR="0077117B" w:rsidRPr="00C97275">
        <w:rPr>
          <w:rFonts w:ascii="Georgia" w:eastAsia="Georgia" w:hAnsi="Georgia" w:cs="Times New Roman"/>
          <w:sz w:val="20"/>
          <w:szCs w:val="20"/>
          <w:lang w:val="lt-LT"/>
        </w:rPr>
        <w:t xml:space="preserve"> 3 d.</w:t>
      </w:r>
      <w:r w:rsidRPr="00C97275">
        <w:rPr>
          <w:rFonts w:ascii="Georgia" w:eastAsia="Georgia" w:hAnsi="Georgia" w:cs="Times New Roman"/>
          <w:sz w:val="20"/>
          <w:szCs w:val="20"/>
          <w:lang w:val="lt-LT"/>
        </w:rPr>
        <w:t xml:space="preserve"> VIPA su Turto banku pasirašė pirmąsias </w:t>
      </w:r>
      <w:r w:rsidR="00000D8F" w:rsidRPr="00C97275">
        <w:rPr>
          <w:rFonts w:ascii="Georgia" w:eastAsia="Georgia" w:hAnsi="Georgia" w:cs="Times New Roman"/>
          <w:sz w:val="20"/>
          <w:szCs w:val="20"/>
          <w:lang w:val="lt-LT"/>
        </w:rPr>
        <w:t xml:space="preserve">tris </w:t>
      </w:r>
      <w:r w:rsidRPr="00C97275">
        <w:rPr>
          <w:rFonts w:ascii="Georgia" w:eastAsia="Georgia" w:hAnsi="Georgia" w:cs="Times New Roman"/>
          <w:sz w:val="20"/>
          <w:szCs w:val="20"/>
          <w:lang w:val="lt-LT"/>
        </w:rPr>
        <w:t>sutartis už 2 mln. eurų</w:t>
      </w:r>
      <w:r w:rsidR="00000D8F" w:rsidRPr="00C97275">
        <w:rPr>
          <w:rFonts w:ascii="Georgia" w:eastAsia="Georgia" w:hAnsi="Georgia" w:cs="Times New Roman"/>
          <w:sz w:val="20"/>
          <w:szCs w:val="20"/>
          <w:lang w:val="lt-LT"/>
        </w:rPr>
        <w:t>. 2017 m. gruodžio mėn. su Turto banku sudarytos dar dvi sutartys 1,3 mln. eurų sumai. Artimiausiu metu</w:t>
      </w:r>
      <w:r w:rsidRPr="00C97275">
        <w:rPr>
          <w:rFonts w:ascii="Georgia" w:eastAsia="Georgia" w:hAnsi="Georgia" w:cs="Times New Roman"/>
          <w:sz w:val="20"/>
          <w:szCs w:val="20"/>
          <w:lang w:val="lt-LT"/>
        </w:rPr>
        <w:t xml:space="preserve"> numatoma pasirašyti dar daugiau sutarčių. Iš viso šiuo metu VIPA yra gavusi</w:t>
      </w:r>
      <w:r w:rsidR="00F3780B" w:rsidRPr="00C97275">
        <w:rPr>
          <w:rFonts w:ascii="Georgia" w:eastAsia="Georgia" w:hAnsi="Georgia" w:cs="Times New Roman"/>
          <w:sz w:val="20"/>
          <w:szCs w:val="20"/>
          <w:lang w:val="lt-LT"/>
        </w:rPr>
        <w:t xml:space="preserve"> paraiškas</w:t>
      </w:r>
      <w:r w:rsidRPr="00C97275">
        <w:rPr>
          <w:rFonts w:ascii="Georgia" w:eastAsia="Georgia" w:hAnsi="Georgia" w:cs="Times New Roman"/>
          <w:sz w:val="20"/>
          <w:szCs w:val="20"/>
          <w:lang w:val="lt-LT"/>
        </w:rPr>
        <w:t xml:space="preserve"> 61 centrinės valdžios pastat</w:t>
      </w:r>
      <w:r w:rsidR="00F3780B" w:rsidRPr="00C97275">
        <w:rPr>
          <w:rFonts w:ascii="Georgia" w:eastAsia="Georgia" w:hAnsi="Georgia" w:cs="Times New Roman"/>
          <w:sz w:val="20"/>
          <w:szCs w:val="20"/>
          <w:lang w:val="lt-LT"/>
        </w:rPr>
        <w:t>ui</w:t>
      </w:r>
      <w:r w:rsidRPr="00C97275">
        <w:rPr>
          <w:rFonts w:ascii="Georgia" w:eastAsia="Georgia" w:hAnsi="Georgia" w:cs="Times New Roman"/>
          <w:sz w:val="20"/>
          <w:szCs w:val="20"/>
          <w:lang w:val="lt-LT"/>
        </w:rPr>
        <w:t>, iš kurių 26 paraiškoms buvo patvirtintas finansavimas. Planuojama, kad ENEF įgyvendinimas įsibėgės 2018-2019 m. Remiantis 2016 metų ENEF metinės ataskaitos duomenimis</w:t>
      </w:r>
      <w:r w:rsidRPr="00C97275">
        <w:rPr>
          <w:rFonts w:ascii="Georgia" w:eastAsia="Georgia" w:hAnsi="Georgia" w:cs="Times New Roman"/>
          <w:color w:val="000000"/>
          <w:sz w:val="20"/>
          <w:szCs w:val="20"/>
          <w:vertAlign w:val="superscript"/>
          <w:lang w:val="lt-LT"/>
        </w:rPr>
        <w:footnoteReference w:id="34"/>
      </w:r>
      <w:r w:rsidRPr="00C97275">
        <w:rPr>
          <w:rFonts w:ascii="Georgia" w:eastAsia="Georgia" w:hAnsi="Georgia" w:cs="Times New Roman"/>
          <w:sz w:val="20"/>
          <w:szCs w:val="20"/>
          <w:lang w:val="lt-LT"/>
        </w:rPr>
        <w:t xml:space="preserve">, </w:t>
      </w:r>
      <w:r w:rsidRPr="00C97275">
        <w:rPr>
          <w:rFonts w:ascii="Georgia" w:eastAsia="Georgia" w:hAnsi="Georgia" w:cs="Times New Roman"/>
          <w:b/>
          <w:sz w:val="20"/>
          <w:szCs w:val="20"/>
          <w:lang w:val="lt-LT"/>
        </w:rPr>
        <w:t>per 2017-2023 metus planuojama išmokėti viso 53,9 mln. eurų paskolų. Šiuo fondu taip pat numatoma pritraukti ne mažiau kaip 19,1 mln. eurų privačių lėšų.</w:t>
      </w:r>
    </w:p>
    <w:p w14:paraId="376413B6"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Siekiant paskatinti savivaldybes ir finansuotojų dalyvavimą gatvių apšvietimo tinklų modernizavimo projektuose, buvo inicijuoti ir 2017 m. gegužės 29 d. patvirtinti tam tikri ENEF garantijų teikimo tvarkos aprašo pakeitimai. Supaprastinta paraiškos forma, vertinimo procedūros ir projektams taikomi viešinimo reikalavimai, panaikintas garantijos atlyginimas, garantijos intensyvumas padidintas iki 80% ir atsietas nuo  skolinto kapitalo dalies tinkamose išlaidose.</w:t>
      </w:r>
    </w:p>
    <w:p w14:paraId="1555029D"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Iki 2017 m. spalio mėnesio pabaigos buvo išduoti 4 garantijų raštai už 2,88 mln. eurų modernizuoti gatvių apšvietimo tinklus. Žemiau įvardinama esame projektų stadija kiekvienoje iš savivaldybių:</w:t>
      </w:r>
    </w:p>
    <w:p w14:paraId="7951FE2C" w14:textId="77777777" w:rsidR="005A0219" w:rsidRPr="00C97275"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Jonavos r. sav. rangos darbus įgyvendinti savo lėšomis jau baigė, šiuo metu vykdoma bankų apklausa, pusė numatytos sumos skolintis ketinama 2017 m.  gruodžio mėn.</w:t>
      </w:r>
    </w:p>
    <w:p w14:paraId="5990E694" w14:textId="60FB5EE9" w:rsidR="005A0219" w:rsidRPr="00C97275"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Šilutės r. sav. paskelbtas viešasis pirkimas rangovams atrinkti (įgyvendina tiesiogiai pati sav</w:t>
      </w:r>
      <w:r w:rsidR="00022769" w:rsidRPr="00C97275">
        <w:rPr>
          <w:rFonts w:ascii="Georgia" w:eastAsia="Georgia" w:hAnsi="Georgia" w:cs="Times New Roman"/>
          <w:sz w:val="20"/>
          <w:szCs w:val="20"/>
          <w:lang w:val="lt-LT"/>
        </w:rPr>
        <w:t>ivaldybė</w:t>
      </w:r>
      <w:r w:rsidRPr="00C97275">
        <w:rPr>
          <w:rFonts w:ascii="Georgia" w:eastAsia="Georgia" w:hAnsi="Georgia" w:cs="Times New Roman"/>
          <w:sz w:val="20"/>
          <w:szCs w:val="20"/>
          <w:lang w:val="lt-LT"/>
        </w:rPr>
        <w:t xml:space="preserve">), vokų </w:t>
      </w:r>
      <w:r w:rsidR="00022769" w:rsidRPr="00C97275">
        <w:rPr>
          <w:rFonts w:ascii="Georgia" w:eastAsia="Georgia" w:hAnsi="Georgia" w:cs="Times New Roman"/>
          <w:sz w:val="20"/>
          <w:szCs w:val="20"/>
          <w:lang w:val="lt-LT"/>
        </w:rPr>
        <w:t>at</w:t>
      </w:r>
      <w:r w:rsidRPr="00C97275">
        <w:rPr>
          <w:rFonts w:ascii="Georgia" w:eastAsia="Georgia" w:hAnsi="Georgia" w:cs="Times New Roman"/>
          <w:sz w:val="20"/>
          <w:szCs w:val="20"/>
          <w:lang w:val="lt-LT"/>
        </w:rPr>
        <w:t xml:space="preserve">plėšimas numatytas </w:t>
      </w:r>
      <w:r w:rsidR="00022769" w:rsidRPr="00C97275">
        <w:rPr>
          <w:rFonts w:ascii="Georgia" w:eastAsia="Georgia" w:hAnsi="Georgia" w:cs="Times New Roman"/>
          <w:sz w:val="20"/>
          <w:szCs w:val="20"/>
          <w:lang w:val="lt-LT"/>
        </w:rPr>
        <w:t xml:space="preserve">2017 m. </w:t>
      </w:r>
      <w:r w:rsidRPr="00C97275">
        <w:rPr>
          <w:rFonts w:ascii="Georgia" w:eastAsia="Georgia" w:hAnsi="Georgia" w:cs="Times New Roman"/>
          <w:sz w:val="20"/>
          <w:szCs w:val="20"/>
          <w:lang w:val="lt-LT"/>
        </w:rPr>
        <w:t>lapkričio 21 d. Kit</w:t>
      </w:r>
      <w:r w:rsidR="00022769" w:rsidRPr="00C97275">
        <w:rPr>
          <w:rFonts w:ascii="Georgia" w:eastAsia="Georgia" w:hAnsi="Georgia" w:cs="Times New Roman"/>
          <w:sz w:val="20"/>
          <w:szCs w:val="20"/>
          <w:lang w:val="lt-LT"/>
        </w:rPr>
        <w:t>ame</w:t>
      </w:r>
      <w:r w:rsidRPr="00C97275">
        <w:rPr>
          <w:rFonts w:ascii="Georgia" w:eastAsia="Georgia" w:hAnsi="Georgia" w:cs="Times New Roman"/>
          <w:sz w:val="20"/>
          <w:szCs w:val="20"/>
          <w:lang w:val="lt-LT"/>
        </w:rPr>
        <w:t xml:space="preserve"> etap</w:t>
      </w:r>
      <w:r w:rsidR="00022769" w:rsidRPr="00C97275">
        <w:rPr>
          <w:rFonts w:ascii="Georgia" w:eastAsia="Georgia" w:hAnsi="Georgia" w:cs="Times New Roman"/>
          <w:sz w:val="20"/>
          <w:szCs w:val="20"/>
          <w:lang w:val="lt-LT"/>
        </w:rPr>
        <w:t>e</w:t>
      </w:r>
      <w:r w:rsidRPr="00C97275">
        <w:rPr>
          <w:rFonts w:ascii="Georgia" w:eastAsia="Georgia" w:hAnsi="Georgia" w:cs="Times New Roman"/>
          <w:sz w:val="20"/>
          <w:szCs w:val="20"/>
          <w:lang w:val="lt-LT"/>
        </w:rPr>
        <w:t xml:space="preserve"> bus apklausiami bankai dėl finansavimo ir kreipiamasi dėl garantijos suteikimo.</w:t>
      </w:r>
    </w:p>
    <w:p w14:paraId="26EA9AB4" w14:textId="4237903F" w:rsidR="005A0219" w:rsidRPr="00C97275"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Telšių r. sav. derina techninės specifikacijos sąlygas </w:t>
      </w:r>
      <w:r w:rsidR="00FB6F18" w:rsidRPr="00C97275">
        <w:rPr>
          <w:rFonts w:ascii="Georgia" w:eastAsia="Georgia" w:hAnsi="Georgia" w:cs="Times New Roman"/>
          <w:sz w:val="20"/>
          <w:szCs w:val="20"/>
          <w:lang w:val="lt-LT"/>
        </w:rPr>
        <w:t xml:space="preserve">ESCO </w:t>
      </w:r>
      <w:r w:rsidRPr="00C97275">
        <w:rPr>
          <w:rFonts w:ascii="Georgia" w:eastAsia="Georgia" w:hAnsi="Georgia" w:cs="Times New Roman"/>
          <w:sz w:val="20"/>
          <w:szCs w:val="20"/>
          <w:lang w:val="lt-LT"/>
        </w:rPr>
        <w:t xml:space="preserve">įmonei atrinkti ir sutarties projektą, kurį 2017 m. lapkričio mėn. ketinama pristatyti savivaldybės tarybai, o 2017 m. gruodžio mėn. planuojama pradėti </w:t>
      </w:r>
      <w:r w:rsidR="00FB6F18" w:rsidRPr="00C97275">
        <w:rPr>
          <w:rFonts w:ascii="Georgia" w:eastAsia="Georgia" w:hAnsi="Georgia" w:cs="Times New Roman"/>
          <w:sz w:val="20"/>
          <w:szCs w:val="20"/>
          <w:lang w:val="lt-LT"/>
        </w:rPr>
        <w:t xml:space="preserve">ESCO </w:t>
      </w:r>
      <w:r w:rsidRPr="00C97275">
        <w:rPr>
          <w:rFonts w:ascii="Georgia" w:eastAsia="Georgia" w:hAnsi="Georgia" w:cs="Times New Roman"/>
          <w:sz w:val="20"/>
          <w:szCs w:val="20"/>
          <w:lang w:val="lt-LT"/>
        </w:rPr>
        <w:t>atranką.</w:t>
      </w:r>
    </w:p>
    <w:p w14:paraId="14CA4747" w14:textId="77777777" w:rsidR="00022769" w:rsidRPr="00C97275"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Plungės r. sav. šiuo metu rengiama pirkimų dokumentacija </w:t>
      </w:r>
      <w:r w:rsidR="00FB6F18" w:rsidRPr="00C97275">
        <w:rPr>
          <w:rFonts w:ascii="Georgia" w:eastAsia="Georgia" w:hAnsi="Georgia" w:cs="Times New Roman"/>
          <w:sz w:val="20"/>
          <w:szCs w:val="20"/>
          <w:lang w:val="lt-LT"/>
        </w:rPr>
        <w:t xml:space="preserve">ESCO </w:t>
      </w:r>
      <w:r w:rsidRPr="00C97275">
        <w:rPr>
          <w:rFonts w:ascii="Georgia" w:eastAsia="Georgia" w:hAnsi="Georgia" w:cs="Times New Roman"/>
          <w:sz w:val="20"/>
          <w:szCs w:val="20"/>
          <w:lang w:val="lt-LT"/>
        </w:rPr>
        <w:t xml:space="preserve">įmonei atrinkti ir 2017 m. lapkričio mėn.  rengiamasi pristatyti savivaldybės tarybai, gavus pritarimą, 2017 m. gruodžio  mėn. ketina pradėti </w:t>
      </w:r>
      <w:r w:rsidR="00FB6F18" w:rsidRPr="00C97275">
        <w:rPr>
          <w:rFonts w:ascii="Georgia" w:eastAsia="Georgia" w:hAnsi="Georgia" w:cs="Times New Roman"/>
          <w:sz w:val="20"/>
          <w:szCs w:val="20"/>
          <w:lang w:val="lt-LT"/>
        </w:rPr>
        <w:t xml:space="preserve">ESCO </w:t>
      </w:r>
      <w:r w:rsidRPr="00C97275">
        <w:rPr>
          <w:rFonts w:ascii="Georgia" w:eastAsia="Georgia" w:hAnsi="Georgia" w:cs="Times New Roman"/>
          <w:sz w:val="20"/>
          <w:szCs w:val="20"/>
          <w:lang w:val="lt-LT"/>
        </w:rPr>
        <w:t>atranką</w:t>
      </w:r>
      <w:r w:rsidR="00022769" w:rsidRPr="00C97275">
        <w:rPr>
          <w:rFonts w:ascii="Georgia" w:eastAsia="Georgia" w:hAnsi="Georgia" w:cs="Times New Roman"/>
          <w:sz w:val="20"/>
          <w:szCs w:val="20"/>
          <w:lang w:val="lt-LT"/>
        </w:rPr>
        <w:t>.</w:t>
      </w:r>
    </w:p>
    <w:p w14:paraId="113DA431" w14:textId="2674FD25" w:rsidR="005A0219" w:rsidRPr="00C97275" w:rsidRDefault="005A0219" w:rsidP="0063781D">
      <w:pPr>
        <w:spacing w:after="120" w:line="240" w:lineRule="auto"/>
        <w:ind w:left="720"/>
        <w:contextualSpacing/>
        <w:jc w:val="both"/>
        <w:rPr>
          <w:rFonts w:ascii="Georgia" w:eastAsia="Georgia" w:hAnsi="Georgia" w:cs="Times New Roman"/>
          <w:sz w:val="20"/>
          <w:szCs w:val="20"/>
          <w:lang w:val="lt-LT"/>
        </w:rPr>
      </w:pPr>
    </w:p>
    <w:p w14:paraId="04D09324"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Savivaldybių skolinimosi limitai ir menkas suinteresuotųjų šalių supratimas apie tokias finansines priemones riboja garantijų priemonės įgyvendinimo progresą.</w:t>
      </w:r>
    </w:p>
    <w:p w14:paraId="50A98D6A" w14:textId="77777777" w:rsidR="005A0219" w:rsidRPr="00C97275" w:rsidRDefault="005A0219" w:rsidP="005A0219">
      <w:pPr>
        <w:spacing w:after="160" w:line="240" w:lineRule="auto"/>
        <w:jc w:val="both"/>
        <w:rPr>
          <w:rFonts w:ascii="Georgia" w:eastAsia="Georgia" w:hAnsi="Georgia" w:cs="Times New Roman"/>
          <w:b/>
          <w:sz w:val="20"/>
          <w:szCs w:val="20"/>
          <w:lang w:val="lt-LT"/>
        </w:rPr>
      </w:pPr>
      <w:r w:rsidRPr="00C97275">
        <w:rPr>
          <w:rFonts w:ascii="Georgia" w:eastAsia="Georgia" w:hAnsi="Georgia" w:cs="Times New Roman"/>
          <w:b/>
          <w:sz w:val="20"/>
          <w:szCs w:val="20"/>
          <w:lang w:val="lt-LT"/>
        </w:rPr>
        <w:t>Daugiabučių namų modernizavimo fondas (DNMF)</w:t>
      </w:r>
    </w:p>
    <w:p w14:paraId="13A30456" w14:textId="7B81DA25"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2015 m. kovo 27 d. buvo pasirašyta DNMF steigimo ir finansavimo sutartis tarp VIPA, LR Aplinkos ministerijos ir LR Finansų ministerijos, kuria buvo nuspręsta įsteigti finansinę priemonę „Daugiabučių namų modernizavimo fondas“</w:t>
      </w:r>
      <w:r w:rsidR="00E2686E" w:rsidRPr="00C97275">
        <w:rPr>
          <w:rFonts w:ascii="Georgia" w:eastAsia="Georgia" w:hAnsi="Georgia" w:cs="Times New Roman"/>
          <w:sz w:val="20"/>
          <w:szCs w:val="20"/>
          <w:lang w:val="lt-LT"/>
        </w:rPr>
        <w:t>,</w:t>
      </w:r>
      <w:r w:rsidRPr="00C97275">
        <w:rPr>
          <w:rFonts w:ascii="Georgia" w:eastAsia="Georgia" w:hAnsi="Georgia" w:cs="Times New Roman"/>
          <w:sz w:val="20"/>
          <w:szCs w:val="20"/>
          <w:lang w:val="lt-LT"/>
        </w:rPr>
        <w:t xml:space="preserve"> skirtą užtikrinti </w:t>
      </w:r>
      <w:r w:rsidR="00E2686E" w:rsidRPr="00C97275">
        <w:rPr>
          <w:rFonts w:ascii="Georgia" w:eastAsia="Georgia" w:hAnsi="Georgia" w:cs="Times New Roman"/>
          <w:sz w:val="20"/>
          <w:szCs w:val="20"/>
          <w:lang w:val="lt-LT"/>
        </w:rPr>
        <w:t xml:space="preserve">greitą </w:t>
      </w:r>
      <w:r w:rsidRPr="00C97275">
        <w:rPr>
          <w:rFonts w:ascii="Georgia" w:eastAsia="Georgia" w:hAnsi="Georgia" w:cs="Times New Roman"/>
          <w:sz w:val="20"/>
          <w:szCs w:val="20"/>
          <w:lang w:val="lt-LT"/>
        </w:rPr>
        <w:t>smarkiai išaugusios daugiabučių namų modernizavimo paklausos finansavimą. Ši priemonė taip pat padėjo tęsti ir papildyti sėkmingai iki tol veikusio JESSICA kontroliuojančiojo fondo veiklą.</w:t>
      </w:r>
    </w:p>
    <w:p w14:paraId="6FEA0F23" w14:textId="105BB41C"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DNMF valdytoju buvo paskirta VIPA, kuri teikia paskolas LR Vyriausybės daugiabučių namų atnaujinimo (modernizavimo) programoje patvirtintomis sąlygomis. Šiai priemo</w:t>
      </w:r>
      <w:r w:rsidR="00E2686E" w:rsidRPr="00C97275">
        <w:rPr>
          <w:rFonts w:ascii="Georgia" w:eastAsia="Georgia" w:hAnsi="Georgia" w:cs="Times New Roman"/>
          <w:sz w:val="20"/>
          <w:szCs w:val="20"/>
          <w:lang w:val="lt-LT"/>
        </w:rPr>
        <w:t xml:space="preserve">nei buvo skirta 74 mln. eurų </w:t>
      </w:r>
      <w:r w:rsidRPr="00C97275">
        <w:rPr>
          <w:rFonts w:ascii="Georgia" w:eastAsia="Georgia" w:hAnsi="Georgia" w:cs="Times New Roman"/>
          <w:sz w:val="20"/>
          <w:szCs w:val="20"/>
          <w:lang w:val="lt-LT"/>
        </w:rPr>
        <w:t xml:space="preserve">ES struktūrinių fondų lėšų. </w:t>
      </w:r>
    </w:p>
    <w:p w14:paraId="01539EE4"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DNMF veiklos rezultatus 2015-2016 metais atvaizduoja iliustracija žemiau.</w:t>
      </w:r>
    </w:p>
    <w:p w14:paraId="000336F9" w14:textId="77777777" w:rsidR="005A0219" w:rsidRPr="00C97275" w:rsidRDefault="005A0219" w:rsidP="005A0219">
      <w:pPr>
        <w:spacing w:after="160" w:line="240" w:lineRule="auto"/>
        <w:jc w:val="both"/>
        <w:rPr>
          <w:rFonts w:ascii="Georgia" w:eastAsia="Georgia" w:hAnsi="Georgia" w:cs="Times New Roman"/>
          <w:sz w:val="20"/>
          <w:szCs w:val="20"/>
          <w:lang w:val="lt-LT"/>
        </w:rPr>
      </w:pPr>
    </w:p>
    <w:p w14:paraId="16608D08" w14:textId="77777777" w:rsidR="005A0219" w:rsidRPr="00C97275" w:rsidRDefault="005A0219" w:rsidP="005A0219">
      <w:pPr>
        <w:spacing w:after="160" w:line="240" w:lineRule="auto"/>
        <w:jc w:val="center"/>
        <w:rPr>
          <w:rFonts w:ascii="Georgia" w:eastAsia="Georgia" w:hAnsi="Georgia" w:cs="Times New Roman"/>
          <w:sz w:val="20"/>
          <w:szCs w:val="20"/>
          <w:lang w:val="lt-LT"/>
        </w:rPr>
      </w:pPr>
      <w:r w:rsidRPr="00C97275">
        <w:rPr>
          <w:rFonts w:ascii="Georgia" w:eastAsia="Georgia" w:hAnsi="Georgia" w:cs="Times New Roman"/>
          <w:noProof/>
          <w:sz w:val="20"/>
          <w:szCs w:val="20"/>
          <w:lang w:val="lt-LT" w:eastAsia="lt-LT"/>
        </w:rPr>
        <w:lastRenderedPageBreak/>
        <w:drawing>
          <wp:inline distT="0" distB="0" distL="0" distR="0" wp14:anchorId="096FB1F0" wp14:editId="1D96233E">
            <wp:extent cx="5730875" cy="2767965"/>
            <wp:effectExtent l="0" t="0" r="3175"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767965"/>
                    </a:xfrm>
                    <a:prstGeom prst="rect">
                      <a:avLst/>
                    </a:prstGeom>
                    <a:noFill/>
                  </pic:spPr>
                </pic:pic>
              </a:graphicData>
            </a:graphic>
          </wp:inline>
        </w:drawing>
      </w:r>
    </w:p>
    <w:p w14:paraId="110F2F15" w14:textId="77777777" w:rsidR="005A0219" w:rsidRPr="00C97275" w:rsidRDefault="005A0219" w:rsidP="005A0219">
      <w:pPr>
        <w:spacing w:after="160" w:line="240" w:lineRule="auto"/>
        <w:rPr>
          <w:rFonts w:ascii="Georgia" w:eastAsia="Georgia" w:hAnsi="Georgia" w:cs="Georgia"/>
          <w:i/>
          <w:iCs/>
          <w:color w:val="821A1A"/>
          <w:sz w:val="20"/>
          <w:szCs w:val="18"/>
          <w:lang w:val="lt-LT"/>
        </w:rPr>
      </w:pPr>
      <w:r w:rsidRPr="00C97275">
        <w:rPr>
          <w:rFonts w:ascii="Georgia" w:eastAsia="Georgia" w:hAnsi="Georgia" w:cs="Georgia"/>
          <w:i/>
          <w:iCs/>
          <w:color w:val="821A1A"/>
          <w:sz w:val="20"/>
          <w:szCs w:val="18"/>
          <w:lang w:val="lt-LT"/>
        </w:rPr>
        <w:t>Šaltinis: 2017 m. liepos 3 d. Nr. 2017/2 – 1721 “Dėl daugiabučių namų modernizavimo fondo metinės ataskaitos patikslinimo”</w:t>
      </w:r>
    </w:p>
    <w:p w14:paraId="0E8DE486" w14:textId="4431EC31"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2015 metų pabaigoje</w:t>
      </w:r>
      <w:r w:rsidR="00022769" w:rsidRPr="00C97275">
        <w:rPr>
          <w:rFonts w:ascii="Georgia" w:eastAsia="Georgia" w:hAnsi="Georgia" w:cs="Times New Roman"/>
          <w:sz w:val="20"/>
          <w:szCs w:val="20"/>
          <w:lang w:val="lt-LT"/>
        </w:rPr>
        <w:t xml:space="preserve"> VIPA</w:t>
      </w:r>
      <w:r w:rsidRPr="00C97275">
        <w:rPr>
          <w:rFonts w:ascii="Georgia" w:eastAsia="Georgia" w:hAnsi="Georgia" w:cs="Times New Roman"/>
          <w:sz w:val="20"/>
          <w:szCs w:val="20"/>
          <w:lang w:val="lt-LT"/>
        </w:rPr>
        <w:t xml:space="preserve"> buvo pasirašiusi pasko</w:t>
      </w:r>
      <w:r w:rsidR="00E2686E" w:rsidRPr="00C97275">
        <w:rPr>
          <w:rFonts w:ascii="Georgia" w:eastAsia="Georgia" w:hAnsi="Georgia" w:cs="Times New Roman"/>
          <w:sz w:val="20"/>
          <w:szCs w:val="20"/>
          <w:lang w:val="lt-LT"/>
        </w:rPr>
        <w:t>los sutarčių už 74 mln. eurų, t.y. panaudojo visas fondo lėšas, bei</w:t>
      </w:r>
      <w:r w:rsidRPr="00C97275">
        <w:rPr>
          <w:rFonts w:ascii="Georgia" w:eastAsia="Georgia" w:hAnsi="Georgia" w:cs="Times New Roman"/>
          <w:sz w:val="20"/>
          <w:szCs w:val="20"/>
          <w:lang w:val="lt-LT"/>
        </w:rPr>
        <w:t xml:space="preserve"> </w:t>
      </w:r>
      <w:r w:rsidR="00E2686E" w:rsidRPr="00C97275">
        <w:rPr>
          <w:rFonts w:ascii="Georgia" w:eastAsia="Georgia" w:hAnsi="Georgia" w:cs="Times New Roman"/>
          <w:sz w:val="20"/>
          <w:szCs w:val="20"/>
          <w:lang w:val="lt-LT"/>
        </w:rPr>
        <w:t>papildomai turėjo didelį projektų</w:t>
      </w:r>
      <w:r w:rsidRPr="00C97275">
        <w:rPr>
          <w:rFonts w:ascii="Georgia" w:eastAsia="Georgia" w:hAnsi="Georgia" w:cs="Times New Roman"/>
          <w:sz w:val="20"/>
          <w:szCs w:val="20"/>
          <w:lang w:val="lt-LT"/>
        </w:rPr>
        <w:t xml:space="preserve"> srautą, kuris viršijo fondui skirtų lėšų sumą jau pirmais jo įsteigimo metais. Tuo tikslu 2017 m. gegužės 10 d. buvo pasirašyta </w:t>
      </w:r>
      <w:r w:rsidR="00E2686E" w:rsidRPr="00C97275">
        <w:rPr>
          <w:rFonts w:ascii="Georgia" w:eastAsia="Georgia" w:hAnsi="Georgia" w:cs="Times New Roman"/>
          <w:sz w:val="20"/>
          <w:szCs w:val="20"/>
          <w:lang w:val="lt-LT"/>
        </w:rPr>
        <w:t>50 mln. eurų paskolos sutartis su ERPB,</w:t>
      </w:r>
      <w:r w:rsidRPr="00C97275">
        <w:rPr>
          <w:rFonts w:ascii="Georgia" w:eastAsia="Georgia" w:hAnsi="Georgia" w:cs="Times New Roman"/>
          <w:sz w:val="20"/>
          <w:szCs w:val="20"/>
          <w:lang w:val="lt-LT"/>
        </w:rPr>
        <w:t xml:space="preserve"> siekia</w:t>
      </w:r>
      <w:r w:rsidR="00E2686E" w:rsidRPr="00C97275">
        <w:rPr>
          <w:rFonts w:ascii="Georgia" w:eastAsia="Georgia" w:hAnsi="Georgia" w:cs="Times New Roman"/>
          <w:sz w:val="20"/>
          <w:szCs w:val="20"/>
          <w:lang w:val="lt-LT"/>
        </w:rPr>
        <w:t>nt finansuoti</w:t>
      </w:r>
      <w:r w:rsidRPr="00C97275">
        <w:rPr>
          <w:rFonts w:ascii="Georgia" w:eastAsia="Georgia" w:hAnsi="Georgia" w:cs="Times New Roman"/>
          <w:sz w:val="20"/>
          <w:szCs w:val="20"/>
          <w:lang w:val="lt-LT"/>
        </w:rPr>
        <w:t xml:space="preserve"> dar 150 daugiabučių</w:t>
      </w:r>
      <w:r w:rsidR="00E2686E" w:rsidRPr="00C97275">
        <w:rPr>
          <w:rFonts w:ascii="Georgia" w:eastAsia="Georgia" w:hAnsi="Georgia" w:cs="Times New Roman"/>
          <w:sz w:val="20"/>
          <w:szCs w:val="20"/>
          <w:lang w:val="lt-LT"/>
        </w:rPr>
        <w:t xml:space="preserve"> namų renovaciją</w:t>
      </w:r>
      <w:r w:rsidRPr="00C97275">
        <w:rPr>
          <w:rFonts w:ascii="Georgia" w:eastAsia="Georgia" w:hAnsi="Georgia" w:cs="Times New Roman"/>
          <w:color w:val="000000"/>
          <w:sz w:val="20"/>
          <w:szCs w:val="20"/>
          <w:vertAlign w:val="superscript"/>
          <w:lang w:val="lt-LT"/>
        </w:rPr>
        <w:footnoteReference w:id="35"/>
      </w:r>
      <w:r w:rsidR="00C521B3" w:rsidRPr="00C97275">
        <w:rPr>
          <w:rFonts w:ascii="Georgia" w:eastAsia="Georgia" w:hAnsi="Georgia" w:cs="Times New Roman"/>
          <w:sz w:val="20"/>
          <w:szCs w:val="20"/>
          <w:lang w:val="lt-LT"/>
        </w:rPr>
        <w:t>, taip pat</w:t>
      </w:r>
      <w:r w:rsidRPr="00C97275">
        <w:rPr>
          <w:rFonts w:ascii="Georgia" w:eastAsia="Georgia" w:hAnsi="Georgia" w:cs="Times New Roman"/>
          <w:sz w:val="20"/>
          <w:szCs w:val="20"/>
          <w:lang w:val="lt-LT"/>
        </w:rPr>
        <w:t xml:space="preserve"> </w:t>
      </w:r>
      <w:r w:rsidR="00B85953" w:rsidRPr="00C97275">
        <w:rPr>
          <w:rFonts w:ascii="Georgia" w:eastAsia="Georgia" w:hAnsi="Georgia" w:cs="Times New Roman"/>
          <w:sz w:val="20"/>
          <w:szCs w:val="20"/>
          <w:lang w:val="lt-LT"/>
        </w:rPr>
        <w:t xml:space="preserve">2018 m. </w:t>
      </w:r>
      <w:r w:rsidR="00C521B3" w:rsidRPr="00C97275">
        <w:rPr>
          <w:rFonts w:ascii="Georgia" w:eastAsia="Georgia" w:hAnsi="Georgia" w:cs="Times New Roman"/>
          <w:sz w:val="20"/>
          <w:szCs w:val="20"/>
          <w:lang w:val="lt-LT"/>
        </w:rPr>
        <w:t>Vyriausybė suteikė</w:t>
      </w:r>
      <w:r w:rsidR="00B85953" w:rsidRPr="00C97275">
        <w:rPr>
          <w:rFonts w:ascii="Georgia" w:eastAsia="Georgia" w:hAnsi="Georgia" w:cs="Times New Roman"/>
          <w:sz w:val="20"/>
          <w:szCs w:val="20"/>
          <w:lang w:val="lt-LT"/>
        </w:rPr>
        <w:t xml:space="preserve"> iki 100 mln. eurų valstybės perskolinamos paskol</w:t>
      </w:r>
      <w:r w:rsidR="009B42FA" w:rsidRPr="00C97275">
        <w:rPr>
          <w:rFonts w:ascii="Georgia" w:eastAsia="Georgia" w:hAnsi="Georgia" w:cs="Times New Roman"/>
          <w:sz w:val="20"/>
          <w:szCs w:val="20"/>
          <w:lang w:val="lt-LT"/>
        </w:rPr>
        <w:t>ą</w:t>
      </w:r>
      <w:r w:rsidR="00B85953" w:rsidRPr="00C97275">
        <w:rPr>
          <w:rFonts w:ascii="Georgia" w:eastAsia="Georgia" w:hAnsi="Georgia" w:cs="Times New Roman"/>
          <w:sz w:val="20"/>
          <w:szCs w:val="20"/>
          <w:lang w:val="lt-LT"/>
        </w:rPr>
        <w:t xml:space="preserve"> VIPA</w:t>
      </w:r>
      <w:r w:rsidR="009B42FA" w:rsidRPr="00C97275">
        <w:rPr>
          <w:rFonts w:ascii="Georgia" w:eastAsia="Georgia" w:hAnsi="Georgia" w:cs="Times New Roman"/>
          <w:sz w:val="20"/>
          <w:szCs w:val="20"/>
          <w:lang w:val="lt-LT"/>
        </w:rPr>
        <w:t>,</w:t>
      </w:r>
      <w:r w:rsidR="00A41C62" w:rsidRPr="00C97275">
        <w:rPr>
          <w:rFonts w:ascii="Georgia" w:eastAsia="Georgia" w:hAnsi="Georgia" w:cs="Times New Roman"/>
          <w:sz w:val="20"/>
          <w:szCs w:val="20"/>
          <w:lang w:val="lt-LT"/>
        </w:rPr>
        <w:t xml:space="preserve"> </w:t>
      </w:r>
      <w:r w:rsidR="00B85953" w:rsidRPr="00C97275">
        <w:rPr>
          <w:rFonts w:ascii="Georgia" w:eastAsia="Georgia" w:hAnsi="Georgia" w:cs="Times New Roman"/>
          <w:sz w:val="20"/>
          <w:szCs w:val="20"/>
          <w:lang w:val="lt-LT"/>
        </w:rPr>
        <w:t xml:space="preserve">numatomam daugiabučių namų atnaujinimo projektų srautui finansuoti. </w:t>
      </w:r>
    </w:p>
    <w:p w14:paraId="1C5E7BA5" w14:textId="4A3EFF79"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Atsižvel</w:t>
      </w:r>
      <w:r w:rsidR="00E2686E" w:rsidRPr="00C97275">
        <w:rPr>
          <w:rFonts w:ascii="Georgia" w:eastAsia="Georgia" w:hAnsi="Georgia" w:cs="Times New Roman"/>
          <w:sz w:val="20"/>
          <w:szCs w:val="20"/>
          <w:lang w:val="lt-LT"/>
        </w:rPr>
        <w:t xml:space="preserve">gdami į fondo išmokėjimo tempus ir aukščiau pateiktą informaciją, matome, kad </w:t>
      </w:r>
      <w:r w:rsidRPr="00C97275">
        <w:rPr>
          <w:rFonts w:ascii="Georgia" w:eastAsia="Georgia" w:hAnsi="Georgia" w:cs="Times New Roman"/>
          <w:sz w:val="20"/>
          <w:szCs w:val="20"/>
          <w:lang w:val="lt-LT"/>
        </w:rPr>
        <w:t>2017-2023 metų period</w:t>
      </w:r>
      <w:r w:rsidR="00E2686E" w:rsidRPr="00C97275">
        <w:rPr>
          <w:rFonts w:ascii="Georgia" w:eastAsia="Georgia" w:hAnsi="Georgia" w:cs="Times New Roman"/>
          <w:sz w:val="20"/>
          <w:szCs w:val="20"/>
          <w:lang w:val="lt-LT"/>
        </w:rPr>
        <w:t>ui DNMF pirminės fondo lėšos</w:t>
      </w:r>
      <w:r w:rsidRPr="00C97275">
        <w:rPr>
          <w:rFonts w:ascii="Georgia" w:eastAsia="Georgia" w:hAnsi="Georgia" w:cs="Times New Roman"/>
          <w:sz w:val="20"/>
          <w:szCs w:val="20"/>
          <w:lang w:val="lt-LT"/>
        </w:rPr>
        <w:t xml:space="preserve"> yra pilnai išnaudotos ir neprieinamos. Tuo tarpu ERPB 50 mln. eurų </w:t>
      </w:r>
      <w:r w:rsidR="00A716F4" w:rsidRPr="00C97275">
        <w:rPr>
          <w:rFonts w:ascii="Georgia" w:eastAsia="Georgia" w:hAnsi="Georgia" w:cs="Times New Roman"/>
          <w:sz w:val="20"/>
          <w:szCs w:val="20"/>
          <w:lang w:val="lt-LT"/>
        </w:rPr>
        <w:t xml:space="preserve">paskola bei 100 mln. eurų valstybės perskolinama paskola </w:t>
      </w:r>
      <w:r w:rsidRPr="00C97275">
        <w:rPr>
          <w:rFonts w:ascii="Georgia" w:eastAsia="Georgia" w:hAnsi="Georgia" w:cs="Times New Roman"/>
          <w:sz w:val="20"/>
          <w:szCs w:val="20"/>
          <w:lang w:val="lt-LT"/>
        </w:rPr>
        <w:t xml:space="preserve">turi būti įtraukta skaičiuojant lėšų pasiūlą. </w:t>
      </w:r>
    </w:p>
    <w:p w14:paraId="6FBA37B0" w14:textId="77777777" w:rsidR="005A0219" w:rsidRPr="00C97275" w:rsidRDefault="005A0219" w:rsidP="005A0219">
      <w:pPr>
        <w:spacing w:after="160" w:line="240" w:lineRule="auto"/>
        <w:jc w:val="both"/>
        <w:rPr>
          <w:rFonts w:ascii="Georgia" w:eastAsia="Georgia" w:hAnsi="Georgia" w:cs="Times New Roman"/>
          <w:b/>
          <w:sz w:val="20"/>
          <w:szCs w:val="20"/>
          <w:lang w:val="lt-LT"/>
        </w:rPr>
      </w:pPr>
      <w:r w:rsidRPr="00C97275">
        <w:rPr>
          <w:rFonts w:ascii="Georgia" w:eastAsia="Georgia" w:hAnsi="Georgia" w:cs="Times New Roman"/>
          <w:b/>
          <w:sz w:val="20"/>
          <w:szCs w:val="20"/>
          <w:lang w:val="lt-LT"/>
        </w:rPr>
        <w:t xml:space="preserve">JESSICA II </w:t>
      </w:r>
    </w:p>
    <w:p w14:paraId="5648C9D2" w14:textId="77777777" w:rsidR="00A06708"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2015 m. gegužės 5</w:t>
      </w:r>
      <w:r w:rsidR="002257F2" w:rsidRPr="00C97275">
        <w:rPr>
          <w:rFonts w:ascii="Georgia" w:eastAsia="Georgia" w:hAnsi="Georgia" w:cs="Times New Roman"/>
          <w:sz w:val="20"/>
          <w:szCs w:val="20"/>
          <w:lang w:val="lt-LT"/>
        </w:rPr>
        <w:t xml:space="preserve"> </w:t>
      </w:r>
      <w:r w:rsidRPr="00C97275">
        <w:rPr>
          <w:rFonts w:ascii="Georgia" w:eastAsia="Georgia" w:hAnsi="Georgia" w:cs="Times New Roman"/>
          <w:sz w:val="20"/>
          <w:szCs w:val="20"/>
          <w:lang w:val="lt-LT"/>
        </w:rPr>
        <w:t xml:space="preserve">d. finansavimo sutarties tarp LR Finansų ministerijos, LR Aplinkos ministerijos ir EIB pagrindu buvo įsteigtas fondų fondas (FF) – EIB valdomo JESSICA kontroliuojančiojo fondo tęsinys, skirtas investicijoms į energinio efektyvumo didinimą būsto sektoriuje. JESSICA FF valdytoju buvo paskirtas EIB, kurio pagrindinis tikslas buvo </w:t>
      </w:r>
      <w:r w:rsidR="00A06708" w:rsidRPr="00C97275">
        <w:rPr>
          <w:rFonts w:ascii="Georgia" w:eastAsia="Georgia" w:hAnsi="Georgia" w:cs="Times New Roman"/>
          <w:sz w:val="20"/>
          <w:szCs w:val="20"/>
          <w:lang w:val="lt-LT"/>
        </w:rPr>
        <w:t>renovuoti kuo didesnį daugiabučių namų skaičių, pritraukiant</w:t>
      </w:r>
      <w:r w:rsidRPr="00C97275">
        <w:rPr>
          <w:rFonts w:ascii="Georgia" w:eastAsia="Georgia" w:hAnsi="Georgia" w:cs="Times New Roman"/>
          <w:sz w:val="20"/>
          <w:szCs w:val="20"/>
          <w:lang w:val="lt-LT"/>
        </w:rPr>
        <w:t xml:space="preserve"> kiek įmanoma dau</w:t>
      </w:r>
      <w:r w:rsidR="00A06708" w:rsidRPr="00C97275">
        <w:rPr>
          <w:rFonts w:ascii="Georgia" w:eastAsia="Georgia" w:hAnsi="Georgia" w:cs="Times New Roman"/>
          <w:sz w:val="20"/>
          <w:szCs w:val="20"/>
          <w:lang w:val="lt-LT"/>
        </w:rPr>
        <w:t xml:space="preserve">giau privataus finansavimo. </w:t>
      </w:r>
    </w:p>
    <w:p w14:paraId="144FF111" w14:textId="59DFE334" w:rsidR="00A06708" w:rsidRPr="00C97275" w:rsidRDefault="00A06708"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EIB fondo lėšomis teikia paskolas LR Vyriausybės daugiabučių namų atnaujinimo (modernizavimo) programoje patvirtintomis sąlygomis. </w:t>
      </w:r>
      <w:r w:rsidR="005A0219" w:rsidRPr="00C97275">
        <w:rPr>
          <w:rFonts w:ascii="Georgia" w:eastAsia="Georgia" w:hAnsi="Georgia" w:cs="Times New Roman"/>
          <w:sz w:val="20"/>
          <w:szCs w:val="20"/>
          <w:lang w:val="lt-LT"/>
        </w:rPr>
        <w:t>Paskolos yra skirtos daugiabučių namų modernizacijai (atnaujinimui) didinant jų energinį efektyvumą taip, kad būtų pasiekta ne mažesnė kaip C pastatų energinio efektyvumo klasė.</w:t>
      </w:r>
      <w:r w:rsidRPr="00C97275">
        <w:rPr>
          <w:rFonts w:ascii="Georgia" w:eastAsia="Georgia" w:hAnsi="Georgia" w:cs="Times New Roman"/>
          <w:sz w:val="20"/>
          <w:szCs w:val="20"/>
          <w:lang w:val="lt-LT"/>
        </w:rPr>
        <w:t xml:space="preserve"> Fondui skirta 150 mln. eurų ES struktūrinių fondų lėšų. </w:t>
      </w:r>
    </w:p>
    <w:p w14:paraId="0CE36C3D" w14:textId="6DDB9F78"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Iki 2016 metų pabaigos EIB paskelbė du kvietimus finansiniams tarpininkams atrinkti, kurių informacija apibendrinta lentelėje žemiau.</w:t>
      </w:r>
    </w:p>
    <w:p w14:paraId="0BBC2B3E" w14:textId="72D266B9" w:rsidR="005A0219" w:rsidRPr="00C97275" w:rsidRDefault="005A0219" w:rsidP="005A0219">
      <w:pPr>
        <w:spacing w:after="160" w:line="240" w:lineRule="auto"/>
        <w:rPr>
          <w:rFonts w:ascii="Georgia" w:eastAsia="Georgia" w:hAnsi="Georgia" w:cs="Arial Unicode MS"/>
          <w:i/>
          <w:iCs/>
          <w:color w:val="821A1A"/>
          <w:sz w:val="20"/>
          <w:szCs w:val="18"/>
          <w:lang w:val="lt-LT"/>
        </w:rPr>
      </w:pPr>
      <w:bookmarkStart w:id="103" w:name="_Toc19105235"/>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22</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EIB kvietimai finansiniams tarpininkams atrinkti ir priemonės pilnas finansavimas 2017-2023 m.</w:t>
      </w:r>
      <w:bookmarkEnd w:id="103"/>
    </w:p>
    <w:tbl>
      <w:tblPr>
        <w:tblW w:w="9252" w:type="dxa"/>
        <w:tblInd w:w="-10" w:type="dxa"/>
        <w:tblLook w:val="04A0" w:firstRow="1" w:lastRow="0" w:firstColumn="1" w:lastColumn="0" w:noHBand="0" w:noVBand="1"/>
      </w:tblPr>
      <w:tblGrid>
        <w:gridCol w:w="1454"/>
        <w:gridCol w:w="1109"/>
        <w:gridCol w:w="1254"/>
        <w:gridCol w:w="781"/>
        <w:gridCol w:w="1300"/>
        <w:gridCol w:w="802"/>
        <w:gridCol w:w="1403"/>
        <w:gridCol w:w="1149"/>
      </w:tblGrid>
      <w:tr w:rsidR="0063781D" w:rsidRPr="00C97275" w14:paraId="59B88FED" w14:textId="77777777" w:rsidTr="0063781D">
        <w:trPr>
          <w:trHeight w:val="990"/>
        </w:trPr>
        <w:tc>
          <w:tcPr>
            <w:tcW w:w="1252" w:type="dxa"/>
            <w:tcBorders>
              <w:top w:val="single" w:sz="8" w:space="0" w:color="D62E1C"/>
              <w:left w:val="single" w:sz="8" w:space="0" w:color="D62E1C"/>
              <w:bottom w:val="nil"/>
              <w:right w:val="nil"/>
            </w:tcBorders>
            <w:shd w:val="clear" w:color="000000" w:fill="D62E1C"/>
            <w:vAlign w:val="center"/>
            <w:hideMark/>
          </w:tcPr>
          <w:p w14:paraId="4CD39D26" w14:textId="77777777" w:rsidR="005A0219" w:rsidRPr="00C97275"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Kvietimas</w:t>
            </w:r>
          </w:p>
        </w:tc>
        <w:tc>
          <w:tcPr>
            <w:tcW w:w="1186" w:type="dxa"/>
            <w:tcBorders>
              <w:top w:val="single" w:sz="8" w:space="0" w:color="D62E1C"/>
              <w:left w:val="nil"/>
              <w:bottom w:val="nil"/>
              <w:right w:val="nil"/>
            </w:tcBorders>
            <w:shd w:val="clear" w:color="000000" w:fill="D62E1C"/>
            <w:vAlign w:val="center"/>
            <w:hideMark/>
          </w:tcPr>
          <w:p w14:paraId="6D409A69" w14:textId="77777777" w:rsidR="005A0219" w:rsidRPr="00C97275"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Suma, mln. EUR</w:t>
            </w:r>
          </w:p>
        </w:tc>
        <w:tc>
          <w:tcPr>
            <w:tcW w:w="1273" w:type="dxa"/>
            <w:tcBorders>
              <w:top w:val="single" w:sz="8" w:space="0" w:color="D62E1C"/>
              <w:left w:val="nil"/>
              <w:bottom w:val="nil"/>
              <w:right w:val="nil"/>
            </w:tcBorders>
            <w:shd w:val="clear" w:color="000000" w:fill="D62E1C"/>
            <w:vAlign w:val="center"/>
            <w:hideMark/>
          </w:tcPr>
          <w:p w14:paraId="6270A5A7" w14:textId="77777777" w:rsidR="005A0219" w:rsidRPr="00C97275"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Pasirašyta</w:t>
            </w:r>
          </w:p>
        </w:tc>
        <w:tc>
          <w:tcPr>
            <w:tcW w:w="791" w:type="dxa"/>
            <w:tcBorders>
              <w:top w:val="single" w:sz="8" w:space="0" w:color="D62E1C"/>
              <w:left w:val="nil"/>
              <w:bottom w:val="nil"/>
              <w:right w:val="nil"/>
            </w:tcBorders>
            <w:shd w:val="clear" w:color="000000" w:fill="D62E1C"/>
            <w:vAlign w:val="center"/>
            <w:hideMark/>
          </w:tcPr>
          <w:p w14:paraId="168FED15" w14:textId="77777777" w:rsidR="005A0219" w:rsidRPr="00C97275"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EIB lėšos, mln. EUR</w:t>
            </w:r>
          </w:p>
        </w:tc>
        <w:tc>
          <w:tcPr>
            <w:tcW w:w="1320" w:type="dxa"/>
            <w:tcBorders>
              <w:top w:val="single" w:sz="8" w:space="0" w:color="D62E1C"/>
              <w:left w:val="nil"/>
              <w:bottom w:val="nil"/>
              <w:right w:val="nil"/>
            </w:tcBorders>
            <w:shd w:val="clear" w:color="000000" w:fill="D62E1C"/>
            <w:vAlign w:val="center"/>
            <w:hideMark/>
          </w:tcPr>
          <w:p w14:paraId="2A870A4F" w14:textId="77777777" w:rsidR="005A0219" w:rsidRPr="00C97275"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Finansinių tarpininkų lėšos, mln. EUR</w:t>
            </w:r>
          </w:p>
        </w:tc>
        <w:tc>
          <w:tcPr>
            <w:tcW w:w="840" w:type="dxa"/>
            <w:tcBorders>
              <w:top w:val="single" w:sz="8" w:space="0" w:color="D62E1C"/>
              <w:left w:val="nil"/>
              <w:bottom w:val="nil"/>
              <w:right w:val="nil"/>
            </w:tcBorders>
            <w:shd w:val="clear" w:color="000000" w:fill="D62E1C"/>
            <w:vAlign w:val="center"/>
            <w:hideMark/>
          </w:tcPr>
          <w:p w14:paraId="19A33DB6" w14:textId="79BF3301" w:rsidR="005A0219" w:rsidRPr="00C97275" w:rsidRDefault="00022769" w:rsidP="0002276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Iš v</w:t>
            </w:r>
            <w:r w:rsidR="005A0219" w:rsidRPr="00C97275">
              <w:rPr>
                <w:rFonts w:ascii="Georgia" w:eastAsia="Times New Roman" w:hAnsi="Georgia" w:cs="Times New Roman"/>
                <w:b/>
                <w:bCs/>
                <w:color w:val="FFFFFF"/>
                <w:sz w:val="18"/>
                <w:szCs w:val="18"/>
                <w:lang w:val="lt-LT" w:eastAsia="lt-LT"/>
              </w:rPr>
              <w:t>iso, mln. EUR</w:t>
            </w:r>
          </w:p>
        </w:tc>
        <w:tc>
          <w:tcPr>
            <w:tcW w:w="1424" w:type="dxa"/>
            <w:tcBorders>
              <w:top w:val="single" w:sz="8" w:space="0" w:color="D62E1C"/>
              <w:left w:val="nil"/>
              <w:bottom w:val="nil"/>
              <w:right w:val="nil"/>
            </w:tcBorders>
            <w:shd w:val="clear" w:color="000000" w:fill="D62E1C"/>
            <w:vAlign w:val="center"/>
            <w:hideMark/>
          </w:tcPr>
          <w:p w14:paraId="26832DC2" w14:textId="77777777" w:rsidR="005A0219" w:rsidRPr="00C97275"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Išmokėta galutiniams gavėjams, mln. EUR</w:t>
            </w:r>
          </w:p>
        </w:tc>
        <w:tc>
          <w:tcPr>
            <w:tcW w:w="1166" w:type="dxa"/>
            <w:tcBorders>
              <w:top w:val="single" w:sz="8" w:space="0" w:color="D62E1C"/>
              <w:left w:val="nil"/>
              <w:bottom w:val="nil"/>
              <w:right w:val="single" w:sz="8" w:space="0" w:color="D62E1C"/>
            </w:tcBorders>
            <w:shd w:val="clear" w:color="000000" w:fill="D62E1C"/>
            <w:vAlign w:val="center"/>
            <w:hideMark/>
          </w:tcPr>
          <w:p w14:paraId="117F3FA0" w14:textId="77777777" w:rsidR="005A0219" w:rsidRPr="00C97275"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C97275">
              <w:rPr>
                <w:rFonts w:ascii="Georgia" w:eastAsia="Times New Roman" w:hAnsi="Georgia" w:cs="Times New Roman"/>
                <w:b/>
                <w:bCs/>
                <w:color w:val="FFFFFF"/>
                <w:sz w:val="18"/>
                <w:szCs w:val="18"/>
                <w:lang w:val="lt-LT" w:eastAsia="lt-LT"/>
              </w:rPr>
              <w:t>Išmokėta</w:t>
            </w:r>
          </w:p>
        </w:tc>
      </w:tr>
      <w:tr w:rsidR="0063781D" w:rsidRPr="00C97275" w14:paraId="447C2FBE" w14:textId="77777777" w:rsidTr="0063781D">
        <w:trPr>
          <w:trHeight w:val="502"/>
        </w:trPr>
        <w:tc>
          <w:tcPr>
            <w:tcW w:w="1252" w:type="dxa"/>
            <w:tcBorders>
              <w:top w:val="single" w:sz="8" w:space="0" w:color="D62E1C"/>
              <w:left w:val="single" w:sz="8" w:space="0" w:color="D62E1C"/>
              <w:bottom w:val="single" w:sz="8" w:space="0" w:color="D62E1C"/>
              <w:right w:val="nil"/>
            </w:tcBorders>
            <w:shd w:val="clear" w:color="auto" w:fill="auto"/>
            <w:vAlign w:val="center"/>
            <w:hideMark/>
          </w:tcPr>
          <w:p w14:paraId="187656C9" w14:textId="77777777" w:rsidR="005A0219" w:rsidRPr="00C97275" w:rsidRDefault="005A0219" w:rsidP="005A0219">
            <w:pPr>
              <w:spacing w:after="0" w:line="240" w:lineRule="auto"/>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lastRenderedPageBreak/>
              <w:t>Pirmasis kvietimas (2015)</w:t>
            </w:r>
          </w:p>
        </w:tc>
        <w:tc>
          <w:tcPr>
            <w:tcW w:w="1186" w:type="dxa"/>
            <w:tcBorders>
              <w:top w:val="single" w:sz="8" w:space="0" w:color="D62E1C"/>
              <w:left w:val="nil"/>
              <w:bottom w:val="single" w:sz="8" w:space="0" w:color="D62E1C"/>
              <w:right w:val="nil"/>
            </w:tcBorders>
            <w:shd w:val="clear" w:color="auto" w:fill="auto"/>
            <w:vAlign w:val="center"/>
            <w:hideMark/>
          </w:tcPr>
          <w:p w14:paraId="0EEC0EC6"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n.d.</w:t>
            </w:r>
          </w:p>
        </w:tc>
        <w:tc>
          <w:tcPr>
            <w:tcW w:w="1273" w:type="dxa"/>
            <w:tcBorders>
              <w:top w:val="single" w:sz="8" w:space="0" w:color="D62E1C"/>
              <w:left w:val="nil"/>
              <w:bottom w:val="single" w:sz="8" w:space="0" w:color="D62E1C"/>
              <w:right w:val="nil"/>
            </w:tcBorders>
            <w:shd w:val="clear" w:color="auto" w:fill="auto"/>
            <w:vAlign w:val="center"/>
            <w:hideMark/>
          </w:tcPr>
          <w:p w14:paraId="10FF8CC9" w14:textId="77777777" w:rsidR="005A0219" w:rsidRPr="00C97275" w:rsidRDefault="005A0219" w:rsidP="005A0219">
            <w:pPr>
              <w:spacing w:after="0" w:line="240" w:lineRule="auto"/>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2015 08 07</w:t>
            </w:r>
          </w:p>
        </w:tc>
        <w:tc>
          <w:tcPr>
            <w:tcW w:w="791" w:type="dxa"/>
            <w:tcBorders>
              <w:top w:val="single" w:sz="8" w:space="0" w:color="D62E1C"/>
              <w:left w:val="nil"/>
              <w:bottom w:val="single" w:sz="8" w:space="0" w:color="D62E1C"/>
              <w:right w:val="nil"/>
            </w:tcBorders>
            <w:shd w:val="clear" w:color="auto" w:fill="auto"/>
            <w:vAlign w:val="center"/>
            <w:hideMark/>
          </w:tcPr>
          <w:p w14:paraId="36C8C01B"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68</w:t>
            </w:r>
          </w:p>
        </w:tc>
        <w:tc>
          <w:tcPr>
            <w:tcW w:w="1320" w:type="dxa"/>
            <w:tcBorders>
              <w:top w:val="single" w:sz="8" w:space="0" w:color="D62E1C"/>
              <w:left w:val="nil"/>
              <w:bottom w:val="single" w:sz="8" w:space="0" w:color="D62E1C"/>
              <w:right w:val="nil"/>
            </w:tcBorders>
            <w:shd w:val="clear" w:color="auto" w:fill="auto"/>
            <w:vAlign w:val="center"/>
            <w:hideMark/>
          </w:tcPr>
          <w:p w14:paraId="4E7E916B"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30</w:t>
            </w:r>
          </w:p>
        </w:tc>
        <w:tc>
          <w:tcPr>
            <w:tcW w:w="840" w:type="dxa"/>
            <w:tcBorders>
              <w:top w:val="single" w:sz="8" w:space="0" w:color="D62E1C"/>
              <w:left w:val="nil"/>
              <w:bottom w:val="single" w:sz="8" w:space="0" w:color="D62E1C"/>
              <w:right w:val="nil"/>
            </w:tcBorders>
            <w:shd w:val="clear" w:color="auto" w:fill="auto"/>
            <w:vAlign w:val="center"/>
            <w:hideMark/>
          </w:tcPr>
          <w:p w14:paraId="689D85E4"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98</w:t>
            </w:r>
          </w:p>
        </w:tc>
        <w:tc>
          <w:tcPr>
            <w:tcW w:w="1424" w:type="dxa"/>
            <w:tcBorders>
              <w:top w:val="single" w:sz="8" w:space="0" w:color="D62E1C"/>
              <w:left w:val="nil"/>
              <w:bottom w:val="single" w:sz="8" w:space="0" w:color="D62E1C"/>
              <w:right w:val="nil"/>
            </w:tcBorders>
            <w:shd w:val="clear" w:color="auto" w:fill="auto"/>
            <w:vAlign w:val="center"/>
            <w:hideMark/>
          </w:tcPr>
          <w:p w14:paraId="7E267BBA"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90,58</w:t>
            </w:r>
          </w:p>
        </w:tc>
        <w:tc>
          <w:tcPr>
            <w:tcW w:w="1166" w:type="dxa"/>
            <w:tcBorders>
              <w:top w:val="single" w:sz="8" w:space="0" w:color="D62E1C"/>
              <w:left w:val="nil"/>
              <w:bottom w:val="single" w:sz="8" w:space="0" w:color="D62E1C"/>
              <w:right w:val="single" w:sz="8" w:space="0" w:color="D62E1C"/>
            </w:tcBorders>
            <w:shd w:val="clear" w:color="auto" w:fill="auto"/>
            <w:vAlign w:val="center"/>
            <w:hideMark/>
          </w:tcPr>
          <w:p w14:paraId="25659119"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92%</w:t>
            </w:r>
          </w:p>
        </w:tc>
      </w:tr>
      <w:tr w:rsidR="0063781D" w:rsidRPr="00C97275" w14:paraId="6B67CC36" w14:textId="77777777" w:rsidTr="0063781D">
        <w:trPr>
          <w:trHeight w:val="502"/>
        </w:trPr>
        <w:tc>
          <w:tcPr>
            <w:tcW w:w="1252" w:type="dxa"/>
            <w:tcBorders>
              <w:top w:val="nil"/>
              <w:left w:val="single" w:sz="8" w:space="0" w:color="D62E1C"/>
              <w:bottom w:val="single" w:sz="8" w:space="0" w:color="D62E1C"/>
              <w:right w:val="nil"/>
            </w:tcBorders>
            <w:shd w:val="clear" w:color="auto" w:fill="auto"/>
            <w:vAlign w:val="center"/>
            <w:hideMark/>
          </w:tcPr>
          <w:p w14:paraId="6B4066AF" w14:textId="77777777" w:rsidR="005A0219" w:rsidRPr="00C97275" w:rsidRDefault="005A0219" w:rsidP="005A0219">
            <w:pPr>
              <w:spacing w:after="0" w:line="240" w:lineRule="auto"/>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Antrasis kvietimas (2015 11 14)</w:t>
            </w:r>
          </w:p>
        </w:tc>
        <w:tc>
          <w:tcPr>
            <w:tcW w:w="1186" w:type="dxa"/>
            <w:tcBorders>
              <w:top w:val="nil"/>
              <w:left w:val="nil"/>
              <w:bottom w:val="single" w:sz="8" w:space="0" w:color="D62E1C"/>
              <w:right w:val="nil"/>
            </w:tcBorders>
            <w:shd w:val="clear" w:color="auto" w:fill="auto"/>
            <w:vAlign w:val="center"/>
            <w:hideMark/>
          </w:tcPr>
          <w:p w14:paraId="20B03F89"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104</w:t>
            </w:r>
          </w:p>
        </w:tc>
        <w:tc>
          <w:tcPr>
            <w:tcW w:w="1273" w:type="dxa"/>
            <w:tcBorders>
              <w:top w:val="nil"/>
              <w:left w:val="nil"/>
              <w:bottom w:val="single" w:sz="8" w:space="0" w:color="D62E1C"/>
              <w:right w:val="nil"/>
            </w:tcBorders>
            <w:shd w:val="clear" w:color="auto" w:fill="auto"/>
            <w:vAlign w:val="center"/>
            <w:hideMark/>
          </w:tcPr>
          <w:p w14:paraId="24823D45" w14:textId="77777777" w:rsidR="005A0219" w:rsidRPr="00C97275" w:rsidRDefault="005A0219" w:rsidP="005A0219">
            <w:pPr>
              <w:spacing w:after="0" w:line="240" w:lineRule="auto"/>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2016 05 27</w:t>
            </w:r>
          </w:p>
        </w:tc>
        <w:tc>
          <w:tcPr>
            <w:tcW w:w="791" w:type="dxa"/>
            <w:tcBorders>
              <w:top w:val="nil"/>
              <w:left w:val="nil"/>
              <w:bottom w:val="single" w:sz="8" w:space="0" w:color="D62E1C"/>
              <w:right w:val="nil"/>
            </w:tcBorders>
            <w:shd w:val="clear" w:color="auto" w:fill="auto"/>
            <w:vAlign w:val="center"/>
            <w:hideMark/>
          </w:tcPr>
          <w:p w14:paraId="33753305"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40</w:t>
            </w:r>
          </w:p>
        </w:tc>
        <w:tc>
          <w:tcPr>
            <w:tcW w:w="1320" w:type="dxa"/>
            <w:tcBorders>
              <w:top w:val="nil"/>
              <w:left w:val="nil"/>
              <w:bottom w:val="single" w:sz="8" w:space="0" w:color="D62E1C"/>
              <w:right w:val="nil"/>
            </w:tcBorders>
            <w:shd w:val="clear" w:color="auto" w:fill="auto"/>
            <w:vAlign w:val="center"/>
            <w:hideMark/>
          </w:tcPr>
          <w:p w14:paraId="32330E13"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40</w:t>
            </w:r>
          </w:p>
        </w:tc>
        <w:tc>
          <w:tcPr>
            <w:tcW w:w="840" w:type="dxa"/>
            <w:tcBorders>
              <w:top w:val="nil"/>
              <w:left w:val="nil"/>
              <w:bottom w:val="single" w:sz="8" w:space="0" w:color="D62E1C"/>
              <w:right w:val="nil"/>
            </w:tcBorders>
            <w:shd w:val="clear" w:color="auto" w:fill="auto"/>
            <w:vAlign w:val="center"/>
            <w:hideMark/>
          </w:tcPr>
          <w:p w14:paraId="6BAFBEC6"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80</w:t>
            </w:r>
          </w:p>
        </w:tc>
        <w:tc>
          <w:tcPr>
            <w:tcW w:w="1424" w:type="dxa"/>
            <w:tcBorders>
              <w:top w:val="nil"/>
              <w:left w:val="nil"/>
              <w:bottom w:val="single" w:sz="8" w:space="0" w:color="D62E1C"/>
              <w:right w:val="nil"/>
            </w:tcBorders>
            <w:shd w:val="clear" w:color="auto" w:fill="auto"/>
            <w:vAlign w:val="center"/>
            <w:hideMark/>
          </w:tcPr>
          <w:p w14:paraId="5036A3E5"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74,42</w:t>
            </w:r>
          </w:p>
        </w:tc>
        <w:tc>
          <w:tcPr>
            <w:tcW w:w="1166" w:type="dxa"/>
            <w:tcBorders>
              <w:top w:val="nil"/>
              <w:left w:val="nil"/>
              <w:bottom w:val="single" w:sz="8" w:space="0" w:color="D62E1C"/>
              <w:right w:val="single" w:sz="8" w:space="0" w:color="D62E1C"/>
            </w:tcBorders>
            <w:shd w:val="clear" w:color="auto" w:fill="auto"/>
            <w:vAlign w:val="center"/>
            <w:hideMark/>
          </w:tcPr>
          <w:p w14:paraId="5B3A6CAB"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93%</w:t>
            </w:r>
          </w:p>
        </w:tc>
      </w:tr>
      <w:tr w:rsidR="0063781D" w:rsidRPr="00C97275" w14:paraId="28EE23EA" w14:textId="77777777" w:rsidTr="0063781D">
        <w:trPr>
          <w:trHeight w:val="301"/>
        </w:trPr>
        <w:tc>
          <w:tcPr>
            <w:tcW w:w="1252" w:type="dxa"/>
            <w:tcBorders>
              <w:top w:val="nil"/>
              <w:left w:val="single" w:sz="8" w:space="0" w:color="D62E1C"/>
              <w:bottom w:val="single" w:sz="8" w:space="0" w:color="D62E1C"/>
              <w:right w:val="nil"/>
            </w:tcBorders>
            <w:shd w:val="clear" w:color="auto" w:fill="auto"/>
            <w:vAlign w:val="center"/>
            <w:hideMark/>
          </w:tcPr>
          <w:p w14:paraId="081229A2" w14:textId="77777777" w:rsidR="005A0219" w:rsidRPr="00C97275" w:rsidRDefault="005A0219" w:rsidP="005A0219">
            <w:pPr>
              <w:spacing w:after="0" w:line="240" w:lineRule="auto"/>
              <w:jc w:val="both"/>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Iš viso</w:t>
            </w:r>
          </w:p>
        </w:tc>
        <w:tc>
          <w:tcPr>
            <w:tcW w:w="1186" w:type="dxa"/>
            <w:tcBorders>
              <w:top w:val="nil"/>
              <w:left w:val="nil"/>
              <w:bottom w:val="single" w:sz="8" w:space="0" w:color="D62E1C"/>
              <w:right w:val="nil"/>
            </w:tcBorders>
            <w:shd w:val="clear" w:color="auto" w:fill="auto"/>
            <w:vAlign w:val="center"/>
            <w:hideMark/>
          </w:tcPr>
          <w:p w14:paraId="3BD3E2A0"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 </w:t>
            </w:r>
          </w:p>
        </w:tc>
        <w:tc>
          <w:tcPr>
            <w:tcW w:w="1273" w:type="dxa"/>
            <w:tcBorders>
              <w:top w:val="nil"/>
              <w:left w:val="nil"/>
              <w:bottom w:val="single" w:sz="8" w:space="0" w:color="D62E1C"/>
              <w:right w:val="nil"/>
            </w:tcBorders>
            <w:shd w:val="clear" w:color="auto" w:fill="auto"/>
            <w:vAlign w:val="center"/>
            <w:hideMark/>
          </w:tcPr>
          <w:p w14:paraId="4AA9E57F"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 </w:t>
            </w:r>
          </w:p>
        </w:tc>
        <w:tc>
          <w:tcPr>
            <w:tcW w:w="791" w:type="dxa"/>
            <w:tcBorders>
              <w:top w:val="nil"/>
              <w:left w:val="nil"/>
              <w:bottom w:val="single" w:sz="8" w:space="0" w:color="D62E1C"/>
              <w:right w:val="nil"/>
            </w:tcBorders>
            <w:shd w:val="clear" w:color="auto" w:fill="auto"/>
            <w:vAlign w:val="center"/>
            <w:hideMark/>
          </w:tcPr>
          <w:p w14:paraId="72D61D03"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108</w:t>
            </w:r>
          </w:p>
        </w:tc>
        <w:tc>
          <w:tcPr>
            <w:tcW w:w="1320" w:type="dxa"/>
            <w:tcBorders>
              <w:top w:val="nil"/>
              <w:left w:val="nil"/>
              <w:bottom w:val="single" w:sz="8" w:space="0" w:color="D62E1C"/>
              <w:right w:val="nil"/>
            </w:tcBorders>
            <w:shd w:val="clear" w:color="auto" w:fill="auto"/>
            <w:vAlign w:val="center"/>
            <w:hideMark/>
          </w:tcPr>
          <w:p w14:paraId="1B24012A"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70</w:t>
            </w:r>
          </w:p>
        </w:tc>
        <w:tc>
          <w:tcPr>
            <w:tcW w:w="840" w:type="dxa"/>
            <w:tcBorders>
              <w:top w:val="nil"/>
              <w:left w:val="nil"/>
              <w:bottom w:val="single" w:sz="8" w:space="0" w:color="D62E1C"/>
              <w:right w:val="nil"/>
            </w:tcBorders>
            <w:shd w:val="clear" w:color="auto" w:fill="auto"/>
            <w:vAlign w:val="center"/>
            <w:hideMark/>
          </w:tcPr>
          <w:p w14:paraId="4F4D7283"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178</w:t>
            </w:r>
          </w:p>
        </w:tc>
        <w:tc>
          <w:tcPr>
            <w:tcW w:w="1424" w:type="dxa"/>
            <w:tcBorders>
              <w:top w:val="nil"/>
              <w:left w:val="nil"/>
              <w:bottom w:val="single" w:sz="8" w:space="0" w:color="D62E1C"/>
              <w:right w:val="nil"/>
            </w:tcBorders>
            <w:shd w:val="clear" w:color="auto" w:fill="auto"/>
            <w:vAlign w:val="center"/>
            <w:hideMark/>
          </w:tcPr>
          <w:p w14:paraId="692EE5A7"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165</w:t>
            </w:r>
          </w:p>
        </w:tc>
        <w:tc>
          <w:tcPr>
            <w:tcW w:w="1166" w:type="dxa"/>
            <w:tcBorders>
              <w:top w:val="nil"/>
              <w:left w:val="nil"/>
              <w:bottom w:val="single" w:sz="8" w:space="0" w:color="D62E1C"/>
              <w:right w:val="single" w:sz="8" w:space="0" w:color="D62E1C"/>
            </w:tcBorders>
            <w:shd w:val="clear" w:color="auto" w:fill="auto"/>
            <w:vAlign w:val="center"/>
            <w:hideMark/>
          </w:tcPr>
          <w:p w14:paraId="472D1E3F"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93%</w:t>
            </w:r>
          </w:p>
        </w:tc>
      </w:tr>
      <w:tr w:rsidR="0063781D" w:rsidRPr="00C97275" w14:paraId="3106FA34" w14:textId="77777777" w:rsidTr="0063781D">
        <w:trPr>
          <w:trHeight w:val="468"/>
        </w:trPr>
        <w:tc>
          <w:tcPr>
            <w:tcW w:w="1252" w:type="dxa"/>
            <w:tcBorders>
              <w:top w:val="nil"/>
              <w:left w:val="single" w:sz="8" w:space="0" w:color="D62E1C"/>
              <w:bottom w:val="single" w:sz="8" w:space="0" w:color="D62E1C"/>
              <w:right w:val="nil"/>
            </w:tcBorders>
            <w:shd w:val="clear" w:color="auto" w:fill="auto"/>
            <w:vAlign w:val="center"/>
          </w:tcPr>
          <w:p w14:paraId="52E4975B" w14:textId="77777777" w:rsidR="005A0219" w:rsidRPr="00C97275" w:rsidRDefault="005A0219" w:rsidP="005A0219">
            <w:pPr>
              <w:spacing w:after="0" w:line="240" w:lineRule="auto"/>
              <w:jc w:val="both"/>
              <w:rPr>
                <w:rFonts w:ascii="Georgia" w:eastAsia="Times New Roman" w:hAnsi="Georgia" w:cs="Times New Roman"/>
                <w:bCs/>
                <w:color w:val="000000"/>
                <w:sz w:val="18"/>
                <w:szCs w:val="18"/>
                <w:lang w:val="lt-LT" w:eastAsia="lt-LT"/>
              </w:rPr>
            </w:pPr>
            <w:r w:rsidRPr="00C97275">
              <w:rPr>
                <w:rFonts w:ascii="Georgia" w:eastAsia="Times New Roman" w:hAnsi="Georgia" w:cs="Times New Roman"/>
                <w:bCs/>
                <w:color w:val="000000"/>
                <w:sz w:val="18"/>
                <w:szCs w:val="18"/>
                <w:lang w:val="lt-LT" w:eastAsia="lt-LT"/>
              </w:rPr>
              <w:t>Numatytas finansavimas</w:t>
            </w:r>
          </w:p>
        </w:tc>
        <w:tc>
          <w:tcPr>
            <w:tcW w:w="1186" w:type="dxa"/>
            <w:tcBorders>
              <w:top w:val="nil"/>
              <w:left w:val="nil"/>
              <w:bottom w:val="single" w:sz="8" w:space="0" w:color="D62E1C"/>
              <w:right w:val="nil"/>
            </w:tcBorders>
            <w:shd w:val="clear" w:color="auto" w:fill="auto"/>
            <w:vAlign w:val="center"/>
          </w:tcPr>
          <w:p w14:paraId="268F659D"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p>
        </w:tc>
        <w:tc>
          <w:tcPr>
            <w:tcW w:w="1273" w:type="dxa"/>
            <w:tcBorders>
              <w:top w:val="nil"/>
              <w:left w:val="nil"/>
              <w:bottom w:val="single" w:sz="8" w:space="0" w:color="D62E1C"/>
              <w:right w:val="nil"/>
            </w:tcBorders>
            <w:shd w:val="clear" w:color="auto" w:fill="auto"/>
            <w:vAlign w:val="center"/>
          </w:tcPr>
          <w:p w14:paraId="6639EC8F"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p>
        </w:tc>
        <w:tc>
          <w:tcPr>
            <w:tcW w:w="791" w:type="dxa"/>
            <w:tcBorders>
              <w:top w:val="nil"/>
              <w:left w:val="nil"/>
              <w:bottom w:val="single" w:sz="8" w:space="0" w:color="D62E1C"/>
              <w:right w:val="nil"/>
            </w:tcBorders>
            <w:shd w:val="clear" w:color="auto" w:fill="auto"/>
            <w:vAlign w:val="center"/>
          </w:tcPr>
          <w:p w14:paraId="57351073" w14:textId="77777777" w:rsidR="005A0219" w:rsidRPr="00C97275" w:rsidRDefault="005A0219" w:rsidP="005A0219">
            <w:pPr>
              <w:spacing w:after="0" w:line="240" w:lineRule="auto"/>
              <w:jc w:val="center"/>
              <w:rPr>
                <w:rFonts w:ascii="Georgia" w:eastAsia="Times New Roman" w:hAnsi="Georgia" w:cs="Times New Roman"/>
                <w:bCs/>
                <w:color w:val="000000"/>
                <w:sz w:val="18"/>
                <w:szCs w:val="18"/>
                <w:lang w:val="lt-LT" w:eastAsia="lt-LT"/>
              </w:rPr>
            </w:pPr>
            <w:r w:rsidRPr="00C97275">
              <w:rPr>
                <w:rFonts w:ascii="Georgia" w:eastAsia="Times New Roman" w:hAnsi="Georgia" w:cs="Times New Roman"/>
                <w:bCs/>
                <w:color w:val="000000"/>
                <w:sz w:val="18"/>
                <w:szCs w:val="18"/>
                <w:lang w:val="lt-LT" w:eastAsia="lt-LT"/>
              </w:rPr>
              <w:t>150</w:t>
            </w:r>
          </w:p>
        </w:tc>
        <w:tc>
          <w:tcPr>
            <w:tcW w:w="1320" w:type="dxa"/>
            <w:tcBorders>
              <w:top w:val="nil"/>
              <w:left w:val="nil"/>
              <w:bottom w:val="single" w:sz="8" w:space="0" w:color="D62E1C"/>
              <w:right w:val="nil"/>
            </w:tcBorders>
            <w:shd w:val="clear" w:color="auto" w:fill="auto"/>
            <w:vAlign w:val="center"/>
          </w:tcPr>
          <w:p w14:paraId="29C4F833" w14:textId="77777777" w:rsidR="005A0219" w:rsidRPr="00C97275" w:rsidRDefault="005A0219" w:rsidP="005A0219">
            <w:pPr>
              <w:spacing w:after="0" w:line="240" w:lineRule="auto"/>
              <w:jc w:val="center"/>
              <w:rPr>
                <w:rFonts w:ascii="Georgia" w:eastAsia="Times New Roman" w:hAnsi="Georgia" w:cs="Times New Roman"/>
                <w:bCs/>
                <w:color w:val="000000"/>
                <w:sz w:val="18"/>
                <w:szCs w:val="18"/>
                <w:lang w:val="lt-LT" w:eastAsia="lt-LT"/>
              </w:rPr>
            </w:pPr>
            <w:r w:rsidRPr="00C97275">
              <w:rPr>
                <w:rFonts w:ascii="Georgia" w:eastAsia="Times New Roman" w:hAnsi="Georgia" w:cs="Times New Roman"/>
                <w:bCs/>
                <w:color w:val="000000"/>
                <w:sz w:val="18"/>
                <w:szCs w:val="18"/>
                <w:lang w:val="lt-LT" w:eastAsia="lt-LT"/>
              </w:rPr>
              <w:t>150</w:t>
            </w:r>
          </w:p>
        </w:tc>
        <w:tc>
          <w:tcPr>
            <w:tcW w:w="840" w:type="dxa"/>
            <w:tcBorders>
              <w:top w:val="nil"/>
              <w:left w:val="nil"/>
              <w:bottom w:val="single" w:sz="8" w:space="0" w:color="D62E1C"/>
              <w:right w:val="nil"/>
            </w:tcBorders>
            <w:shd w:val="clear" w:color="auto" w:fill="auto"/>
            <w:vAlign w:val="center"/>
          </w:tcPr>
          <w:p w14:paraId="04729000"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3</w:t>
            </w:r>
            <w:r w:rsidRPr="00C97275">
              <w:rPr>
                <w:rFonts w:ascii="Georgia" w:eastAsia="Times New Roman" w:hAnsi="Georgia" w:cs="Times New Roman"/>
                <w:bCs/>
                <w:color w:val="000000"/>
                <w:sz w:val="18"/>
                <w:szCs w:val="18"/>
                <w:lang w:val="lt-LT" w:eastAsia="lt-LT"/>
              </w:rPr>
              <w:t>00</w:t>
            </w:r>
          </w:p>
        </w:tc>
        <w:tc>
          <w:tcPr>
            <w:tcW w:w="1424" w:type="dxa"/>
            <w:tcBorders>
              <w:top w:val="nil"/>
              <w:left w:val="nil"/>
              <w:bottom w:val="single" w:sz="8" w:space="0" w:color="D62E1C"/>
              <w:right w:val="nil"/>
            </w:tcBorders>
            <w:shd w:val="clear" w:color="auto" w:fill="auto"/>
            <w:vAlign w:val="center"/>
          </w:tcPr>
          <w:p w14:paraId="3A0B10D0"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300</w:t>
            </w:r>
          </w:p>
        </w:tc>
        <w:tc>
          <w:tcPr>
            <w:tcW w:w="1166" w:type="dxa"/>
            <w:tcBorders>
              <w:top w:val="nil"/>
              <w:left w:val="nil"/>
              <w:bottom w:val="single" w:sz="8" w:space="0" w:color="D62E1C"/>
              <w:right w:val="single" w:sz="8" w:space="0" w:color="D62E1C"/>
            </w:tcBorders>
            <w:shd w:val="clear" w:color="auto" w:fill="auto"/>
            <w:vAlign w:val="center"/>
          </w:tcPr>
          <w:p w14:paraId="5590D9F9" w14:textId="77777777" w:rsidR="005A0219" w:rsidRPr="00C97275" w:rsidRDefault="005A0219" w:rsidP="005A0219">
            <w:pPr>
              <w:spacing w:after="0" w:line="240" w:lineRule="auto"/>
              <w:jc w:val="center"/>
              <w:rPr>
                <w:rFonts w:ascii="Georgia" w:eastAsia="Times New Roman" w:hAnsi="Georgia" w:cs="Times New Roman"/>
                <w:color w:val="000000"/>
                <w:sz w:val="18"/>
                <w:szCs w:val="18"/>
                <w:lang w:val="lt-LT" w:eastAsia="lt-LT"/>
              </w:rPr>
            </w:pPr>
            <w:r w:rsidRPr="00C97275">
              <w:rPr>
                <w:rFonts w:ascii="Georgia" w:eastAsia="Times New Roman" w:hAnsi="Georgia" w:cs="Times New Roman"/>
                <w:color w:val="000000"/>
                <w:sz w:val="18"/>
                <w:szCs w:val="18"/>
                <w:lang w:val="lt-LT" w:eastAsia="lt-LT"/>
              </w:rPr>
              <w:t>100%</w:t>
            </w:r>
          </w:p>
        </w:tc>
      </w:tr>
      <w:tr w:rsidR="0063781D" w:rsidRPr="00C97275" w14:paraId="18148C9D" w14:textId="77777777" w:rsidTr="0063781D">
        <w:trPr>
          <w:trHeight w:val="439"/>
        </w:trPr>
        <w:tc>
          <w:tcPr>
            <w:tcW w:w="1252" w:type="dxa"/>
            <w:tcBorders>
              <w:top w:val="nil"/>
              <w:left w:val="single" w:sz="8" w:space="0" w:color="D62E1C"/>
              <w:bottom w:val="single" w:sz="8" w:space="0" w:color="D62E1C"/>
              <w:right w:val="nil"/>
            </w:tcBorders>
            <w:shd w:val="clear" w:color="auto" w:fill="auto"/>
            <w:vAlign w:val="center"/>
            <w:hideMark/>
          </w:tcPr>
          <w:p w14:paraId="73B96113" w14:textId="77777777" w:rsidR="005A0219" w:rsidRPr="00C97275" w:rsidRDefault="005A0219" w:rsidP="005A0219">
            <w:pPr>
              <w:spacing w:after="0" w:line="240" w:lineRule="auto"/>
              <w:jc w:val="both"/>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Likęs finansavimas</w:t>
            </w:r>
          </w:p>
        </w:tc>
        <w:tc>
          <w:tcPr>
            <w:tcW w:w="1186" w:type="dxa"/>
            <w:tcBorders>
              <w:top w:val="nil"/>
              <w:left w:val="nil"/>
              <w:bottom w:val="single" w:sz="8" w:space="0" w:color="D62E1C"/>
              <w:right w:val="nil"/>
            </w:tcBorders>
            <w:shd w:val="clear" w:color="auto" w:fill="auto"/>
            <w:vAlign w:val="center"/>
            <w:hideMark/>
          </w:tcPr>
          <w:p w14:paraId="29CDFAFB"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 </w:t>
            </w:r>
          </w:p>
        </w:tc>
        <w:tc>
          <w:tcPr>
            <w:tcW w:w="1273" w:type="dxa"/>
            <w:tcBorders>
              <w:top w:val="nil"/>
              <w:left w:val="nil"/>
              <w:bottom w:val="single" w:sz="8" w:space="0" w:color="D62E1C"/>
              <w:right w:val="nil"/>
            </w:tcBorders>
            <w:shd w:val="clear" w:color="auto" w:fill="auto"/>
            <w:vAlign w:val="center"/>
            <w:hideMark/>
          </w:tcPr>
          <w:p w14:paraId="5E224A5F"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 </w:t>
            </w:r>
          </w:p>
        </w:tc>
        <w:tc>
          <w:tcPr>
            <w:tcW w:w="791" w:type="dxa"/>
            <w:tcBorders>
              <w:top w:val="nil"/>
              <w:left w:val="nil"/>
              <w:bottom w:val="single" w:sz="8" w:space="0" w:color="D62E1C"/>
              <w:right w:val="nil"/>
            </w:tcBorders>
            <w:shd w:val="clear" w:color="auto" w:fill="auto"/>
            <w:vAlign w:val="center"/>
            <w:hideMark/>
          </w:tcPr>
          <w:p w14:paraId="648BFA86"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42</w:t>
            </w:r>
          </w:p>
        </w:tc>
        <w:tc>
          <w:tcPr>
            <w:tcW w:w="1320" w:type="dxa"/>
            <w:tcBorders>
              <w:top w:val="nil"/>
              <w:left w:val="nil"/>
              <w:bottom w:val="single" w:sz="8" w:space="0" w:color="D62E1C"/>
              <w:right w:val="nil"/>
            </w:tcBorders>
            <w:shd w:val="clear" w:color="auto" w:fill="auto"/>
            <w:vAlign w:val="center"/>
            <w:hideMark/>
          </w:tcPr>
          <w:p w14:paraId="6916C29D"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80</w:t>
            </w:r>
          </w:p>
        </w:tc>
        <w:tc>
          <w:tcPr>
            <w:tcW w:w="840" w:type="dxa"/>
            <w:tcBorders>
              <w:top w:val="nil"/>
              <w:left w:val="nil"/>
              <w:bottom w:val="single" w:sz="8" w:space="0" w:color="D62E1C"/>
              <w:right w:val="nil"/>
            </w:tcBorders>
            <w:shd w:val="clear" w:color="auto" w:fill="auto"/>
            <w:vAlign w:val="center"/>
            <w:hideMark/>
          </w:tcPr>
          <w:p w14:paraId="2934FC5E" w14:textId="77777777" w:rsidR="005A0219" w:rsidRPr="00C97275"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C97275">
              <w:rPr>
                <w:rFonts w:ascii="Georgia" w:eastAsia="Times New Roman" w:hAnsi="Georgia" w:cs="Times New Roman"/>
                <w:b/>
                <w:bCs/>
                <w:color w:val="000000"/>
                <w:sz w:val="18"/>
                <w:szCs w:val="18"/>
                <w:lang w:val="lt-LT" w:eastAsia="lt-LT"/>
              </w:rPr>
              <w:t>122</w:t>
            </w:r>
          </w:p>
        </w:tc>
        <w:tc>
          <w:tcPr>
            <w:tcW w:w="1424" w:type="dxa"/>
            <w:tcBorders>
              <w:top w:val="nil"/>
              <w:left w:val="nil"/>
              <w:bottom w:val="single" w:sz="8" w:space="0" w:color="D62E1C"/>
              <w:right w:val="nil"/>
            </w:tcBorders>
            <w:shd w:val="clear" w:color="auto" w:fill="auto"/>
            <w:vAlign w:val="center"/>
            <w:hideMark/>
          </w:tcPr>
          <w:p w14:paraId="70C27B3C" w14:textId="77777777" w:rsidR="005A0219" w:rsidRPr="00C97275" w:rsidRDefault="005A0219" w:rsidP="005A0219">
            <w:pPr>
              <w:spacing w:after="0" w:line="240" w:lineRule="auto"/>
              <w:jc w:val="center"/>
              <w:rPr>
                <w:rFonts w:ascii="Georgia" w:eastAsia="Times New Roman" w:hAnsi="Georgia" w:cs="Times New Roman"/>
                <w:b/>
                <w:color w:val="000000"/>
                <w:sz w:val="18"/>
                <w:szCs w:val="18"/>
                <w:lang w:val="lt-LT" w:eastAsia="lt-LT"/>
              </w:rPr>
            </w:pPr>
            <w:r w:rsidRPr="00C97275">
              <w:rPr>
                <w:rFonts w:ascii="Georgia" w:eastAsia="Times New Roman" w:hAnsi="Georgia" w:cs="Times New Roman"/>
                <w:b/>
                <w:color w:val="000000"/>
                <w:sz w:val="18"/>
                <w:szCs w:val="18"/>
                <w:lang w:val="lt-LT" w:eastAsia="lt-LT"/>
              </w:rPr>
              <w:t>135</w:t>
            </w:r>
          </w:p>
        </w:tc>
        <w:tc>
          <w:tcPr>
            <w:tcW w:w="1166" w:type="dxa"/>
            <w:tcBorders>
              <w:top w:val="nil"/>
              <w:left w:val="nil"/>
              <w:bottom w:val="single" w:sz="8" w:space="0" w:color="D62E1C"/>
              <w:right w:val="single" w:sz="8" w:space="0" w:color="D62E1C"/>
            </w:tcBorders>
            <w:shd w:val="clear" w:color="auto" w:fill="auto"/>
            <w:vAlign w:val="center"/>
            <w:hideMark/>
          </w:tcPr>
          <w:p w14:paraId="6FFEABDF" w14:textId="77777777" w:rsidR="005A0219" w:rsidRPr="00C97275" w:rsidRDefault="005A0219" w:rsidP="005A0219">
            <w:pPr>
              <w:spacing w:after="0" w:line="240" w:lineRule="auto"/>
              <w:jc w:val="center"/>
              <w:rPr>
                <w:rFonts w:ascii="Georgia" w:eastAsia="Times New Roman" w:hAnsi="Georgia" w:cs="Times New Roman"/>
                <w:b/>
                <w:color w:val="000000"/>
                <w:sz w:val="18"/>
                <w:szCs w:val="18"/>
                <w:lang w:val="lt-LT" w:eastAsia="lt-LT"/>
              </w:rPr>
            </w:pPr>
            <w:r w:rsidRPr="00C97275">
              <w:rPr>
                <w:rFonts w:ascii="Georgia" w:eastAsia="Times New Roman" w:hAnsi="Georgia" w:cs="Times New Roman"/>
                <w:b/>
                <w:color w:val="000000"/>
                <w:sz w:val="18"/>
                <w:szCs w:val="18"/>
                <w:lang w:val="lt-LT" w:eastAsia="lt-LT"/>
              </w:rPr>
              <w:t> </w:t>
            </w:r>
          </w:p>
        </w:tc>
      </w:tr>
    </w:tbl>
    <w:p w14:paraId="67632D96" w14:textId="77777777" w:rsidR="005A0219" w:rsidRPr="00C97275" w:rsidRDefault="005A0219" w:rsidP="005A0219">
      <w:pPr>
        <w:spacing w:after="160" w:line="240" w:lineRule="auto"/>
        <w:rPr>
          <w:rFonts w:ascii="Georgia" w:eastAsia="Georgia" w:hAnsi="Georgia" w:cs="Arial Unicode MS"/>
          <w:iCs/>
          <w:color w:val="821A1A"/>
          <w:sz w:val="20"/>
          <w:szCs w:val="18"/>
          <w:lang w:val="lt-LT"/>
        </w:rPr>
      </w:pPr>
      <w:r w:rsidRPr="00C97275">
        <w:rPr>
          <w:rFonts w:ascii="Georgia" w:eastAsia="Georgia" w:hAnsi="Georgia" w:cs="Georgia"/>
          <w:i/>
          <w:iCs/>
          <w:color w:val="821A1A"/>
          <w:sz w:val="20"/>
          <w:szCs w:val="18"/>
          <w:lang w:val="lt-LT"/>
        </w:rPr>
        <w:t xml:space="preserve"> </w:t>
      </w:r>
      <w:r w:rsidRPr="00C97275">
        <w:rPr>
          <w:rFonts w:ascii="Georgia" w:eastAsia="Georgia" w:hAnsi="Georgia" w:cs="Arial Unicode MS"/>
          <w:i/>
          <w:iCs/>
          <w:color w:val="821A1A"/>
          <w:sz w:val="20"/>
          <w:szCs w:val="18"/>
          <w:lang w:val="lt-LT"/>
        </w:rPr>
        <w:t xml:space="preserve">Šaltinis: 2016 Jessica II Fund-of-funds Lithuania, Annual Progress Report, sudaryta autorių. </w:t>
      </w:r>
    </w:p>
    <w:p w14:paraId="62D8C96D" w14:textId="4686970F"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Per pirmus du kv</w:t>
      </w:r>
      <w:r w:rsidR="00A06708" w:rsidRPr="00C97275">
        <w:rPr>
          <w:rFonts w:ascii="Georgia" w:eastAsia="Georgia" w:hAnsi="Georgia" w:cs="Georgia"/>
          <w:sz w:val="20"/>
          <w:szCs w:val="20"/>
          <w:lang w:val="lt-LT"/>
        </w:rPr>
        <w:t>ietimus buvo pasirašytos sutarty</w:t>
      </w:r>
      <w:r w:rsidRPr="00C97275">
        <w:rPr>
          <w:rFonts w:ascii="Georgia" w:eastAsia="Georgia" w:hAnsi="Georgia" w:cs="Georgia"/>
          <w:sz w:val="20"/>
          <w:szCs w:val="20"/>
          <w:lang w:val="lt-LT"/>
        </w:rPr>
        <w:t>s su tuo pačiu finansiniu tarpininku – Šiaulių banku, kuris</w:t>
      </w:r>
      <w:r w:rsidR="00A06708" w:rsidRPr="00C97275">
        <w:rPr>
          <w:rFonts w:ascii="Georgia" w:eastAsia="Georgia" w:hAnsi="Georgia" w:cs="Georgia"/>
          <w:sz w:val="20"/>
          <w:szCs w:val="20"/>
          <w:lang w:val="lt-LT"/>
        </w:rPr>
        <w:t xml:space="preserve"> prie jam išmokėtų 108 mln. eurų ES fondų</w:t>
      </w:r>
      <w:r w:rsidRPr="00C97275">
        <w:rPr>
          <w:rFonts w:ascii="Georgia" w:eastAsia="Georgia" w:hAnsi="Georgia" w:cs="Georgia"/>
          <w:sz w:val="20"/>
          <w:szCs w:val="20"/>
          <w:lang w:val="lt-LT"/>
        </w:rPr>
        <w:t xml:space="preserve"> lėšų sutiko pri</w:t>
      </w:r>
      <w:r w:rsidR="00A06708" w:rsidRPr="00C97275">
        <w:rPr>
          <w:rFonts w:ascii="Georgia" w:eastAsia="Georgia" w:hAnsi="Georgia" w:cs="Georgia"/>
          <w:sz w:val="20"/>
          <w:szCs w:val="20"/>
          <w:lang w:val="lt-LT"/>
        </w:rPr>
        <w:t>dėti 70 mln. eurų savo privačių lėšų</w:t>
      </w:r>
      <w:r w:rsidRPr="00C97275">
        <w:rPr>
          <w:rFonts w:ascii="Georgia" w:eastAsia="Georgia" w:hAnsi="Georgia" w:cs="Georgia"/>
          <w:sz w:val="20"/>
          <w:szCs w:val="20"/>
          <w:lang w:val="lt-LT"/>
        </w:rPr>
        <w:t>. Per pirmus du k</w:t>
      </w:r>
      <w:r w:rsidR="00A06708" w:rsidRPr="00C97275">
        <w:rPr>
          <w:rFonts w:ascii="Georgia" w:eastAsia="Georgia" w:hAnsi="Georgia" w:cs="Georgia"/>
          <w:sz w:val="20"/>
          <w:szCs w:val="20"/>
          <w:lang w:val="lt-LT"/>
        </w:rPr>
        <w:t>vietimus iki 2016 metų pabaigos</w:t>
      </w:r>
      <w:r w:rsidRPr="00C97275">
        <w:rPr>
          <w:rFonts w:ascii="Georgia" w:eastAsia="Georgia" w:hAnsi="Georgia" w:cs="Georgia"/>
          <w:sz w:val="20"/>
          <w:szCs w:val="20"/>
          <w:lang w:val="lt-LT"/>
        </w:rPr>
        <w:t xml:space="preserve"> galutiniams </w:t>
      </w:r>
      <w:r w:rsidR="00A06708" w:rsidRPr="00C97275">
        <w:rPr>
          <w:rFonts w:ascii="Georgia" w:eastAsia="Georgia" w:hAnsi="Georgia" w:cs="Georgia"/>
          <w:sz w:val="20"/>
          <w:szCs w:val="20"/>
          <w:lang w:val="lt-LT"/>
        </w:rPr>
        <w:t xml:space="preserve">naudos </w:t>
      </w:r>
      <w:r w:rsidRPr="00C97275">
        <w:rPr>
          <w:rFonts w:ascii="Georgia" w:eastAsia="Georgia" w:hAnsi="Georgia" w:cs="Georgia"/>
          <w:sz w:val="20"/>
          <w:szCs w:val="20"/>
          <w:lang w:val="lt-LT"/>
        </w:rPr>
        <w:t>gavė</w:t>
      </w:r>
      <w:r w:rsidR="00A06708" w:rsidRPr="00C97275">
        <w:rPr>
          <w:rFonts w:ascii="Georgia" w:eastAsia="Georgia" w:hAnsi="Georgia" w:cs="Georgia"/>
          <w:sz w:val="20"/>
          <w:szCs w:val="20"/>
          <w:lang w:val="lt-LT"/>
        </w:rPr>
        <w:t>jams buvo išmokėti 165 mln. eurų.</w:t>
      </w:r>
    </w:p>
    <w:p w14:paraId="31B4570E" w14:textId="78A117DB"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Skaičiuojant finansinių lėšų pasiūlą daugiabučių namų modernizavimo projektams 2017-2023 m. laikotarpiu, prognozuojama, jog </w:t>
      </w:r>
      <w:r w:rsidRPr="00C97275">
        <w:rPr>
          <w:rFonts w:ascii="Georgia" w:eastAsia="Georgia" w:hAnsi="Georgia" w:cs="Times New Roman"/>
          <w:b/>
          <w:sz w:val="20"/>
          <w:szCs w:val="20"/>
          <w:lang w:val="lt-LT"/>
        </w:rPr>
        <w:t>papildomai bus išmokėta 135 mln. eurų</w:t>
      </w:r>
      <w:r w:rsidRPr="00C97275">
        <w:rPr>
          <w:rFonts w:ascii="Georgia" w:eastAsia="Georgia" w:hAnsi="Georgia" w:cs="Times New Roman"/>
          <w:sz w:val="20"/>
          <w:szCs w:val="20"/>
          <w:lang w:val="lt-LT"/>
        </w:rPr>
        <w:t>. Atsižvelgiant į Šiaulių banko išreikštą didelį norą prisidėti savo nuosavomis lėšomis per pirmąjį ir antrąjį kvieti</w:t>
      </w:r>
      <w:r w:rsidR="00A06708" w:rsidRPr="00C97275">
        <w:rPr>
          <w:rFonts w:ascii="Georgia" w:eastAsia="Georgia" w:hAnsi="Georgia" w:cs="Times New Roman"/>
          <w:sz w:val="20"/>
          <w:szCs w:val="20"/>
          <w:lang w:val="lt-LT"/>
        </w:rPr>
        <w:t xml:space="preserve">mus, tikėtina, jog ateityje gali būti </w:t>
      </w:r>
      <w:r w:rsidRPr="00C97275">
        <w:rPr>
          <w:rFonts w:ascii="Georgia" w:eastAsia="Georgia" w:hAnsi="Georgia" w:cs="Times New Roman"/>
          <w:sz w:val="20"/>
          <w:szCs w:val="20"/>
          <w:lang w:val="lt-LT"/>
        </w:rPr>
        <w:t>viršyti numatyto finansavimo iš finansinių tarpininkų planai.</w:t>
      </w:r>
    </w:p>
    <w:p w14:paraId="6E7C829C" w14:textId="77777777" w:rsidR="005A0219" w:rsidRPr="00C97275" w:rsidRDefault="005A0219" w:rsidP="005A0219">
      <w:pPr>
        <w:spacing w:after="160" w:line="240" w:lineRule="auto"/>
        <w:jc w:val="both"/>
        <w:rPr>
          <w:rFonts w:ascii="Georgia" w:eastAsia="Georgia" w:hAnsi="Georgia" w:cs="Times New Roman"/>
          <w:b/>
          <w:sz w:val="20"/>
          <w:szCs w:val="20"/>
          <w:lang w:val="lt-LT"/>
        </w:rPr>
      </w:pPr>
      <w:r w:rsidRPr="00C97275">
        <w:rPr>
          <w:rFonts w:ascii="Georgia" w:eastAsia="Georgia" w:hAnsi="Georgia" w:cs="Times New Roman"/>
          <w:b/>
          <w:sz w:val="20"/>
          <w:szCs w:val="20"/>
          <w:lang w:val="lt-LT"/>
        </w:rPr>
        <w:t>Rizikos pasidalijimo fondas (RPF)</w:t>
      </w:r>
    </w:p>
    <w:p w14:paraId="6AB4F696" w14:textId="122E9024" w:rsidR="00B0275C" w:rsidRPr="00C97275" w:rsidRDefault="005A0219" w:rsidP="005A0219">
      <w:pPr>
        <w:spacing w:after="160" w:line="240" w:lineRule="auto"/>
        <w:jc w:val="both"/>
        <w:rPr>
          <w:rFonts w:ascii="Georgia" w:eastAsia="Georgia" w:hAnsi="Georgia" w:cs="Times New Roman"/>
          <w:sz w:val="20"/>
          <w:szCs w:val="20"/>
          <w:highlight w:val="yellow"/>
          <w:lang w:val="lt-LT"/>
        </w:rPr>
      </w:pPr>
      <w:r w:rsidRPr="00C97275">
        <w:rPr>
          <w:rFonts w:ascii="Georgia" w:eastAsia="Georgia" w:hAnsi="Georgia" w:cs="Times New Roman"/>
          <w:sz w:val="20"/>
          <w:szCs w:val="20"/>
          <w:lang w:val="lt-LT"/>
        </w:rPr>
        <w:t>2016 m. spalio 5 d. LR Fina</w:t>
      </w:r>
      <w:r w:rsidR="00A90741" w:rsidRPr="00C97275">
        <w:rPr>
          <w:rFonts w:ascii="Georgia" w:eastAsia="Georgia" w:hAnsi="Georgia" w:cs="Times New Roman"/>
          <w:sz w:val="20"/>
          <w:szCs w:val="20"/>
          <w:lang w:val="lt-LT"/>
        </w:rPr>
        <w:t xml:space="preserve">nsų ir Aplinkos ministerijos bei </w:t>
      </w:r>
      <w:r w:rsidRPr="00C97275">
        <w:rPr>
          <w:rFonts w:ascii="Georgia" w:eastAsia="Georgia" w:hAnsi="Georgia" w:cs="Times New Roman"/>
          <w:sz w:val="20"/>
          <w:szCs w:val="20"/>
          <w:lang w:val="lt-LT"/>
        </w:rPr>
        <w:t>EIB pasirašė trišalę su</w:t>
      </w:r>
      <w:r w:rsidR="00A90741" w:rsidRPr="00C97275">
        <w:rPr>
          <w:rFonts w:ascii="Georgia" w:eastAsia="Georgia" w:hAnsi="Georgia" w:cs="Times New Roman"/>
          <w:sz w:val="20"/>
          <w:szCs w:val="20"/>
          <w:lang w:val="lt-LT"/>
        </w:rPr>
        <w:t>tartį, kuria įsteigtas Rizikos pasidalijimo f</w:t>
      </w:r>
      <w:r w:rsidRPr="00C97275">
        <w:rPr>
          <w:rFonts w:ascii="Georgia" w:eastAsia="Georgia" w:hAnsi="Georgia" w:cs="Times New Roman"/>
          <w:sz w:val="20"/>
          <w:szCs w:val="20"/>
          <w:lang w:val="lt-LT"/>
        </w:rPr>
        <w:t xml:space="preserve">ondas (RPF). </w:t>
      </w:r>
      <w:r w:rsidRPr="00C97275">
        <w:rPr>
          <w:rFonts w:ascii="Georgia" w:eastAsia="Georgia" w:hAnsi="Georgia" w:cs="Times New Roman"/>
          <w:b/>
          <w:sz w:val="20"/>
          <w:szCs w:val="20"/>
          <w:lang w:val="lt-LT"/>
        </w:rPr>
        <w:t>Jo dydis –</w:t>
      </w:r>
      <w:r w:rsidR="00A90741" w:rsidRPr="00C97275">
        <w:rPr>
          <w:rFonts w:ascii="Georgia" w:eastAsia="Georgia" w:hAnsi="Georgia" w:cs="Times New Roman"/>
          <w:b/>
          <w:sz w:val="20"/>
          <w:szCs w:val="20"/>
          <w:lang w:val="lt-LT"/>
        </w:rPr>
        <w:t xml:space="preserve"> 100 mln. eurų (90 mln. eurų ES</w:t>
      </w:r>
      <w:r w:rsidRPr="00C97275">
        <w:rPr>
          <w:rFonts w:ascii="Georgia" w:eastAsia="Georgia" w:hAnsi="Georgia" w:cs="Times New Roman"/>
          <w:b/>
          <w:sz w:val="20"/>
          <w:szCs w:val="20"/>
          <w:lang w:val="lt-LT"/>
        </w:rPr>
        <w:t xml:space="preserve"> </w:t>
      </w:r>
      <w:r w:rsidR="00A90741" w:rsidRPr="00C97275">
        <w:rPr>
          <w:rFonts w:ascii="Georgia" w:eastAsia="Georgia" w:hAnsi="Georgia" w:cs="Times New Roman"/>
          <w:b/>
          <w:sz w:val="20"/>
          <w:szCs w:val="20"/>
          <w:lang w:val="lt-LT"/>
        </w:rPr>
        <w:t xml:space="preserve">fondų lėšų ir 10 mln. eurų JESSICA </w:t>
      </w:r>
      <w:r w:rsidRPr="00C97275">
        <w:rPr>
          <w:rFonts w:ascii="Georgia" w:eastAsia="Georgia" w:hAnsi="Georgia" w:cs="Times New Roman"/>
          <w:b/>
          <w:sz w:val="20"/>
          <w:szCs w:val="20"/>
          <w:lang w:val="lt-LT"/>
        </w:rPr>
        <w:t>grįžusių lėšų)</w:t>
      </w:r>
      <w:r w:rsidRPr="00C97275">
        <w:rPr>
          <w:rFonts w:ascii="Georgia" w:eastAsia="Georgia" w:hAnsi="Georgia" w:cs="Times New Roman"/>
          <w:sz w:val="20"/>
          <w:szCs w:val="20"/>
          <w:lang w:val="lt-LT"/>
        </w:rPr>
        <w:t xml:space="preserve">. RPF yra pirmojo nuostolio padengimo finansinis instrumentas, kuriuo siekiama pritrauktų papildomų lėšų iš privataus sektoriaus (bankų, finansinių institucijų, t.t.) taip sukuriant sverto efektą. </w:t>
      </w:r>
      <w:r w:rsidR="00B0275C" w:rsidRPr="00C97275">
        <w:rPr>
          <w:rFonts w:ascii="Georgia" w:eastAsia="Georgia" w:hAnsi="Georgia" w:cs="Times New Roman"/>
          <w:sz w:val="20"/>
          <w:szCs w:val="20"/>
          <w:lang w:val="lt-LT"/>
        </w:rPr>
        <w:t xml:space="preserve"> </w:t>
      </w:r>
      <w:r w:rsidR="00A90741" w:rsidRPr="00C97275">
        <w:rPr>
          <w:rFonts w:ascii="Georgia" w:eastAsia="Georgia" w:hAnsi="Georgia" w:cs="Times New Roman"/>
          <w:sz w:val="20"/>
          <w:szCs w:val="20"/>
          <w:lang w:val="lt-LT"/>
        </w:rPr>
        <w:t>2017 m. gruodžio mėn. fondui pervesta pirmoji įnašo dalis siekianti 50 mln. eurų</w:t>
      </w:r>
      <w:r w:rsidR="00861A5D" w:rsidRPr="00C97275">
        <w:rPr>
          <w:rFonts w:ascii="Georgia" w:eastAsia="Georgia" w:hAnsi="Georgia" w:cs="Times New Roman"/>
          <w:sz w:val="20"/>
          <w:szCs w:val="20"/>
          <w:lang w:val="lt-LT"/>
        </w:rPr>
        <w:t>. 2019 m. sausio pradžioje buvo pasirašyta</w:t>
      </w:r>
      <w:r w:rsidR="00861A5D" w:rsidRPr="00C97275">
        <w:rPr>
          <w:rFonts w:ascii="Georgia" w:eastAsia="Georgia" w:hAnsi="Georgia" w:cs="Georgia"/>
          <w:sz w:val="20"/>
          <w:szCs w:val="20"/>
          <w:lang w:val="lt-LT"/>
        </w:rPr>
        <w:t xml:space="preserve"> sutartis dėl </w:t>
      </w:r>
      <w:r w:rsidR="00B0275C" w:rsidRPr="00C97275">
        <w:rPr>
          <w:rFonts w:ascii="Georgia" w:eastAsia="Georgia" w:hAnsi="Georgia" w:cs="Georgia"/>
          <w:sz w:val="20"/>
          <w:szCs w:val="20"/>
          <w:lang w:val="lt-LT"/>
        </w:rPr>
        <w:t>g</w:t>
      </w:r>
      <w:r w:rsidR="00861A5D" w:rsidRPr="00C97275">
        <w:rPr>
          <w:rFonts w:ascii="Georgia" w:eastAsia="Georgia" w:hAnsi="Georgia" w:cs="Georgia"/>
          <w:sz w:val="20"/>
          <w:szCs w:val="20"/>
          <w:lang w:val="lt-LT"/>
        </w:rPr>
        <w:t>arantijos finansinio instrumento su vienu finansiniu tarpininku – Šiaulių banku.</w:t>
      </w:r>
    </w:p>
    <w:p w14:paraId="71D3BA7B" w14:textId="77777777" w:rsidR="005A0219" w:rsidRPr="00C97275" w:rsidRDefault="005A0219" w:rsidP="005A0219">
      <w:pPr>
        <w:spacing w:after="160" w:line="240" w:lineRule="auto"/>
        <w:rPr>
          <w:rFonts w:ascii="Georgia" w:eastAsia="Georgia" w:hAnsi="Georgia" w:cs="Arial Unicode MS"/>
          <w:b/>
          <w:i/>
          <w:sz w:val="24"/>
          <w:szCs w:val="20"/>
          <w:lang w:val="lt-LT"/>
        </w:rPr>
      </w:pPr>
      <w:r w:rsidRPr="00C97275">
        <w:rPr>
          <w:rFonts w:ascii="Georgia" w:eastAsia="Georgia" w:hAnsi="Georgia" w:cs="Arial Unicode MS"/>
          <w:b/>
          <w:i/>
          <w:sz w:val="24"/>
          <w:szCs w:val="20"/>
          <w:lang w:val="lt-LT"/>
        </w:rPr>
        <w:t>Komercinių bankų finansavimas</w:t>
      </w:r>
    </w:p>
    <w:p w14:paraId="62A5E95B" w14:textId="77777777" w:rsidR="005A0219" w:rsidRPr="00C97275" w:rsidRDefault="005A0219" w:rsidP="005A0219">
      <w:pPr>
        <w:spacing w:before="140" w:after="140" w:line="240" w:lineRule="auto"/>
        <w:rPr>
          <w:rFonts w:ascii="Georgia" w:eastAsia="Times New Roman" w:hAnsi="Georgia" w:cs="Times New Roman"/>
          <w:i/>
          <w:sz w:val="20"/>
          <w:szCs w:val="24"/>
          <w:lang w:val="lt-LT" w:eastAsia="en-GB"/>
        </w:rPr>
      </w:pPr>
      <w:r w:rsidRPr="00C97275">
        <w:rPr>
          <w:rFonts w:ascii="Georgia" w:eastAsia="Times New Roman" w:hAnsi="Georgia" w:cs="Times New Roman"/>
          <w:i/>
          <w:sz w:val="20"/>
          <w:szCs w:val="24"/>
          <w:lang w:val="lt-LT" w:eastAsia="en-GB"/>
        </w:rPr>
        <w:t>Šalies bankinio sektoriaus struktūra</w:t>
      </w:r>
    </w:p>
    <w:p w14:paraId="11F63ED3" w14:textId="77777777" w:rsidR="005A0219" w:rsidRPr="00C97275"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C97275">
        <w:rPr>
          <w:rFonts w:ascii="Georgia" w:eastAsia="Georgia" w:hAnsi="Georgia" w:cs="Georgia"/>
          <w:sz w:val="20"/>
          <w:szCs w:val="20"/>
          <w:lang w:val="lt-LT"/>
        </w:rPr>
        <w:t>2017 m. liepos pradžioje Lietuvoje veikė 6 bankai ir 7 užsienio šalių bankų filialai, kurie teikė paskolas bei kitas finansinio pobūdžio paslaugas juridiniams ir fiziniams asmenims. Remiantis Lietuvos banko duomenimis, 2017 m. sausio 1 d. komerciniai bankai valdė 26,4 mlrd. eurų vertės turtą (įskaitant lizingą)</w:t>
      </w:r>
      <w:r w:rsidRPr="00C97275">
        <w:rPr>
          <w:rFonts w:ascii="Georgia" w:eastAsia="Georgia" w:hAnsi="Georgia" w:cs="Georgia"/>
          <w:color w:val="000000"/>
          <w:sz w:val="20"/>
          <w:szCs w:val="20"/>
          <w:vertAlign w:val="superscript"/>
          <w:lang w:val="lt-LT"/>
        </w:rPr>
        <w:footnoteReference w:id="36"/>
      </w:r>
      <w:r w:rsidRPr="00C97275">
        <w:rPr>
          <w:rFonts w:ascii="Georgia" w:eastAsia="Georgia" w:hAnsi="Georgia" w:cs="Georgia"/>
          <w:sz w:val="20"/>
          <w:szCs w:val="20"/>
          <w:lang w:val="lt-LT"/>
        </w:rPr>
        <w:t>, kas sudaro 86,2 proc. visos šalies finansų sistemos turto</w:t>
      </w:r>
      <w:r w:rsidRPr="00C97275">
        <w:rPr>
          <w:rFonts w:ascii="Georgia" w:eastAsia="Georgia" w:hAnsi="Georgia" w:cs="Georgia"/>
          <w:color w:val="000000"/>
          <w:sz w:val="20"/>
          <w:szCs w:val="20"/>
          <w:vertAlign w:val="superscript"/>
          <w:lang w:val="lt-LT"/>
        </w:rPr>
        <w:footnoteReference w:id="37"/>
      </w:r>
      <w:r w:rsidRPr="00C97275">
        <w:rPr>
          <w:rFonts w:ascii="Georgia" w:eastAsia="Georgia" w:hAnsi="Georgia" w:cs="Georgia"/>
          <w:sz w:val="20"/>
          <w:szCs w:val="20"/>
          <w:lang w:val="lt-LT"/>
        </w:rPr>
        <w:t xml:space="preserve">. Atsižvelgiant į tai, komercinių bankų finansavimas yra vienas svarbiausių ir didžiausių finansavimo šaltinių, todėl jam skiriamas didelis dėmesys pasiūlos analizėje. </w:t>
      </w:r>
    </w:p>
    <w:p w14:paraId="2ED4D44F"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Lietuvos banko statistika atskleidžia, kad po finansų krizės smarkiai sumažėjo skolinimo ne finansų korporacijoms apimtys (žr. pav. žemiau). Pavyzdžiui, 2011 m. trečią ketvirtį išduotų paskolų balansas siekė apie 8,4 mlrd. eurų</w:t>
      </w:r>
      <w:r w:rsidRPr="00C97275">
        <w:rPr>
          <w:rFonts w:ascii="Georgia" w:eastAsia="Georgia" w:hAnsi="Georgia" w:cs="Times New Roman"/>
          <w:color w:val="000000"/>
          <w:sz w:val="20"/>
          <w:szCs w:val="20"/>
          <w:vertAlign w:val="superscript"/>
          <w:lang w:val="lt-LT"/>
        </w:rPr>
        <w:footnoteReference w:id="38"/>
      </w:r>
      <w:r w:rsidRPr="00C97275">
        <w:rPr>
          <w:rFonts w:ascii="Georgia" w:eastAsia="Georgia" w:hAnsi="Georgia" w:cs="Times New Roman"/>
          <w:sz w:val="20"/>
          <w:szCs w:val="20"/>
          <w:lang w:val="lt-LT"/>
        </w:rPr>
        <w:t>, tuo tarpu 2013 m. tą patį ketvirtį – jau tik 7,3 mlrd. eurų  paskolų (1,1 mlrd. Eur. sumažėjimas). Nors esama skolinimo ne finansų įmonėms padėtis stabilizuojasi ir 2017 metų antrą ketvirtį paskolų ne finansų bendrovėms sugrįžo į 2011 metų lygį, skaičiai vis tiek mažesni palyginti su laikotarpiu prieš krizę (tuo metu paskolų portfelis siekė 10,4 mlrd. eurų</w:t>
      </w:r>
      <w:r w:rsidRPr="00C97275">
        <w:rPr>
          <w:rFonts w:ascii="Georgia" w:eastAsia="Georgia" w:hAnsi="Georgia" w:cs="Times New Roman"/>
          <w:color w:val="000000"/>
          <w:sz w:val="20"/>
          <w:szCs w:val="20"/>
          <w:vertAlign w:val="superscript"/>
          <w:lang w:val="lt-LT"/>
        </w:rPr>
        <w:footnoteReference w:id="39"/>
      </w:r>
      <w:r w:rsidRPr="00C97275">
        <w:rPr>
          <w:rFonts w:ascii="Georgia" w:eastAsia="Georgia" w:hAnsi="Georgia" w:cs="Times New Roman"/>
          <w:sz w:val="20"/>
          <w:szCs w:val="20"/>
          <w:lang w:val="lt-LT"/>
        </w:rPr>
        <w:t xml:space="preserve">). Tai rodo, kad komerciniai bankai vis dar nenoriai teikia naujas paskolas ne finansų bendrovėms.  </w:t>
      </w:r>
    </w:p>
    <w:p w14:paraId="35E1A242" w14:textId="77777777" w:rsidR="005A0219" w:rsidRPr="00C97275" w:rsidRDefault="005A0219" w:rsidP="005A0219">
      <w:pPr>
        <w:spacing w:after="160" w:line="240" w:lineRule="auto"/>
        <w:jc w:val="center"/>
        <w:rPr>
          <w:rFonts w:ascii="Georgia" w:eastAsia="Georgia" w:hAnsi="Georgia" w:cs="Times New Roman"/>
          <w:sz w:val="16"/>
          <w:szCs w:val="16"/>
          <w:lang w:val="lt-LT"/>
        </w:rPr>
      </w:pPr>
      <w:r w:rsidRPr="00C97275">
        <w:rPr>
          <w:rFonts w:ascii="Georgia" w:eastAsia="Georgia" w:hAnsi="Georgia" w:cs="Arial Unicode MS"/>
          <w:noProof/>
          <w:sz w:val="20"/>
          <w:szCs w:val="20"/>
          <w:lang w:val="lt-LT" w:eastAsia="lt-LT"/>
        </w:rPr>
        <w:lastRenderedPageBreak/>
        <w:drawing>
          <wp:inline distT="0" distB="0" distL="0" distR="0" wp14:anchorId="2249A81D" wp14:editId="4653C8B7">
            <wp:extent cx="5771736" cy="2743200"/>
            <wp:effectExtent l="0" t="0" r="635" b="0"/>
            <wp:docPr id="50193" name="Chart 50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1A835D" w14:textId="343895C9" w:rsidR="005A0219" w:rsidRPr="00C97275" w:rsidRDefault="005A0219" w:rsidP="005A0219">
      <w:pPr>
        <w:spacing w:after="160"/>
        <w:rPr>
          <w:rFonts w:ascii="Georgia" w:eastAsia="Georgia" w:hAnsi="Georgia" w:cs="Arial Unicode MS"/>
          <w:iCs/>
          <w:color w:val="821A1A"/>
          <w:sz w:val="20"/>
          <w:szCs w:val="20"/>
          <w:lang w:val="lt-LT"/>
        </w:rPr>
      </w:pPr>
      <w:bookmarkStart w:id="104" w:name="_Toc19105288"/>
      <w:r w:rsidRPr="00C97275">
        <w:rPr>
          <w:rFonts w:ascii="Georgia" w:eastAsia="Georgia" w:hAnsi="Georgia" w:cs="Arial Unicode MS"/>
          <w:i/>
          <w:iCs/>
          <w:color w:val="821A1A"/>
          <w:sz w:val="20"/>
          <w:szCs w:val="18"/>
          <w:lang w:val="lt-LT"/>
        </w:rPr>
        <w:t xml:space="preserve">Paveikslas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Paveikslas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4</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Ne finansų korporacijoms išduotos naujos paskolos 2011 – 2017 m. Šaltinis: sudaryta autorių</w:t>
      </w:r>
      <w:bookmarkEnd w:id="104"/>
    </w:p>
    <w:p w14:paraId="102E41E8"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Komercinių bankų finansavimas energetikos sektoriui buvo apskaičiuotas remiantis prielaidomis dėl bendro komercinių bankų portfelio augimo prognozių ir energetikos projektų finansavimo dalies bendrame komercinių bankų paskolų portfelyje. Atsižvelgiant į 2014 m. komercinių bankų apklausos metu gautą informaciją, energetikos sektoriaus finansavimas sudaro apie 25 proc. viso viešosios sektoriaus infrastruktūrai tenkančio finansavimo portfelio, iš kurių apie 5 proc. viso finansavimo portfelio gali atitekti energetinio efektyvumo projektams. Remiantis komercinių bankų apklausų metu pateikta informacija, prognozuojamas bendro portfelio augimas iki 2020 metų yra pateikiamas lentelėje žemiau. Prognozė komercinių bankų finansavimui yra apskaičiuota remiantis prielaida, kad komercinių bankų portfelis kasmet auga 5,5 proc. remiantis paskutinių šešių metų portfelio vidutiniu augimo tempu. </w:t>
      </w:r>
    </w:p>
    <w:p w14:paraId="59A320D2" w14:textId="09735ED1" w:rsidR="005A0219" w:rsidRPr="00C97275" w:rsidRDefault="005A0219" w:rsidP="005A0219">
      <w:pPr>
        <w:spacing w:after="160" w:line="240" w:lineRule="auto"/>
        <w:jc w:val="both"/>
        <w:rPr>
          <w:rFonts w:ascii="Georgia" w:eastAsia="Georgia" w:hAnsi="Georgia" w:cs="Arial Unicode MS"/>
          <w:i/>
          <w:iCs/>
          <w:color w:val="821A1A"/>
          <w:sz w:val="20"/>
          <w:szCs w:val="20"/>
          <w:lang w:val="lt-LT"/>
        </w:rPr>
      </w:pPr>
      <w:bookmarkStart w:id="105" w:name="_Toc19105236"/>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23</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Arial Unicode MS"/>
          <w:i/>
          <w:iCs/>
          <w:color w:val="821A1A"/>
          <w:sz w:val="20"/>
          <w:szCs w:val="20"/>
          <w:lang w:val="lt-LT"/>
        </w:rPr>
        <w:t>Komercinių bankų portfelio prognozė (mln. EUR)</w:t>
      </w:r>
      <w:bookmarkEnd w:id="105"/>
    </w:p>
    <w:tbl>
      <w:tblPr>
        <w:tblStyle w:val="LightList-Accent21"/>
        <w:tblW w:w="9099" w:type="dxa"/>
        <w:tblLayout w:type="fixed"/>
        <w:tblLook w:val="04A0" w:firstRow="1" w:lastRow="0" w:firstColumn="1" w:lastColumn="0" w:noHBand="0" w:noVBand="1"/>
      </w:tblPr>
      <w:tblGrid>
        <w:gridCol w:w="4037"/>
        <w:gridCol w:w="773"/>
        <w:gridCol w:w="850"/>
        <w:gridCol w:w="851"/>
        <w:gridCol w:w="850"/>
        <w:gridCol w:w="684"/>
        <w:gridCol w:w="527"/>
        <w:gridCol w:w="527"/>
      </w:tblGrid>
      <w:tr w:rsidR="005A0219" w:rsidRPr="00C97275" w14:paraId="7F96B83D" w14:textId="77777777" w:rsidTr="00B027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7" w:type="dxa"/>
            <w:noWrap/>
            <w:hideMark/>
          </w:tcPr>
          <w:p w14:paraId="622EF353" w14:textId="77777777" w:rsidR="005A0219" w:rsidRPr="00C97275" w:rsidRDefault="005A0219" w:rsidP="005A0219">
            <w:pPr>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Metai</w:t>
            </w:r>
          </w:p>
        </w:tc>
        <w:tc>
          <w:tcPr>
            <w:tcW w:w="773" w:type="dxa"/>
            <w:noWrap/>
            <w:hideMark/>
          </w:tcPr>
          <w:p w14:paraId="3E39AB97"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2017</w:t>
            </w:r>
          </w:p>
        </w:tc>
        <w:tc>
          <w:tcPr>
            <w:tcW w:w="850" w:type="dxa"/>
            <w:noWrap/>
            <w:hideMark/>
          </w:tcPr>
          <w:p w14:paraId="4578A409"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2018</w:t>
            </w:r>
          </w:p>
        </w:tc>
        <w:tc>
          <w:tcPr>
            <w:tcW w:w="851" w:type="dxa"/>
            <w:noWrap/>
            <w:hideMark/>
          </w:tcPr>
          <w:p w14:paraId="4039C17D"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2019</w:t>
            </w:r>
          </w:p>
        </w:tc>
        <w:tc>
          <w:tcPr>
            <w:tcW w:w="850" w:type="dxa"/>
            <w:noWrap/>
            <w:hideMark/>
          </w:tcPr>
          <w:p w14:paraId="02C0B88C"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2020</w:t>
            </w:r>
          </w:p>
        </w:tc>
        <w:tc>
          <w:tcPr>
            <w:tcW w:w="684" w:type="dxa"/>
            <w:noWrap/>
            <w:hideMark/>
          </w:tcPr>
          <w:p w14:paraId="3674880F"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2021</w:t>
            </w:r>
          </w:p>
        </w:tc>
        <w:tc>
          <w:tcPr>
            <w:tcW w:w="527" w:type="dxa"/>
            <w:noWrap/>
            <w:hideMark/>
          </w:tcPr>
          <w:p w14:paraId="2F947FF1"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2022</w:t>
            </w:r>
          </w:p>
        </w:tc>
        <w:tc>
          <w:tcPr>
            <w:tcW w:w="527" w:type="dxa"/>
            <w:noWrap/>
            <w:hideMark/>
          </w:tcPr>
          <w:p w14:paraId="6EFD1EE2" w14:textId="77777777" w:rsidR="005A0219" w:rsidRPr="00C97275"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C97275">
              <w:rPr>
                <w:rFonts w:ascii="Georgia" w:eastAsia="Times New Roman" w:hAnsi="Georgia" w:cs="Times New Roman"/>
                <w:sz w:val="20"/>
                <w:szCs w:val="20"/>
                <w:lang w:eastAsia="lt-LT"/>
              </w:rPr>
              <w:t>2023</w:t>
            </w:r>
          </w:p>
        </w:tc>
      </w:tr>
      <w:tr w:rsidR="005A0219" w:rsidRPr="00C97275" w14:paraId="74C54E71" w14:textId="77777777" w:rsidTr="00B0275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037" w:type="dxa"/>
            <w:hideMark/>
          </w:tcPr>
          <w:p w14:paraId="5426EAFA" w14:textId="77777777" w:rsidR="005A0219" w:rsidRPr="00C97275" w:rsidRDefault="005A0219" w:rsidP="005A0219">
            <w:pPr>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Komercinių bankų paskolų portfelio prognozė</w:t>
            </w:r>
          </w:p>
        </w:tc>
        <w:tc>
          <w:tcPr>
            <w:tcW w:w="773" w:type="dxa"/>
            <w:noWrap/>
            <w:hideMark/>
          </w:tcPr>
          <w:p w14:paraId="74116B88"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8 222</w:t>
            </w:r>
          </w:p>
        </w:tc>
        <w:tc>
          <w:tcPr>
            <w:tcW w:w="850" w:type="dxa"/>
            <w:noWrap/>
            <w:hideMark/>
          </w:tcPr>
          <w:p w14:paraId="5B574421"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8 674</w:t>
            </w:r>
          </w:p>
        </w:tc>
        <w:tc>
          <w:tcPr>
            <w:tcW w:w="851" w:type="dxa"/>
            <w:noWrap/>
            <w:hideMark/>
          </w:tcPr>
          <w:p w14:paraId="3DDD8C6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9 151</w:t>
            </w:r>
          </w:p>
        </w:tc>
        <w:tc>
          <w:tcPr>
            <w:tcW w:w="850" w:type="dxa"/>
            <w:noWrap/>
            <w:hideMark/>
          </w:tcPr>
          <w:p w14:paraId="7760A3F5"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9 655</w:t>
            </w:r>
          </w:p>
        </w:tc>
        <w:tc>
          <w:tcPr>
            <w:tcW w:w="684" w:type="dxa"/>
            <w:noWrap/>
            <w:hideMark/>
          </w:tcPr>
          <w:p w14:paraId="517EEBF5"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10 186</w:t>
            </w:r>
          </w:p>
        </w:tc>
        <w:tc>
          <w:tcPr>
            <w:tcW w:w="527" w:type="dxa"/>
            <w:noWrap/>
            <w:hideMark/>
          </w:tcPr>
          <w:p w14:paraId="0D2EFCE2"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10 746</w:t>
            </w:r>
          </w:p>
        </w:tc>
        <w:tc>
          <w:tcPr>
            <w:tcW w:w="527" w:type="dxa"/>
            <w:noWrap/>
            <w:hideMark/>
          </w:tcPr>
          <w:p w14:paraId="5EA82CA3"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11 337</w:t>
            </w:r>
          </w:p>
        </w:tc>
      </w:tr>
      <w:tr w:rsidR="005A0219" w:rsidRPr="00C97275" w14:paraId="7C0E1452" w14:textId="77777777" w:rsidTr="00B0275C">
        <w:trPr>
          <w:trHeight w:val="900"/>
        </w:trPr>
        <w:tc>
          <w:tcPr>
            <w:cnfStyle w:val="001000000000" w:firstRow="0" w:lastRow="0" w:firstColumn="1" w:lastColumn="0" w:oddVBand="0" w:evenVBand="0" w:oddHBand="0" w:evenHBand="0" w:firstRowFirstColumn="0" w:firstRowLastColumn="0" w:lastRowFirstColumn="0" w:lastRowLastColumn="0"/>
            <w:tcW w:w="4037" w:type="dxa"/>
            <w:hideMark/>
          </w:tcPr>
          <w:p w14:paraId="505F2E19" w14:textId="77777777" w:rsidR="005A0219" w:rsidRPr="00C97275" w:rsidRDefault="005A0219" w:rsidP="005A0219">
            <w:pPr>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Energetinio efektyvumo projektai</w:t>
            </w:r>
          </w:p>
        </w:tc>
        <w:tc>
          <w:tcPr>
            <w:tcW w:w="773" w:type="dxa"/>
            <w:noWrap/>
            <w:hideMark/>
          </w:tcPr>
          <w:p w14:paraId="6E786865"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C97275">
              <w:rPr>
                <w:rFonts w:ascii="Georgia" w:eastAsia="Georgia" w:hAnsi="Georgia" w:cs="Calibri"/>
                <w:sz w:val="20"/>
                <w:szCs w:val="20"/>
              </w:rPr>
              <w:t>107</w:t>
            </w:r>
          </w:p>
        </w:tc>
        <w:tc>
          <w:tcPr>
            <w:tcW w:w="850" w:type="dxa"/>
            <w:noWrap/>
            <w:hideMark/>
          </w:tcPr>
          <w:p w14:paraId="1C49D970"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C97275">
              <w:rPr>
                <w:rFonts w:ascii="Georgia" w:eastAsia="Georgia" w:hAnsi="Georgia" w:cs="Calibri"/>
                <w:sz w:val="20"/>
                <w:szCs w:val="20"/>
              </w:rPr>
              <w:t>115</w:t>
            </w:r>
          </w:p>
        </w:tc>
        <w:tc>
          <w:tcPr>
            <w:tcW w:w="851" w:type="dxa"/>
            <w:noWrap/>
            <w:hideMark/>
          </w:tcPr>
          <w:p w14:paraId="58276325"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C97275">
              <w:rPr>
                <w:rFonts w:ascii="Georgia" w:eastAsia="Georgia" w:hAnsi="Georgia" w:cs="Calibri"/>
                <w:sz w:val="20"/>
                <w:szCs w:val="20"/>
              </w:rPr>
              <w:t>121</w:t>
            </w:r>
          </w:p>
        </w:tc>
        <w:tc>
          <w:tcPr>
            <w:tcW w:w="850" w:type="dxa"/>
            <w:noWrap/>
            <w:hideMark/>
          </w:tcPr>
          <w:p w14:paraId="7A136AE3"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C97275">
              <w:rPr>
                <w:rFonts w:ascii="Georgia" w:eastAsia="Georgia" w:hAnsi="Georgia" w:cs="Calibri"/>
                <w:sz w:val="20"/>
                <w:szCs w:val="20"/>
              </w:rPr>
              <w:t>128</w:t>
            </w:r>
          </w:p>
        </w:tc>
        <w:tc>
          <w:tcPr>
            <w:tcW w:w="684" w:type="dxa"/>
            <w:noWrap/>
            <w:hideMark/>
          </w:tcPr>
          <w:p w14:paraId="55F88E9C"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C97275">
              <w:rPr>
                <w:rFonts w:ascii="Georgia" w:eastAsia="Georgia" w:hAnsi="Georgia" w:cs="Calibri"/>
                <w:sz w:val="20"/>
                <w:szCs w:val="20"/>
              </w:rPr>
              <w:t>135</w:t>
            </w:r>
          </w:p>
        </w:tc>
        <w:tc>
          <w:tcPr>
            <w:tcW w:w="527" w:type="dxa"/>
            <w:noWrap/>
            <w:hideMark/>
          </w:tcPr>
          <w:p w14:paraId="3B83D229"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C97275">
              <w:rPr>
                <w:rFonts w:ascii="Georgia" w:eastAsia="Georgia" w:hAnsi="Georgia" w:cs="Calibri"/>
                <w:sz w:val="20"/>
                <w:szCs w:val="20"/>
              </w:rPr>
              <w:t>143</w:t>
            </w:r>
          </w:p>
        </w:tc>
        <w:tc>
          <w:tcPr>
            <w:tcW w:w="527" w:type="dxa"/>
            <w:noWrap/>
            <w:hideMark/>
          </w:tcPr>
          <w:p w14:paraId="4B22406B" w14:textId="77777777" w:rsidR="005A0219" w:rsidRPr="00C97275"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C97275">
              <w:rPr>
                <w:rFonts w:ascii="Georgia" w:eastAsia="Georgia" w:hAnsi="Georgia" w:cs="Calibri"/>
                <w:sz w:val="20"/>
                <w:szCs w:val="20"/>
              </w:rPr>
              <w:t>150</w:t>
            </w:r>
          </w:p>
        </w:tc>
      </w:tr>
      <w:tr w:rsidR="005A0219" w:rsidRPr="00C97275" w14:paraId="7AA99329" w14:textId="77777777" w:rsidTr="00B0275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37" w:type="dxa"/>
            <w:hideMark/>
          </w:tcPr>
          <w:p w14:paraId="432E8A9F" w14:textId="77777777" w:rsidR="005A0219" w:rsidRPr="00C97275" w:rsidRDefault="005A0219" w:rsidP="005A0219">
            <w:pPr>
              <w:rPr>
                <w:rFonts w:ascii="Georgia" w:eastAsia="Times New Roman" w:hAnsi="Georgia" w:cs="Times New Roman"/>
                <w:color w:val="000000"/>
                <w:sz w:val="20"/>
                <w:szCs w:val="20"/>
                <w:lang w:eastAsia="lt-LT"/>
              </w:rPr>
            </w:pPr>
            <w:r w:rsidRPr="00C97275">
              <w:rPr>
                <w:rFonts w:ascii="Georgia" w:eastAsia="Times New Roman" w:hAnsi="Georgia" w:cs="Times New Roman"/>
                <w:color w:val="000000"/>
                <w:sz w:val="20"/>
                <w:szCs w:val="20"/>
                <w:lang w:eastAsia="lt-LT"/>
              </w:rPr>
              <w:t>Finansavimo augimas</w:t>
            </w:r>
          </w:p>
        </w:tc>
        <w:tc>
          <w:tcPr>
            <w:tcW w:w="773" w:type="dxa"/>
            <w:noWrap/>
            <w:hideMark/>
          </w:tcPr>
          <w:p w14:paraId="6B88C0EA"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30</w:t>
            </w:r>
          </w:p>
        </w:tc>
        <w:tc>
          <w:tcPr>
            <w:tcW w:w="850" w:type="dxa"/>
            <w:noWrap/>
            <w:hideMark/>
          </w:tcPr>
          <w:p w14:paraId="785DB1F6"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23</w:t>
            </w:r>
          </w:p>
        </w:tc>
        <w:tc>
          <w:tcPr>
            <w:tcW w:w="851" w:type="dxa"/>
            <w:noWrap/>
            <w:hideMark/>
          </w:tcPr>
          <w:p w14:paraId="3D812C5E"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24</w:t>
            </w:r>
          </w:p>
        </w:tc>
        <w:tc>
          <w:tcPr>
            <w:tcW w:w="850" w:type="dxa"/>
            <w:noWrap/>
            <w:hideMark/>
          </w:tcPr>
          <w:p w14:paraId="1F8FF1AF"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25</w:t>
            </w:r>
          </w:p>
        </w:tc>
        <w:tc>
          <w:tcPr>
            <w:tcW w:w="684" w:type="dxa"/>
            <w:noWrap/>
            <w:hideMark/>
          </w:tcPr>
          <w:p w14:paraId="703790C0"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27</w:t>
            </w:r>
          </w:p>
        </w:tc>
        <w:tc>
          <w:tcPr>
            <w:tcW w:w="527" w:type="dxa"/>
            <w:noWrap/>
            <w:hideMark/>
          </w:tcPr>
          <w:p w14:paraId="1EB90F36"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28</w:t>
            </w:r>
          </w:p>
        </w:tc>
        <w:tc>
          <w:tcPr>
            <w:tcW w:w="527" w:type="dxa"/>
            <w:noWrap/>
            <w:hideMark/>
          </w:tcPr>
          <w:p w14:paraId="3C894F07" w14:textId="77777777" w:rsidR="005A0219" w:rsidRPr="00C97275"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C97275">
              <w:rPr>
                <w:rFonts w:ascii="Georgia" w:eastAsia="Times New Roman" w:hAnsi="Georgia" w:cs="Times New Roman"/>
                <w:b/>
                <w:bCs/>
                <w:color w:val="000000"/>
                <w:sz w:val="20"/>
                <w:szCs w:val="20"/>
                <w:lang w:eastAsia="lt-LT"/>
              </w:rPr>
              <w:t>30</w:t>
            </w:r>
          </w:p>
        </w:tc>
      </w:tr>
    </w:tbl>
    <w:p w14:paraId="567F8102" w14:textId="77777777" w:rsidR="005A0219" w:rsidRPr="00C97275" w:rsidRDefault="005A0219" w:rsidP="005A0219">
      <w:pPr>
        <w:spacing w:after="160" w:line="240" w:lineRule="auto"/>
        <w:jc w:val="both"/>
        <w:rPr>
          <w:rFonts w:ascii="Georgia" w:eastAsia="Georgia" w:hAnsi="Georgia" w:cs="Arial Unicode MS"/>
          <w:iCs/>
          <w:color w:val="821A1A"/>
          <w:sz w:val="20"/>
          <w:szCs w:val="20"/>
          <w:lang w:val="lt-LT"/>
        </w:rPr>
      </w:pPr>
      <w:r w:rsidRPr="00C97275">
        <w:rPr>
          <w:rFonts w:ascii="Georgia" w:eastAsia="Georgia" w:hAnsi="Georgia" w:cs="Arial Unicode MS"/>
          <w:i/>
          <w:iCs/>
          <w:color w:val="821A1A"/>
          <w:sz w:val="20"/>
          <w:szCs w:val="20"/>
          <w:lang w:val="lt-LT"/>
        </w:rPr>
        <w:t xml:space="preserve">Šaltinis: sudaryta autorių remiantis komercinių bankų apklausos rezultatais. </w:t>
      </w:r>
    </w:p>
    <w:p w14:paraId="7484FFF7" w14:textId="1B8E0D61"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Remiantis lentelėje aukščiau esančioje lentelėje pateiktais duomenimis, komercinių bankų finansavimas, prieinamas energetinio efektyvumo projektams finansuoti sudaro apie 186 mln. eurų. Atkreiptinas dėmesys, kad komerciniai bankai negalėjo pateikti atskiros informacijos apie daugiabučių renovacijos finansavimą, todėl darytina prielaida, kad daugiabučių renovacijai tenkanti pasiūlos dalis yra įskaičiuota į 186 mln. eurų. Atsižvelgiant į komercinių bankų apklausų metu suteiktą informaciją ir ekspertinį vertinimą, nesinaudojant finansinių priemonių pagalba, bankai galėtų paskolinti apie 11,6 mln. eurų.</w:t>
      </w:r>
    </w:p>
    <w:p w14:paraId="2D5CA98F" w14:textId="77777777" w:rsidR="005A0219" w:rsidRPr="00C97275" w:rsidRDefault="005A0219" w:rsidP="005A0219">
      <w:pPr>
        <w:spacing w:before="140" w:after="140" w:line="240" w:lineRule="auto"/>
        <w:rPr>
          <w:rFonts w:ascii="Georgia" w:eastAsia="Times New Roman" w:hAnsi="Georgia" w:cs="Times New Roman"/>
          <w:i/>
          <w:sz w:val="20"/>
          <w:szCs w:val="24"/>
          <w:lang w:val="lt-LT" w:eastAsia="en-GB"/>
        </w:rPr>
      </w:pPr>
      <w:r w:rsidRPr="00C97275">
        <w:rPr>
          <w:rFonts w:ascii="Georgia" w:eastAsia="Times New Roman" w:hAnsi="Georgia" w:cs="Times New Roman"/>
          <w:i/>
          <w:sz w:val="20"/>
          <w:szCs w:val="24"/>
          <w:lang w:val="lt-LT" w:eastAsia="en-GB"/>
        </w:rPr>
        <w:t xml:space="preserve">Paskolų kaina </w:t>
      </w:r>
    </w:p>
    <w:p w14:paraId="56E18C1E"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Bankai apklausos metu pabrėžė, kad prieš suteikiant paskolą, jie įvertina paraiškos teikėjo patikimumą, mokumą, skolų aptarnavimo istoriją, jo galimybes prisiimti naujus įsipareigojimus, skolų </w:t>
      </w:r>
      <w:r w:rsidRPr="00C97275">
        <w:rPr>
          <w:rFonts w:ascii="Georgia" w:eastAsia="Georgia" w:hAnsi="Georgia" w:cs="Times New Roman"/>
          <w:sz w:val="20"/>
          <w:szCs w:val="20"/>
          <w:lang w:val="lt-LT"/>
        </w:rPr>
        <w:lastRenderedPageBreak/>
        <w:t>limitus, paskolos grąžinimo šaltinius, tikimybę, jog šie šaltiniai nesikeis visu paskolos grąžinimo laikotarpiu, įgyvendinamo projekto atsiperkamumą ir kitus rizikos faktorius, susijusius su paraiškos teikėju. Tačiau didžiausią įtaką skolinimo kainai turi šie faktoriai: projekto generuojami piniginiai srautai ir paskolos gavėjo kredito rizika. Be to, jų skolinimo kainą įtakoja ne tik konkretaus projekto rizika, bet ir bazinių palūkanų normų pokyčiai ir konkurencinė aplinka pačiame bankiniame sektoriuje.</w:t>
      </w:r>
    </w:p>
    <w:p w14:paraId="25C94B71" w14:textId="7613BD50"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Apačioje yra pateiktas grafikas, kuriame parodyta bankų suteiktų paskolų eurais nefinansinėms korporacijoms ilgesniam nei 5 metų laikotarpiui palūkanų normos dinamika. Lietuvos Banko svetainėje buvo prieinami duomenys tik nuo</w:t>
      </w:r>
      <w:r w:rsidR="00022769" w:rsidRPr="00C97275">
        <w:rPr>
          <w:rFonts w:ascii="Georgia" w:eastAsia="Georgia" w:hAnsi="Georgia" w:cs="Times New Roman"/>
          <w:sz w:val="20"/>
          <w:szCs w:val="20"/>
          <w:lang w:val="lt-LT"/>
        </w:rPr>
        <w:t xml:space="preserve"> euro įvedimo</w:t>
      </w:r>
      <w:r w:rsidRPr="00C97275">
        <w:rPr>
          <w:rFonts w:ascii="Georgia" w:eastAsia="Georgia" w:hAnsi="Georgia" w:cs="Times New Roman"/>
          <w:sz w:val="20"/>
          <w:szCs w:val="20"/>
          <w:lang w:val="lt-LT"/>
        </w:rPr>
        <w:t xml:space="preserve"> 2015 metų sausio 1d. todėl suteikia ne pilną vaizdą ir neatspindi palūkanų normų padidėjimų 2009 ir 2012 metais - finansinės krizės ir ekonominio sunkmečio periodais. </w:t>
      </w:r>
    </w:p>
    <w:p w14:paraId="36600126" w14:textId="77777777" w:rsidR="005A0219" w:rsidRPr="00C97275" w:rsidRDefault="005A0219" w:rsidP="005A0219">
      <w:pPr>
        <w:spacing w:after="160" w:line="240" w:lineRule="auto"/>
        <w:jc w:val="center"/>
        <w:rPr>
          <w:rFonts w:ascii="Georgia" w:eastAsia="Georgia" w:hAnsi="Georgia" w:cs="Times New Roman"/>
          <w:sz w:val="20"/>
          <w:szCs w:val="20"/>
          <w:lang w:val="lt-LT"/>
        </w:rPr>
      </w:pPr>
      <w:r w:rsidRPr="00C97275">
        <w:rPr>
          <w:rFonts w:ascii="Georgia" w:eastAsia="Georgia" w:hAnsi="Georgia" w:cs="Arial Unicode MS"/>
          <w:noProof/>
          <w:sz w:val="20"/>
          <w:szCs w:val="20"/>
          <w:lang w:val="lt-LT" w:eastAsia="lt-LT"/>
        </w:rPr>
        <w:drawing>
          <wp:inline distT="0" distB="0" distL="0" distR="0" wp14:anchorId="1F19CF49" wp14:editId="1747F0DF">
            <wp:extent cx="5294630" cy="2243470"/>
            <wp:effectExtent l="0" t="0" r="1270" b="4445"/>
            <wp:docPr id="50194" name="Chart 50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18D324" w14:textId="44699184" w:rsidR="005A0219" w:rsidRPr="00C97275" w:rsidRDefault="005A0219" w:rsidP="005A0219">
      <w:pPr>
        <w:spacing w:after="160"/>
        <w:jc w:val="both"/>
        <w:rPr>
          <w:rFonts w:ascii="Georgia" w:eastAsia="Georgia" w:hAnsi="Georgia" w:cs="Arial Unicode MS"/>
          <w:i/>
          <w:iCs/>
          <w:color w:val="821A1A"/>
          <w:sz w:val="20"/>
          <w:szCs w:val="20"/>
          <w:lang w:val="lt-LT"/>
        </w:rPr>
      </w:pPr>
      <w:bookmarkStart w:id="106" w:name="_Toc19105289"/>
      <w:r w:rsidRPr="00C97275">
        <w:rPr>
          <w:rFonts w:ascii="Georgia" w:eastAsia="Georgia" w:hAnsi="Georgia" w:cs="Arial Unicode MS"/>
          <w:i/>
          <w:iCs/>
          <w:color w:val="821A1A"/>
          <w:sz w:val="20"/>
          <w:szCs w:val="18"/>
          <w:lang w:val="lt-LT"/>
        </w:rPr>
        <w:t xml:space="preserve">Paveikslas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Paveikslas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5</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Arial Unicode MS"/>
          <w:i/>
          <w:iCs/>
          <w:color w:val="821A1A"/>
          <w:sz w:val="20"/>
          <w:szCs w:val="20"/>
          <w:lang w:val="lt-LT"/>
        </w:rPr>
        <w:t>Pinigų finansų įstaigų paskolos euro zonos ne finansų bendrovėms, pradinis terminas nuo 5 metų – likučių palūkanų normos.</w:t>
      </w:r>
      <w:bookmarkEnd w:id="106"/>
    </w:p>
    <w:p w14:paraId="7F68D8BA" w14:textId="77777777" w:rsidR="005A0219" w:rsidRPr="00C97275" w:rsidRDefault="005A0219" w:rsidP="005A0219">
      <w:pPr>
        <w:spacing w:before="140" w:after="140" w:line="240" w:lineRule="auto"/>
        <w:rPr>
          <w:rFonts w:ascii="Georgia" w:eastAsia="Times New Roman" w:hAnsi="Georgia" w:cs="Times New Roman"/>
          <w:i/>
          <w:sz w:val="20"/>
          <w:szCs w:val="24"/>
          <w:lang w:val="lt-LT" w:eastAsia="en-GB"/>
        </w:rPr>
      </w:pPr>
      <w:r w:rsidRPr="00C97275">
        <w:rPr>
          <w:rFonts w:ascii="Georgia" w:eastAsia="Times New Roman" w:hAnsi="Georgia" w:cs="Times New Roman"/>
          <w:i/>
          <w:sz w:val="20"/>
          <w:szCs w:val="24"/>
          <w:lang w:val="lt-LT" w:eastAsia="en-GB"/>
        </w:rPr>
        <w:t>Paskolos laikotarpis</w:t>
      </w:r>
    </w:p>
    <w:p w14:paraId="744F50CD"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Apklausos metu komerciniai bankai nurodė, kad labiausiai priimtinas viešojo sektoriaus investicinio projekto laikotarpis yra 5-10 metų (daugiabučių atveju 10-15 metų).</w:t>
      </w:r>
    </w:p>
    <w:p w14:paraId="21DBC4C8" w14:textId="77777777" w:rsidR="005A0219" w:rsidRPr="00C97275" w:rsidRDefault="005A0219" w:rsidP="005A0219">
      <w:pPr>
        <w:spacing w:before="140" w:after="140" w:line="240" w:lineRule="auto"/>
        <w:rPr>
          <w:rFonts w:ascii="Georgia" w:eastAsia="Times New Roman" w:hAnsi="Georgia" w:cs="Times New Roman"/>
          <w:i/>
          <w:sz w:val="20"/>
          <w:szCs w:val="24"/>
          <w:lang w:val="lt-LT" w:eastAsia="en-GB"/>
        </w:rPr>
      </w:pPr>
      <w:r w:rsidRPr="00C97275">
        <w:rPr>
          <w:rFonts w:ascii="Georgia" w:eastAsia="Times New Roman" w:hAnsi="Georgia" w:cs="Times New Roman"/>
          <w:i/>
          <w:sz w:val="20"/>
          <w:szCs w:val="24"/>
          <w:lang w:val="lt-LT" w:eastAsia="en-GB"/>
        </w:rPr>
        <w:t>Paskolos užtikrinimo priemonės</w:t>
      </w:r>
    </w:p>
    <w:p w14:paraId="0718ED53"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Energijos efektyvumo projektus didžiąja dalimi vykdo daugiabučių namų administratoriai, bendrijos, savivaldybės, savivaldybių įmonės arba kitos valstybės valdomos įmonės.</w:t>
      </w:r>
    </w:p>
    <w:p w14:paraId="62553343"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Komerciniai bankai iš valstybės ir savivaldybių kontroliuojamų įstaigų, siekiančių gauti finansavimą, prašo garantijų, nekilnojamojo turto įkeitimo ar sąskaitos bei gautinų sumų įkeitimo kaip paskolos užtikrinimo priemonės. Taikomos užtikrinimo priemonės visuomet priklauso nuo finansuojamo projekto rizikos. Bet paprastai bankai reikalauja garantijos ar apsidraudimo priemonės sudarytų ne mažiau kaip 80 proc. suteikiamos paskolos sumos. Vadovaujantis Lietuvos Respublikos valstybės ir savivaldybių turto valdymo, naudojimo ir disponavimo juo įstatymo 20 straipsnio nuostatomis, savivaldybės yra smarkiai apribotos įkeičiant turtą ir komerciniai bankai neturi teisės iš savivaldybių reikalauti užstato. </w:t>
      </w:r>
    </w:p>
    <w:p w14:paraId="799C6E53" w14:textId="668B718E"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Jeigu projektą vykdo privačios įmonės, tai bankai tuomet kelia dar didesnius reikalavimus paskolos gavėjui: iki 200% kredito vertės, jei turtas nekomercinės paskirties, ir iki 150% kredito vertės, jei turtas komercinės ar gyvenamosios paskirties. Kaip papildomą paskolos užtikrinimo priemonę bankai panaudoja lėšų sąskaitose įkeitimą arba papildomą nekomercinės paskirties ir/ar kilnojamo turto įkeitimą</w:t>
      </w:r>
      <w:r w:rsidR="00501DD3" w:rsidRPr="00C97275">
        <w:rPr>
          <w:rFonts w:ascii="Georgia" w:eastAsia="Georgia" w:hAnsi="Georgia" w:cs="Times New Roman"/>
          <w:sz w:val="20"/>
          <w:szCs w:val="20"/>
          <w:lang w:val="lt-LT"/>
        </w:rPr>
        <w:t>.</w:t>
      </w:r>
    </w:p>
    <w:p w14:paraId="01414FF5" w14:textId="01335B6F"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Taip pat bankai nurodo, kad vykdant ilgalaikius projektus, kurie turi ilgą atsipirkimo laikotarpį, jie iš projekto įgyven</w:t>
      </w:r>
      <w:r w:rsidR="00B82997" w:rsidRPr="00C97275">
        <w:rPr>
          <w:rFonts w:ascii="Georgia" w:eastAsia="Georgia" w:hAnsi="Georgia" w:cs="Times New Roman"/>
          <w:sz w:val="20"/>
          <w:szCs w:val="20"/>
          <w:lang w:val="lt-LT"/>
        </w:rPr>
        <w:t>din</w:t>
      </w:r>
      <w:r w:rsidRPr="00C97275">
        <w:rPr>
          <w:rFonts w:ascii="Georgia" w:eastAsia="Georgia" w:hAnsi="Georgia" w:cs="Times New Roman"/>
          <w:sz w:val="20"/>
          <w:szCs w:val="20"/>
          <w:lang w:val="lt-LT"/>
        </w:rPr>
        <w:t>tojo reikalauja, kad projektų vykdytojai į patį projektą investuotų ne mažiau kaip 30 proc. nuosavų lėšų.</w:t>
      </w:r>
    </w:p>
    <w:p w14:paraId="41A50966"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Vertinant finansuojamą projektą, esminis kriterijus yra kliento sugebėjimas aptarnauti paskolą. Todėl subsidijos projekto daliai pagerina projekto atsiperkamumą ir kliento sugebėjimą grąžinti kreditą. </w:t>
      </w:r>
      <w:r w:rsidRPr="00C97275">
        <w:rPr>
          <w:rFonts w:ascii="Georgia" w:eastAsia="Georgia" w:hAnsi="Georgia" w:cs="Times New Roman"/>
          <w:sz w:val="20"/>
          <w:szCs w:val="20"/>
          <w:lang w:val="lt-LT"/>
        </w:rPr>
        <w:lastRenderedPageBreak/>
        <w:t>Kitas svarbus kriterijus yra paskolos užtikrinimo priemonės. Dažnai jų trūksta arba jos yra netinkamos, tokiu atveju garantijos turi svarią reikšmę sprendimo priėmimui.</w:t>
      </w:r>
    </w:p>
    <w:p w14:paraId="73666C03" w14:textId="77777777" w:rsidR="005A0219" w:rsidRPr="00C97275" w:rsidRDefault="005A0219" w:rsidP="005A0219">
      <w:pPr>
        <w:spacing w:before="140" w:after="140" w:line="240" w:lineRule="auto"/>
        <w:rPr>
          <w:rFonts w:ascii="Georgia" w:eastAsia="Times New Roman" w:hAnsi="Georgia" w:cs="Times New Roman"/>
          <w:i/>
          <w:sz w:val="20"/>
          <w:szCs w:val="24"/>
          <w:lang w:val="lt-LT" w:eastAsia="en-GB"/>
        </w:rPr>
      </w:pPr>
      <w:r w:rsidRPr="00C97275">
        <w:rPr>
          <w:rFonts w:ascii="Georgia" w:eastAsia="Times New Roman" w:hAnsi="Georgia" w:cs="Times New Roman"/>
          <w:i/>
          <w:sz w:val="20"/>
          <w:szCs w:val="24"/>
          <w:lang w:val="lt-LT" w:eastAsia="en-GB"/>
        </w:rPr>
        <w:t>Priežastys dėl kurių nesuteikiamas finansavimas</w:t>
      </w:r>
    </w:p>
    <w:p w14:paraId="3B4AB237"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Apklausos metu bankai išskyrė tris pagrindines priežastis, dėl kurių dažniausiai yra nesuteikiama paskola viešiesiems subjektams:</w:t>
      </w:r>
    </w:p>
    <w:p w14:paraId="3BA3BD06" w14:textId="77777777" w:rsidR="005A0219" w:rsidRPr="00C97275" w:rsidRDefault="005A0219" w:rsidP="00162BF5">
      <w:pPr>
        <w:numPr>
          <w:ilvl w:val="0"/>
          <w:numId w:val="32"/>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įmonė turi per didelius įsipareigojimus;</w:t>
      </w:r>
    </w:p>
    <w:p w14:paraId="13976F3E" w14:textId="33A3FEB5" w:rsidR="005A0219" w:rsidRPr="00C97275" w:rsidRDefault="005A0219" w:rsidP="00162BF5">
      <w:pPr>
        <w:numPr>
          <w:ilvl w:val="0"/>
          <w:numId w:val="32"/>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įmonė turėjo </w:t>
      </w:r>
      <w:r w:rsidR="00D9139B" w:rsidRPr="00C97275">
        <w:rPr>
          <w:rFonts w:ascii="Georgia" w:eastAsia="Georgia" w:hAnsi="Georgia" w:cs="Times New Roman"/>
          <w:sz w:val="20"/>
          <w:szCs w:val="20"/>
          <w:lang w:val="lt-LT"/>
        </w:rPr>
        <w:t>mokumo</w:t>
      </w:r>
      <w:r w:rsidRPr="00C97275">
        <w:rPr>
          <w:rFonts w:ascii="Georgia" w:eastAsia="Georgia" w:hAnsi="Georgia" w:cs="Times New Roman"/>
          <w:sz w:val="20"/>
          <w:szCs w:val="20"/>
          <w:lang w:val="lt-LT"/>
        </w:rPr>
        <w:t xml:space="preserve"> problemų (pradelsti atsiskaitymai, bloga kreditavimo istorija, nepagrįstas planuojamas projekto atsipirkimas);</w:t>
      </w:r>
    </w:p>
    <w:p w14:paraId="33934BC1" w14:textId="77777777" w:rsidR="005A0219" w:rsidRPr="00C97275" w:rsidRDefault="005A0219" w:rsidP="00162BF5">
      <w:pPr>
        <w:numPr>
          <w:ilvl w:val="0"/>
          <w:numId w:val="32"/>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įmonė nepagrindžia prašomo finansavimo poreikio (be to, prognozuojamas pinigų srautas paskolai aptarnauti yra nepakankamas).</w:t>
      </w:r>
    </w:p>
    <w:p w14:paraId="34CE07BA"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Taip pat buvo pabrėžta, kad finansavimas savivaldybėms ar valstybės ir savivaldybių valdomoms įstaigoms/įmonėms nesuteikiamas dėl jų blogos finansinė padėties. Tarp priežasčių paminėti šie atvejai: šios įmonės dirba nuostolingai, pastoviai didėja jų įsipareigojimai, jos negeneruoja pakankamo pinigų srauto įsipareigojimams aptarnauti).</w:t>
      </w:r>
    </w:p>
    <w:p w14:paraId="5F0B3187"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Tarp priežasčių, kurias bankai nurodė kaip svarbiausias paskolai suteikti savivaldybėms ar valstybės ir savivaldybių valdomoms įstaigoms/įmonėms, yra šios:</w:t>
      </w:r>
    </w:p>
    <w:p w14:paraId="4B77E268" w14:textId="77777777" w:rsidR="005A0219" w:rsidRPr="00C97275" w:rsidRDefault="005A0219" w:rsidP="00162BF5">
      <w:pPr>
        <w:numPr>
          <w:ilvl w:val="0"/>
          <w:numId w:val="36"/>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pareiškėjo finansinė padėtis (turto, įsipareigojimų dydis, turto kokybė; jo piniginiai srautai ir gebėjimas aptarnauti paskolą);</w:t>
      </w:r>
    </w:p>
    <w:p w14:paraId="51358BDE" w14:textId="77777777" w:rsidR="005A0219" w:rsidRPr="00C97275" w:rsidRDefault="005A0219" w:rsidP="00162BF5">
      <w:pPr>
        <w:numPr>
          <w:ilvl w:val="0"/>
          <w:numId w:val="36"/>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pareiškėjo patikimumas bei jo mokumo istorija;</w:t>
      </w:r>
    </w:p>
    <w:p w14:paraId="0E43A68F" w14:textId="77777777" w:rsidR="005A0219" w:rsidRPr="00C97275" w:rsidRDefault="005A0219" w:rsidP="00162BF5">
      <w:pPr>
        <w:numPr>
          <w:ilvl w:val="0"/>
          <w:numId w:val="36"/>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pareiškėjo pateikiama informacija apie ketinamą įgyvendinti projektą, finansavimo poreikį, jo panaudojimo tikslingumą, finansinius srautus, atsipirkimo rodiklius.</w:t>
      </w:r>
    </w:p>
    <w:p w14:paraId="5459666F"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Banko taikomi kriterijai ir rodikliai viešosios infrastruktūros projektų finansavimui priklauso nuo pareiškėjo patikimumo, finansinio pajėgumo prisiimti kredito riziką:</w:t>
      </w:r>
    </w:p>
    <w:p w14:paraId="04BB89CB" w14:textId="77777777" w:rsidR="005A0219" w:rsidRPr="00C97275" w:rsidRDefault="005A0219" w:rsidP="00162BF5">
      <w:pPr>
        <w:numPr>
          <w:ilvl w:val="0"/>
          <w:numId w:val="34"/>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pareiškėjo skolų aptarnavimo rodikliai turi būti pakankami, leidžiantys saugiai aptarnauti prisiimtus finansinius įsipareigojimus nustatytais terminais;</w:t>
      </w:r>
    </w:p>
    <w:p w14:paraId="29A1DF94" w14:textId="77777777" w:rsidR="005A0219" w:rsidRPr="00C97275" w:rsidRDefault="005A0219" w:rsidP="00162BF5">
      <w:pPr>
        <w:numPr>
          <w:ilvl w:val="0"/>
          <w:numId w:val="34"/>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paskolos aptarnavimo laikotarpis turi būti protingų terminų, saugiai trumpesnis nei finansuojamo objekto nusidėvėjimo laikotarpis;</w:t>
      </w:r>
    </w:p>
    <w:p w14:paraId="420AF866" w14:textId="77777777" w:rsidR="005A0219" w:rsidRPr="00C97275" w:rsidRDefault="005A0219" w:rsidP="00162BF5">
      <w:pPr>
        <w:numPr>
          <w:ilvl w:val="0"/>
          <w:numId w:val="34"/>
        </w:num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savivaldybių skolinimo apimtys turi atitikti įstatymo patvirtintus skolinimosi limitus ir kt.</w:t>
      </w:r>
    </w:p>
    <w:p w14:paraId="39E82D68"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Bankas, suteikdamas paskolas savivaldybėms, vykdo savivaldybių reitingavimą. Reitingavimo sistema apima savivaldybių demografinę situaciją, makroekonomines tendencijas, biudžetų surinkimo rodiklius, pradelstų skolų teikėjams dydžius, skolų santykius su biudžetu bei šių rodiklių tendencijas ir kt.</w:t>
      </w:r>
    </w:p>
    <w:p w14:paraId="1B22CC25" w14:textId="77777777" w:rsidR="005A0219" w:rsidRPr="00C97275" w:rsidRDefault="005A0219" w:rsidP="005A0219">
      <w:pPr>
        <w:spacing w:before="140" w:after="140" w:line="240" w:lineRule="auto"/>
        <w:rPr>
          <w:rFonts w:ascii="Georgia" w:eastAsia="Times New Roman" w:hAnsi="Georgia" w:cs="Times New Roman"/>
          <w:i/>
          <w:sz w:val="20"/>
          <w:szCs w:val="24"/>
          <w:lang w:val="lt-LT" w:eastAsia="en-GB"/>
        </w:rPr>
      </w:pPr>
      <w:r w:rsidRPr="00C97275">
        <w:rPr>
          <w:rFonts w:ascii="Georgia" w:eastAsia="Times New Roman" w:hAnsi="Georgia" w:cs="Times New Roman"/>
          <w:i/>
          <w:sz w:val="20"/>
          <w:szCs w:val="24"/>
          <w:lang w:val="lt-LT" w:eastAsia="en-GB"/>
        </w:rPr>
        <w:t>Komercinių bankų skatinimo priemonės</w:t>
      </w:r>
    </w:p>
    <w:p w14:paraId="20FE675C"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Komerciniai bankai apklausoje nurodė, kad jų dalyvavimą projektų finansavime paskatintų tokių finansinių priemonių ar instrumentų taikymas, kurios leistų sumažinti ar visiškai panaikintų bankų prisiimamą riziką. </w:t>
      </w:r>
    </w:p>
    <w:p w14:paraId="5ACFE593"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Pažymėtina, kad tarptautinių finansinių institucijų dalyvavimą projektų finansavime komerciniai bankai mato kaip svarbų kriterijų, nes tokios institucijos dalyvavimas jų nuomone sumažina politinę riziką, bet pirmenybę jie atiduotų atitinkamo dydžio administravimo mokesčio gavimui. Jeigu renovacijos projektai būtų bendrai finansuojami bankų ir ES struktūrinių fondų lėšomis, tai dalis bankų vertintų palankiai, bet tai nebūtų, jų nuomone, pati efektyviausia skatinimo priemonė.</w:t>
      </w:r>
    </w:p>
    <w:p w14:paraId="74A7183C"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Bankų nuomone, projektų finansavimą paskatintų papildomų priemonių, kurios yra skirtos projekto kokybei užtikrinti ir rizikai sumažinti, taikymas ir su tuo susijusių išlaidų kompensavimas. Šios priemonės galėtų apimti įvairias technines ekspertizes, papildomų specialistų pritraukimą (kai jie yra reikalingi specifinio pobūdžio projektuose) ir kitus elementus projekto įgyvendinimo metu, kurie yra būtini projekto kokybės lygio užtikrinimui. Šių kokybės užtikrinimo priemonių taikymas ir jų išlaidų kompensavimas tampa svarbūs, kai projekto grąža nėra užtikrinta. Be to, šių finansinių priemonių administravimas turėtų būti efektyvus ir nesukurti papildomos administracinės naštos bankams.</w:t>
      </w:r>
    </w:p>
    <w:p w14:paraId="49599BD9" w14:textId="77777777" w:rsidR="005A0219" w:rsidRPr="00C97275" w:rsidRDefault="005A0219" w:rsidP="005A0219">
      <w:pPr>
        <w:spacing w:before="140" w:after="140" w:line="240" w:lineRule="auto"/>
        <w:rPr>
          <w:rFonts w:ascii="Georgia" w:eastAsia="Times New Roman" w:hAnsi="Georgia" w:cs="Times New Roman"/>
          <w:i/>
          <w:sz w:val="20"/>
          <w:szCs w:val="24"/>
          <w:lang w:val="lt-LT" w:eastAsia="en-GB"/>
        </w:rPr>
      </w:pPr>
      <w:r w:rsidRPr="00C97275">
        <w:rPr>
          <w:rFonts w:ascii="Georgia" w:eastAsia="Times New Roman" w:hAnsi="Georgia" w:cs="Times New Roman"/>
          <w:i/>
          <w:sz w:val="20"/>
          <w:szCs w:val="24"/>
          <w:lang w:val="lt-LT" w:eastAsia="en-GB"/>
        </w:rPr>
        <w:lastRenderedPageBreak/>
        <w:t>Individualios garantijos ir kitos finansinės priemonės</w:t>
      </w:r>
    </w:p>
    <w:p w14:paraId="1CA9D6C7" w14:textId="23D8723A" w:rsidR="005A0219" w:rsidRPr="00C97275" w:rsidRDefault="005A0219" w:rsidP="00553F5A">
      <w:pPr>
        <w:spacing w:after="160" w:line="240" w:lineRule="auto"/>
        <w:jc w:val="both"/>
        <w:rPr>
          <w:rFonts w:ascii="Georgia" w:eastAsia="Georgia" w:hAnsi="Georgia" w:cs="Arial Unicode MS"/>
          <w:i/>
          <w:sz w:val="24"/>
          <w:szCs w:val="20"/>
          <w:lang w:val="lt-LT"/>
        </w:rPr>
      </w:pPr>
      <w:r w:rsidRPr="00C97275">
        <w:rPr>
          <w:rFonts w:ascii="Georgia" w:eastAsia="Georgia" w:hAnsi="Georgia" w:cs="Times New Roman"/>
          <w:sz w:val="20"/>
          <w:szCs w:val="20"/>
          <w:lang w:val="lt-LT"/>
        </w:rPr>
        <w:t>Komerciniai bankai taip pat svarstytų paskolų suteikimą projektų įgyvendinimui, jeigu jiems būtų suteiktos individualios garantijos už paskolų gavėjus. Tai (t.y., valstybės ar kitų valstybinių institucijų garantijų suteikimas) būtų tinkamiausia bankams finansinė priemonė, kad jie galėtų teikti finansavimą projektams. Ši priemonė jiems leistų sumažinti jų prisiimamą riziką. Bet tuomet bankai norėtų žinoti konkrečias suteikiamų garantijų sąlygas ir suteikiamos garantijos dydį. Antra pagal aktualumą finansinė priemonė, kur</w:t>
      </w:r>
      <w:r w:rsidR="008A1F54" w:rsidRPr="00C97275">
        <w:rPr>
          <w:rFonts w:ascii="Georgia" w:eastAsia="Georgia" w:hAnsi="Georgia" w:cs="Times New Roman"/>
          <w:sz w:val="20"/>
          <w:szCs w:val="20"/>
          <w:lang w:val="lt-LT"/>
        </w:rPr>
        <w:t>ią</w:t>
      </w:r>
      <w:r w:rsidRPr="00C97275">
        <w:rPr>
          <w:rFonts w:ascii="Georgia" w:eastAsia="Georgia" w:hAnsi="Georgia" w:cs="Times New Roman"/>
          <w:sz w:val="20"/>
          <w:szCs w:val="20"/>
          <w:lang w:val="lt-LT"/>
        </w:rPr>
        <w:t xml:space="preserve"> nurodė bankai, yra bendras projektų finansavimas, proporcingai dalijantis rizik</w:t>
      </w:r>
      <w:r w:rsidR="008D454E" w:rsidRPr="00C97275">
        <w:rPr>
          <w:rFonts w:ascii="Georgia" w:eastAsia="Georgia" w:hAnsi="Georgia" w:cs="Times New Roman"/>
          <w:sz w:val="20"/>
          <w:szCs w:val="20"/>
          <w:lang w:val="lt-LT"/>
        </w:rPr>
        <w:t>ą</w:t>
      </w:r>
      <w:r w:rsidRPr="00C97275">
        <w:rPr>
          <w:rFonts w:ascii="Georgia" w:eastAsia="Georgia" w:hAnsi="Georgia" w:cs="Times New Roman"/>
          <w:sz w:val="20"/>
          <w:szCs w:val="20"/>
          <w:lang w:val="lt-LT"/>
        </w:rPr>
        <w:t xml:space="preserve"> su vyriausybės paskirta bei valstybės kontroliuojama finansų įstaiga. Įdomu, kad ši priemonė pagal teikiamą svarbą aplenkė tokią priemonę kaip portfelinių garantijų teikimas už banko valdomą viešosios infrastruktūros projektų paskolų gavėjų portfelį. Savo ruožtu būtina pabrėžti, kad bankai apklausos metu nurodė viešosios infrastruktūros projektų kreditavimo palūkanų subsidijas kaip jiems mažiausiai svarbią finansinę priemonę.</w:t>
      </w:r>
    </w:p>
    <w:p w14:paraId="3AA1469E" w14:textId="77777777" w:rsidR="005A0219" w:rsidRPr="00C97275" w:rsidRDefault="005A0219" w:rsidP="005A0219">
      <w:pPr>
        <w:spacing w:after="160" w:line="240" w:lineRule="auto"/>
        <w:rPr>
          <w:rFonts w:ascii="Georgia" w:eastAsia="Georgia" w:hAnsi="Georgia" w:cs="Arial Unicode MS"/>
          <w:b/>
          <w:i/>
          <w:sz w:val="24"/>
          <w:szCs w:val="20"/>
          <w:lang w:val="lt-LT"/>
        </w:rPr>
      </w:pPr>
      <w:r w:rsidRPr="00C97275">
        <w:rPr>
          <w:rFonts w:ascii="Georgia" w:eastAsia="Georgia" w:hAnsi="Georgia" w:cs="Arial Unicode MS"/>
          <w:b/>
          <w:i/>
          <w:sz w:val="24"/>
          <w:szCs w:val="20"/>
          <w:lang w:val="lt-LT"/>
        </w:rPr>
        <w:t>Tarptautinių finansų institucijų finansavimas</w:t>
      </w:r>
    </w:p>
    <w:p w14:paraId="581EE953"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Tarptautinės finansų institucijos yra vienas iš labai patikimų, galimai didelės apimties finansavimo šaltinių. Šio vertinimo atlikimo metu buvo nagrinėjama Europos investicijų banko (EIB), Europos plėtros ir rekonstrukcijos banko (EPRB), Šiaurės investicijų banko ir Europos tarybos vystymo banko pateikta ir viešai prieinama informacija. Visos šios institucijos finansavimą projektams teikia vadovaudamosi savo investavimo gairėmis bei strategijomis, todėl kiekvienos iš šių institucijų finansavimas skiriasi tiek pagal siūlomas sąlygas, tiek pagal remiamas sritis. </w:t>
      </w:r>
    </w:p>
    <w:p w14:paraId="34E9EB65"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Šiuo metu finansavimą savo lėšomis energijos efektyvumo didinimo programose teikianti institucija yra tik viena – EPRB, su kuria 2017 m. gegužės 10 d. VIPA pasirašė sutartį siekiant pritraukti papildomus 50 mln. eurų užtikrinant daugiabučių namų modernizavimo fondo (DNMF) veiklos tęstinumą. </w:t>
      </w:r>
    </w:p>
    <w:p w14:paraId="0CF85E28" w14:textId="77777777" w:rsidR="005A0219" w:rsidRPr="00C97275" w:rsidRDefault="005A0219" w:rsidP="005A0219">
      <w:pPr>
        <w:spacing w:after="160" w:line="240" w:lineRule="auto"/>
        <w:rPr>
          <w:rFonts w:ascii="Georgia" w:eastAsia="Georgia" w:hAnsi="Georgia" w:cs="Arial Unicode MS"/>
          <w:b/>
          <w:i/>
          <w:sz w:val="24"/>
          <w:szCs w:val="20"/>
          <w:lang w:val="lt-LT"/>
        </w:rPr>
      </w:pPr>
      <w:r w:rsidRPr="00C97275">
        <w:rPr>
          <w:rFonts w:ascii="Georgia" w:eastAsia="Georgia" w:hAnsi="Georgia" w:cs="Arial Unicode MS"/>
          <w:b/>
          <w:i/>
          <w:sz w:val="24"/>
          <w:szCs w:val="20"/>
          <w:lang w:val="lt-LT"/>
        </w:rPr>
        <w:t>Kitos lėšos</w:t>
      </w:r>
    </w:p>
    <w:p w14:paraId="2F40DD8E" w14:textId="77777777"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Šioje pasiūlos analizės dalyje yra apžvelgiami likę finansavimo šaltiniai, kurie galėtų būti naudojami energijos efektyvumo projektų finansavimui. Pagrinde tai Klimato kaitos programa, kuri 2007-2013 m. periodu buvo lėšų šaltinis teikti subsidijas už pasiektus didelius energijos sutaupymus (ne mažiau kaip 40 proc.) po projektų įgyvendinimo. </w:t>
      </w:r>
    </w:p>
    <w:p w14:paraId="66804CD4" w14:textId="6BBBD60F" w:rsidR="005A0219" w:rsidRPr="00C97275" w:rsidRDefault="005A0219" w:rsidP="005A0219">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 xml:space="preserve">KPMG studijoje nurodoma, kad planuojamos metinės savivaldybių ir Lietuvos geležinkelių disponuojamos apšvietimo sistemos atnaujinimo išlaidos sudaro apie 1,8 mln. EUR per metus, t.y. apie 12,7 mln. EUR per visą programavimo periodą. Be to, tikėtina, kad savivaldybių viešieji pastatai, siekdami įgyvendinti pastatų modernizavimo projektus, galėtų </w:t>
      </w:r>
      <w:r w:rsidRPr="00C97275">
        <w:rPr>
          <w:rFonts w:ascii="Georgia" w:eastAsia="Georgia" w:hAnsi="Georgia" w:cs="Times New Roman"/>
          <w:b/>
          <w:sz w:val="20"/>
          <w:szCs w:val="20"/>
          <w:lang w:val="lt-LT"/>
        </w:rPr>
        <w:t>prisidėti apie 5 proc. savomis lėšomis</w:t>
      </w:r>
      <w:r w:rsidRPr="00C97275">
        <w:rPr>
          <w:rFonts w:ascii="Georgia" w:eastAsia="Georgia" w:hAnsi="Georgia" w:cs="Times New Roman"/>
          <w:sz w:val="20"/>
          <w:szCs w:val="20"/>
          <w:lang w:val="lt-LT"/>
        </w:rPr>
        <w:t xml:space="preserve">. Darant prielaidą, kad bus finansuojama visų savivaldybių viešųjų pastatų renovacija (t.y. 260,7 mln. EUR paklausa), nuosavos lėšos galėtų sudaryti apie 13,0 mln. EUR. </w:t>
      </w:r>
    </w:p>
    <w:p w14:paraId="200FE66D" w14:textId="2F916741" w:rsidR="00CF6E71" w:rsidRPr="00C97275" w:rsidRDefault="00CF6E71" w:rsidP="005A0219">
      <w:pPr>
        <w:spacing w:after="160" w:line="240" w:lineRule="auto"/>
        <w:jc w:val="both"/>
        <w:rPr>
          <w:rFonts w:ascii="Georgia" w:eastAsia="Georgia" w:hAnsi="Georgia" w:cs="Times New Roman"/>
          <w:i/>
          <w:sz w:val="20"/>
          <w:szCs w:val="20"/>
          <w:lang w:val="lt-LT"/>
        </w:rPr>
      </w:pPr>
      <w:r w:rsidRPr="00C97275">
        <w:rPr>
          <w:rFonts w:ascii="Georgia" w:eastAsia="Georgia" w:hAnsi="Georgia" w:cs="Times New Roman"/>
          <w:i/>
          <w:sz w:val="20"/>
          <w:szCs w:val="20"/>
          <w:lang w:val="lt-LT"/>
        </w:rPr>
        <w:t>Savivaldybių galimybės skolintis ir finansinė būklė</w:t>
      </w:r>
    </w:p>
    <w:p w14:paraId="68CFA3E3" w14:textId="77777777" w:rsidR="00CF6E71" w:rsidRPr="00C97275" w:rsidRDefault="00CF6E71" w:rsidP="00CF6E71">
      <w:pPr>
        <w:shd w:val="clear" w:color="auto" w:fill="FFFFFF"/>
        <w:spacing w:before="100" w:beforeAutospacing="1" w:after="100" w:afterAutospacing="1"/>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Savivaldybių skolos yra trumpalaikės ir ilgalaikės. Trumpalaikes paskolas savivaldybės gali imti apyvartinių lėšų laikinam trūkumui padengti ir privalo grąžinti iki tų pačių metų pabaigos. Ilgalaikės paskolos – savivaldybių pasiskolintos lėšos investicijų projektams finansuoti. Šios skolos ne tik apskaitomos kaip savivaldybių biudžetų deficitas, bet ir įskaičiuojamos į Lietuvos viešųjų finansų deficitą bei valstybės skolą.</w:t>
      </w:r>
    </w:p>
    <w:p w14:paraId="00CF2F4F" w14:textId="5AD69D9D" w:rsidR="00CF6E71" w:rsidRPr="00C97275" w:rsidRDefault="00CF6E71" w:rsidP="00CF6E71">
      <w:pPr>
        <w:shd w:val="clear" w:color="auto" w:fill="FFFFFF"/>
        <w:spacing w:before="100" w:beforeAutospacing="1" w:after="100" w:afterAutospacing="1"/>
        <w:jc w:val="both"/>
        <w:rPr>
          <w:rFonts w:ascii="Georgia" w:hAnsi="Georgia" w:cs="Georgia"/>
          <w:sz w:val="20"/>
          <w:szCs w:val="20"/>
          <w:lang w:val="lt-LT"/>
        </w:rPr>
      </w:pPr>
      <w:r w:rsidRPr="00C97275">
        <w:rPr>
          <w:rFonts w:ascii="Georgia" w:hAnsi="Georgia" w:cs="Georgia"/>
          <w:sz w:val="20"/>
          <w:szCs w:val="20"/>
          <w:lang w:val="lt-LT"/>
        </w:rPr>
        <w:t>Lietuvos teisės aktai pakankamai griežtai reglamentuoja savivaldybių skolinimąsi. Kiekvienais metais Lietuvos Respublikos Seimas, tvirtindamas Finansinių rodiklių įstatymą bei savivaldybių biudžetus, nustato ir jų skolinimosi limitus. Savivaldybės skola negali viršyti 70 procentų, Vilniaus</w:t>
      </w:r>
      <w:r w:rsidR="00022769" w:rsidRPr="00C97275">
        <w:rPr>
          <w:rFonts w:ascii="Georgia" w:hAnsi="Georgia" w:cs="Georgia"/>
          <w:sz w:val="20"/>
          <w:szCs w:val="20"/>
          <w:lang w:val="lt-LT"/>
        </w:rPr>
        <w:t xml:space="preserve"> miesto savivaldybės</w:t>
      </w:r>
      <w:r w:rsidRPr="00C97275">
        <w:rPr>
          <w:rFonts w:ascii="Georgia" w:hAnsi="Georgia" w:cs="Georgia"/>
          <w:sz w:val="20"/>
          <w:szCs w:val="20"/>
          <w:lang w:val="lt-LT"/>
        </w:rPr>
        <w:t xml:space="preserve"> – 130 procentų, prognozuojamų savivaldybės biudžeto pajamų ir valstybės biudžeto bendrosios dotacijos kompensacijų savivaldybės biudžetui pajamų mažėjimui kompensuoti sumos </w:t>
      </w:r>
      <w:r w:rsidRPr="00C97275">
        <w:rPr>
          <w:rFonts w:ascii="Georgia" w:hAnsi="Georgia" w:cs="Georgia"/>
          <w:sz w:val="20"/>
          <w:szCs w:val="20"/>
          <w:lang w:val="lt-LT"/>
        </w:rPr>
        <w:lastRenderedPageBreak/>
        <w:t>(skola – 0,7 * [pajamos + dotacija]), kuri vidutiniškai sudaro kiek daugiau nei pusę visų savivaldybių biudžetų pajamų</w:t>
      </w:r>
      <w:r w:rsidRPr="00C97275">
        <w:rPr>
          <w:rStyle w:val="Puslapioinaosnuoroda"/>
          <w:rFonts w:ascii="Georgia" w:hAnsi="Georgia" w:cs="Georgia"/>
          <w:sz w:val="20"/>
          <w:szCs w:val="20"/>
          <w:lang w:val="lt-LT"/>
        </w:rPr>
        <w:footnoteReference w:id="40"/>
      </w:r>
      <w:r w:rsidRPr="00C97275">
        <w:rPr>
          <w:rFonts w:ascii="Georgia" w:hAnsi="Georgia" w:cs="Georgia"/>
          <w:sz w:val="20"/>
          <w:szCs w:val="20"/>
          <w:lang w:val="lt-LT"/>
        </w:rPr>
        <w:t>.</w:t>
      </w:r>
    </w:p>
    <w:p w14:paraId="27569622" w14:textId="77777777" w:rsidR="00CF6E71" w:rsidRPr="00C97275" w:rsidRDefault="00CF6E71" w:rsidP="00CF6E71">
      <w:pPr>
        <w:shd w:val="clear" w:color="auto" w:fill="FFFFFF"/>
        <w:spacing w:before="100" w:beforeAutospacing="1" w:after="100" w:afterAutospacing="1"/>
        <w:jc w:val="both"/>
        <w:rPr>
          <w:rFonts w:ascii="Georgia" w:hAnsi="Georgia" w:cs="Georgia"/>
          <w:sz w:val="20"/>
          <w:szCs w:val="20"/>
          <w:lang w:val="lt-LT"/>
        </w:rPr>
      </w:pPr>
      <w:r w:rsidRPr="00C97275">
        <w:rPr>
          <w:rFonts w:ascii="Georgia" w:hAnsi="Georgia" w:cs="Georgia"/>
          <w:sz w:val="20"/>
          <w:szCs w:val="20"/>
          <w:lang w:val="lt-LT"/>
        </w:rPr>
        <w:t xml:space="preserve">Savivaldybės, kurių skola sudaro daugiau kaip 40 procentų  2016 metais gali skolintis projektams, finansuojamiems iš Europos Sąjungos ir kitos tarptautinės finansinės paramos, įgyvendinti, energijos vartojimo efektyvumo didinimo projektams, savivaldybių įgyvendinamiems pagal Vyriausybės patvirtintas programas, valstybės investicijų 2016–2018 metų programoje 2016 metams numatytiems investicijų projektams įgyvendinti, paimtoms paskoloms grąžinti </w:t>
      </w:r>
      <w:r w:rsidRPr="00C97275">
        <w:rPr>
          <w:rStyle w:val="Puslapioinaosnuoroda"/>
          <w:rFonts w:ascii="Georgia" w:hAnsi="Georgia" w:cs="Georgia"/>
          <w:sz w:val="20"/>
          <w:szCs w:val="20"/>
          <w:lang w:val="lt-LT"/>
        </w:rPr>
        <w:footnoteReference w:id="41"/>
      </w:r>
      <w:r w:rsidRPr="00C97275">
        <w:rPr>
          <w:rFonts w:ascii="Georgia" w:hAnsi="Georgia" w:cs="Georgia"/>
          <w:sz w:val="20"/>
          <w:szCs w:val="20"/>
          <w:lang w:val="lt-LT"/>
        </w:rPr>
        <w:t>.</w:t>
      </w:r>
    </w:p>
    <w:p w14:paraId="3FCA652D" w14:textId="77777777" w:rsidR="00CF6E71" w:rsidRPr="00C97275" w:rsidRDefault="00CF6E71" w:rsidP="00CF6E71">
      <w:pPr>
        <w:shd w:val="clear" w:color="auto" w:fill="FFFFFF"/>
        <w:spacing w:before="100" w:beforeAutospacing="1" w:after="100" w:afterAutospacing="1"/>
        <w:jc w:val="both"/>
        <w:rPr>
          <w:rFonts w:ascii="Georgia" w:hAnsi="Georgia" w:cs="Georgia"/>
          <w:sz w:val="20"/>
          <w:szCs w:val="20"/>
          <w:lang w:val="lt-LT"/>
        </w:rPr>
      </w:pPr>
      <w:r w:rsidRPr="00C97275">
        <w:rPr>
          <w:rFonts w:ascii="Georgia" w:hAnsi="Georgia" w:cs="Georgia"/>
          <w:sz w:val="20"/>
          <w:szCs w:val="20"/>
          <w:lang w:val="lt-LT"/>
        </w:rPr>
        <w:t xml:space="preserve">Absoliuti dauguma ilgalaikių paskolų imama ESI fondų remiamiems projektams savivaldybėse bendrai finansuoti. </w:t>
      </w:r>
    </w:p>
    <w:p w14:paraId="529857FC" w14:textId="77777777" w:rsidR="00CF6E71" w:rsidRPr="00C97275" w:rsidRDefault="00CF6E71" w:rsidP="00CF6E71">
      <w:pPr>
        <w:shd w:val="clear" w:color="auto" w:fill="FFFFFF"/>
        <w:spacing w:before="100" w:beforeAutospacing="1" w:after="100" w:afterAutospacing="1"/>
        <w:jc w:val="both"/>
        <w:rPr>
          <w:rFonts w:ascii="Georgia" w:hAnsi="Georgia" w:cs="Georgia"/>
          <w:sz w:val="20"/>
          <w:szCs w:val="20"/>
          <w:lang w:val="lt-LT"/>
        </w:rPr>
      </w:pPr>
      <w:r w:rsidRPr="00C97275">
        <w:rPr>
          <w:rFonts w:ascii="Georgia" w:hAnsi="Georgia" w:cs="Georgia"/>
          <w:sz w:val="20"/>
          <w:szCs w:val="20"/>
          <w:lang w:val="lt-LT"/>
        </w:rPr>
        <w:t xml:space="preserve">Beveik visuose savivaldybėse skolos mažėjo dėl išaugusių savivaldybių savarankiškų pajamų. Jei 2013-2014 m. savivaldybių pajamų dalis nacionaliniame biudžete sudarė 16,8 ir 19,2 procento, tai 2015-2016 m. ji išaugo iki 20,5 ir 21,5 procentų </w:t>
      </w:r>
      <w:r w:rsidRPr="00C97275">
        <w:rPr>
          <w:rStyle w:val="Puslapioinaosnuoroda"/>
          <w:rFonts w:ascii="Georgia" w:hAnsi="Georgia" w:cs="Georgia"/>
          <w:sz w:val="20"/>
          <w:szCs w:val="20"/>
          <w:lang w:val="lt-LT"/>
        </w:rPr>
        <w:footnoteReference w:id="42"/>
      </w:r>
      <w:r w:rsidRPr="00C97275">
        <w:rPr>
          <w:rFonts w:ascii="Georgia" w:hAnsi="Georgia" w:cs="Georgia"/>
          <w:sz w:val="20"/>
          <w:szCs w:val="20"/>
          <w:lang w:val="lt-LT"/>
        </w:rPr>
        <w:t>.</w:t>
      </w:r>
    </w:p>
    <w:p w14:paraId="39743E9B" w14:textId="30BA75DC" w:rsidR="00CF6E71" w:rsidRPr="00C97275" w:rsidRDefault="00CF6E71" w:rsidP="00CF6E71">
      <w:pPr>
        <w:pStyle w:val="Antrat"/>
        <w:jc w:val="both"/>
        <w:rPr>
          <w:lang w:val="lt-LT"/>
        </w:rPr>
      </w:pPr>
      <w:bookmarkStart w:id="107" w:name="_Toc19105237"/>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24</w:t>
      </w:r>
      <w:r w:rsidRPr="00C97275">
        <w:rPr>
          <w:lang w:val="lt-LT"/>
        </w:rPr>
        <w:fldChar w:fldCharType="end"/>
      </w:r>
      <w:r w:rsidRPr="00C97275">
        <w:rPr>
          <w:lang w:val="lt-LT"/>
        </w:rPr>
        <w:t>. Savivaldybių skolinimosi padėtis 2017 m.</w:t>
      </w:r>
      <w:bookmarkEnd w:id="107"/>
    </w:p>
    <w:tbl>
      <w:tblPr>
        <w:tblStyle w:val="LightList-Accent21"/>
        <w:tblW w:w="9507" w:type="dxa"/>
        <w:tblLook w:val="04A0" w:firstRow="1" w:lastRow="0" w:firstColumn="1" w:lastColumn="0" w:noHBand="0" w:noVBand="1"/>
      </w:tblPr>
      <w:tblGrid>
        <w:gridCol w:w="1819"/>
        <w:gridCol w:w="1842"/>
        <w:gridCol w:w="1843"/>
        <w:gridCol w:w="1843"/>
        <w:gridCol w:w="1843"/>
        <w:gridCol w:w="317"/>
      </w:tblGrid>
      <w:tr w:rsidR="00C77CF5" w:rsidRPr="00C97275" w14:paraId="26D2FE2E" w14:textId="77777777" w:rsidTr="005B31C6">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9" w:type="dxa"/>
            <w:hideMark/>
          </w:tcPr>
          <w:p w14:paraId="3B9294E7" w14:textId="77777777" w:rsidR="00CF6E71" w:rsidRPr="00C97275" w:rsidRDefault="00CF6E71" w:rsidP="00691E4D">
            <w:pPr>
              <w:jc w:val="center"/>
              <w:rPr>
                <w:rFonts w:ascii="Georgia" w:eastAsia="Times New Roman" w:hAnsi="Georgia" w:cs="Calibri"/>
                <w:b w:val="0"/>
                <w:bCs w:val="0"/>
                <w:sz w:val="20"/>
                <w:szCs w:val="20"/>
              </w:rPr>
            </w:pPr>
            <w:r w:rsidRPr="00C97275">
              <w:rPr>
                <w:rFonts w:ascii="Georgia" w:eastAsia="Times New Roman" w:hAnsi="Georgia" w:cs="Calibri"/>
                <w:b w:val="0"/>
                <w:bCs w:val="0"/>
                <w:sz w:val="20"/>
                <w:szCs w:val="20"/>
              </w:rPr>
              <w:t>Miestas</w:t>
            </w:r>
          </w:p>
        </w:tc>
        <w:tc>
          <w:tcPr>
            <w:tcW w:w="1842" w:type="dxa"/>
            <w:hideMark/>
          </w:tcPr>
          <w:p w14:paraId="01673E89" w14:textId="334EB1FA" w:rsidR="00CF6E71" w:rsidRPr="00C97275" w:rsidRDefault="00CF6E71" w:rsidP="0063781D">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C97275">
              <w:rPr>
                <w:rFonts w:ascii="Georgia" w:eastAsia="Times New Roman" w:hAnsi="Georgia" w:cs="Calibri"/>
                <w:sz w:val="20"/>
                <w:szCs w:val="20"/>
              </w:rPr>
              <w:t xml:space="preserve">Skolos riba </w:t>
            </w:r>
            <w:r w:rsidR="00F3780B" w:rsidRPr="00C97275">
              <w:rPr>
                <w:rFonts w:ascii="Georgia" w:eastAsia="Times New Roman" w:hAnsi="Georgia" w:cs="Calibri"/>
                <w:sz w:val="20"/>
                <w:szCs w:val="20"/>
              </w:rPr>
              <w:br/>
            </w:r>
            <w:r w:rsidRPr="00C97275">
              <w:rPr>
                <w:rFonts w:ascii="Georgia" w:eastAsia="Times New Roman" w:hAnsi="Georgia" w:cs="Calibri"/>
                <w:sz w:val="20"/>
                <w:szCs w:val="20"/>
              </w:rPr>
              <w:t>proc.</w:t>
            </w:r>
          </w:p>
        </w:tc>
        <w:tc>
          <w:tcPr>
            <w:tcW w:w="1843" w:type="dxa"/>
            <w:hideMark/>
          </w:tcPr>
          <w:p w14:paraId="70D6AE5C" w14:textId="77777777" w:rsidR="00CF6E71" w:rsidRPr="00C97275" w:rsidRDefault="00CF6E71" w:rsidP="0063781D">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C97275">
              <w:rPr>
                <w:rFonts w:ascii="Georgia" w:eastAsia="Times New Roman" w:hAnsi="Georgia" w:cs="Calibri"/>
                <w:sz w:val="20"/>
                <w:szCs w:val="20"/>
              </w:rPr>
              <w:t xml:space="preserve">Pajamos tūkst. EUR </w:t>
            </w:r>
          </w:p>
        </w:tc>
        <w:tc>
          <w:tcPr>
            <w:tcW w:w="1843" w:type="dxa"/>
            <w:hideMark/>
          </w:tcPr>
          <w:p w14:paraId="76EC0026" w14:textId="77777777" w:rsidR="00CF6E71" w:rsidRPr="00C97275" w:rsidRDefault="00CF6E71" w:rsidP="0063781D">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C97275">
              <w:rPr>
                <w:rFonts w:ascii="Georgia" w:eastAsia="Times New Roman" w:hAnsi="Georgia" w:cs="Calibri"/>
                <w:sz w:val="20"/>
                <w:szCs w:val="20"/>
              </w:rPr>
              <w:t>Skola</w:t>
            </w:r>
          </w:p>
        </w:tc>
        <w:tc>
          <w:tcPr>
            <w:tcW w:w="1843" w:type="dxa"/>
            <w:hideMark/>
          </w:tcPr>
          <w:p w14:paraId="56CE996E" w14:textId="77777777" w:rsidR="00CF6E71" w:rsidRPr="00C97275" w:rsidRDefault="00CF6E71" w:rsidP="0063781D">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C97275">
              <w:rPr>
                <w:rFonts w:ascii="Georgia" w:eastAsia="Times New Roman" w:hAnsi="Georgia" w:cs="Calibri"/>
                <w:sz w:val="20"/>
                <w:szCs w:val="20"/>
              </w:rPr>
              <w:t xml:space="preserve">Proc. </w:t>
            </w:r>
          </w:p>
        </w:tc>
        <w:tc>
          <w:tcPr>
            <w:tcW w:w="317" w:type="dxa"/>
            <w:noWrap/>
            <w:hideMark/>
          </w:tcPr>
          <w:p w14:paraId="4EE0F2E4" w14:textId="77777777" w:rsidR="00CF6E71" w:rsidRPr="00C97275" w:rsidRDefault="00CF6E71" w:rsidP="00691E4D">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p>
        </w:tc>
      </w:tr>
      <w:tr w:rsidR="00C77CF5" w:rsidRPr="00C97275" w14:paraId="0B115985" w14:textId="77777777" w:rsidTr="005B31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076DED07" w14:textId="77777777" w:rsidR="00CF6E71" w:rsidRPr="00C97275" w:rsidRDefault="00CF6E71" w:rsidP="00691E4D">
            <w:pPr>
              <w:jc w:val="center"/>
              <w:rPr>
                <w:rFonts w:ascii="Georgia" w:eastAsia="Times New Roman" w:hAnsi="Georgia" w:cs="Calibri"/>
                <w:color w:val="000000"/>
                <w:sz w:val="20"/>
                <w:szCs w:val="20"/>
              </w:rPr>
            </w:pPr>
            <w:r w:rsidRPr="00C97275">
              <w:rPr>
                <w:rFonts w:ascii="Georgia" w:eastAsia="Times New Roman" w:hAnsi="Georgia" w:cs="Calibri"/>
                <w:color w:val="000000"/>
                <w:sz w:val="20"/>
                <w:szCs w:val="20"/>
              </w:rPr>
              <w:t>Vilnius</w:t>
            </w:r>
          </w:p>
        </w:tc>
        <w:tc>
          <w:tcPr>
            <w:tcW w:w="1842" w:type="dxa"/>
            <w:hideMark/>
          </w:tcPr>
          <w:p w14:paraId="1F2ACF81" w14:textId="7777777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130%</w:t>
            </w:r>
          </w:p>
        </w:tc>
        <w:tc>
          <w:tcPr>
            <w:tcW w:w="1843" w:type="dxa"/>
            <w:hideMark/>
          </w:tcPr>
          <w:p w14:paraId="486756EA" w14:textId="356F2FA2"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288</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416</w:t>
            </w:r>
          </w:p>
        </w:tc>
        <w:tc>
          <w:tcPr>
            <w:tcW w:w="1843" w:type="dxa"/>
            <w:hideMark/>
          </w:tcPr>
          <w:p w14:paraId="3F7E1AB0" w14:textId="05833771"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238</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977</w:t>
            </w:r>
          </w:p>
        </w:tc>
        <w:tc>
          <w:tcPr>
            <w:tcW w:w="1843" w:type="dxa"/>
            <w:hideMark/>
          </w:tcPr>
          <w:p w14:paraId="63D296F2" w14:textId="7777777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82,9</w:t>
            </w:r>
          </w:p>
        </w:tc>
        <w:tc>
          <w:tcPr>
            <w:tcW w:w="317" w:type="dxa"/>
            <w:hideMark/>
          </w:tcPr>
          <w:p w14:paraId="20F5A6EB" w14:textId="77777777" w:rsidR="00CF6E71" w:rsidRPr="00C97275"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 </w:t>
            </w:r>
          </w:p>
        </w:tc>
      </w:tr>
      <w:tr w:rsidR="00C77CF5" w:rsidRPr="00C97275" w14:paraId="171750AF" w14:textId="77777777" w:rsidTr="005B31C6">
        <w:trPr>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33A3F61E" w14:textId="77777777" w:rsidR="00CF6E71" w:rsidRPr="00C97275" w:rsidRDefault="00CF6E71" w:rsidP="00691E4D">
            <w:pPr>
              <w:jc w:val="center"/>
              <w:rPr>
                <w:rFonts w:ascii="Georgia" w:eastAsia="Times New Roman" w:hAnsi="Georgia" w:cs="Calibri"/>
                <w:color w:val="000000"/>
                <w:sz w:val="20"/>
                <w:szCs w:val="20"/>
              </w:rPr>
            </w:pPr>
            <w:r w:rsidRPr="00C97275">
              <w:rPr>
                <w:rFonts w:ascii="Georgia" w:eastAsia="Times New Roman" w:hAnsi="Georgia" w:cs="Calibri"/>
                <w:color w:val="000000"/>
                <w:sz w:val="20"/>
                <w:szCs w:val="20"/>
              </w:rPr>
              <w:t>Kaunas</w:t>
            </w:r>
          </w:p>
        </w:tc>
        <w:tc>
          <w:tcPr>
            <w:tcW w:w="1842" w:type="dxa"/>
            <w:hideMark/>
          </w:tcPr>
          <w:p w14:paraId="3425BC95" w14:textId="77777777"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70%</w:t>
            </w:r>
          </w:p>
        </w:tc>
        <w:tc>
          <w:tcPr>
            <w:tcW w:w="1843" w:type="dxa"/>
            <w:hideMark/>
          </w:tcPr>
          <w:p w14:paraId="26C0783F" w14:textId="15F29882"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158</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120</w:t>
            </w:r>
          </w:p>
        </w:tc>
        <w:tc>
          <w:tcPr>
            <w:tcW w:w="1843" w:type="dxa"/>
            <w:hideMark/>
          </w:tcPr>
          <w:p w14:paraId="40D1D3BE" w14:textId="16D17E62"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49</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579</w:t>
            </w:r>
          </w:p>
        </w:tc>
        <w:tc>
          <w:tcPr>
            <w:tcW w:w="1843" w:type="dxa"/>
            <w:hideMark/>
          </w:tcPr>
          <w:p w14:paraId="4CB4E51B" w14:textId="77777777"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31,4</w:t>
            </w:r>
          </w:p>
        </w:tc>
        <w:tc>
          <w:tcPr>
            <w:tcW w:w="317" w:type="dxa"/>
            <w:hideMark/>
          </w:tcPr>
          <w:p w14:paraId="52C628C8" w14:textId="77777777" w:rsidR="00CF6E71" w:rsidRPr="00C97275" w:rsidRDefault="00CF6E71" w:rsidP="00691E4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 </w:t>
            </w:r>
          </w:p>
        </w:tc>
      </w:tr>
      <w:tr w:rsidR="00C77CF5" w:rsidRPr="00C97275" w14:paraId="2E86DC95" w14:textId="77777777" w:rsidTr="005B31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747EFCBF" w14:textId="77777777" w:rsidR="00CF6E71" w:rsidRPr="00C97275" w:rsidRDefault="00CF6E71" w:rsidP="00691E4D">
            <w:pPr>
              <w:jc w:val="center"/>
              <w:rPr>
                <w:rFonts w:ascii="Georgia" w:eastAsia="Times New Roman" w:hAnsi="Georgia" w:cs="Calibri"/>
                <w:color w:val="000000"/>
                <w:sz w:val="20"/>
                <w:szCs w:val="20"/>
              </w:rPr>
            </w:pPr>
            <w:r w:rsidRPr="00C97275">
              <w:rPr>
                <w:rFonts w:ascii="Georgia" w:eastAsia="Times New Roman" w:hAnsi="Georgia" w:cs="Calibri"/>
                <w:color w:val="000000"/>
                <w:sz w:val="20"/>
                <w:szCs w:val="20"/>
              </w:rPr>
              <w:t>Klaipėda</w:t>
            </w:r>
          </w:p>
        </w:tc>
        <w:tc>
          <w:tcPr>
            <w:tcW w:w="1842" w:type="dxa"/>
            <w:hideMark/>
          </w:tcPr>
          <w:p w14:paraId="46B32DE9" w14:textId="7777777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70%</w:t>
            </w:r>
          </w:p>
        </w:tc>
        <w:tc>
          <w:tcPr>
            <w:tcW w:w="1843" w:type="dxa"/>
            <w:hideMark/>
          </w:tcPr>
          <w:p w14:paraId="62F52DAB" w14:textId="7DEA3031"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88</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204</w:t>
            </w:r>
          </w:p>
        </w:tc>
        <w:tc>
          <w:tcPr>
            <w:tcW w:w="1843" w:type="dxa"/>
            <w:hideMark/>
          </w:tcPr>
          <w:p w14:paraId="72E5D3C8" w14:textId="1C47C9A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9</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469</w:t>
            </w:r>
          </w:p>
        </w:tc>
        <w:tc>
          <w:tcPr>
            <w:tcW w:w="1843" w:type="dxa"/>
            <w:hideMark/>
          </w:tcPr>
          <w:p w14:paraId="75FA979D" w14:textId="7777777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10,7</w:t>
            </w:r>
          </w:p>
        </w:tc>
        <w:tc>
          <w:tcPr>
            <w:tcW w:w="317" w:type="dxa"/>
            <w:hideMark/>
          </w:tcPr>
          <w:p w14:paraId="29975AE5" w14:textId="77777777" w:rsidR="00CF6E71" w:rsidRPr="00C97275"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 </w:t>
            </w:r>
          </w:p>
        </w:tc>
      </w:tr>
      <w:tr w:rsidR="00C77CF5" w:rsidRPr="00C97275" w14:paraId="52D7B986" w14:textId="77777777" w:rsidTr="005B31C6">
        <w:trPr>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06C90E5C" w14:textId="77777777" w:rsidR="00CF6E71" w:rsidRPr="00C97275" w:rsidRDefault="00CF6E71" w:rsidP="00691E4D">
            <w:pPr>
              <w:jc w:val="center"/>
              <w:rPr>
                <w:rFonts w:ascii="Georgia" w:eastAsia="Times New Roman" w:hAnsi="Georgia" w:cs="Calibri"/>
                <w:color w:val="000000"/>
                <w:sz w:val="20"/>
                <w:szCs w:val="20"/>
              </w:rPr>
            </w:pPr>
            <w:r w:rsidRPr="00C97275">
              <w:rPr>
                <w:rFonts w:ascii="Georgia" w:eastAsia="Times New Roman" w:hAnsi="Georgia" w:cs="Calibri"/>
                <w:color w:val="000000"/>
                <w:sz w:val="20"/>
                <w:szCs w:val="20"/>
              </w:rPr>
              <w:t>Šiauliai</w:t>
            </w:r>
          </w:p>
        </w:tc>
        <w:tc>
          <w:tcPr>
            <w:tcW w:w="1842" w:type="dxa"/>
            <w:hideMark/>
          </w:tcPr>
          <w:p w14:paraId="6A3884CF" w14:textId="77777777"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70%</w:t>
            </w:r>
          </w:p>
        </w:tc>
        <w:tc>
          <w:tcPr>
            <w:tcW w:w="1843" w:type="dxa"/>
            <w:hideMark/>
          </w:tcPr>
          <w:p w14:paraId="154BEB8B" w14:textId="090FDD45"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51</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072</w:t>
            </w:r>
          </w:p>
        </w:tc>
        <w:tc>
          <w:tcPr>
            <w:tcW w:w="1843" w:type="dxa"/>
            <w:hideMark/>
          </w:tcPr>
          <w:p w14:paraId="1C97EE05" w14:textId="40A84C20"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533</w:t>
            </w:r>
          </w:p>
        </w:tc>
        <w:tc>
          <w:tcPr>
            <w:tcW w:w="1843" w:type="dxa"/>
            <w:hideMark/>
          </w:tcPr>
          <w:p w14:paraId="0B92E3FA" w14:textId="77777777"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14,7</w:t>
            </w:r>
          </w:p>
        </w:tc>
        <w:tc>
          <w:tcPr>
            <w:tcW w:w="317" w:type="dxa"/>
            <w:hideMark/>
          </w:tcPr>
          <w:p w14:paraId="1D409D1A" w14:textId="77777777" w:rsidR="00CF6E71" w:rsidRPr="00C97275" w:rsidRDefault="00CF6E71" w:rsidP="00691E4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 </w:t>
            </w:r>
          </w:p>
        </w:tc>
      </w:tr>
      <w:tr w:rsidR="00C77CF5" w:rsidRPr="00C97275" w14:paraId="2B71C445" w14:textId="77777777" w:rsidTr="005B31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38F523AB" w14:textId="77777777" w:rsidR="00CF6E71" w:rsidRPr="00C97275" w:rsidRDefault="00CF6E71" w:rsidP="00691E4D">
            <w:pPr>
              <w:jc w:val="center"/>
              <w:rPr>
                <w:rFonts w:ascii="Georgia" w:eastAsia="Times New Roman" w:hAnsi="Georgia" w:cs="Calibri"/>
                <w:color w:val="000000"/>
                <w:sz w:val="20"/>
                <w:szCs w:val="20"/>
              </w:rPr>
            </w:pPr>
            <w:r w:rsidRPr="00C97275">
              <w:rPr>
                <w:rFonts w:ascii="Georgia" w:eastAsia="Times New Roman" w:hAnsi="Georgia" w:cs="Calibri"/>
                <w:color w:val="000000"/>
                <w:sz w:val="20"/>
                <w:szCs w:val="20"/>
              </w:rPr>
              <w:t>Panevėžys</w:t>
            </w:r>
          </w:p>
        </w:tc>
        <w:tc>
          <w:tcPr>
            <w:tcW w:w="1842" w:type="dxa"/>
            <w:hideMark/>
          </w:tcPr>
          <w:p w14:paraId="2F6636BB" w14:textId="7777777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70%</w:t>
            </w:r>
          </w:p>
        </w:tc>
        <w:tc>
          <w:tcPr>
            <w:tcW w:w="1843" w:type="dxa"/>
            <w:hideMark/>
          </w:tcPr>
          <w:p w14:paraId="7F4E7514" w14:textId="137D39F9"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41</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384</w:t>
            </w:r>
          </w:p>
        </w:tc>
        <w:tc>
          <w:tcPr>
            <w:tcW w:w="1843" w:type="dxa"/>
            <w:hideMark/>
          </w:tcPr>
          <w:p w14:paraId="7FEE759A" w14:textId="4625D0D6"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739</w:t>
            </w:r>
          </w:p>
        </w:tc>
        <w:tc>
          <w:tcPr>
            <w:tcW w:w="1843" w:type="dxa"/>
            <w:hideMark/>
          </w:tcPr>
          <w:p w14:paraId="7A22802A" w14:textId="7777777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18,7</w:t>
            </w:r>
          </w:p>
        </w:tc>
        <w:tc>
          <w:tcPr>
            <w:tcW w:w="317" w:type="dxa"/>
            <w:hideMark/>
          </w:tcPr>
          <w:p w14:paraId="189BC8C4" w14:textId="77777777" w:rsidR="00CF6E71" w:rsidRPr="00C97275"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 </w:t>
            </w:r>
          </w:p>
        </w:tc>
      </w:tr>
      <w:tr w:rsidR="00C77CF5" w:rsidRPr="00C97275" w14:paraId="3FB6A5D6" w14:textId="77777777" w:rsidTr="005B31C6">
        <w:trPr>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46836654" w14:textId="77777777" w:rsidR="00CF6E71" w:rsidRPr="00C97275" w:rsidRDefault="00CF6E71" w:rsidP="00691E4D">
            <w:pPr>
              <w:jc w:val="center"/>
              <w:rPr>
                <w:rFonts w:ascii="Georgia" w:eastAsia="Times New Roman" w:hAnsi="Georgia" w:cs="Calibri"/>
                <w:color w:val="000000"/>
                <w:sz w:val="20"/>
                <w:szCs w:val="20"/>
              </w:rPr>
            </w:pPr>
            <w:r w:rsidRPr="00C97275">
              <w:rPr>
                <w:rFonts w:ascii="Georgia" w:eastAsia="Times New Roman" w:hAnsi="Georgia" w:cs="Calibri"/>
                <w:color w:val="000000"/>
                <w:sz w:val="20"/>
                <w:szCs w:val="20"/>
              </w:rPr>
              <w:t>Kiti miestai</w:t>
            </w:r>
          </w:p>
        </w:tc>
        <w:tc>
          <w:tcPr>
            <w:tcW w:w="1842" w:type="dxa"/>
            <w:hideMark/>
          </w:tcPr>
          <w:p w14:paraId="39F9877F" w14:textId="77777777"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70%</w:t>
            </w:r>
          </w:p>
        </w:tc>
        <w:tc>
          <w:tcPr>
            <w:tcW w:w="1843" w:type="dxa"/>
            <w:hideMark/>
          </w:tcPr>
          <w:p w14:paraId="34CFEAF4" w14:textId="33C9713E"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771</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873</w:t>
            </w:r>
          </w:p>
        </w:tc>
        <w:tc>
          <w:tcPr>
            <w:tcW w:w="1843" w:type="dxa"/>
            <w:hideMark/>
          </w:tcPr>
          <w:p w14:paraId="277567FC" w14:textId="520A26A6" w:rsidR="00CF6E71" w:rsidRPr="00C97275"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238</w:t>
            </w:r>
            <w:r w:rsidR="0018041C" w:rsidRPr="00C97275">
              <w:rPr>
                <w:rFonts w:ascii="Georgia" w:eastAsia="Times New Roman" w:hAnsi="Georgia" w:cs="Calibri"/>
                <w:color w:val="000000"/>
                <w:sz w:val="20"/>
                <w:szCs w:val="20"/>
              </w:rPr>
              <w:t xml:space="preserve"> </w:t>
            </w:r>
            <w:r w:rsidRPr="00C97275">
              <w:rPr>
                <w:rFonts w:ascii="Georgia" w:eastAsia="Times New Roman" w:hAnsi="Georgia" w:cs="Calibri"/>
                <w:color w:val="000000"/>
                <w:sz w:val="20"/>
                <w:szCs w:val="20"/>
              </w:rPr>
              <w:t>539</w:t>
            </w:r>
          </w:p>
        </w:tc>
        <w:tc>
          <w:tcPr>
            <w:tcW w:w="1843" w:type="dxa"/>
            <w:hideMark/>
          </w:tcPr>
          <w:p w14:paraId="5E23041D" w14:textId="6A7980F3" w:rsidR="00CF6E71" w:rsidRPr="00C97275" w:rsidRDefault="00F3780B"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30,9</w:t>
            </w:r>
          </w:p>
        </w:tc>
        <w:tc>
          <w:tcPr>
            <w:tcW w:w="317" w:type="dxa"/>
            <w:hideMark/>
          </w:tcPr>
          <w:p w14:paraId="0061B703" w14:textId="77777777" w:rsidR="00CF6E71" w:rsidRPr="00C97275" w:rsidRDefault="00CF6E71" w:rsidP="00691E4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 </w:t>
            </w:r>
          </w:p>
        </w:tc>
      </w:tr>
      <w:tr w:rsidR="00C77CF5" w:rsidRPr="00C97275" w14:paraId="7476DBF3" w14:textId="77777777" w:rsidTr="005B31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5D04E1FA" w14:textId="5254D187" w:rsidR="00CF6E71" w:rsidRPr="00C97275" w:rsidRDefault="00F3780B" w:rsidP="00691E4D">
            <w:pPr>
              <w:jc w:val="center"/>
              <w:rPr>
                <w:rFonts w:ascii="Georgia" w:eastAsia="Times New Roman" w:hAnsi="Georgia" w:cs="Calibri"/>
                <w:b w:val="0"/>
                <w:color w:val="000000"/>
                <w:sz w:val="20"/>
                <w:szCs w:val="20"/>
              </w:rPr>
            </w:pPr>
            <w:r w:rsidRPr="00C97275">
              <w:rPr>
                <w:rFonts w:ascii="Georgia" w:eastAsia="Times New Roman" w:hAnsi="Georgia" w:cs="Calibri"/>
                <w:color w:val="000000"/>
                <w:sz w:val="20"/>
                <w:szCs w:val="20"/>
              </w:rPr>
              <w:t>Iš viso</w:t>
            </w:r>
          </w:p>
        </w:tc>
        <w:tc>
          <w:tcPr>
            <w:tcW w:w="1842" w:type="dxa"/>
            <w:hideMark/>
          </w:tcPr>
          <w:p w14:paraId="1F5E16E1" w14:textId="77777777"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C97275">
              <w:rPr>
                <w:rFonts w:ascii="Georgia" w:eastAsia="Times New Roman" w:hAnsi="Georgia" w:cs="Calibri"/>
                <w:b/>
                <w:color w:val="000000"/>
                <w:sz w:val="20"/>
                <w:szCs w:val="20"/>
              </w:rPr>
              <w:t> </w:t>
            </w:r>
          </w:p>
        </w:tc>
        <w:tc>
          <w:tcPr>
            <w:tcW w:w="1843" w:type="dxa"/>
            <w:hideMark/>
          </w:tcPr>
          <w:p w14:paraId="77A06E28" w14:textId="12CAB8DC"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C97275">
              <w:rPr>
                <w:rFonts w:ascii="Georgia" w:eastAsia="Times New Roman" w:hAnsi="Georgia" w:cs="Calibri"/>
                <w:b/>
                <w:color w:val="000000"/>
                <w:sz w:val="20"/>
                <w:szCs w:val="20"/>
              </w:rPr>
              <w:t>1</w:t>
            </w:r>
            <w:r w:rsidR="0018041C" w:rsidRPr="00C97275">
              <w:rPr>
                <w:rFonts w:ascii="Georgia" w:eastAsia="Times New Roman" w:hAnsi="Georgia" w:cs="Calibri"/>
                <w:b/>
                <w:color w:val="000000"/>
                <w:sz w:val="20"/>
                <w:szCs w:val="20"/>
              </w:rPr>
              <w:t xml:space="preserve"> </w:t>
            </w:r>
            <w:r w:rsidRPr="00C97275">
              <w:rPr>
                <w:rFonts w:ascii="Georgia" w:eastAsia="Times New Roman" w:hAnsi="Georgia" w:cs="Calibri"/>
                <w:b/>
                <w:color w:val="000000"/>
                <w:sz w:val="20"/>
                <w:szCs w:val="20"/>
              </w:rPr>
              <w:t>399</w:t>
            </w:r>
            <w:r w:rsidR="0018041C" w:rsidRPr="00C97275">
              <w:rPr>
                <w:rFonts w:ascii="Georgia" w:eastAsia="Times New Roman" w:hAnsi="Georgia" w:cs="Calibri"/>
                <w:b/>
                <w:color w:val="000000"/>
                <w:sz w:val="20"/>
                <w:szCs w:val="20"/>
              </w:rPr>
              <w:t xml:space="preserve"> </w:t>
            </w:r>
            <w:r w:rsidRPr="00C97275">
              <w:rPr>
                <w:rFonts w:ascii="Georgia" w:eastAsia="Times New Roman" w:hAnsi="Georgia" w:cs="Calibri"/>
                <w:b/>
                <w:color w:val="000000"/>
                <w:sz w:val="20"/>
                <w:szCs w:val="20"/>
              </w:rPr>
              <w:t>069</w:t>
            </w:r>
          </w:p>
        </w:tc>
        <w:tc>
          <w:tcPr>
            <w:tcW w:w="1843" w:type="dxa"/>
            <w:hideMark/>
          </w:tcPr>
          <w:p w14:paraId="60AEEC1D" w14:textId="0622947C"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C97275">
              <w:rPr>
                <w:rFonts w:ascii="Georgia" w:eastAsia="Times New Roman" w:hAnsi="Georgia" w:cs="Calibri"/>
                <w:b/>
                <w:color w:val="000000"/>
                <w:sz w:val="20"/>
                <w:szCs w:val="20"/>
              </w:rPr>
              <w:t>551</w:t>
            </w:r>
            <w:r w:rsidR="0018041C" w:rsidRPr="00C97275">
              <w:rPr>
                <w:rFonts w:ascii="Georgia" w:eastAsia="Times New Roman" w:hAnsi="Georgia" w:cs="Calibri"/>
                <w:b/>
                <w:color w:val="000000"/>
                <w:sz w:val="20"/>
                <w:szCs w:val="20"/>
              </w:rPr>
              <w:t xml:space="preserve"> </w:t>
            </w:r>
            <w:r w:rsidRPr="00C97275">
              <w:rPr>
                <w:rFonts w:ascii="Georgia" w:eastAsia="Times New Roman" w:hAnsi="Georgia" w:cs="Calibri"/>
                <w:b/>
                <w:color w:val="000000"/>
                <w:sz w:val="20"/>
                <w:szCs w:val="20"/>
              </w:rPr>
              <w:t>835</w:t>
            </w:r>
          </w:p>
        </w:tc>
        <w:tc>
          <w:tcPr>
            <w:tcW w:w="1843" w:type="dxa"/>
            <w:hideMark/>
          </w:tcPr>
          <w:p w14:paraId="31A510D8" w14:textId="488C8E0C" w:rsidR="00CF6E71" w:rsidRPr="00C97275"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C97275">
              <w:rPr>
                <w:rFonts w:ascii="Georgia" w:eastAsia="Times New Roman" w:hAnsi="Georgia" w:cs="Calibri"/>
                <w:b/>
                <w:color w:val="000000"/>
                <w:sz w:val="20"/>
                <w:szCs w:val="20"/>
              </w:rPr>
              <w:t>39</w:t>
            </w:r>
            <w:r w:rsidR="00F3780B" w:rsidRPr="00C97275">
              <w:rPr>
                <w:rFonts w:ascii="Georgia" w:eastAsia="Times New Roman" w:hAnsi="Georgia" w:cs="Calibri"/>
                <w:b/>
                <w:color w:val="000000"/>
                <w:sz w:val="20"/>
                <w:szCs w:val="20"/>
              </w:rPr>
              <w:t>,4</w:t>
            </w:r>
          </w:p>
        </w:tc>
        <w:tc>
          <w:tcPr>
            <w:tcW w:w="317" w:type="dxa"/>
            <w:hideMark/>
          </w:tcPr>
          <w:p w14:paraId="2483EF0F" w14:textId="77777777" w:rsidR="00CF6E71" w:rsidRPr="00C97275"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C97275">
              <w:rPr>
                <w:rFonts w:ascii="Georgia" w:eastAsia="Times New Roman" w:hAnsi="Georgia" w:cs="Calibri"/>
                <w:color w:val="000000"/>
                <w:sz w:val="20"/>
                <w:szCs w:val="20"/>
              </w:rPr>
              <w:t> </w:t>
            </w:r>
          </w:p>
        </w:tc>
      </w:tr>
    </w:tbl>
    <w:p w14:paraId="0EE100C0" w14:textId="77777777" w:rsidR="00CF6E71" w:rsidRPr="00C97275" w:rsidRDefault="00CF6E71" w:rsidP="00CF6E71">
      <w:pPr>
        <w:pStyle w:val="Antrat"/>
        <w:jc w:val="both"/>
        <w:rPr>
          <w:b w:val="0"/>
          <w:i/>
          <w:lang w:val="lt-LT"/>
        </w:rPr>
      </w:pPr>
      <w:r w:rsidRPr="00C97275">
        <w:rPr>
          <w:b w:val="0"/>
          <w:i/>
          <w:lang w:val="lt-LT"/>
        </w:rPr>
        <w:t xml:space="preserve">Šaltinis: LR finansų ministerijos duomenys, sudaryta autorių </w:t>
      </w:r>
      <w:r w:rsidRPr="00C97275">
        <w:rPr>
          <w:rStyle w:val="Puslapioinaosnuoroda"/>
          <w:b w:val="0"/>
          <w:i/>
          <w:lang w:val="lt-LT"/>
        </w:rPr>
        <w:footnoteReference w:id="43"/>
      </w:r>
      <w:r w:rsidRPr="00C97275">
        <w:rPr>
          <w:b w:val="0"/>
          <w:i/>
          <w:lang w:val="lt-LT"/>
        </w:rPr>
        <w:t xml:space="preserve">. </w:t>
      </w:r>
    </w:p>
    <w:p w14:paraId="783300BA" w14:textId="68E688CF" w:rsidR="00CF6E71" w:rsidRPr="00C97275" w:rsidRDefault="00CF6E71" w:rsidP="00CF6E71">
      <w:pPr>
        <w:spacing w:after="160" w:line="240" w:lineRule="auto"/>
        <w:jc w:val="both"/>
        <w:rPr>
          <w:rFonts w:ascii="Georgia" w:eastAsia="Georgia" w:hAnsi="Georgia" w:cs="Times New Roman"/>
          <w:sz w:val="20"/>
          <w:szCs w:val="20"/>
          <w:lang w:val="lt-LT"/>
        </w:rPr>
      </w:pPr>
      <w:r w:rsidRPr="00C97275">
        <w:rPr>
          <w:rFonts w:ascii="Georgia" w:hAnsi="Georgia" w:cs="Georgia"/>
          <w:sz w:val="20"/>
          <w:szCs w:val="20"/>
          <w:lang w:val="lt-LT"/>
        </w:rPr>
        <w:t>Įvertinus savivaldybių finansinę padėtį bei galimybes skolintis, pažymėtina, kad pagal savivaldybėms nustatytus skolinimosi limitus, savivaldybės dar turi pajėgumų skolintis. Taip pat tikėtina, kad įgyvendinant energijos efektyvumo projektus, galutinis rezultatas savivaldybėms neturėtų padaryti esminės įtakos, kadangi padidėjus skolai sumažės energijos kaštai, iš kurių sutaupymų padengiamos skolos įmokos.</w:t>
      </w:r>
    </w:p>
    <w:p w14:paraId="25B603FF" w14:textId="77777777" w:rsidR="005A0219" w:rsidRPr="00C97275" w:rsidRDefault="005A0219" w:rsidP="005A0219">
      <w:pPr>
        <w:keepNext/>
        <w:keepLines/>
        <w:numPr>
          <w:ilvl w:val="3"/>
          <w:numId w:val="2"/>
        </w:numPr>
        <w:spacing w:before="200" w:after="0" w:line="240" w:lineRule="auto"/>
        <w:ind w:hanging="1440"/>
        <w:outlineLvl w:val="1"/>
        <w:rPr>
          <w:rFonts w:ascii="Georgia" w:eastAsia="Times New Roman" w:hAnsi="Georgia" w:cs="Arial Unicode MS"/>
          <w:b/>
          <w:i/>
          <w:color w:val="821A1A"/>
          <w:sz w:val="32"/>
          <w:szCs w:val="26"/>
          <w:lang w:val="lt-LT"/>
        </w:rPr>
      </w:pPr>
      <w:bookmarkStart w:id="108" w:name="_Toc25594662"/>
      <w:r w:rsidRPr="00C97275">
        <w:rPr>
          <w:rFonts w:ascii="Georgia" w:eastAsia="Times New Roman" w:hAnsi="Georgia" w:cs="Arial Unicode MS"/>
          <w:b/>
          <w:i/>
          <w:color w:val="821A1A"/>
          <w:sz w:val="32"/>
          <w:szCs w:val="26"/>
          <w:lang w:val="lt-LT"/>
        </w:rPr>
        <w:t>Finansavimo pasiūlos apibendrinimas</w:t>
      </w:r>
      <w:bookmarkEnd w:id="108"/>
    </w:p>
    <w:p w14:paraId="52C407DB" w14:textId="77777777" w:rsidR="005A0219" w:rsidRPr="00C97275" w:rsidRDefault="005A0219" w:rsidP="005A0219">
      <w:pPr>
        <w:spacing w:after="160" w:line="240" w:lineRule="auto"/>
        <w:rPr>
          <w:rFonts w:ascii="Georgia" w:eastAsia="Georgia" w:hAnsi="Georgia" w:cs="Arial Unicode MS"/>
          <w:sz w:val="20"/>
          <w:szCs w:val="20"/>
          <w:lang w:val="lt-LT"/>
        </w:rPr>
      </w:pPr>
    </w:p>
    <w:p w14:paraId="456E3B91" w14:textId="6B739E0E" w:rsidR="005A0219" w:rsidRPr="00C97275" w:rsidRDefault="005A0219" w:rsidP="005B31C6">
      <w:pPr>
        <w:pStyle w:val="Antrat"/>
        <w:jc w:val="both"/>
        <w:rPr>
          <w:b w:val="0"/>
          <w:lang w:val="lt-LT"/>
        </w:rPr>
      </w:pPr>
      <w:bookmarkStart w:id="109" w:name="_Toc19105238"/>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25</w:t>
      </w:r>
      <w:r w:rsidRPr="00C97275">
        <w:rPr>
          <w:lang w:val="lt-LT"/>
        </w:rPr>
        <w:fldChar w:fldCharType="end"/>
      </w:r>
      <w:r w:rsidRPr="00C97275">
        <w:rPr>
          <w:lang w:val="lt-LT"/>
        </w:rPr>
        <w:t xml:space="preserve">. </w:t>
      </w:r>
      <w:r w:rsidR="003B6539" w:rsidRPr="00C97275">
        <w:rPr>
          <w:lang w:val="lt-LT"/>
        </w:rPr>
        <w:t>Finansavimo pasiūla</w:t>
      </w:r>
      <w:bookmarkEnd w:id="109"/>
      <w:r w:rsidRPr="00C97275">
        <w:rPr>
          <w:lang w:val="lt-LT"/>
        </w:rPr>
        <w:t xml:space="preserve"> </w:t>
      </w:r>
    </w:p>
    <w:tbl>
      <w:tblPr>
        <w:tblW w:w="9560" w:type="dxa"/>
        <w:tblLook w:val="04A0" w:firstRow="1" w:lastRow="0" w:firstColumn="1" w:lastColumn="0" w:noHBand="0" w:noVBand="1"/>
      </w:tblPr>
      <w:tblGrid>
        <w:gridCol w:w="2260"/>
        <w:gridCol w:w="1860"/>
        <w:gridCol w:w="3880"/>
        <w:gridCol w:w="1560"/>
      </w:tblGrid>
      <w:tr w:rsidR="005A0219" w:rsidRPr="00C97275" w14:paraId="773B41FA" w14:textId="77777777" w:rsidTr="005B31C6">
        <w:trPr>
          <w:trHeight w:val="1380"/>
        </w:trPr>
        <w:tc>
          <w:tcPr>
            <w:tcW w:w="2260" w:type="dxa"/>
            <w:tcBorders>
              <w:top w:val="single" w:sz="8" w:space="0" w:color="D62E1C"/>
              <w:left w:val="nil"/>
              <w:bottom w:val="nil"/>
              <w:right w:val="nil"/>
            </w:tcBorders>
            <w:shd w:val="clear" w:color="000000" w:fill="D62E1C"/>
            <w:vAlign w:val="center"/>
            <w:hideMark/>
          </w:tcPr>
          <w:p w14:paraId="30F00FCE" w14:textId="77777777" w:rsidR="005A0219" w:rsidRPr="00C97275"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C97275">
              <w:rPr>
                <w:rFonts w:ascii="Georgia" w:eastAsia="Times New Roman" w:hAnsi="Georgia" w:cs="Times New Roman"/>
                <w:b/>
                <w:bCs/>
                <w:color w:val="FFFFFF"/>
                <w:sz w:val="20"/>
                <w:szCs w:val="20"/>
                <w:lang w:val="lt-LT" w:eastAsia="lt-LT"/>
              </w:rPr>
              <w:t>Galimi pasiūlos finansavimo šaltiniai</w:t>
            </w:r>
          </w:p>
        </w:tc>
        <w:tc>
          <w:tcPr>
            <w:tcW w:w="1860" w:type="dxa"/>
            <w:tcBorders>
              <w:top w:val="single" w:sz="8" w:space="0" w:color="D62E1C"/>
              <w:left w:val="nil"/>
              <w:bottom w:val="nil"/>
              <w:right w:val="single" w:sz="8" w:space="0" w:color="D62E1C"/>
            </w:tcBorders>
            <w:shd w:val="clear" w:color="000000" w:fill="D62E1C"/>
            <w:vAlign w:val="center"/>
            <w:hideMark/>
          </w:tcPr>
          <w:p w14:paraId="049B1B6B" w14:textId="77777777" w:rsidR="005A0219" w:rsidRPr="00C97275"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C97275">
              <w:rPr>
                <w:rFonts w:ascii="Georgia" w:eastAsia="Times New Roman" w:hAnsi="Georgia" w:cs="Times New Roman"/>
                <w:b/>
                <w:bCs/>
                <w:color w:val="FFFFFF"/>
                <w:sz w:val="20"/>
                <w:szCs w:val="20"/>
                <w:lang w:val="lt-LT" w:eastAsia="lt-LT"/>
              </w:rPr>
              <w:t xml:space="preserve">Investicijų pasiūla pagal finansavimo šaltinius, mln. EUR </w:t>
            </w:r>
          </w:p>
        </w:tc>
        <w:tc>
          <w:tcPr>
            <w:tcW w:w="3880" w:type="dxa"/>
            <w:tcBorders>
              <w:top w:val="nil"/>
              <w:left w:val="nil"/>
              <w:bottom w:val="nil"/>
              <w:right w:val="nil"/>
            </w:tcBorders>
            <w:shd w:val="clear" w:color="000000" w:fill="D62E1C"/>
            <w:vAlign w:val="center"/>
            <w:hideMark/>
          </w:tcPr>
          <w:p w14:paraId="4D779995" w14:textId="77777777" w:rsidR="005A0219" w:rsidRPr="00C97275"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C97275">
              <w:rPr>
                <w:rFonts w:ascii="Georgia" w:eastAsia="Times New Roman" w:hAnsi="Georgia" w:cs="Times New Roman"/>
                <w:b/>
                <w:bCs/>
                <w:color w:val="FFFFFF"/>
                <w:sz w:val="20"/>
                <w:szCs w:val="20"/>
                <w:lang w:val="lt-LT" w:eastAsia="lt-LT"/>
              </w:rPr>
              <w:t>Paaiškinimai</w:t>
            </w:r>
          </w:p>
        </w:tc>
        <w:tc>
          <w:tcPr>
            <w:tcW w:w="1560" w:type="dxa"/>
            <w:tcBorders>
              <w:top w:val="single" w:sz="8" w:space="0" w:color="D62E1C"/>
              <w:left w:val="nil"/>
              <w:bottom w:val="nil"/>
              <w:right w:val="nil"/>
            </w:tcBorders>
            <w:shd w:val="clear" w:color="000000" w:fill="D62E1C"/>
            <w:vAlign w:val="center"/>
            <w:hideMark/>
          </w:tcPr>
          <w:p w14:paraId="004BCE70" w14:textId="77777777" w:rsidR="005A0219" w:rsidRPr="00C97275"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C97275">
              <w:rPr>
                <w:rFonts w:ascii="Georgia" w:eastAsia="Times New Roman" w:hAnsi="Georgia" w:cs="Times New Roman"/>
                <w:b/>
                <w:bCs/>
                <w:color w:val="FFFFFF"/>
                <w:sz w:val="20"/>
                <w:szCs w:val="20"/>
                <w:lang w:val="lt-LT" w:eastAsia="lt-LT"/>
              </w:rPr>
              <w:t>Investicijų pasiūla, mln. EUR</w:t>
            </w:r>
          </w:p>
        </w:tc>
      </w:tr>
      <w:tr w:rsidR="005A0219" w:rsidRPr="00C97275" w14:paraId="3D2AFC4B" w14:textId="77777777" w:rsidTr="005B31C6">
        <w:trPr>
          <w:trHeight w:val="315"/>
        </w:trPr>
        <w:tc>
          <w:tcPr>
            <w:tcW w:w="4120" w:type="dxa"/>
            <w:gridSpan w:val="2"/>
            <w:tcBorders>
              <w:top w:val="single" w:sz="8" w:space="0" w:color="D62E1C"/>
              <w:left w:val="single" w:sz="8" w:space="0" w:color="D62E1C"/>
              <w:bottom w:val="nil"/>
              <w:right w:val="nil"/>
            </w:tcBorders>
            <w:shd w:val="clear" w:color="auto" w:fill="auto"/>
            <w:noWrap/>
            <w:vAlign w:val="center"/>
            <w:hideMark/>
          </w:tcPr>
          <w:p w14:paraId="375F02DE" w14:textId="3EEAADD9" w:rsidR="005A0219" w:rsidRPr="00C97275" w:rsidRDefault="005A0219" w:rsidP="005A0219">
            <w:pPr>
              <w:spacing w:after="0" w:line="240" w:lineRule="auto"/>
              <w:rPr>
                <w:rFonts w:ascii="Georgia" w:eastAsia="Times New Roman" w:hAnsi="Georgia" w:cs="Times New Roman"/>
                <w:b/>
                <w:bCs/>
                <w:sz w:val="20"/>
                <w:szCs w:val="20"/>
                <w:lang w:val="lt-LT" w:eastAsia="lt-LT"/>
              </w:rPr>
            </w:pPr>
            <w:r w:rsidRPr="00C97275">
              <w:rPr>
                <w:rFonts w:ascii="Georgia" w:eastAsia="Times New Roman" w:hAnsi="Georgia" w:cs="Times New Roman"/>
                <w:b/>
                <w:bCs/>
                <w:sz w:val="20"/>
                <w:szCs w:val="20"/>
                <w:lang w:val="lt-LT" w:eastAsia="lt-LT"/>
              </w:rPr>
              <w:t>Daugiabučių modernizavimas</w:t>
            </w:r>
            <w:r w:rsidR="001262F6" w:rsidRPr="00C97275">
              <w:rPr>
                <w:rFonts w:ascii="Georgia" w:eastAsia="Times New Roman" w:hAnsi="Georgia" w:cs="Times New Roman"/>
                <w:b/>
                <w:bCs/>
                <w:sz w:val="20"/>
                <w:szCs w:val="20"/>
                <w:lang w:val="lt-LT" w:eastAsia="lt-LT"/>
              </w:rPr>
              <w:t xml:space="preserve"> (2019 m.)</w:t>
            </w:r>
          </w:p>
        </w:tc>
        <w:tc>
          <w:tcPr>
            <w:tcW w:w="3880" w:type="dxa"/>
            <w:tcBorders>
              <w:top w:val="single" w:sz="8" w:space="0" w:color="D62E1C"/>
              <w:left w:val="nil"/>
              <w:bottom w:val="nil"/>
              <w:right w:val="nil"/>
            </w:tcBorders>
            <w:shd w:val="clear" w:color="auto" w:fill="auto"/>
            <w:vAlign w:val="center"/>
            <w:hideMark/>
          </w:tcPr>
          <w:p w14:paraId="52FDC7DA" w14:textId="77777777" w:rsidR="005A0219" w:rsidRPr="00C97275"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C97275">
              <w:rPr>
                <w:rFonts w:ascii="Georgia" w:eastAsia="Times New Roman" w:hAnsi="Georgia" w:cs="Times New Roman"/>
                <w:b/>
                <w:bCs/>
                <w:color w:val="FFFFFF"/>
                <w:sz w:val="20"/>
                <w:szCs w:val="20"/>
                <w:lang w:val="lt-LT" w:eastAsia="lt-LT"/>
              </w:rPr>
              <w:t> </w:t>
            </w:r>
          </w:p>
        </w:tc>
        <w:tc>
          <w:tcPr>
            <w:tcW w:w="1560" w:type="dxa"/>
            <w:tcBorders>
              <w:top w:val="nil"/>
              <w:left w:val="nil"/>
              <w:bottom w:val="single" w:sz="8" w:space="0" w:color="D62E1C"/>
              <w:right w:val="single" w:sz="4" w:space="0" w:color="D62E1C"/>
            </w:tcBorders>
            <w:shd w:val="clear" w:color="auto" w:fill="auto"/>
            <w:vAlign w:val="center"/>
            <w:hideMark/>
          </w:tcPr>
          <w:p w14:paraId="6CE8E1CA" w14:textId="77777777" w:rsidR="005A0219" w:rsidRPr="00C97275"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C97275">
              <w:rPr>
                <w:rFonts w:ascii="Georgia" w:eastAsia="Times New Roman" w:hAnsi="Georgia" w:cs="Times New Roman"/>
                <w:b/>
                <w:bCs/>
                <w:color w:val="FFFFFF"/>
                <w:sz w:val="20"/>
                <w:szCs w:val="20"/>
                <w:lang w:val="lt-LT" w:eastAsia="lt-LT"/>
              </w:rPr>
              <w:t> </w:t>
            </w:r>
          </w:p>
        </w:tc>
      </w:tr>
      <w:tr w:rsidR="005A0219" w:rsidRPr="00C97275" w14:paraId="311A651A" w14:textId="77777777" w:rsidTr="005B31C6">
        <w:trPr>
          <w:trHeight w:val="1290"/>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351D911A" w14:textId="6FF3A1FE" w:rsidR="005A0219" w:rsidRPr="00C97275" w:rsidRDefault="00B0275C"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Identifikuoti privačių lėšų šaltiniai</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4A5473B4" w14:textId="0FF9DF5F" w:rsidR="005A0219" w:rsidRPr="00C97275" w:rsidRDefault="0046247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350</w:t>
            </w:r>
          </w:p>
        </w:tc>
        <w:tc>
          <w:tcPr>
            <w:tcW w:w="3880" w:type="dxa"/>
            <w:tcBorders>
              <w:top w:val="single" w:sz="8" w:space="0" w:color="D62E1C"/>
              <w:left w:val="nil"/>
              <w:bottom w:val="single" w:sz="8" w:space="0" w:color="D62E1C"/>
              <w:right w:val="single" w:sz="8" w:space="0" w:color="D62E1C"/>
            </w:tcBorders>
            <w:shd w:val="clear" w:color="auto" w:fill="auto"/>
            <w:vAlign w:val="center"/>
            <w:hideMark/>
          </w:tcPr>
          <w:p w14:paraId="24E79164" w14:textId="5E6791DE"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2017 m. pasirašyta sutartis su EPRB (50 mln. eurų)</w:t>
            </w:r>
            <w:r w:rsidR="00B0275C" w:rsidRPr="00C97275">
              <w:rPr>
                <w:rFonts w:ascii="Georgia" w:eastAsia="Times New Roman" w:hAnsi="Georgia" w:cs="Times New Roman"/>
                <w:color w:val="000000"/>
                <w:sz w:val="20"/>
                <w:szCs w:val="20"/>
                <w:lang w:val="lt-LT" w:eastAsia="lt-LT"/>
              </w:rPr>
              <w:t xml:space="preserve">, Valstybės perskolinamoji paskola (100 mln.), žaliosios obligacijos </w:t>
            </w:r>
            <w:r w:rsidRPr="00C97275">
              <w:rPr>
                <w:rFonts w:ascii="Georgia" w:eastAsia="Times New Roman" w:hAnsi="Georgia" w:cs="Times New Roman"/>
                <w:color w:val="000000"/>
                <w:sz w:val="20"/>
                <w:szCs w:val="20"/>
                <w:lang w:val="lt-LT" w:eastAsia="lt-LT"/>
              </w:rPr>
              <w:t xml:space="preserve">ir </w:t>
            </w:r>
            <w:r w:rsidR="00B0275C" w:rsidRPr="00C97275">
              <w:rPr>
                <w:rFonts w:ascii="Georgia" w:eastAsia="Times New Roman" w:hAnsi="Georgia" w:cs="Times New Roman"/>
                <w:color w:val="000000"/>
                <w:sz w:val="20"/>
                <w:szCs w:val="20"/>
                <w:lang w:val="lt-LT" w:eastAsia="lt-LT"/>
              </w:rPr>
              <w:t xml:space="preserve">komercinių bankų nuosavų lėšų esamas ar planuojamas prisidėjimas prie RPF </w:t>
            </w:r>
            <w:r w:rsidRPr="00C97275">
              <w:rPr>
                <w:rFonts w:ascii="Georgia" w:eastAsia="Times New Roman" w:hAnsi="Georgia" w:cs="Times New Roman"/>
                <w:color w:val="000000"/>
                <w:sz w:val="20"/>
                <w:szCs w:val="20"/>
                <w:lang w:val="lt-LT" w:eastAsia="lt-LT"/>
              </w:rPr>
              <w:t>(</w:t>
            </w:r>
            <w:r w:rsidR="00B0275C" w:rsidRPr="00C97275">
              <w:rPr>
                <w:rFonts w:ascii="Georgia" w:eastAsia="Times New Roman" w:hAnsi="Georgia" w:cs="Times New Roman"/>
                <w:color w:val="000000"/>
                <w:sz w:val="20"/>
                <w:szCs w:val="20"/>
                <w:lang w:val="lt-LT" w:eastAsia="lt-LT"/>
              </w:rPr>
              <w:t>200 mln</w:t>
            </w:r>
            <w:r w:rsidRPr="00C97275">
              <w:rPr>
                <w:rFonts w:ascii="Georgia" w:eastAsia="Times New Roman" w:hAnsi="Georgia" w:cs="Times New Roman"/>
                <w:color w:val="000000"/>
                <w:sz w:val="20"/>
                <w:szCs w:val="20"/>
                <w:lang w:val="lt-LT" w:eastAsia="lt-LT"/>
              </w:rPr>
              <w:t>.)</w:t>
            </w:r>
          </w:p>
        </w:tc>
        <w:tc>
          <w:tcPr>
            <w:tcW w:w="1560" w:type="dxa"/>
            <w:vMerge w:val="restart"/>
            <w:tcBorders>
              <w:top w:val="nil"/>
              <w:left w:val="nil"/>
              <w:bottom w:val="single" w:sz="8" w:space="0" w:color="D62E1C"/>
              <w:right w:val="single" w:sz="4" w:space="0" w:color="D62E1C"/>
            </w:tcBorders>
            <w:shd w:val="clear" w:color="auto" w:fill="auto"/>
            <w:vAlign w:val="center"/>
            <w:hideMark/>
          </w:tcPr>
          <w:p w14:paraId="62C16A5D" w14:textId="7FFAFD19" w:rsidR="005A0219" w:rsidRPr="00C97275" w:rsidRDefault="0046247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632</w:t>
            </w:r>
          </w:p>
        </w:tc>
      </w:tr>
      <w:tr w:rsidR="005A0219" w:rsidRPr="00C97275" w14:paraId="50CE5452" w14:textId="77777777" w:rsidTr="00655668">
        <w:trPr>
          <w:trHeight w:val="1035"/>
        </w:trPr>
        <w:tc>
          <w:tcPr>
            <w:tcW w:w="2260" w:type="dxa"/>
            <w:tcBorders>
              <w:top w:val="nil"/>
              <w:left w:val="single" w:sz="8" w:space="0" w:color="C00000"/>
              <w:bottom w:val="nil"/>
              <w:right w:val="nil"/>
            </w:tcBorders>
            <w:shd w:val="clear" w:color="auto" w:fill="auto"/>
            <w:vAlign w:val="center"/>
            <w:hideMark/>
          </w:tcPr>
          <w:p w14:paraId="5CA55ED3"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ESI fondų lėšos</w:t>
            </w:r>
          </w:p>
        </w:tc>
        <w:tc>
          <w:tcPr>
            <w:tcW w:w="1860" w:type="dxa"/>
            <w:tcBorders>
              <w:top w:val="nil"/>
              <w:left w:val="nil"/>
              <w:bottom w:val="nil"/>
              <w:right w:val="single" w:sz="8" w:space="0" w:color="D62E1C"/>
            </w:tcBorders>
            <w:shd w:val="clear" w:color="auto" w:fill="auto"/>
            <w:vAlign w:val="center"/>
            <w:hideMark/>
          </w:tcPr>
          <w:p w14:paraId="4F33B053" w14:textId="43B1CDC9" w:rsidR="005A0219" w:rsidRPr="00C97275" w:rsidRDefault="0046247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282</w:t>
            </w:r>
          </w:p>
        </w:tc>
        <w:tc>
          <w:tcPr>
            <w:tcW w:w="3880" w:type="dxa"/>
            <w:tcBorders>
              <w:top w:val="nil"/>
              <w:left w:val="nil"/>
              <w:bottom w:val="single" w:sz="8" w:space="0" w:color="D62E1C"/>
              <w:right w:val="single" w:sz="8" w:space="0" w:color="D62E1C"/>
            </w:tcBorders>
            <w:shd w:val="clear" w:color="auto" w:fill="auto"/>
            <w:vAlign w:val="center"/>
            <w:hideMark/>
          </w:tcPr>
          <w:p w14:paraId="0D003AAB" w14:textId="173076F5" w:rsidR="005A0219" w:rsidRPr="00C97275" w:rsidRDefault="005A0219" w:rsidP="009A48DB">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 xml:space="preserve">DNMF lėšos buvo pilnai išnaudotos iki 2016 m. </w:t>
            </w:r>
            <w:r w:rsidR="009A48DB" w:rsidRPr="00C97275">
              <w:rPr>
                <w:rFonts w:ascii="Georgia" w:eastAsia="Times New Roman" w:hAnsi="Georgia" w:cs="Times New Roman"/>
                <w:color w:val="000000"/>
                <w:sz w:val="20"/>
                <w:szCs w:val="20"/>
                <w:lang w:val="lt-LT" w:eastAsia="lt-LT"/>
              </w:rPr>
              <w:t xml:space="preserve">pabaigos, </w:t>
            </w:r>
            <w:r w:rsidRPr="00C97275">
              <w:rPr>
                <w:rFonts w:ascii="Georgia" w:eastAsia="Times New Roman" w:hAnsi="Georgia" w:cs="Times New Roman"/>
                <w:color w:val="000000"/>
                <w:sz w:val="20"/>
                <w:szCs w:val="20"/>
                <w:lang w:val="lt-LT" w:eastAsia="lt-LT"/>
              </w:rPr>
              <w:t>todėl čia neįtraukiamos. Liko JESSICA FF neišnaudotos lėšos (</w:t>
            </w:r>
            <w:r w:rsidR="00861A5D" w:rsidRPr="00C97275">
              <w:rPr>
                <w:rFonts w:ascii="Georgia" w:eastAsia="Times New Roman" w:hAnsi="Georgia" w:cs="Times New Roman"/>
                <w:color w:val="000000"/>
                <w:sz w:val="20"/>
                <w:szCs w:val="20"/>
                <w:lang w:val="lt-LT" w:eastAsia="lt-LT"/>
              </w:rPr>
              <w:t xml:space="preserve">150 </w:t>
            </w:r>
            <w:r w:rsidRPr="00C97275">
              <w:rPr>
                <w:rFonts w:ascii="Georgia" w:eastAsia="Times New Roman" w:hAnsi="Georgia" w:cs="Times New Roman"/>
                <w:color w:val="000000"/>
                <w:sz w:val="20"/>
                <w:szCs w:val="20"/>
                <w:lang w:val="lt-LT" w:eastAsia="lt-LT"/>
              </w:rPr>
              <w:t>mln.) ir RPF (90 mln.)</w:t>
            </w:r>
          </w:p>
        </w:tc>
        <w:tc>
          <w:tcPr>
            <w:tcW w:w="1560" w:type="dxa"/>
            <w:vMerge/>
            <w:tcBorders>
              <w:top w:val="nil"/>
              <w:left w:val="nil"/>
              <w:bottom w:val="single" w:sz="8" w:space="0" w:color="D62E1C"/>
              <w:right w:val="single" w:sz="4" w:space="0" w:color="D62E1C"/>
            </w:tcBorders>
            <w:shd w:val="clear" w:color="auto" w:fill="auto"/>
            <w:vAlign w:val="center"/>
            <w:hideMark/>
          </w:tcPr>
          <w:p w14:paraId="5CD775C8"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C97275" w14:paraId="4D67658D" w14:textId="77777777" w:rsidTr="00655668">
        <w:trPr>
          <w:trHeight w:val="1035"/>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16859F64"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RPF grįžusios lėšos</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1F406B63" w14:textId="027C82FF"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10</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0</w:t>
            </w:r>
          </w:p>
        </w:tc>
        <w:tc>
          <w:tcPr>
            <w:tcW w:w="3880" w:type="dxa"/>
            <w:tcBorders>
              <w:top w:val="nil"/>
              <w:left w:val="nil"/>
              <w:bottom w:val="single" w:sz="8" w:space="0" w:color="D62E1C"/>
              <w:right w:val="single" w:sz="8" w:space="0" w:color="D62E1C"/>
            </w:tcBorders>
            <w:shd w:val="clear" w:color="auto" w:fill="auto"/>
            <w:vAlign w:val="center"/>
            <w:hideMark/>
          </w:tcPr>
          <w:p w14:paraId="05648751" w14:textId="7DBA309F" w:rsidR="005A0219" w:rsidRPr="00C97275" w:rsidRDefault="005A0219" w:rsidP="009A48DB">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 xml:space="preserve">Iš pirmo laikotarpio grįžusios JESSICA lėšos. Kitos grįžusios lėšos (pvz. iš DNMF) nebus prieinamos iki 2023 m. </w:t>
            </w:r>
            <w:r w:rsidR="009A48DB" w:rsidRPr="00C97275">
              <w:rPr>
                <w:rFonts w:ascii="Georgia" w:eastAsia="Times New Roman" w:hAnsi="Georgia" w:cs="Times New Roman"/>
                <w:color w:val="000000"/>
                <w:sz w:val="20"/>
                <w:szCs w:val="20"/>
                <w:lang w:val="lt-LT" w:eastAsia="lt-LT"/>
              </w:rPr>
              <w:t xml:space="preserve">pabaigos, </w:t>
            </w:r>
            <w:r w:rsidRPr="00C97275">
              <w:rPr>
                <w:rFonts w:ascii="Georgia" w:eastAsia="Times New Roman" w:hAnsi="Georgia" w:cs="Times New Roman"/>
                <w:color w:val="000000"/>
                <w:sz w:val="20"/>
                <w:szCs w:val="20"/>
                <w:lang w:val="lt-LT" w:eastAsia="lt-LT"/>
              </w:rPr>
              <w:t>todėl čia neįtraukiamos.</w:t>
            </w:r>
          </w:p>
        </w:tc>
        <w:tc>
          <w:tcPr>
            <w:tcW w:w="1560" w:type="dxa"/>
            <w:vMerge/>
            <w:tcBorders>
              <w:top w:val="nil"/>
              <w:left w:val="nil"/>
              <w:bottom w:val="single" w:sz="8" w:space="0" w:color="D62E1C"/>
              <w:right w:val="single" w:sz="4" w:space="0" w:color="D62E1C"/>
            </w:tcBorders>
            <w:shd w:val="clear" w:color="auto" w:fill="auto"/>
            <w:vAlign w:val="center"/>
            <w:hideMark/>
          </w:tcPr>
          <w:p w14:paraId="7CA7D370"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p>
        </w:tc>
      </w:tr>
      <w:tr w:rsidR="003B6539" w:rsidRPr="00C97275" w14:paraId="257AE73B" w14:textId="77777777" w:rsidTr="00A355B1">
        <w:trPr>
          <w:trHeight w:val="315"/>
        </w:trPr>
        <w:tc>
          <w:tcPr>
            <w:tcW w:w="9560" w:type="dxa"/>
            <w:gridSpan w:val="4"/>
            <w:tcBorders>
              <w:top w:val="nil"/>
              <w:left w:val="single" w:sz="8" w:space="0" w:color="D62E1C"/>
              <w:bottom w:val="nil"/>
              <w:right w:val="single" w:sz="4" w:space="0" w:color="D62E1C"/>
            </w:tcBorders>
            <w:shd w:val="clear" w:color="auto" w:fill="auto"/>
            <w:noWrap/>
            <w:vAlign w:val="center"/>
            <w:hideMark/>
          </w:tcPr>
          <w:p w14:paraId="5C6B8FDD" w14:textId="2FB927DC" w:rsidR="003B6539" w:rsidRPr="00C97275" w:rsidRDefault="003B653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b/>
                <w:bCs/>
                <w:color w:val="000000"/>
                <w:sz w:val="20"/>
                <w:szCs w:val="20"/>
                <w:lang w:val="lt-LT" w:eastAsia="lt-LT"/>
              </w:rPr>
              <w:t>Savivaldybių pastatų modernizavimas</w:t>
            </w:r>
            <w:r w:rsidR="001262F6" w:rsidRPr="00C97275">
              <w:rPr>
                <w:rFonts w:ascii="Georgia" w:eastAsia="Times New Roman" w:hAnsi="Georgia" w:cs="Times New Roman"/>
                <w:b/>
                <w:bCs/>
                <w:color w:val="000000"/>
                <w:sz w:val="20"/>
                <w:szCs w:val="20"/>
                <w:lang w:val="lt-LT" w:eastAsia="lt-LT"/>
              </w:rPr>
              <w:t xml:space="preserve"> (2017 m.)</w:t>
            </w:r>
          </w:p>
        </w:tc>
      </w:tr>
      <w:tr w:rsidR="005A0219" w:rsidRPr="00C97275" w14:paraId="7E13F462" w14:textId="77777777" w:rsidTr="005B31C6">
        <w:trPr>
          <w:trHeight w:val="915"/>
        </w:trPr>
        <w:tc>
          <w:tcPr>
            <w:tcW w:w="2260" w:type="dxa"/>
            <w:tcBorders>
              <w:top w:val="single" w:sz="8" w:space="0" w:color="D62E1C"/>
              <w:left w:val="single" w:sz="8" w:space="0" w:color="C00000"/>
              <w:bottom w:val="nil"/>
              <w:right w:val="nil"/>
            </w:tcBorders>
            <w:shd w:val="clear" w:color="auto" w:fill="auto"/>
            <w:vAlign w:val="center"/>
            <w:hideMark/>
          </w:tcPr>
          <w:p w14:paraId="77058305"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Komerciniai bankai</w:t>
            </w:r>
          </w:p>
        </w:tc>
        <w:tc>
          <w:tcPr>
            <w:tcW w:w="1860" w:type="dxa"/>
            <w:tcBorders>
              <w:top w:val="single" w:sz="8" w:space="0" w:color="D62E1C"/>
              <w:left w:val="nil"/>
              <w:bottom w:val="nil"/>
              <w:right w:val="single" w:sz="8" w:space="0" w:color="D62E1C"/>
            </w:tcBorders>
            <w:shd w:val="clear" w:color="auto" w:fill="auto"/>
            <w:vAlign w:val="center"/>
            <w:hideMark/>
          </w:tcPr>
          <w:p w14:paraId="298046B0" w14:textId="6AE8489C"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0</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0</w:t>
            </w:r>
          </w:p>
        </w:tc>
        <w:tc>
          <w:tcPr>
            <w:tcW w:w="3880" w:type="dxa"/>
            <w:tcBorders>
              <w:top w:val="single" w:sz="8" w:space="0" w:color="D62E1C"/>
              <w:left w:val="nil"/>
              <w:bottom w:val="single" w:sz="8" w:space="0" w:color="D62E1C"/>
              <w:right w:val="single" w:sz="8" w:space="0" w:color="D62E1C"/>
            </w:tcBorders>
            <w:shd w:val="clear" w:color="auto" w:fill="auto"/>
            <w:vAlign w:val="center"/>
            <w:hideMark/>
          </w:tcPr>
          <w:p w14:paraId="392488C2"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 xml:space="preserve">Šiuo metu bankai neteikia paskolų savivaldybių pastatų modernizavimui dėl šių finansinės situacijos. </w:t>
            </w:r>
          </w:p>
        </w:tc>
        <w:tc>
          <w:tcPr>
            <w:tcW w:w="1560" w:type="dxa"/>
            <w:vMerge w:val="restart"/>
            <w:tcBorders>
              <w:top w:val="nil"/>
              <w:left w:val="single" w:sz="8" w:space="0" w:color="D62E1C"/>
              <w:bottom w:val="single" w:sz="8" w:space="0" w:color="C00000"/>
              <w:right w:val="single" w:sz="4" w:space="0" w:color="D62E1C"/>
            </w:tcBorders>
            <w:shd w:val="clear" w:color="auto" w:fill="auto"/>
            <w:vAlign w:val="center"/>
            <w:hideMark/>
          </w:tcPr>
          <w:p w14:paraId="499F4481" w14:textId="6C367B62"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18</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1</w:t>
            </w:r>
          </w:p>
        </w:tc>
      </w:tr>
      <w:tr w:rsidR="005A0219" w:rsidRPr="00C97275" w14:paraId="3F7753F9" w14:textId="77777777" w:rsidTr="005B31C6">
        <w:trPr>
          <w:trHeight w:val="525"/>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5E93468A"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ESI fondų lėšos</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53060E8C" w14:textId="01286268"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17</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3</w:t>
            </w:r>
          </w:p>
        </w:tc>
        <w:tc>
          <w:tcPr>
            <w:tcW w:w="3880" w:type="dxa"/>
            <w:tcBorders>
              <w:top w:val="nil"/>
              <w:left w:val="nil"/>
              <w:bottom w:val="single" w:sz="8" w:space="0" w:color="D62E1C"/>
              <w:right w:val="single" w:sz="8" w:space="0" w:color="D62E1C"/>
            </w:tcBorders>
            <w:shd w:val="clear" w:color="auto" w:fill="auto"/>
            <w:vAlign w:val="center"/>
            <w:hideMark/>
          </w:tcPr>
          <w:p w14:paraId="2A68F8B6"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Savivaldybių pastatų fondas kaip nurodyta Veiksmų programoje.</w:t>
            </w:r>
          </w:p>
        </w:tc>
        <w:tc>
          <w:tcPr>
            <w:tcW w:w="1560" w:type="dxa"/>
            <w:vMerge/>
            <w:tcBorders>
              <w:top w:val="nil"/>
              <w:left w:val="single" w:sz="8" w:space="0" w:color="D62E1C"/>
              <w:bottom w:val="single" w:sz="8" w:space="0" w:color="C00000"/>
              <w:right w:val="single" w:sz="4" w:space="0" w:color="D62E1C"/>
            </w:tcBorders>
            <w:vAlign w:val="center"/>
            <w:hideMark/>
          </w:tcPr>
          <w:p w14:paraId="181A2E85"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C97275" w14:paraId="0DEBFBB7" w14:textId="77777777" w:rsidTr="005B31C6">
        <w:trPr>
          <w:trHeight w:val="780"/>
        </w:trPr>
        <w:tc>
          <w:tcPr>
            <w:tcW w:w="2260" w:type="dxa"/>
            <w:tcBorders>
              <w:top w:val="nil"/>
              <w:left w:val="single" w:sz="8" w:space="0" w:color="C00000"/>
              <w:bottom w:val="single" w:sz="8" w:space="0" w:color="D62E1C"/>
              <w:right w:val="nil"/>
            </w:tcBorders>
            <w:shd w:val="clear" w:color="auto" w:fill="auto"/>
            <w:vAlign w:val="center"/>
            <w:hideMark/>
          </w:tcPr>
          <w:p w14:paraId="5FDD3F03"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Nuosavos lėšos</w:t>
            </w:r>
          </w:p>
        </w:tc>
        <w:tc>
          <w:tcPr>
            <w:tcW w:w="1860" w:type="dxa"/>
            <w:tcBorders>
              <w:top w:val="nil"/>
              <w:left w:val="nil"/>
              <w:bottom w:val="single" w:sz="8" w:space="0" w:color="D62E1C"/>
              <w:right w:val="single" w:sz="8" w:space="0" w:color="D62E1C"/>
            </w:tcBorders>
            <w:shd w:val="clear" w:color="auto" w:fill="auto"/>
            <w:vAlign w:val="center"/>
            <w:hideMark/>
          </w:tcPr>
          <w:p w14:paraId="45C741D6" w14:textId="0553D061"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0</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9</w:t>
            </w:r>
          </w:p>
        </w:tc>
        <w:tc>
          <w:tcPr>
            <w:tcW w:w="3880" w:type="dxa"/>
            <w:tcBorders>
              <w:top w:val="nil"/>
              <w:left w:val="nil"/>
              <w:bottom w:val="single" w:sz="8" w:space="0" w:color="D62E1C"/>
              <w:right w:val="single" w:sz="8" w:space="0" w:color="D62E1C"/>
            </w:tcBorders>
            <w:shd w:val="clear" w:color="auto" w:fill="auto"/>
            <w:vAlign w:val="center"/>
            <w:hideMark/>
          </w:tcPr>
          <w:p w14:paraId="0835903A"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Savivaldybės turės prisidėti bent 5% prie visos renovuojamų pastatų sumos (ko-finansavimas)</w:t>
            </w:r>
          </w:p>
        </w:tc>
        <w:tc>
          <w:tcPr>
            <w:tcW w:w="1560" w:type="dxa"/>
            <w:vMerge/>
            <w:tcBorders>
              <w:top w:val="nil"/>
              <w:left w:val="single" w:sz="8" w:space="0" w:color="D62E1C"/>
              <w:bottom w:val="single" w:sz="8" w:space="0" w:color="C00000"/>
              <w:right w:val="single" w:sz="4" w:space="0" w:color="D62E1C"/>
            </w:tcBorders>
            <w:vAlign w:val="center"/>
            <w:hideMark/>
          </w:tcPr>
          <w:p w14:paraId="09EAC09D"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C97275" w14:paraId="1B3942CA" w14:textId="77777777" w:rsidTr="005B31C6">
        <w:trPr>
          <w:trHeight w:val="315"/>
        </w:trPr>
        <w:tc>
          <w:tcPr>
            <w:tcW w:w="2260" w:type="dxa"/>
            <w:tcBorders>
              <w:top w:val="nil"/>
              <w:left w:val="single" w:sz="8" w:space="0" w:color="D62E1C"/>
              <w:bottom w:val="single" w:sz="8" w:space="0" w:color="C00000"/>
              <w:right w:val="nil"/>
            </w:tcBorders>
            <w:shd w:val="clear" w:color="auto" w:fill="auto"/>
            <w:noWrap/>
            <w:vAlign w:val="center"/>
            <w:hideMark/>
          </w:tcPr>
          <w:p w14:paraId="31244332" w14:textId="4B1C8333" w:rsidR="005A0219" w:rsidRPr="00C97275" w:rsidRDefault="005A0219" w:rsidP="005A0219">
            <w:pPr>
              <w:spacing w:after="0" w:line="240" w:lineRule="auto"/>
              <w:rPr>
                <w:rFonts w:ascii="Georgia" w:eastAsia="Times New Roman" w:hAnsi="Georgia" w:cs="Times New Roman"/>
                <w:b/>
                <w:bCs/>
                <w:color w:val="000000"/>
                <w:sz w:val="20"/>
                <w:szCs w:val="20"/>
                <w:lang w:val="lt-LT" w:eastAsia="lt-LT"/>
              </w:rPr>
            </w:pPr>
            <w:r w:rsidRPr="00C97275">
              <w:rPr>
                <w:rFonts w:ascii="Georgia" w:eastAsia="Times New Roman" w:hAnsi="Georgia" w:cs="Times New Roman"/>
                <w:b/>
                <w:bCs/>
                <w:color w:val="000000"/>
                <w:sz w:val="20"/>
                <w:szCs w:val="20"/>
                <w:lang w:val="lt-LT" w:eastAsia="lt-LT"/>
              </w:rPr>
              <w:t>Centrinės valdžios pastatų modernizavimas</w:t>
            </w:r>
            <w:r w:rsidR="001262F6" w:rsidRPr="00C97275">
              <w:rPr>
                <w:rFonts w:ascii="Georgia" w:eastAsia="Times New Roman" w:hAnsi="Georgia" w:cs="Times New Roman"/>
                <w:b/>
                <w:bCs/>
                <w:color w:val="000000"/>
                <w:sz w:val="20"/>
                <w:szCs w:val="20"/>
                <w:lang w:val="lt-LT" w:eastAsia="lt-LT"/>
              </w:rPr>
              <w:t xml:space="preserve"> (2017 m.)</w:t>
            </w:r>
          </w:p>
        </w:tc>
        <w:tc>
          <w:tcPr>
            <w:tcW w:w="1860" w:type="dxa"/>
            <w:tcBorders>
              <w:top w:val="nil"/>
              <w:left w:val="nil"/>
              <w:bottom w:val="single" w:sz="8" w:space="0" w:color="D62E1C"/>
              <w:right w:val="nil"/>
            </w:tcBorders>
            <w:shd w:val="clear" w:color="auto" w:fill="auto"/>
            <w:vAlign w:val="center"/>
            <w:hideMark/>
          </w:tcPr>
          <w:p w14:paraId="573292FB"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 </w:t>
            </w:r>
          </w:p>
        </w:tc>
        <w:tc>
          <w:tcPr>
            <w:tcW w:w="3880" w:type="dxa"/>
            <w:tcBorders>
              <w:top w:val="nil"/>
              <w:left w:val="nil"/>
              <w:bottom w:val="single" w:sz="8" w:space="0" w:color="D62E1C"/>
              <w:right w:val="nil"/>
            </w:tcBorders>
            <w:shd w:val="clear" w:color="auto" w:fill="auto"/>
            <w:vAlign w:val="center"/>
            <w:hideMark/>
          </w:tcPr>
          <w:p w14:paraId="4A3D7B67" w14:textId="77777777"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 </w:t>
            </w:r>
          </w:p>
        </w:tc>
        <w:tc>
          <w:tcPr>
            <w:tcW w:w="1560" w:type="dxa"/>
            <w:tcBorders>
              <w:top w:val="nil"/>
              <w:left w:val="nil"/>
              <w:bottom w:val="single" w:sz="8" w:space="0" w:color="D62E1C"/>
              <w:right w:val="single" w:sz="4" w:space="0" w:color="D62E1C"/>
            </w:tcBorders>
            <w:shd w:val="clear" w:color="auto" w:fill="auto"/>
            <w:vAlign w:val="center"/>
            <w:hideMark/>
          </w:tcPr>
          <w:p w14:paraId="33B3FE8D"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 </w:t>
            </w:r>
          </w:p>
        </w:tc>
      </w:tr>
      <w:tr w:rsidR="005A0219" w:rsidRPr="00C97275" w14:paraId="6734F3AA" w14:textId="77777777" w:rsidTr="005B31C6">
        <w:trPr>
          <w:trHeight w:val="1545"/>
        </w:trPr>
        <w:tc>
          <w:tcPr>
            <w:tcW w:w="2260" w:type="dxa"/>
            <w:tcBorders>
              <w:top w:val="nil"/>
              <w:left w:val="single" w:sz="8" w:space="0" w:color="C00000"/>
              <w:bottom w:val="single" w:sz="8" w:space="0" w:color="D62E1C"/>
              <w:right w:val="nil"/>
            </w:tcBorders>
            <w:shd w:val="clear" w:color="auto" w:fill="auto"/>
            <w:vAlign w:val="center"/>
            <w:hideMark/>
          </w:tcPr>
          <w:p w14:paraId="7EC3F182"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Komerciniai bankai</w:t>
            </w:r>
          </w:p>
        </w:tc>
        <w:tc>
          <w:tcPr>
            <w:tcW w:w="1860" w:type="dxa"/>
            <w:tcBorders>
              <w:top w:val="nil"/>
              <w:left w:val="nil"/>
              <w:bottom w:val="single" w:sz="8" w:space="0" w:color="D62E1C"/>
              <w:right w:val="single" w:sz="8" w:space="0" w:color="D62E1C"/>
            </w:tcBorders>
            <w:shd w:val="clear" w:color="auto" w:fill="auto"/>
            <w:vAlign w:val="center"/>
            <w:hideMark/>
          </w:tcPr>
          <w:p w14:paraId="3E14F5EC" w14:textId="7B6DCD3D"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15</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7</w:t>
            </w:r>
          </w:p>
        </w:tc>
        <w:tc>
          <w:tcPr>
            <w:tcW w:w="3880" w:type="dxa"/>
            <w:tcBorders>
              <w:top w:val="nil"/>
              <w:left w:val="nil"/>
              <w:bottom w:val="single" w:sz="8" w:space="0" w:color="D62E1C"/>
              <w:right w:val="single" w:sz="8" w:space="0" w:color="D62E1C"/>
            </w:tcBorders>
            <w:shd w:val="clear" w:color="auto" w:fill="auto"/>
            <w:vAlign w:val="center"/>
            <w:hideMark/>
          </w:tcPr>
          <w:p w14:paraId="452B3594"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Remiantis Priemonių įgyvendinimo planu (PIP), ENEF fonde turi būti pritraukta ne mažiau nei 19 mln. eurų privačių investicijų. Jos padalinamos tarp centrinės valdžios ir gatvių apšvietimo projektų tokia pat proporcija kaip ir ESI lėšos fonde.</w:t>
            </w:r>
          </w:p>
        </w:tc>
        <w:tc>
          <w:tcPr>
            <w:tcW w:w="1560" w:type="dxa"/>
            <w:vMerge w:val="restart"/>
            <w:tcBorders>
              <w:top w:val="nil"/>
              <w:left w:val="single" w:sz="8" w:space="0" w:color="D62E1C"/>
              <w:bottom w:val="single" w:sz="8" w:space="0" w:color="D62E1C"/>
              <w:right w:val="single" w:sz="8" w:space="0" w:color="C00000"/>
            </w:tcBorders>
            <w:shd w:val="clear" w:color="auto" w:fill="auto"/>
            <w:vAlign w:val="center"/>
            <w:hideMark/>
          </w:tcPr>
          <w:p w14:paraId="25B33640" w14:textId="3E6784C0"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109</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8</w:t>
            </w:r>
          </w:p>
        </w:tc>
      </w:tr>
      <w:tr w:rsidR="005A0219" w:rsidRPr="00C97275" w14:paraId="6544936E" w14:textId="77777777" w:rsidTr="005B31C6">
        <w:trPr>
          <w:trHeight w:val="1290"/>
        </w:trPr>
        <w:tc>
          <w:tcPr>
            <w:tcW w:w="2260" w:type="dxa"/>
            <w:tcBorders>
              <w:top w:val="nil"/>
              <w:left w:val="single" w:sz="8" w:space="0" w:color="C00000"/>
              <w:bottom w:val="single" w:sz="8" w:space="0" w:color="D62E1C"/>
              <w:right w:val="nil"/>
            </w:tcBorders>
            <w:shd w:val="clear" w:color="auto" w:fill="auto"/>
            <w:vAlign w:val="center"/>
            <w:hideMark/>
          </w:tcPr>
          <w:p w14:paraId="7574A65C"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ESI fondų lėšos</w:t>
            </w:r>
          </w:p>
        </w:tc>
        <w:tc>
          <w:tcPr>
            <w:tcW w:w="1860" w:type="dxa"/>
            <w:tcBorders>
              <w:top w:val="nil"/>
              <w:left w:val="nil"/>
              <w:bottom w:val="single" w:sz="8" w:space="0" w:color="C00000"/>
              <w:right w:val="single" w:sz="8" w:space="0" w:color="D62E1C"/>
            </w:tcBorders>
            <w:shd w:val="clear" w:color="auto" w:fill="auto"/>
            <w:vAlign w:val="center"/>
            <w:hideMark/>
          </w:tcPr>
          <w:p w14:paraId="171EFCF4" w14:textId="245C84E8"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94</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1</w:t>
            </w:r>
          </w:p>
        </w:tc>
        <w:tc>
          <w:tcPr>
            <w:tcW w:w="3880" w:type="dxa"/>
            <w:tcBorders>
              <w:top w:val="nil"/>
              <w:left w:val="nil"/>
              <w:bottom w:val="single" w:sz="8" w:space="0" w:color="D62E1C"/>
              <w:right w:val="single" w:sz="8" w:space="0" w:color="D62E1C"/>
            </w:tcBorders>
            <w:shd w:val="clear" w:color="auto" w:fill="auto"/>
            <w:vAlign w:val="center"/>
            <w:hideMark/>
          </w:tcPr>
          <w:p w14:paraId="1ADAD4EA" w14:textId="54937C36" w:rsidR="005A0219" w:rsidRPr="00C97275" w:rsidRDefault="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"Valstybei nuosavybės teise priklausančių pastatų atnaujinimas" priemonės lėšos (</w:t>
            </w:r>
            <w:r w:rsidR="00925979" w:rsidRPr="00C97275">
              <w:rPr>
                <w:rFonts w:ascii="Georgia" w:eastAsia="Times New Roman" w:hAnsi="Georgia" w:cs="Times New Roman"/>
                <w:color w:val="000000"/>
                <w:sz w:val="20"/>
                <w:szCs w:val="20"/>
                <w:lang w:val="lt-LT" w:eastAsia="lt-LT"/>
              </w:rPr>
              <w:t xml:space="preserve">28,9 </w:t>
            </w:r>
            <w:r w:rsidRPr="00C97275">
              <w:rPr>
                <w:rFonts w:ascii="Georgia" w:eastAsia="Times New Roman" w:hAnsi="Georgia" w:cs="Times New Roman"/>
                <w:color w:val="000000"/>
                <w:sz w:val="20"/>
                <w:szCs w:val="20"/>
                <w:lang w:val="lt-LT" w:eastAsia="lt-LT"/>
              </w:rPr>
              <w:t xml:space="preserve">mln. eurų) naudojamos per grąžinamąją subsidiją ir ENEF paskolų finansinė priemonė (65,16 mln. eurų) </w:t>
            </w:r>
          </w:p>
        </w:tc>
        <w:tc>
          <w:tcPr>
            <w:tcW w:w="1560" w:type="dxa"/>
            <w:vMerge/>
            <w:tcBorders>
              <w:top w:val="nil"/>
              <w:left w:val="single" w:sz="8" w:space="0" w:color="D62E1C"/>
              <w:bottom w:val="single" w:sz="8" w:space="0" w:color="D62E1C"/>
              <w:right w:val="single" w:sz="8" w:space="0" w:color="C00000"/>
            </w:tcBorders>
            <w:vAlign w:val="center"/>
            <w:hideMark/>
          </w:tcPr>
          <w:p w14:paraId="5826D84B"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C97275" w14:paraId="3507BCF2" w14:textId="77777777" w:rsidTr="005B31C6">
        <w:trPr>
          <w:trHeight w:val="315"/>
        </w:trPr>
        <w:tc>
          <w:tcPr>
            <w:tcW w:w="2260" w:type="dxa"/>
            <w:tcBorders>
              <w:top w:val="single" w:sz="4" w:space="0" w:color="D62E1C"/>
              <w:left w:val="single" w:sz="8" w:space="0" w:color="D62E1C"/>
              <w:bottom w:val="nil"/>
              <w:right w:val="nil"/>
            </w:tcBorders>
            <w:shd w:val="clear" w:color="auto" w:fill="auto"/>
            <w:noWrap/>
            <w:vAlign w:val="center"/>
            <w:hideMark/>
          </w:tcPr>
          <w:p w14:paraId="12D8C92B" w14:textId="03F7C08B" w:rsidR="005A0219" w:rsidRPr="00C97275" w:rsidRDefault="005A0219" w:rsidP="005A0219">
            <w:pPr>
              <w:spacing w:after="0" w:line="240" w:lineRule="auto"/>
              <w:rPr>
                <w:rFonts w:ascii="Georgia" w:eastAsia="Times New Roman" w:hAnsi="Georgia" w:cs="Times New Roman"/>
                <w:b/>
                <w:bCs/>
                <w:color w:val="000000"/>
                <w:sz w:val="20"/>
                <w:szCs w:val="20"/>
                <w:lang w:val="lt-LT" w:eastAsia="lt-LT"/>
              </w:rPr>
            </w:pPr>
            <w:r w:rsidRPr="00C97275">
              <w:rPr>
                <w:rFonts w:ascii="Georgia" w:eastAsia="Times New Roman" w:hAnsi="Georgia" w:cs="Times New Roman"/>
                <w:b/>
                <w:bCs/>
                <w:color w:val="000000"/>
                <w:sz w:val="20"/>
                <w:szCs w:val="20"/>
                <w:lang w:val="lt-LT" w:eastAsia="lt-LT"/>
              </w:rPr>
              <w:t>Gatvių apšvietimo modernizavimas</w:t>
            </w:r>
            <w:r w:rsidR="00E921F9" w:rsidRPr="00C97275">
              <w:rPr>
                <w:rFonts w:ascii="Georgia" w:eastAsia="Times New Roman" w:hAnsi="Georgia" w:cs="Times New Roman"/>
                <w:b/>
                <w:bCs/>
                <w:color w:val="000000"/>
                <w:sz w:val="20"/>
                <w:szCs w:val="20"/>
                <w:lang w:val="lt-LT" w:eastAsia="lt-LT"/>
              </w:rPr>
              <w:t xml:space="preserve"> (2017 m.)</w:t>
            </w:r>
          </w:p>
        </w:tc>
        <w:tc>
          <w:tcPr>
            <w:tcW w:w="1860" w:type="dxa"/>
            <w:tcBorders>
              <w:top w:val="single" w:sz="4" w:space="0" w:color="D62E1C"/>
              <w:left w:val="nil"/>
              <w:bottom w:val="nil"/>
              <w:right w:val="nil"/>
            </w:tcBorders>
            <w:shd w:val="clear" w:color="auto" w:fill="auto"/>
            <w:vAlign w:val="center"/>
            <w:hideMark/>
          </w:tcPr>
          <w:p w14:paraId="21AA20CF" w14:textId="77777777" w:rsidR="005A0219" w:rsidRPr="00C97275" w:rsidRDefault="005A0219" w:rsidP="005A0219">
            <w:pPr>
              <w:spacing w:after="0" w:line="240" w:lineRule="auto"/>
              <w:rPr>
                <w:rFonts w:ascii="Georgia" w:eastAsia="Times New Roman" w:hAnsi="Georgia" w:cs="Times New Roman"/>
                <w:b/>
                <w:bCs/>
                <w:color w:val="000000"/>
                <w:sz w:val="20"/>
                <w:szCs w:val="20"/>
                <w:lang w:val="lt-LT" w:eastAsia="lt-LT"/>
              </w:rPr>
            </w:pPr>
          </w:p>
        </w:tc>
        <w:tc>
          <w:tcPr>
            <w:tcW w:w="3880" w:type="dxa"/>
            <w:tcBorders>
              <w:top w:val="single" w:sz="4" w:space="0" w:color="D62E1C"/>
              <w:left w:val="nil"/>
              <w:bottom w:val="nil"/>
              <w:right w:val="nil"/>
            </w:tcBorders>
            <w:shd w:val="clear" w:color="auto" w:fill="auto"/>
            <w:vAlign w:val="center"/>
            <w:hideMark/>
          </w:tcPr>
          <w:p w14:paraId="16B962CB" w14:textId="77777777" w:rsidR="005A0219" w:rsidRPr="00C97275" w:rsidRDefault="005A0219" w:rsidP="005A0219">
            <w:pPr>
              <w:spacing w:after="0" w:line="240" w:lineRule="auto"/>
              <w:rPr>
                <w:rFonts w:ascii="Georgia" w:eastAsia="Times New Roman" w:hAnsi="Georgia" w:cs="Times New Roman"/>
                <w:sz w:val="20"/>
                <w:szCs w:val="20"/>
                <w:lang w:val="lt-LT" w:eastAsia="lt-LT"/>
              </w:rPr>
            </w:pPr>
          </w:p>
        </w:tc>
        <w:tc>
          <w:tcPr>
            <w:tcW w:w="1560" w:type="dxa"/>
            <w:tcBorders>
              <w:top w:val="single" w:sz="4" w:space="0" w:color="D62E1C"/>
              <w:left w:val="nil"/>
              <w:bottom w:val="single" w:sz="8" w:space="0" w:color="D62E1C"/>
              <w:right w:val="single" w:sz="4" w:space="0" w:color="D62E1C"/>
            </w:tcBorders>
            <w:shd w:val="clear" w:color="auto" w:fill="auto"/>
            <w:vAlign w:val="center"/>
            <w:hideMark/>
          </w:tcPr>
          <w:p w14:paraId="610FC50F"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 </w:t>
            </w:r>
          </w:p>
        </w:tc>
      </w:tr>
      <w:tr w:rsidR="005A0219" w:rsidRPr="00C97275" w14:paraId="0A460738" w14:textId="77777777" w:rsidTr="005B31C6">
        <w:trPr>
          <w:trHeight w:val="870"/>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04E86A5B"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lastRenderedPageBreak/>
              <w:t>Komerciniai bankai</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6344E1C0" w14:textId="0C6372E1"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0</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0</w:t>
            </w:r>
          </w:p>
        </w:tc>
        <w:tc>
          <w:tcPr>
            <w:tcW w:w="3880" w:type="dxa"/>
            <w:tcBorders>
              <w:top w:val="single" w:sz="8" w:space="0" w:color="D62E1C"/>
              <w:left w:val="nil"/>
              <w:bottom w:val="single" w:sz="8" w:space="0" w:color="D62E1C"/>
              <w:right w:val="single" w:sz="8" w:space="0" w:color="D62E1C"/>
            </w:tcBorders>
            <w:shd w:val="clear" w:color="auto" w:fill="auto"/>
            <w:vAlign w:val="center"/>
            <w:hideMark/>
          </w:tcPr>
          <w:p w14:paraId="64956188"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Šiuo metu nėra informacijos, kad bankai teiktų finansavimą gatvių apšvietimo modernizavimui</w:t>
            </w:r>
          </w:p>
        </w:tc>
        <w:tc>
          <w:tcPr>
            <w:tcW w:w="1560" w:type="dxa"/>
            <w:vMerge w:val="restart"/>
            <w:tcBorders>
              <w:top w:val="nil"/>
              <w:left w:val="single" w:sz="8" w:space="0" w:color="D62E1C"/>
              <w:bottom w:val="single" w:sz="8" w:space="0" w:color="D62E1C"/>
              <w:right w:val="single" w:sz="4" w:space="0" w:color="D62E1C"/>
            </w:tcBorders>
            <w:shd w:val="clear" w:color="auto" w:fill="auto"/>
            <w:noWrap/>
            <w:vAlign w:val="center"/>
            <w:hideMark/>
          </w:tcPr>
          <w:p w14:paraId="51CB95FE" w14:textId="5E3AD6DC"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18</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0</w:t>
            </w:r>
          </w:p>
        </w:tc>
      </w:tr>
      <w:tr w:rsidR="005A0219" w:rsidRPr="00C97275" w14:paraId="064DF3B9" w14:textId="77777777" w:rsidTr="005B31C6">
        <w:trPr>
          <w:trHeight w:val="525"/>
        </w:trPr>
        <w:tc>
          <w:tcPr>
            <w:tcW w:w="2260" w:type="dxa"/>
            <w:tcBorders>
              <w:top w:val="nil"/>
              <w:left w:val="single" w:sz="8" w:space="0" w:color="C00000"/>
              <w:bottom w:val="nil"/>
              <w:right w:val="nil"/>
            </w:tcBorders>
            <w:shd w:val="clear" w:color="auto" w:fill="auto"/>
            <w:vAlign w:val="center"/>
            <w:hideMark/>
          </w:tcPr>
          <w:p w14:paraId="3B8FAFEF"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ESI fondų parama</w:t>
            </w:r>
          </w:p>
        </w:tc>
        <w:tc>
          <w:tcPr>
            <w:tcW w:w="1860" w:type="dxa"/>
            <w:tcBorders>
              <w:top w:val="nil"/>
              <w:left w:val="nil"/>
              <w:bottom w:val="nil"/>
              <w:right w:val="single" w:sz="8" w:space="0" w:color="D62E1C"/>
            </w:tcBorders>
            <w:shd w:val="clear" w:color="auto" w:fill="auto"/>
            <w:vAlign w:val="center"/>
            <w:hideMark/>
          </w:tcPr>
          <w:p w14:paraId="125D2D55" w14:textId="1251ADCF"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14</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5</w:t>
            </w:r>
          </w:p>
        </w:tc>
        <w:tc>
          <w:tcPr>
            <w:tcW w:w="3880" w:type="dxa"/>
            <w:tcBorders>
              <w:top w:val="nil"/>
              <w:left w:val="nil"/>
              <w:bottom w:val="single" w:sz="8" w:space="0" w:color="D62E1C"/>
              <w:right w:val="single" w:sz="8" w:space="0" w:color="D62E1C"/>
            </w:tcBorders>
            <w:shd w:val="clear" w:color="auto" w:fill="auto"/>
            <w:vAlign w:val="center"/>
            <w:hideMark/>
          </w:tcPr>
          <w:p w14:paraId="1BA0D0A0" w14:textId="3CCA4223"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ENEF garantijos priemonė gatvių apšvietimui (14</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 xml:space="preserve">5 mln. </w:t>
            </w:r>
            <w:r w:rsidR="0018041C" w:rsidRPr="00C97275">
              <w:rPr>
                <w:rFonts w:ascii="Georgia" w:eastAsia="Times New Roman" w:hAnsi="Georgia" w:cs="Times New Roman"/>
                <w:color w:val="000000"/>
                <w:sz w:val="20"/>
                <w:szCs w:val="20"/>
                <w:lang w:val="lt-LT" w:eastAsia="lt-LT"/>
              </w:rPr>
              <w:t>e</w:t>
            </w:r>
            <w:r w:rsidRPr="00C97275">
              <w:rPr>
                <w:rFonts w:ascii="Georgia" w:eastAsia="Times New Roman" w:hAnsi="Georgia" w:cs="Times New Roman"/>
                <w:color w:val="000000"/>
                <w:sz w:val="20"/>
                <w:szCs w:val="20"/>
                <w:lang w:val="lt-LT" w:eastAsia="lt-LT"/>
              </w:rPr>
              <w:t>urų)</w:t>
            </w:r>
          </w:p>
        </w:tc>
        <w:tc>
          <w:tcPr>
            <w:tcW w:w="1560" w:type="dxa"/>
            <w:vMerge/>
            <w:tcBorders>
              <w:top w:val="nil"/>
              <w:left w:val="single" w:sz="8" w:space="0" w:color="D62E1C"/>
              <w:bottom w:val="single" w:sz="8" w:space="0" w:color="D62E1C"/>
              <w:right w:val="single" w:sz="4" w:space="0" w:color="D62E1C"/>
            </w:tcBorders>
            <w:vAlign w:val="center"/>
            <w:hideMark/>
          </w:tcPr>
          <w:p w14:paraId="03704D31"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C97275" w14:paraId="6DB44C69" w14:textId="77777777" w:rsidTr="005B31C6">
        <w:trPr>
          <w:trHeight w:val="1035"/>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778BA60B"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Nuosavos lėšos</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436DE9C9" w14:textId="365803B8" w:rsidR="005A0219" w:rsidRPr="00C97275" w:rsidRDefault="005A0219" w:rsidP="005A0219">
            <w:pPr>
              <w:spacing w:after="0" w:line="240" w:lineRule="auto"/>
              <w:jc w:val="center"/>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3</w:t>
            </w:r>
            <w:r w:rsidR="0018041C" w:rsidRPr="00C97275">
              <w:rPr>
                <w:rFonts w:ascii="Georgia" w:eastAsia="Times New Roman" w:hAnsi="Georgia" w:cs="Times New Roman"/>
                <w:color w:val="000000"/>
                <w:sz w:val="20"/>
                <w:szCs w:val="20"/>
                <w:lang w:val="lt-LT" w:eastAsia="lt-LT"/>
              </w:rPr>
              <w:t>,</w:t>
            </w:r>
            <w:r w:rsidRPr="00C97275">
              <w:rPr>
                <w:rFonts w:ascii="Georgia" w:eastAsia="Times New Roman" w:hAnsi="Georgia" w:cs="Times New Roman"/>
                <w:color w:val="000000"/>
                <w:sz w:val="20"/>
                <w:szCs w:val="20"/>
                <w:lang w:val="lt-LT" w:eastAsia="lt-LT"/>
              </w:rPr>
              <w:t>5</w:t>
            </w:r>
          </w:p>
        </w:tc>
        <w:tc>
          <w:tcPr>
            <w:tcW w:w="3880" w:type="dxa"/>
            <w:tcBorders>
              <w:top w:val="nil"/>
              <w:left w:val="nil"/>
              <w:bottom w:val="single" w:sz="8" w:space="0" w:color="D62E1C"/>
              <w:right w:val="single" w:sz="8" w:space="0" w:color="D62E1C"/>
            </w:tcBorders>
            <w:shd w:val="clear" w:color="auto" w:fill="auto"/>
            <w:vAlign w:val="center"/>
            <w:hideMark/>
          </w:tcPr>
          <w:p w14:paraId="6AAE8C2C"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r w:rsidRPr="00C97275">
              <w:rPr>
                <w:rFonts w:ascii="Georgia" w:eastAsia="Times New Roman" w:hAnsi="Georgia" w:cs="Times New Roman"/>
                <w:color w:val="000000"/>
                <w:sz w:val="20"/>
                <w:szCs w:val="20"/>
                <w:lang w:val="lt-LT" w:eastAsia="lt-LT"/>
              </w:rPr>
              <w:t>Darome prielaidą, jog iš privačiai pritrauktų ENEF lėšų bus proporcingai atnaujinami centrinės valdžios pastatai ir gatvių apšvietimas.</w:t>
            </w:r>
          </w:p>
        </w:tc>
        <w:tc>
          <w:tcPr>
            <w:tcW w:w="1560" w:type="dxa"/>
            <w:vMerge/>
            <w:tcBorders>
              <w:top w:val="nil"/>
              <w:left w:val="single" w:sz="8" w:space="0" w:color="D62E1C"/>
              <w:bottom w:val="single" w:sz="8" w:space="0" w:color="D62E1C"/>
              <w:right w:val="single" w:sz="4" w:space="0" w:color="D62E1C"/>
            </w:tcBorders>
            <w:vAlign w:val="center"/>
            <w:hideMark/>
          </w:tcPr>
          <w:p w14:paraId="4544711D" w14:textId="77777777" w:rsidR="005A0219" w:rsidRPr="00C97275" w:rsidRDefault="005A0219" w:rsidP="005A0219">
            <w:pPr>
              <w:spacing w:after="0" w:line="240" w:lineRule="auto"/>
              <w:rPr>
                <w:rFonts w:ascii="Georgia" w:eastAsia="Times New Roman" w:hAnsi="Georgia" w:cs="Times New Roman"/>
                <w:color w:val="000000"/>
                <w:sz w:val="20"/>
                <w:szCs w:val="20"/>
                <w:lang w:val="lt-LT" w:eastAsia="lt-LT"/>
              </w:rPr>
            </w:pPr>
          </w:p>
        </w:tc>
      </w:tr>
    </w:tbl>
    <w:p w14:paraId="38E4410B" w14:textId="77777777" w:rsidR="005A0219" w:rsidRPr="00C97275" w:rsidRDefault="005A0219" w:rsidP="005A0219">
      <w:pPr>
        <w:spacing w:after="160" w:line="240" w:lineRule="auto"/>
        <w:jc w:val="both"/>
        <w:rPr>
          <w:rFonts w:ascii="Georgia" w:eastAsia="Georgia" w:hAnsi="Georgia" w:cs="Arial Unicode MS"/>
          <w:b/>
          <w:iCs/>
          <w:color w:val="821A1A"/>
          <w:sz w:val="20"/>
          <w:szCs w:val="18"/>
          <w:lang w:val="lt-LT"/>
        </w:rPr>
      </w:pPr>
      <w:r w:rsidRPr="00C97275">
        <w:rPr>
          <w:rFonts w:ascii="Georgia" w:eastAsia="Georgia" w:hAnsi="Georgia" w:cs="Arial Unicode MS"/>
          <w:i/>
          <w:iCs/>
          <w:color w:val="821A1A"/>
          <w:sz w:val="20"/>
          <w:szCs w:val="18"/>
          <w:lang w:val="lt-LT"/>
        </w:rPr>
        <w:t>Šaltinis: sudaryta autorių</w:t>
      </w:r>
    </w:p>
    <w:p w14:paraId="27A0283A" w14:textId="77777777" w:rsidR="005A0219" w:rsidRPr="00C97275" w:rsidRDefault="005A0219" w:rsidP="0063781D">
      <w:pPr>
        <w:pStyle w:val="Antrat2"/>
        <w:numPr>
          <w:ilvl w:val="1"/>
          <w:numId w:val="69"/>
        </w:numPr>
        <w:ind w:left="709"/>
        <w:rPr>
          <w:rFonts w:ascii="Georgia" w:eastAsia="Times New Roman" w:hAnsi="Georgia"/>
          <w:b w:val="0"/>
          <w:lang w:val="lt-LT"/>
        </w:rPr>
      </w:pPr>
      <w:bookmarkStart w:id="110" w:name="_Toc25594663"/>
      <w:r w:rsidRPr="00C97275">
        <w:rPr>
          <w:rFonts w:ascii="Georgia" w:eastAsia="Times New Roman" w:hAnsi="Georgia"/>
          <w:lang w:val="lt-LT"/>
        </w:rPr>
        <w:t>Investicijų trūkumo įvertinimas</w:t>
      </w:r>
      <w:bookmarkEnd w:id="110"/>
    </w:p>
    <w:p w14:paraId="4633FBC2" w14:textId="77777777" w:rsidR="005A0219" w:rsidRPr="00C97275" w:rsidRDefault="005A0219" w:rsidP="005A0219">
      <w:pPr>
        <w:spacing w:after="160" w:line="240" w:lineRule="auto"/>
        <w:rPr>
          <w:rFonts w:ascii="Georgia" w:eastAsia="Georgia" w:hAnsi="Georgia" w:cs="Arial Unicode MS"/>
          <w:i/>
          <w:iCs/>
          <w:color w:val="821A1A"/>
          <w:sz w:val="20"/>
          <w:szCs w:val="18"/>
          <w:lang w:val="lt-LT"/>
        </w:rPr>
      </w:pPr>
      <w:bookmarkStart w:id="111" w:name="_Ref399857008"/>
      <w:bookmarkStart w:id="112" w:name="_Toc455735519"/>
    </w:p>
    <w:p w14:paraId="534E0E47" w14:textId="0AE2B0CA" w:rsidR="005A0219" w:rsidRPr="00C97275" w:rsidRDefault="005A0219" w:rsidP="005A0219">
      <w:pPr>
        <w:spacing w:after="120" w:line="240" w:lineRule="auto"/>
        <w:rPr>
          <w:rFonts w:ascii="Georgia" w:eastAsia="Georgia" w:hAnsi="Georgia" w:cs="Arial Unicode MS"/>
          <w:i/>
          <w:iCs/>
          <w:color w:val="821A1A"/>
          <w:sz w:val="20"/>
          <w:szCs w:val="18"/>
          <w:lang w:val="lt-LT"/>
        </w:rPr>
      </w:pPr>
      <w:bookmarkStart w:id="113" w:name="_Toc19105239"/>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26</w:t>
      </w:r>
      <w:r w:rsidRPr="00C97275">
        <w:rPr>
          <w:rFonts w:ascii="Georgia" w:eastAsia="Georgia" w:hAnsi="Georgia" w:cs="Arial Unicode MS"/>
          <w:i/>
          <w:iCs/>
          <w:color w:val="821A1A"/>
          <w:sz w:val="20"/>
          <w:szCs w:val="18"/>
          <w:lang w:val="lt-LT"/>
        </w:rPr>
        <w:fldChar w:fldCharType="end"/>
      </w:r>
      <w:bookmarkEnd w:id="111"/>
      <w:r w:rsidRPr="00C97275">
        <w:rPr>
          <w:rFonts w:ascii="Georgia" w:eastAsia="Georgia" w:hAnsi="Georgia" w:cs="Arial Unicode MS"/>
          <w:i/>
          <w:iCs/>
          <w:color w:val="821A1A"/>
          <w:sz w:val="20"/>
          <w:szCs w:val="18"/>
          <w:lang w:val="lt-LT"/>
        </w:rPr>
        <w:t xml:space="preserve">. </w:t>
      </w:r>
      <w:r w:rsidRPr="00C97275">
        <w:rPr>
          <w:rFonts w:ascii="Georgia" w:eastAsia="Georgia" w:hAnsi="Georgia" w:cs="Arial Unicode MS"/>
          <w:i/>
          <w:iCs/>
          <w:color w:val="821A1A"/>
          <w:sz w:val="20"/>
          <w:szCs w:val="20"/>
          <w:lang w:val="lt-LT"/>
        </w:rPr>
        <w:t>Rinkos investicijų trūkumo įvertinimo duomenys.</w:t>
      </w:r>
      <w:bookmarkEnd w:id="112"/>
      <w:bookmarkEnd w:id="113"/>
    </w:p>
    <w:tbl>
      <w:tblPr>
        <w:tblStyle w:val="LightList-Accent21"/>
        <w:tblW w:w="5000" w:type="pct"/>
        <w:tblLook w:val="04A0" w:firstRow="1" w:lastRow="0" w:firstColumn="1" w:lastColumn="0" w:noHBand="0" w:noVBand="1"/>
      </w:tblPr>
      <w:tblGrid>
        <w:gridCol w:w="2310"/>
        <w:gridCol w:w="2310"/>
        <w:gridCol w:w="2311"/>
        <w:gridCol w:w="2311"/>
      </w:tblGrid>
      <w:tr w:rsidR="00CB4D9D" w:rsidRPr="00C97275" w14:paraId="33908B09" w14:textId="77777777" w:rsidTr="00F9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D62E1C"/>
              <w:left w:val="single" w:sz="8" w:space="0" w:color="D62E1C"/>
              <w:bottom w:val="nil"/>
              <w:right w:val="nil"/>
            </w:tcBorders>
            <w:hideMark/>
          </w:tcPr>
          <w:p w14:paraId="74869A99" w14:textId="77777777" w:rsidR="005A0219" w:rsidRPr="00C97275" w:rsidRDefault="005A0219" w:rsidP="00655668">
            <w:pPr>
              <w:ind w:left="17"/>
              <w:contextualSpacing/>
              <w:rPr>
                <w:rFonts w:ascii="Georgia" w:eastAsia="Georgia" w:hAnsi="Georgia" w:cs="Arial Unicode MS"/>
                <w:sz w:val="20"/>
                <w:szCs w:val="20"/>
              </w:rPr>
            </w:pPr>
            <w:r w:rsidRPr="00C97275">
              <w:rPr>
                <w:rFonts w:ascii="Georgia" w:eastAsia="Georgia" w:hAnsi="Georgia" w:cs="Arial Unicode MS"/>
                <w:sz w:val="20"/>
                <w:szCs w:val="20"/>
              </w:rPr>
              <w:t>Infrastruktūros tipas</w:t>
            </w:r>
          </w:p>
        </w:tc>
        <w:tc>
          <w:tcPr>
            <w:tcW w:w="1250" w:type="pct"/>
            <w:tcBorders>
              <w:top w:val="single" w:sz="8" w:space="0" w:color="D62E1C"/>
              <w:left w:val="nil"/>
              <w:bottom w:val="nil"/>
              <w:right w:val="nil"/>
            </w:tcBorders>
            <w:hideMark/>
          </w:tcPr>
          <w:p w14:paraId="6AE5D37E" w14:textId="77777777" w:rsidR="005A0219" w:rsidRPr="00C97275" w:rsidRDefault="005A0219" w:rsidP="005A0219">
            <w:pPr>
              <w:contextualSpacing/>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 xml:space="preserve">Investicijų paklausa, mln. EUR </w:t>
            </w:r>
          </w:p>
        </w:tc>
        <w:tc>
          <w:tcPr>
            <w:tcW w:w="1250" w:type="pct"/>
            <w:tcBorders>
              <w:top w:val="single" w:sz="8" w:space="0" w:color="D62E1C"/>
              <w:left w:val="nil"/>
              <w:bottom w:val="nil"/>
              <w:right w:val="nil"/>
            </w:tcBorders>
            <w:hideMark/>
          </w:tcPr>
          <w:p w14:paraId="0DEF88FB" w14:textId="77777777" w:rsidR="005A0219" w:rsidRPr="00C97275" w:rsidRDefault="005A0219" w:rsidP="005A0219">
            <w:pPr>
              <w:contextualSpacing/>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 xml:space="preserve">Investicijų pasiūla, mln. EUR </w:t>
            </w:r>
          </w:p>
        </w:tc>
        <w:tc>
          <w:tcPr>
            <w:tcW w:w="1250" w:type="pct"/>
            <w:tcBorders>
              <w:top w:val="single" w:sz="8" w:space="0" w:color="D62E1C"/>
              <w:left w:val="nil"/>
              <w:bottom w:val="nil"/>
              <w:right w:val="single" w:sz="8" w:space="0" w:color="D62E1C"/>
            </w:tcBorders>
            <w:hideMark/>
          </w:tcPr>
          <w:p w14:paraId="3966B091" w14:textId="77777777" w:rsidR="005A0219" w:rsidRPr="00C97275" w:rsidRDefault="005A0219" w:rsidP="005A0219">
            <w:pPr>
              <w:ind w:left="26" w:firstLine="24"/>
              <w:contextualSpacing/>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 xml:space="preserve">Investicijų trūkumas, mln. EUR </w:t>
            </w:r>
          </w:p>
        </w:tc>
      </w:tr>
      <w:tr w:rsidR="005A0219" w:rsidRPr="00C97275" w14:paraId="6BF32FF0"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4B32A260" w14:textId="77777777" w:rsidR="005A0219" w:rsidRPr="00C97275" w:rsidRDefault="005A0219" w:rsidP="00655668">
            <w:pPr>
              <w:ind w:left="17"/>
              <w:contextualSpacing/>
              <w:rPr>
                <w:rFonts w:ascii="Georgia" w:eastAsia="Georgia" w:hAnsi="Georgia" w:cs="Arial Unicode MS"/>
                <w:b w:val="0"/>
                <w:sz w:val="20"/>
                <w:szCs w:val="20"/>
              </w:rPr>
            </w:pPr>
            <w:r w:rsidRPr="00C97275">
              <w:rPr>
                <w:rFonts w:ascii="Georgia" w:eastAsia="Georgia" w:hAnsi="Georgia" w:cs="Arial Unicode MS"/>
                <w:b w:val="0"/>
                <w:sz w:val="20"/>
                <w:szCs w:val="20"/>
              </w:rPr>
              <w:t>Centrinės valdžios pastatų modernizavimas</w:t>
            </w:r>
          </w:p>
        </w:tc>
        <w:tc>
          <w:tcPr>
            <w:tcW w:w="0" w:type="pct"/>
            <w:tcBorders>
              <w:left w:val="nil"/>
              <w:right w:val="nil"/>
            </w:tcBorders>
            <w:shd w:val="clear" w:color="auto" w:fill="auto"/>
            <w:vAlign w:val="center"/>
          </w:tcPr>
          <w:p w14:paraId="708C0900" w14:textId="77777777" w:rsidR="005A0219" w:rsidRPr="00C97275" w:rsidRDefault="005A021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610,3</w:t>
            </w:r>
          </w:p>
        </w:tc>
        <w:tc>
          <w:tcPr>
            <w:tcW w:w="0" w:type="pct"/>
            <w:tcBorders>
              <w:left w:val="nil"/>
              <w:right w:val="nil"/>
            </w:tcBorders>
            <w:shd w:val="clear" w:color="auto" w:fill="auto"/>
            <w:vAlign w:val="center"/>
          </w:tcPr>
          <w:p w14:paraId="474233D2" w14:textId="77777777" w:rsidR="005A0219" w:rsidRPr="00C97275" w:rsidRDefault="005A021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109,8</w:t>
            </w:r>
          </w:p>
        </w:tc>
        <w:tc>
          <w:tcPr>
            <w:tcW w:w="0" w:type="pct"/>
            <w:tcBorders>
              <w:left w:val="nil"/>
            </w:tcBorders>
            <w:shd w:val="clear" w:color="auto" w:fill="auto"/>
            <w:vAlign w:val="center"/>
          </w:tcPr>
          <w:p w14:paraId="51CACBA4" w14:textId="77777777" w:rsidR="005A0219" w:rsidRPr="00C97275" w:rsidRDefault="005A0219" w:rsidP="005A0219">
            <w:pPr>
              <w:ind w:left="26" w:firstLine="24"/>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500,5</w:t>
            </w:r>
          </w:p>
        </w:tc>
      </w:tr>
      <w:tr w:rsidR="00CB4D9D" w:rsidRPr="00C97275" w14:paraId="7A2DAAC2" w14:textId="77777777" w:rsidTr="00C007FE">
        <w:trPr>
          <w:trHeight w:val="590"/>
        </w:trPr>
        <w:tc>
          <w:tcPr>
            <w:cnfStyle w:val="001000000000" w:firstRow="0" w:lastRow="0" w:firstColumn="1" w:lastColumn="0" w:oddVBand="0" w:evenVBand="0" w:oddHBand="0" w:evenHBand="0" w:firstRowFirstColumn="0" w:firstRowLastColumn="0" w:lastRowFirstColumn="0" w:lastRowLastColumn="0"/>
            <w:tcW w:w="1250" w:type="pct"/>
            <w:tcBorders>
              <w:top w:val="nil"/>
              <w:left w:val="single" w:sz="8" w:space="0" w:color="D62E1C"/>
              <w:bottom w:val="nil"/>
              <w:right w:val="nil"/>
            </w:tcBorders>
            <w:hideMark/>
          </w:tcPr>
          <w:p w14:paraId="6B82F076" w14:textId="77777777" w:rsidR="005A0219" w:rsidRPr="00C97275" w:rsidRDefault="005A0219" w:rsidP="00655668">
            <w:pPr>
              <w:ind w:left="17"/>
              <w:contextualSpacing/>
              <w:rPr>
                <w:rFonts w:ascii="Georgia" w:eastAsia="Georgia" w:hAnsi="Georgia" w:cs="Arial Unicode MS"/>
                <w:b w:val="0"/>
                <w:sz w:val="20"/>
                <w:szCs w:val="20"/>
              </w:rPr>
            </w:pPr>
            <w:r w:rsidRPr="00C97275">
              <w:rPr>
                <w:rFonts w:ascii="Georgia" w:eastAsia="Georgia" w:hAnsi="Georgia" w:cs="Arial Unicode MS"/>
                <w:b w:val="0"/>
                <w:sz w:val="20"/>
                <w:szCs w:val="20"/>
              </w:rPr>
              <w:t>Savivaldybės pastatų modernizavimas</w:t>
            </w:r>
          </w:p>
        </w:tc>
        <w:tc>
          <w:tcPr>
            <w:tcW w:w="1250" w:type="pct"/>
            <w:tcBorders>
              <w:top w:val="nil"/>
              <w:left w:val="nil"/>
              <w:bottom w:val="single" w:sz="8" w:space="0" w:color="D62E1C"/>
              <w:right w:val="nil"/>
            </w:tcBorders>
            <w:shd w:val="clear" w:color="auto" w:fill="auto"/>
            <w:vAlign w:val="center"/>
          </w:tcPr>
          <w:p w14:paraId="194FDCD3" w14:textId="77777777" w:rsidR="005A0219" w:rsidRPr="00C97275" w:rsidRDefault="005A0219" w:rsidP="005A0219">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298,6</w:t>
            </w:r>
          </w:p>
        </w:tc>
        <w:tc>
          <w:tcPr>
            <w:tcW w:w="1250" w:type="pct"/>
            <w:tcBorders>
              <w:top w:val="nil"/>
              <w:left w:val="nil"/>
              <w:bottom w:val="nil"/>
              <w:right w:val="nil"/>
            </w:tcBorders>
            <w:shd w:val="clear" w:color="auto" w:fill="auto"/>
            <w:vAlign w:val="center"/>
          </w:tcPr>
          <w:p w14:paraId="27D74B2B" w14:textId="77777777" w:rsidR="005A0219" w:rsidRPr="00C97275" w:rsidRDefault="005A0219" w:rsidP="005A0219">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18,1</w:t>
            </w:r>
          </w:p>
        </w:tc>
        <w:tc>
          <w:tcPr>
            <w:tcW w:w="1250" w:type="pct"/>
            <w:tcBorders>
              <w:top w:val="nil"/>
              <w:left w:val="nil"/>
              <w:bottom w:val="single" w:sz="8" w:space="0" w:color="D62E1C"/>
              <w:right w:val="single" w:sz="8" w:space="0" w:color="D62E1C"/>
            </w:tcBorders>
            <w:shd w:val="clear" w:color="auto" w:fill="auto"/>
            <w:vAlign w:val="center"/>
          </w:tcPr>
          <w:p w14:paraId="096B7329" w14:textId="77777777" w:rsidR="005A0219" w:rsidRPr="00C97275" w:rsidRDefault="005A0219" w:rsidP="005A0219">
            <w:pPr>
              <w:ind w:left="26" w:firstLine="24"/>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280,5</w:t>
            </w:r>
          </w:p>
        </w:tc>
      </w:tr>
      <w:tr w:rsidR="005A0219" w:rsidRPr="00C97275" w14:paraId="6F849E23"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44FCBD87" w14:textId="77777777" w:rsidR="005A0219" w:rsidRPr="00C97275" w:rsidRDefault="005A0219" w:rsidP="00655668">
            <w:pPr>
              <w:ind w:left="17"/>
              <w:contextualSpacing/>
              <w:rPr>
                <w:rFonts w:ascii="Georgia" w:eastAsia="Georgia" w:hAnsi="Georgia" w:cs="Arial Unicode MS"/>
                <w:b w:val="0"/>
                <w:sz w:val="20"/>
                <w:szCs w:val="20"/>
              </w:rPr>
            </w:pPr>
            <w:r w:rsidRPr="00C97275">
              <w:rPr>
                <w:rFonts w:ascii="Georgia" w:eastAsia="Georgia" w:hAnsi="Georgia" w:cs="Arial Unicode MS"/>
                <w:b w:val="0"/>
                <w:sz w:val="20"/>
                <w:szCs w:val="20"/>
              </w:rPr>
              <w:t>Daugiabučių modernizavimas</w:t>
            </w:r>
          </w:p>
        </w:tc>
        <w:tc>
          <w:tcPr>
            <w:tcW w:w="0" w:type="pct"/>
            <w:tcBorders>
              <w:top w:val="nil"/>
              <w:left w:val="nil"/>
              <w:right w:val="nil"/>
            </w:tcBorders>
            <w:shd w:val="clear" w:color="auto" w:fill="auto"/>
            <w:vAlign w:val="center"/>
          </w:tcPr>
          <w:p w14:paraId="2EFFB0FF" w14:textId="58C57F2C" w:rsidR="005A0219" w:rsidRPr="00C97275" w:rsidRDefault="0046247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955</w:t>
            </w:r>
          </w:p>
        </w:tc>
        <w:tc>
          <w:tcPr>
            <w:tcW w:w="0" w:type="pct"/>
            <w:tcBorders>
              <w:left w:val="nil"/>
              <w:right w:val="nil"/>
            </w:tcBorders>
            <w:shd w:val="clear" w:color="auto" w:fill="auto"/>
            <w:vAlign w:val="center"/>
          </w:tcPr>
          <w:p w14:paraId="2235EF05" w14:textId="2BACA2B0" w:rsidR="005A0219" w:rsidRPr="00C97275" w:rsidRDefault="0046247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4632</w:t>
            </w:r>
          </w:p>
        </w:tc>
        <w:tc>
          <w:tcPr>
            <w:tcW w:w="0" w:type="pct"/>
            <w:tcBorders>
              <w:top w:val="nil"/>
              <w:left w:val="nil"/>
            </w:tcBorders>
            <w:shd w:val="clear" w:color="auto" w:fill="auto"/>
            <w:vAlign w:val="center"/>
          </w:tcPr>
          <w:p w14:paraId="0A1F5821" w14:textId="6384B350" w:rsidR="005A0219" w:rsidRPr="00C97275" w:rsidRDefault="00462479" w:rsidP="005A0219">
            <w:pPr>
              <w:ind w:left="26" w:firstLine="24"/>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323</w:t>
            </w:r>
          </w:p>
        </w:tc>
      </w:tr>
      <w:tr w:rsidR="005A0219" w:rsidRPr="00C97275" w14:paraId="4B918A46"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single" w:sz="8" w:space="0" w:color="D62E1C"/>
              <w:right w:val="nil"/>
            </w:tcBorders>
            <w:hideMark/>
          </w:tcPr>
          <w:p w14:paraId="4DB38EBD" w14:textId="77777777" w:rsidR="005A0219" w:rsidRPr="00C97275" w:rsidRDefault="005A0219" w:rsidP="00655668">
            <w:pPr>
              <w:ind w:left="17"/>
              <w:contextualSpacing/>
              <w:rPr>
                <w:rFonts w:ascii="Georgia" w:eastAsia="Georgia" w:hAnsi="Georgia" w:cs="Arial Unicode MS"/>
                <w:b w:val="0"/>
                <w:sz w:val="20"/>
                <w:szCs w:val="20"/>
              </w:rPr>
            </w:pPr>
            <w:r w:rsidRPr="00C97275">
              <w:rPr>
                <w:rFonts w:ascii="Georgia" w:eastAsia="Georgia" w:hAnsi="Georgia" w:cs="Arial Unicode MS"/>
                <w:b w:val="0"/>
                <w:sz w:val="20"/>
                <w:szCs w:val="20"/>
              </w:rPr>
              <w:t>Gatvių apšvietimo tinklo modernizavimas</w:t>
            </w:r>
          </w:p>
        </w:tc>
        <w:tc>
          <w:tcPr>
            <w:tcW w:w="0" w:type="pct"/>
            <w:tcBorders>
              <w:top w:val="nil"/>
              <w:left w:val="nil"/>
              <w:bottom w:val="single" w:sz="8" w:space="0" w:color="D62E1C"/>
              <w:right w:val="nil"/>
            </w:tcBorders>
            <w:shd w:val="clear" w:color="auto" w:fill="auto"/>
            <w:vAlign w:val="center"/>
          </w:tcPr>
          <w:p w14:paraId="7C77C365" w14:textId="5BE98266" w:rsidR="005A0219" w:rsidRPr="00C97275" w:rsidRDefault="00190AA0">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119</w:t>
            </w:r>
            <w:r w:rsidR="005A0219" w:rsidRPr="00C97275">
              <w:rPr>
                <w:rFonts w:ascii="Georgia" w:eastAsia="Georgia" w:hAnsi="Georgia" w:cs="Arial Unicode MS"/>
                <w:color w:val="000000"/>
                <w:sz w:val="20"/>
                <w:szCs w:val="20"/>
              </w:rPr>
              <w:t>,</w:t>
            </w:r>
            <w:r w:rsidRPr="00C97275">
              <w:rPr>
                <w:rFonts w:ascii="Georgia" w:eastAsia="Georgia" w:hAnsi="Georgia" w:cs="Arial Unicode MS"/>
                <w:color w:val="000000"/>
                <w:sz w:val="20"/>
                <w:szCs w:val="20"/>
              </w:rPr>
              <w:t>4</w:t>
            </w:r>
          </w:p>
        </w:tc>
        <w:tc>
          <w:tcPr>
            <w:tcW w:w="0" w:type="pct"/>
            <w:tcBorders>
              <w:top w:val="nil"/>
              <w:left w:val="nil"/>
              <w:bottom w:val="single" w:sz="8" w:space="0" w:color="D62E1C"/>
              <w:right w:val="nil"/>
            </w:tcBorders>
            <w:shd w:val="clear" w:color="auto" w:fill="auto"/>
            <w:vAlign w:val="center"/>
          </w:tcPr>
          <w:p w14:paraId="198FF89F" w14:textId="77777777" w:rsidR="005A0219" w:rsidRPr="00C97275" w:rsidRDefault="005A0219" w:rsidP="005A0219">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18,0</w:t>
            </w:r>
          </w:p>
        </w:tc>
        <w:tc>
          <w:tcPr>
            <w:tcW w:w="0" w:type="pct"/>
            <w:tcBorders>
              <w:top w:val="nil"/>
              <w:left w:val="nil"/>
              <w:bottom w:val="single" w:sz="8" w:space="0" w:color="D62E1C"/>
              <w:right w:val="single" w:sz="8" w:space="0" w:color="D62E1C"/>
            </w:tcBorders>
            <w:shd w:val="clear" w:color="auto" w:fill="auto"/>
            <w:vAlign w:val="center"/>
          </w:tcPr>
          <w:p w14:paraId="4341BA36" w14:textId="30BE781A" w:rsidR="005A0219" w:rsidRPr="00C97275" w:rsidRDefault="00190AA0">
            <w:pPr>
              <w:ind w:left="26" w:firstLine="24"/>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color w:val="000000"/>
                <w:sz w:val="20"/>
                <w:szCs w:val="20"/>
              </w:rPr>
              <w:t>101</w:t>
            </w:r>
            <w:r w:rsidR="005A0219" w:rsidRPr="00C97275">
              <w:rPr>
                <w:rFonts w:ascii="Georgia" w:eastAsia="Georgia" w:hAnsi="Georgia" w:cs="Arial Unicode MS"/>
                <w:color w:val="000000"/>
                <w:sz w:val="20"/>
                <w:szCs w:val="20"/>
              </w:rPr>
              <w:t>,</w:t>
            </w:r>
            <w:r w:rsidRPr="00C97275">
              <w:rPr>
                <w:rFonts w:ascii="Georgia" w:eastAsia="Georgia" w:hAnsi="Georgia" w:cs="Arial Unicode MS"/>
                <w:color w:val="000000"/>
                <w:sz w:val="20"/>
                <w:szCs w:val="20"/>
              </w:rPr>
              <w:t>4</w:t>
            </w:r>
          </w:p>
        </w:tc>
      </w:tr>
    </w:tbl>
    <w:p w14:paraId="29728569" w14:textId="77777777" w:rsidR="005A0219" w:rsidRPr="00C97275" w:rsidRDefault="005A0219" w:rsidP="005A0219">
      <w:pPr>
        <w:spacing w:before="120" w:after="120" w:line="240" w:lineRule="auto"/>
        <w:jc w:val="both"/>
        <w:rPr>
          <w:rFonts w:ascii="Georgia" w:eastAsia="Georgia" w:hAnsi="Georgia" w:cs="Arial Unicode MS"/>
          <w:b/>
          <w:iCs/>
          <w:color w:val="821A1A"/>
          <w:sz w:val="20"/>
          <w:szCs w:val="18"/>
          <w:lang w:val="lt-LT"/>
        </w:rPr>
      </w:pPr>
      <w:r w:rsidRPr="00C97275">
        <w:rPr>
          <w:rFonts w:ascii="Georgia" w:eastAsia="Georgia" w:hAnsi="Georgia" w:cs="Arial Unicode MS"/>
          <w:i/>
          <w:iCs/>
          <w:color w:val="821A1A"/>
          <w:sz w:val="20"/>
          <w:szCs w:val="18"/>
          <w:lang w:val="lt-LT"/>
        </w:rPr>
        <w:t>Šaltinis: sudaryta autorių</w:t>
      </w:r>
    </w:p>
    <w:p w14:paraId="0047B757" w14:textId="77777777" w:rsidR="005A0219" w:rsidRPr="00C97275" w:rsidRDefault="005A0219" w:rsidP="005A0219">
      <w:pPr>
        <w:spacing w:after="160" w:line="240" w:lineRule="auto"/>
        <w:rPr>
          <w:rFonts w:ascii="Georgia" w:eastAsia="Georgia" w:hAnsi="Georgia" w:cs="Arial Unicode MS"/>
          <w:sz w:val="20"/>
          <w:szCs w:val="20"/>
          <w:lang w:val="lt-LT"/>
        </w:rPr>
      </w:pPr>
    </w:p>
    <w:p w14:paraId="5A5142CB" w14:textId="77777777" w:rsidR="005A0219" w:rsidRPr="00C97275" w:rsidRDefault="005A0219" w:rsidP="0063781D">
      <w:pPr>
        <w:pStyle w:val="Antrat2"/>
        <w:numPr>
          <w:ilvl w:val="1"/>
          <w:numId w:val="69"/>
        </w:numPr>
        <w:ind w:left="709"/>
        <w:rPr>
          <w:rFonts w:ascii="Georgia" w:eastAsia="Times New Roman" w:hAnsi="Georgia"/>
          <w:b w:val="0"/>
          <w:lang w:val="lt-LT"/>
        </w:rPr>
      </w:pPr>
      <w:bookmarkStart w:id="114" w:name="_Toc25594664"/>
      <w:r w:rsidRPr="00C97275">
        <w:rPr>
          <w:rFonts w:ascii="Georgia" w:eastAsia="Times New Roman" w:hAnsi="Georgia"/>
          <w:lang w:val="lt-LT"/>
        </w:rPr>
        <w:t>Rinkos gyvybingumo ir investicijų trūkumo susidarymo priežasčių analizė</w:t>
      </w:r>
      <w:bookmarkEnd w:id="114"/>
      <w:r w:rsidRPr="00C97275">
        <w:rPr>
          <w:rFonts w:ascii="Georgia" w:eastAsia="Times New Roman" w:hAnsi="Georgia"/>
          <w:lang w:val="lt-LT"/>
        </w:rPr>
        <w:t xml:space="preserve"> </w:t>
      </w:r>
    </w:p>
    <w:p w14:paraId="7A7C5CCE" w14:textId="77777777" w:rsidR="005A0219" w:rsidRPr="00C97275" w:rsidRDefault="005A0219" w:rsidP="005A0219">
      <w:pPr>
        <w:spacing w:after="160" w:line="240" w:lineRule="auto"/>
        <w:jc w:val="both"/>
        <w:rPr>
          <w:rFonts w:ascii="Georgia" w:eastAsia="Georgia" w:hAnsi="Georgia" w:cs="Arial"/>
          <w:sz w:val="20"/>
          <w:szCs w:val="20"/>
          <w:lang w:val="lt-LT"/>
        </w:rPr>
      </w:pPr>
    </w:p>
    <w:p w14:paraId="10014B1E" w14:textId="77777777" w:rsidR="005A0219" w:rsidRPr="00C97275" w:rsidRDefault="005A0219" w:rsidP="005A0219">
      <w:pPr>
        <w:spacing w:after="160" w:line="240" w:lineRule="auto"/>
        <w:jc w:val="both"/>
        <w:rPr>
          <w:rFonts w:ascii="Georgia" w:eastAsia="Georgia" w:hAnsi="Georgia" w:cs="Arial"/>
          <w:sz w:val="20"/>
          <w:szCs w:val="20"/>
          <w:lang w:val="lt-LT"/>
        </w:rPr>
      </w:pPr>
      <w:r w:rsidRPr="00C97275">
        <w:rPr>
          <w:rFonts w:ascii="Georgia" w:eastAsia="Georgia" w:hAnsi="Georgia" w:cs="Arial"/>
          <w:sz w:val="20"/>
          <w:szCs w:val="20"/>
          <w:lang w:val="lt-LT"/>
        </w:rPr>
        <w:t xml:space="preserve">Šio skyriaus tikslas – įvertinti įvairias priežastis, dėl kurių rinkoje egzistuojantys finansavimo šaltiniai pilnai nepadengia esančios investicijų paklausos. Rinkos nepakankamumo priežastys gali būti labai įvairios, susijusios tiek su paklausos, tiek su pasiūlos puse, taip pat susijusios su pačių projektų esme, pavyzdžiui, gyvybingumo stokos problemos. Dėl šių atsiradusių priežasčių nėra įgyvendinami/pasiekiami energijos taupymo tikslai be valstybės įsikišimo (t.y. jeigu projektai būtų finansuojami tik iš rinkoje esančių finansavimo šaltinių), tačiau ir viešųjų išteklių padengti susidariusiems investicijų poreikiams nepakanka.  </w:t>
      </w:r>
    </w:p>
    <w:p w14:paraId="1CAB702E" w14:textId="77777777" w:rsidR="005A0219" w:rsidRPr="00C97275" w:rsidRDefault="005A0219" w:rsidP="005A0219">
      <w:pPr>
        <w:spacing w:after="160" w:line="240" w:lineRule="auto"/>
        <w:jc w:val="both"/>
        <w:rPr>
          <w:rFonts w:ascii="Georgia" w:eastAsia="Georgia" w:hAnsi="Georgia" w:cs="Arial"/>
          <w:sz w:val="20"/>
          <w:szCs w:val="20"/>
          <w:lang w:val="lt-LT"/>
        </w:rPr>
      </w:pPr>
      <w:r w:rsidRPr="00C97275">
        <w:rPr>
          <w:rFonts w:ascii="Georgia" w:eastAsia="Georgia" w:hAnsi="Georgia" w:cs="Arial"/>
          <w:sz w:val="20"/>
          <w:szCs w:val="20"/>
          <w:lang w:val="lt-LT"/>
        </w:rPr>
        <w:t xml:space="preserve">Šiame skyriuje aptariama, dėl kokių priežasčių susidaro lentelėje identifikuoti rinkos trūkumai energijos efektyvumo projektų finansavimui.  </w:t>
      </w:r>
    </w:p>
    <w:p w14:paraId="77FB439D" w14:textId="18ACAA50" w:rsidR="005A0219" w:rsidRPr="00C97275" w:rsidRDefault="005A0219" w:rsidP="005A0219">
      <w:pPr>
        <w:spacing w:after="120" w:line="240" w:lineRule="auto"/>
        <w:rPr>
          <w:rFonts w:ascii="Georgia" w:eastAsia="Georgia" w:hAnsi="Georgia" w:cs="Arial Unicode MS"/>
          <w:i/>
          <w:iCs/>
          <w:color w:val="821A1A"/>
          <w:sz w:val="20"/>
          <w:szCs w:val="18"/>
          <w:lang w:val="lt-LT"/>
        </w:rPr>
      </w:pPr>
      <w:bookmarkStart w:id="115" w:name="_Toc19105240"/>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27</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Arial Unicode MS"/>
          <w:i/>
          <w:iCs/>
          <w:color w:val="821A1A"/>
          <w:sz w:val="20"/>
          <w:szCs w:val="20"/>
          <w:lang w:val="lt-LT"/>
        </w:rPr>
        <w:t>Rinkos gyvybingumo ir investicijų trūkumo priežastys ir jų aprašymas</w:t>
      </w:r>
      <w:bookmarkEnd w:id="115"/>
    </w:p>
    <w:tbl>
      <w:tblPr>
        <w:tblStyle w:val="LightList-Accent21"/>
        <w:tblW w:w="9180" w:type="dxa"/>
        <w:tblLook w:val="04A0" w:firstRow="1" w:lastRow="0" w:firstColumn="1" w:lastColumn="0" w:noHBand="0" w:noVBand="1"/>
      </w:tblPr>
      <w:tblGrid>
        <w:gridCol w:w="2287"/>
        <w:gridCol w:w="6893"/>
      </w:tblGrid>
      <w:tr w:rsidR="005A0219" w:rsidRPr="00C97275" w14:paraId="74DEE81D" w14:textId="77777777" w:rsidTr="0063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7D5DD2FF"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Priežastis</w:t>
            </w:r>
          </w:p>
        </w:tc>
        <w:tc>
          <w:tcPr>
            <w:tcW w:w="6893" w:type="dxa"/>
          </w:tcPr>
          <w:p w14:paraId="13746F4F" w14:textId="77777777" w:rsidR="005A0219" w:rsidRPr="00C97275" w:rsidRDefault="005A0219" w:rsidP="00E23406">
            <w:pP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r w:rsidRPr="00C97275">
              <w:rPr>
                <w:rFonts w:ascii="Georgia" w:eastAsia="Georgia" w:hAnsi="Georgia" w:cs="Arial Unicode MS"/>
                <w:i/>
                <w:sz w:val="20"/>
                <w:szCs w:val="20"/>
              </w:rPr>
              <w:t>Aprašymas</w:t>
            </w:r>
          </w:p>
        </w:tc>
      </w:tr>
      <w:tr w:rsidR="005A0219" w:rsidRPr="00C97275" w14:paraId="4609ABBF"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267B8624"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Neapmokestinamos taršos įtaka</w:t>
            </w:r>
          </w:p>
        </w:tc>
        <w:tc>
          <w:tcPr>
            <w:tcW w:w="6893" w:type="dxa"/>
          </w:tcPr>
          <w:p w14:paraId="6BD5D23E"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Viena iš labai svarbių rinkos trūkumo susidarymo priežasčių, kylančių iš paklausos, t.y. projektų, pusės, yra tai, kad aplinkosauginiai ir socialiniai kaštai, tokie kaip taršos, šiltnamio efektą sukeliančių dujų emisijos, išteklių išeikvojimo, geopolitinės priklausomybės, nėra atspindėti energijos kainodaroje. Energijos vartotojai savo sprendimus ir pasirinkimą grindžia atsižvelgiant į energijos kainą, kuri yra mažesnė nei visi kiti visuomenės patiriami kaštai. Elektros kaina namų ūkiams yra viena mažiausių </w:t>
            </w:r>
            <w:r w:rsidRPr="00C97275">
              <w:rPr>
                <w:rFonts w:ascii="Georgia" w:eastAsia="Georgia" w:hAnsi="Georgia" w:cs="Arial"/>
                <w:sz w:val="20"/>
                <w:szCs w:val="20"/>
              </w:rPr>
              <w:lastRenderedPageBreak/>
              <w:t xml:space="preserve">Europoje, o remiantis Eurostato duomenimis, energijos suvartojimo šiltnamio efektą sukeliančių dujų emisijos pastaraisiais metais buvo vienos didžiausių Europoje. Tai parodo, kad iš tiesų egzistuoja neigiamas minėtų išorinių veiksnių poveikis. </w:t>
            </w:r>
          </w:p>
          <w:p w14:paraId="04EF7316"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Aplinkosauginiai veiksniai, kurie nėra padengiami energijos kainos dalimi, sukuria energijos perteklinį vartojimą bei nepakankamas investicijas į energijos efektyvumą ir turto išsaugojimą, be to, energijos vartotojai renkasi pigesnę energijos rūšį vietoje ekologiškesnių, tačiau brangesnių energijos šaltinių bei energijos efektyvumo priemonių diegimo.</w:t>
            </w:r>
          </w:p>
          <w:p w14:paraId="711ECF75" w14:textId="77777777" w:rsidR="005A0219" w:rsidRPr="00C97275" w:rsidRDefault="005A0219" w:rsidP="00E23406">
            <w:pP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C97275" w14:paraId="10F67F06"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7C0E9C1E"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lastRenderedPageBreak/>
              <w:t>Asimetrinė informacija</w:t>
            </w:r>
          </w:p>
        </w:tc>
        <w:tc>
          <w:tcPr>
            <w:tcW w:w="6893" w:type="dxa"/>
          </w:tcPr>
          <w:p w14:paraId="57883404"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Asimetrinė informacija pasireiškia tuomet, kai vartotojai, pardavėjai, gamintojai, politikai, finansuotojai turi nepakankamos arba neteisingos informacijos apie energijos efektyvumo projektų savybes ir teikiamas galimybes. Energijos vartotojai dažnai neturi efektyvios praktikos bei nežino apie egzistuojančias technologijas energijos taupymui. Viena iš tokios informacijos trūkumo susidarymo priežasčių yra energetinio išprusimo, mokymų ir tuo pačiu motyvacijos trūkumas, kurie taip pat prisideda prie nepakankamų investicijų į energijos efektyvumo priemones.  </w:t>
            </w:r>
          </w:p>
          <w:p w14:paraId="1F4066E1"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Energijos vartojimo efektyvumo srityje potencialūs projektų vykdytojai – energiją vartojantys fiziniai ir juridiniai asmenys. Fiziniai asmenys, kurie yra galutiniai naudos gavėjai daugiabučių modernizavimo projektuose, dažnai neišmano energinio efektyvumo priemonių įdiegimo naudos, bendras sutarimas tarp daugiabučio namo gyventojų gali būti ilgas, o kartais ir neįgyvendinamas procesas. Daugiabučių namų gyventojai dėl daugelio priežasčių turi žemą motyvaciją inicijuoti energijos efektyvumo projektus.</w:t>
            </w:r>
          </w:p>
          <w:p w14:paraId="04B78F06" w14:textId="77777777" w:rsidR="005A0219" w:rsidRPr="00C97275" w:rsidRDefault="005A0219" w:rsidP="00E23406">
            <w:pP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C97275" w14:paraId="1EDB9EB3"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5B73B23D"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Didelės rizikos</w:t>
            </w:r>
          </w:p>
        </w:tc>
        <w:tc>
          <w:tcPr>
            <w:tcW w:w="6893" w:type="dxa"/>
          </w:tcPr>
          <w:p w14:paraId="0089BCAF"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Investuotojams nepriimtinos rizikos dažnai yra trukdis investicijoms. Energijos efektyvumo srityje pagrindinės rizikos yra šios: realių energijos sutaupymų rizika, statybos darbų rizika, energijos kainų kitimo rizika, bendros ekonominės situacijos rizika, valstybinės politikos tęstinumo rizika, juridinio asmens, kuris vartoja energiją ir iš sutaupymų apmoka investicijas, rizika, viešųjų pastatų reikalingumo rizika, ir kt. </w:t>
            </w:r>
          </w:p>
          <w:p w14:paraId="3F1835FA"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tc>
      </w:tr>
      <w:tr w:rsidR="005A0219" w:rsidRPr="00C97275" w14:paraId="04BF89E7"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6A640707"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Vartotojų elgsenos ypatumai</w:t>
            </w:r>
          </w:p>
        </w:tc>
        <w:tc>
          <w:tcPr>
            <w:tcW w:w="6893" w:type="dxa"/>
          </w:tcPr>
          <w:p w14:paraId="1A6E74C2"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Neracionalus vartotojų elgesys energijos efektyvumo srityje vis dar labai smarkiai paplitęs, o bendras visuomenės suvokimas energijos taupymo ir energijos efektyvumo svarbos klausimu dar nėra susiformavęs. Taip pat žemo finansinio išprusimo energijos vartotojai dažnai neteisingai įvertina suvartotiną energiją bei investicijų atsipirkimo laikotarpį ir toliau yra labiau linkę vengti investicijų ir toliau mokėti daugiau už suvartotą energiją. Nuo 2013 metų pradžios, kuomet Aplinkos ministerija ėmėsi radikalių skatinimo priemonių daugiabučių renovacijai, daugiabučių namų gyventojų požiūris ėmė keistis; tačiau vis dėlto nėra nustatyta, ar vartotojų požiūris į energijos efektyvumo investicijas iš tiesų ėmė keistis, ar vartotojai suskubo pasinaudoti Aplinkos ministerijos įvestomis subsidijomis už pasiektus rezultatus, kuri bendrai siekė net iki 40 proc.</w:t>
            </w:r>
          </w:p>
          <w:p w14:paraId="1A81E875"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C97275" w14:paraId="1F4B81C5"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431A1BA4"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Projektų atsiperkamumo laikotarpis</w:t>
            </w:r>
          </w:p>
        </w:tc>
        <w:tc>
          <w:tcPr>
            <w:tcW w:w="6893" w:type="dxa"/>
          </w:tcPr>
          <w:p w14:paraId="5BA3294F"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Dažnu atveju tiek daugiabučiai, tiek viešieji pastatai yra ne pačios prasčiausios būklės, nes subjektai savais pajėgumais stengiasi įdiegti tam tikras energijos efektyvumo priemones, pavyzdžiui, keičia langus, duris. Atitinkamai planuojant kapitalinę pastato renovaciją ilgėja atsipirkimo laikas, kadangi langų pakeitimas, durų pakeitimas yra vienos iš efektyviausių energijos efektyvumo priemonių. Projekto atsipirkimo laikas dažniausiai viršija 10-15 metų. Atsižvelgiant į komercinių bankų apklausų metu surinktą informaciją, komerciniai bankai investicines paskolas teikia ne ilgesniam nei 10 metų laikotarpiui. Paskolos trukmė yra trumpesnė nei projekto atsipirkimo laikas, todėl arba komerciniai bankai tokios paskolos neteiks, arba paskolą imantis subjektas turės rasti papildomų lėšų šaltinių paskolos aptarnavimui, kadangi energijos kaštų sutaupymų tam nepakaks. </w:t>
            </w:r>
          </w:p>
          <w:p w14:paraId="1D74A786"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tc>
      </w:tr>
      <w:tr w:rsidR="005A0219" w:rsidRPr="00C97275" w14:paraId="7C582545"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2EBE1DFC"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lastRenderedPageBreak/>
              <w:t>Žemas subjektų finansinis pajėgumas</w:t>
            </w:r>
          </w:p>
        </w:tc>
        <w:tc>
          <w:tcPr>
            <w:tcW w:w="6893" w:type="dxa"/>
          </w:tcPr>
          <w:p w14:paraId="4E9127F5"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Šioje analizėje vertinamų energijos efektyvumo projektų vykdytojai – daugiabučių namų gyventojai ar bendrijos turi ribotas galimybes skolintis arba to daryti nenori. Pavyzdžiui, gyventojų nenoras skolintis buvo viena iš pagrindinių priežasčių, kodėl 2009 m. sukūrus JESSICA KF ir sudarius visas galimybes skolintis lengvatinėmis sąlygomis lūžis daugiabučių renovacijoje neįvyko. </w:t>
            </w:r>
          </w:p>
          <w:p w14:paraId="31B6D2EC"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4DC6774F" w14:textId="1A68803A"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Savivaldybėms įstatyminėje bazėje yra nustatyti skolinimosi limitai, todėl galimybės kreiptis paskolos labai priklauso nuo išnaudotų skolinimosi limitų. Dali</w:t>
            </w:r>
            <w:r w:rsidR="0018041C" w:rsidRPr="00C97275">
              <w:rPr>
                <w:rFonts w:ascii="Georgia" w:eastAsia="Georgia" w:hAnsi="Georgia" w:cs="Arial"/>
                <w:sz w:val="20"/>
                <w:szCs w:val="20"/>
              </w:rPr>
              <w:t>e</w:t>
            </w:r>
            <w:r w:rsidRPr="00C97275">
              <w:rPr>
                <w:rFonts w:ascii="Georgia" w:eastAsia="Georgia" w:hAnsi="Georgia" w:cs="Arial"/>
                <w:sz w:val="20"/>
                <w:szCs w:val="20"/>
              </w:rPr>
              <w:t>s savivaldybių finansin</w:t>
            </w:r>
            <w:r w:rsidR="0018041C" w:rsidRPr="00C97275">
              <w:rPr>
                <w:rFonts w:ascii="Georgia" w:eastAsia="Georgia" w:hAnsi="Georgia" w:cs="Arial"/>
                <w:sz w:val="20"/>
                <w:szCs w:val="20"/>
              </w:rPr>
              <w:t>ė</w:t>
            </w:r>
            <w:r w:rsidRPr="00C97275">
              <w:rPr>
                <w:rFonts w:ascii="Georgia" w:eastAsia="Georgia" w:hAnsi="Georgia" w:cs="Arial"/>
                <w:sz w:val="20"/>
                <w:szCs w:val="20"/>
              </w:rPr>
              <w:t xml:space="preserve"> būkl</w:t>
            </w:r>
            <w:r w:rsidR="0018041C" w:rsidRPr="00C97275">
              <w:rPr>
                <w:rFonts w:ascii="Georgia" w:eastAsia="Georgia" w:hAnsi="Georgia" w:cs="Arial"/>
                <w:sz w:val="20"/>
                <w:szCs w:val="20"/>
              </w:rPr>
              <w:t>ė labai prasta</w:t>
            </w:r>
            <w:r w:rsidRPr="00C97275">
              <w:rPr>
                <w:rFonts w:ascii="Georgia" w:eastAsia="Georgia" w:hAnsi="Georgia" w:cs="Arial"/>
                <w:sz w:val="20"/>
                <w:szCs w:val="20"/>
              </w:rPr>
              <w:t>, todėl komerciniai bankai neskolina šioms savivaldybėms. Centrinė valdžia turi santykinai lengvesnį priėjimą prie vietinių ar išorinių finansavimo šaltinių, tačiau centrinės valdžios skolinimasis daro tiesioginę įtaką valstybės skolai ir valstybės biudžeto deficitui, o šie rodikliai turi atitikti ES nustatytus Mastrichto kriterijus, todėl reikalingas itin atsakingas centrinės valdžios skolinimasis bei finansų kontrolė.</w:t>
            </w:r>
          </w:p>
          <w:p w14:paraId="51DBE7CB"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C97275" w14:paraId="1307B456"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5C9AAFB1"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Užstato reikalavimas</w:t>
            </w:r>
          </w:p>
        </w:tc>
        <w:tc>
          <w:tcPr>
            <w:tcW w:w="6893" w:type="dxa"/>
          </w:tcPr>
          <w:p w14:paraId="3552FB3C"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Kliento kreditingumas yra pagrindinis aspektas, kurį vertina finansuotojai prieš suteikdami finansavimą, o projekto pinigų srautų vertinimas yra antraeilis. Taip yra todėl, kad tikslų pinigų srautų vertinimą atlikti prieš projekto įgyvendinimą yra sudėtinga. Kai skolinimas vykdomas turto pagrindu, o ne pinigų srautų pagrindu, galioja viena bendra taisyklė. Skolinant turto pagrindu bankas reikalauja užstato (kuris gali būti net iki 200% paskolos vertės). Tačiau viešųjų pastatų projektų atveju dėl teisinių ar kitų apribojimų nėra turto, kuris gali būti naudojama kaip užstatas. LR Valstybės ir savivaldybių turto valdymo, naudojimo ir disponavimo juo įstatyme nustatyta, kad savivaldybės negali įkeisti savo turto, todėl komerciniai bankai neturi galimybės teikiamą paskolą garantuoti nekilnojamuoju turtu.</w:t>
            </w:r>
          </w:p>
          <w:p w14:paraId="4B7CEFC8"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C97275" w14:paraId="34EF1772"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299DF134"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Nepakankama viešųjų projektų vykdytojų motyvacija</w:t>
            </w:r>
          </w:p>
        </w:tc>
        <w:tc>
          <w:tcPr>
            <w:tcW w:w="6893" w:type="dxa"/>
          </w:tcPr>
          <w:p w14:paraId="2B3B26F1"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C97275">
              <w:rPr>
                <w:rFonts w:ascii="Georgia" w:eastAsia="Georgia" w:hAnsi="Georgia" w:cs="Arial Unicode MS"/>
                <w:sz w:val="20"/>
                <w:szCs w:val="20"/>
              </w:rPr>
              <w:t>Dar viena rinkos problema yra susijusi su projektų vykdytojų – valstybės institucijų ir savivaldybių – motyvacijos stoka. Pagal galiojantį teisinį reglamentavimą, valstybės institucijos (biudžetinės įstaigos) ir savivaldybių viešųjų pastatų bei gatvių apšvietimo tinklų valdytojai neturi teisės laisvai disponuoti iš valstybės ar savivaldybės biudžeto skiriamais asignavimais, todėl net ir sutaupius tam tikrą kiekį lėšų, sutaupymo faktas nėra pajaučiamas. Tai veda prie motyvacijos taupyti energiją stokos, kadangi trūksta tiesioginio sutaupymų matymo. Biudžeto paskirstymo ir lėšų pervedimo tvarka aptariama prie reglamentavimo apribojimų žemiau.</w:t>
            </w:r>
          </w:p>
          <w:p w14:paraId="1751B73B"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C97275" w14:paraId="1B7DBD45"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53632F0E"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Augančios statybos darbų kainos</w:t>
            </w:r>
          </w:p>
        </w:tc>
        <w:tc>
          <w:tcPr>
            <w:tcW w:w="6893" w:type="dxa"/>
          </w:tcPr>
          <w:p w14:paraId="1F11003C" w14:textId="05F1AAFF"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Augančios statybos darbų kainos daro įtaką energijos efektyvumo projektų planavimui ir įgyvendinimui, kadangi augančios statybos darbų kainos didina investicijas ir taip prailgina projektų atsiperkamumo laikotarpį. Remiantis Statistikos departamento naujausiais duomenimis, pastatų remonto kainų indeksas 2010-2017 m. laikotarpiu nuolat augo. 2017 m. rugsėjo mėn. indekso reikšmė siekė 129,25, tuo tarpu 2010 m. sausio mėn. – 98,23. </w:t>
            </w:r>
            <w:r w:rsidR="0018041C" w:rsidRPr="00C97275">
              <w:rPr>
                <w:rFonts w:ascii="Georgia" w:eastAsia="Georgia" w:hAnsi="Georgia" w:cs="Arial"/>
                <w:sz w:val="20"/>
                <w:szCs w:val="20"/>
              </w:rPr>
              <w:t>P</w:t>
            </w:r>
            <w:r w:rsidRPr="00C97275">
              <w:rPr>
                <w:rFonts w:ascii="Georgia" w:eastAsia="Georgia" w:hAnsi="Georgia" w:cs="Arial"/>
                <w:sz w:val="20"/>
                <w:szCs w:val="20"/>
              </w:rPr>
              <w:t xml:space="preserve">er šį laikotarpį pastatų remonto sąnaudų kainos pakilo 32 proc. arba 4 proc. kasmet. Atsižvelgiant į dabartinį Lietuvos makroekonominį klimatą ir infliaciją, tikėtina, jog ši tendencija išsilaikys. </w:t>
            </w:r>
          </w:p>
          <w:p w14:paraId="6A42B099"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C97275" w14:paraId="5B903DD7"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41D2B1D2"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Darbo jėga statybų sektoriuje</w:t>
            </w:r>
          </w:p>
        </w:tc>
        <w:tc>
          <w:tcPr>
            <w:tcW w:w="6893" w:type="dxa"/>
          </w:tcPr>
          <w:p w14:paraId="4AFC9024"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Remiantis statistiniais duomenimis, per pastaruosius 3 metus nedarbas statybų sektoriuje gerokai sumažėjo ir beveik pasiekė prieš krizę buvusį lygį. Tai lėmė emigracija, darbuotojų persikvalifikavimas ir atsigaunančios statybų įmonės. Dėl paspartėjusio gyvenamųjų namų renovavimo ir statybų sektoriuje prasidėjusio atsigavimo darbuotojų pasiūla ir paklausa po truputį didėja. </w:t>
            </w:r>
          </w:p>
          <w:p w14:paraId="5632A086"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6F4520A6"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Augant pastatų renovavimo paklausai, sumažėjęs statybininkų skaičius gali tapti nemaža problema. Toks kvalifikuotos darbo jėgos trūkumas gali lemti mažesnę renovavimo kokybę, nesugebėjimą įgyvendinti projektų laiku, </w:t>
            </w:r>
            <w:r w:rsidRPr="00C97275">
              <w:rPr>
                <w:rFonts w:ascii="Georgia" w:eastAsia="Georgia" w:hAnsi="Georgia" w:cs="Arial"/>
                <w:sz w:val="20"/>
                <w:szCs w:val="20"/>
              </w:rPr>
              <w:lastRenderedPageBreak/>
              <w:t xml:space="preserve">išaugusius darbo užmokesčio kaštus ir bendras projekto sąnaudas. Buvo konstatuota, kad tai gali pareikalauti papildomo laiko statybos įmonėms prisitaikyti prie padidėjusios paklausos pastatų renovacijos sektoriuje. Be to, tikėtinas statybos darbų kainų padidėjimas esant išaugusiai paklausai. </w:t>
            </w:r>
          </w:p>
          <w:p w14:paraId="4A0276B1"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C97275" w14:paraId="09B3AEAC"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47A13D44"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lastRenderedPageBreak/>
              <w:t>Reikalavimai savivaldybių įmonių pajėgumams</w:t>
            </w:r>
          </w:p>
        </w:tc>
        <w:tc>
          <w:tcPr>
            <w:tcW w:w="6893" w:type="dxa"/>
          </w:tcPr>
          <w:p w14:paraId="0FB84394"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Daugiabučių namų renovacijos finansavimo modelis, paskolas teikiant daugiabučių namų savininkų naudai, iškėlė naują klausimą - ar savivaldybių įmonės turi būtinus gebėjimus įgyvendinti ir administruoti renovacijos projektus viso miesto mastu. Savivaldybių įmonės tampa atsakingos už visą renovacijos ciklą - renovacijos projektų rengimas, viešieji pirkimai, sutartis su rangovu, sutartis dėl renovacijos paskolų, butų savininkų mokėjimų administravimas, ir t.t. </w:t>
            </w:r>
          </w:p>
          <w:p w14:paraId="2B05517E"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Pasirinktos savivaldybių įmonės pagrinde yra kelių tipų - specialiai įsteigtos arba paskirtos viešosios įstaigos (apie 31,6%), šiuo metu veikiantys administratoriai (apie 58%), centrinio šildymo įmonės (apie 5,2%) ir vandens tiekimo įmonės (apie 5,2%). </w:t>
            </w:r>
          </w:p>
          <w:p w14:paraId="0614289E"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4E66E0B5" w14:textId="77777777" w:rsidR="005A0219" w:rsidRPr="00C97275" w:rsidRDefault="005A0219" w:rsidP="0061566A">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Šiuo metu BETA vykdo specialius mokymus savivaldybių įmonėms apie naujausius teisinio reglamentavimo pakeitimus, finansų valdymą, viešuosius pirkimus ir kt. BETA taip pat parengė programinę įrangą, kuri bus prieinama savivaldybių įmonėms ir palengvins butų savininkų mokėjimų ir gautos valstybės paramos administravimą. Be to, BETA šiuo metu stiprina savo padalinius, esančių regionuose, siekiant užtikrinti, kad techninė pagalba būtų labiau prieinama visose savivaldybėse.</w:t>
            </w:r>
          </w:p>
          <w:p w14:paraId="5BC75924"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C97275" w14:paraId="2A7E3C25"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4D40A1E0"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 xml:space="preserve">Renovacijos kokybės kontrolė </w:t>
            </w:r>
          </w:p>
        </w:tc>
        <w:tc>
          <w:tcPr>
            <w:tcW w:w="6893" w:type="dxa"/>
          </w:tcPr>
          <w:p w14:paraId="438EDA5A"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Vienas iš svarbiausių rūpesčių butų savininkams yra renovacijos darbų kokybė. Remiantis studija</w:t>
            </w:r>
            <w:r w:rsidRPr="00C97275">
              <w:rPr>
                <w:rFonts w:ascii="Georgia" w:eastAsia="Georgia" w:hAnsi="Georgia" w:cs="Arial"/>
                <w:color w:val="000000"/>
                <w:sz w:val="20"/>
                <w:szCs w:val="20"/>
                <w:vertAlign w:val="superscript"/>
              </w:rPr>
              <w:footnoteReference w:id="44"/>
            </w:r>
            <w:r w:rsidRPr="00C97275">
              <w:rPr>
                <w:rFonts w:ascii="Georgia" w:eastAsia="Georgia" w:hAnsi="Georgia" w:cs="Arial"/>
                <w:sz w:val="20"/>
                <w:szCs w:val="20"/>
              </w:rPr>
              <w:t>, kurią užsakė Lietuvos šilumos tiekėjų asociacija, rizika, kad renovacijos darbai gali būti atliekami netinkamai, buvo nustatyta kaip aukšta.</w:t>
            </w:r>
          </w:p>
          <w:p w14:paraId="5A5B8F94"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Valstybinė teritorijų planavimo ir statybos inspekcija paskelbė, kad renovacijos darbų kontrolė bus atliekama per netikėtus apsilankymus renovuojamuose objektuose. Siekiant užtikrinti kuo geresnę darbų kokybę, kiekvienas renovuojamas namas turi turėti techninį prižiūrėtoją, kuriems renovacijos procese tenka didelė atsakomybė, todėl ir dėmesys jų veiklai ypatingas. Pastarojo veiklą tikrina ne tik renovuojamo namo gyventojai, bet ir Valstybinė teritorijų planavimo ir statybos inspekcija (VTPSI) prie Aplinkos ministerijos ir Būsto energijos taupymo agentūra (BETA).</w:t>
            </w:r>
          </w:p>
          <w:p w14:paraId="059FF54A"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6491C729"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Vykdant renovaciją statybos techninės priežiūros tikslas – ne tik patikrinti, kaip laikomasi bendrų teisės aktų nuostatų, bet ir įvertinti, ar tinkamai įgyvendinami konkretaus pastato detalizuoti projekto sprendiniai, kaip taikomi normatyvinių statybos techninių dokumentų reikalavimai, kaip vykdomos statybos produktų gamintojo rekomendacijos.</w:t>
            </w:r>
          </w:p>
          <w:p w14:paraId="47926156" w14:textId="77777777" w:rsidR="005A0219" w:rsidRPr="00C97275" w:rsidRDefault="005A0219" w:rsidP="0061566A">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55ACFA3B" w14:textId="77777777" w:rsidR="005A0219" w:rsidRPr="00C97275" w:rsidRDefault="005A0219" w:rsidP="00807B3C">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Siekiant, kad kontrolė būtų efektyvi, atvykę į statybvietę tikrintojai turi rasti visus reikalingus dokumentus ir darbų priežiūrą vykdančius statybos dalyvius. Dėl to techniniams prižiūrėtojams nustatyta prievolė, atsižvelgiant į numatomus vykdyti darbus, parengti, suderinti su užsakovu ir pateikti VTPSI ir BETA pastatų tikrinimo grafikus. Grafikas turi būti sudaromas ne trumpesniam kaip savaitės laikotarpiui nurodant tikslų laiką, kada techniniai prižiūrėtojai planuoja tikrinti renovuojamus namus ir atliekamus darbus.</w:t>
            </w:r>
          </w:p>
          <w:p w14:paraId="6808890A" w14:textId="77777777" w:rsidR="005A0219" w:rsidRPr="00C97275"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C97275" w14:paraId="6B4993C1"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47D6266A" w14:textId="77777777" w:rsidR="005A0219" w:rsidRPr="00C97275" w:rsidRDefault="005A0219" w:rsidP="005A0219">
            <w:pPr>
              <w:rPr>
                <w:rFonts w:ascii="Georgia" w:eastAsia="Georgia" w:hAnsi="Georgia" w:cs="Arial Unicode MS"/>
                <w:i/>
                <w:sz w:val="20"/>
                <w:szCs w:val="20"/>
              </w:rPr>
            </w:pPr>
            <w:r w:rsidRPr="00C97275">
              <w:rPr>
                <w:rFonts w:ascii="Georgia" w:eastAsia="Georgia" w:hAnsi="Georgia" w:cs="Arial Unicode MS"/>
                <w:i/>
                <w:sz w:val="20"/>
                <w:szCs w:val="20"/>
              </w:rPr>
              <w:t>Poveikis centrinio šildymo sistemoms</w:t>
            </w:r>
          </w:p>
        </w:tc>
        <w:tc>
          <w:tcPr>
            <w:tcW w:w="6893" w:type="dxa"/>
          </w:tcPr>
          <w:p w14:paraId="7D8C9B94"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Plačios apimties renovacijos miestuose gali turėti poveikį centrinės šildymo gamybos ir tiekimo sistemoms dėl sparčiai sumažėjusio šilumos energijos suvartojimo. Nacionalinėje energetinės nepriklausomybės strategijoje yra nustatyta, kad dėl daugiabučių namų renovacijos iki 2020 metų šilumos </w:t>
            </w:r>
            <w:r w:rsidRPr="00C97275">
              <w:rPr>
                <w:rFonts w:ascii="Georgia" w:eastAsia="Georgia" w:hAnsi="Georgia" w:cs="Arial"/>
                <w:sz w:val="20"/>
                <w:szCs w:val="20"/>
              </w:rPr>
              <w:lastRenderedPageBreak/>
              <w:t xml:space="preserve">suvartojimas sumažės apie 30-40%. </w:t>
            </w:r>
          </w:p>
          <w:p w14:paraId="16396C43"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33FB049B"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Remiantis Lietuvos šilumos tiekėjų asociacijos nuomone, nors dėl daugiabučių namų renovacijos šilumos energijos suvartojimas turėtų sumažėti, šildymo kainos neturėtų žymiai išaugti, nes kiekvienais metais auga naujų šilumos vartotojų skaičius. Panaši pozicija taip pat buvo palaikoma ir Lietuvos energetikos konsultantų asociacijos.</w:t>
            </w:r>
          </w:p>
          <w:p w14:paraId="3FEC85FA" w14:textId="77777777" w:rsidR="005A0219" w:rsidRPr="00C97275" w:rsidRDefault="005A0219" w:rsidP="0061566A">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 xml:space="preserve"> </w:t>
            </w:r>
          </w:p>
          <w:p w14:paraId="6FDC8F39" w14:textId="77777777" w:rsidR="005A0219" w:rsidRPr="00C97275" w:rsidRDefault="005A0219" w:rsidP="00807B3C">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Nepaisant to, didelės apimties renovacija miestuose turėtų būti diskutuojama ir derinama su šilumos tiekimo įmonėmis, kad jos galėtų planuoti reikiamas investicijas į infrastruktūrą.</w:t>
            </w:r>
          </w:p>
          <w:p w14:paraId="7B6F81E1" w14:textId="77777777" w:rsidR="005A0219" w:rsidRPr="00C97275" w:rsidRDefault="005A0219" w:rsidP="003C0878">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7FD67E75" w14:textId="77777777" w:rsidR="005A0219" w:rsidRPr="00C97275" w:rsidRDefault="005A0219" w:rsidP="003C0878">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BETA prognozuoja, kad šiuo metu planuojama plačios apimties renovacija neturėtų turėti didelės įtakos šilumos energijos suvartojimo sumažėjimui ir šis klausimas turėtų būti keliamas planuojant tolesnę renovaciją nuo 2018 metų. Buvo rekomenduota visose savivaldybėse apsvarstyti ir aptarti šiuos klausimus su vietos šilumos tiekėjais, siekiant palengvinti reikiamų koregavimų įdiegimą centrinėse šildymo sistemose.</w:t>
            </w:r>
          </w:p>
          <w:p w14:paraId="62BE5A18" w14:textId="77777777" w:rsidR="005A0219" w:rsidRPr="00C97275" w:rsidRDefault="005A0219" w:rsidP="003C0878">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3B9333D8" w14:textId="77777777" w:rsidR="005A0219" w:rsidRPr="00C97275" w:rsidRDefault="005A0219" w:rsidP="0063781D">
            <w:pPr>
              <w:keepNext/>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i/>
                <w:sz w:val="20"/>
                <w:szCs w:val="20"/>
              </w:rPr>
            </w:pPr>
            <w:r w:rsidRPr="00C97275">
              <w:rPr>
                <w:rFonts w:ascii="Georgia" w:eastAsia="Georgia" w:hAnsi="Georgia" w:cs="Arial"/>
                <w:i/>
                <w:sz w:val="20"/>
                <w:szCs w:val="20"/>
              </w:rPr>
              <w:t xml:space="preserve">Projekto vykdytojas gali nuspręsti pasikliauti „greitais ir pigiais“ sprendimais ignoruodamas pastato renovavimo poreikius </w:t>
            </w:r>
          </w:p>
          <w:p w14:paraId="1938B93E"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Atlikus visapusišką pastatų renovavimą ne tik sutaupoma daugiausia energijos, bet ir užtikrinamos komfortiškos sąlygos, pagerinama pastato išorinė būklė, padidinama pastato vertė. Todėl jei projekto vykdytojas renkasi visapusiškai nerenovuoti viešosios paskirties pastato ir pasikliauna „greitais ir pigiais“ sprendimais, gali būti nepasiektas tikėtinas rezultatas.</w:t>
            </w:r>
          </w:p>
          <w:p w14:paraId="302735D9" w14:textId="77777777" w:rsidR="005A0219" w:rsidRPr="00C97275"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C97275" w14:paraId="128E8FE2"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00B64FB9" w14:textId="77777777" w:rsidR="005A0219" w:rsidRPr="00C97275" w:rsidRDefault="005A0219" w:rsidP="005A0219">
            <w:pPr>
              <w:keepNext/>
              <w:rPr>
                <w:rFonts w:ascii="Georgia" w:eastAsia="Georgia" w:hAnsi="Georgia" w:cs="Arial"/>
                <w:i/>
                <w:sz w:val="20"/>
                <w:szCs w:val="20"/>
              </w:rPr>
            </w:pPr>
            <w:r w:rsidRPr="00C97275">
              <w:rPr>
                <w:rFonts w:ascii="Georgia" w:eastAsia="Georgia" w:hAnsi="Georgia" w:cs="Arial"/>
                <w:i/>
                <w:sz w:val="20"/>
                <w:szCs w:val="20"/>
              </w:rPr>
              <w:lastRenderedPageBreak/>
              <w:t>Pastatų savininkų nepagrįsti lūkesčiai dėl šildymo energijos taupymo</w:t>
            </w:r>
          </w:p>
        </w:tc>
        <w:tc>
          <w:tcPr>
            <w:tcW w:w="6893" w:type="dxa"/>
          </w:tcPr>
          <w:p w14:paraId="6D1D2261"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Jei pastatas priskiriamas F, E ar D kategorijai, tai nebūtinai reiškia, kad jo galimybės sutaupyti šilumą yra didelės. Priskiriant pastatą energinio efektyvumo klasei, būna vertinamas ne tik šilumos, bet ir elektros energijos suvartojimas. Pavyzdžiui, ligoninė su mechanine vėdinimo sistema, elektriniais karšto vandens ruošimo boileriais gali būti priskirta D ar net E klasei, bet šilumos kiekis, suvartojamas 1 m</w:t>
            </w:r>
            <w:r w:rsidRPr="00C97275">
              <w:rPr>
                <w:rFonts w:ascii="Georgia" w:eastAsia="Georgia" w:hAnsi="Georgia" w:cs="Arial"/>
                <w:sz w:val="20"/>
                <w:szCs w:val="20"/>
                <w:vertAlign w:val="superscript"/>
              </w:rPr>
              <w:t>2</w:t>
            </w:r>
            <w:r w:rsidRPr="00C97275">
              <w:rPr>
                <w:rFonts w:ascii="Georgia" w:eastAsia="Georgia" w:hAnsi="Georgia" w:cs="Arial"/>
                <w:sz w:val="20"/>
                <w:szCs w:val="20"/>
              </w:rPr>
              <w:t>, gali būti nedidelis. Šiuo atveju sutaupytos šilumos kiekis taip pat bus nedidelis.</w:t>
            </w:r>
          </w:p>
          <w:p w14:paraId="11BCC998"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C97275" w14:paraId="3300FBBA"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02328568" w14:textId="77777777" w:rsidR="005A0219" w:rsidRPr="00C97275" w:rsidRDefault="005A0219" w:rsidP="005A0219">
            <w:pPr>
              <w:keepNext/>
              <w:rPr>
                <w:rFonts w:ascii="Georgia" w:eastAsia="Georgia" w:hAnsi="Georgia" w:cs="Arial"/>
                <w:i/>
                <w:sz w:val="20"/>
                <w:szCs w:val="20"/>
              </w:rPr>
            </w:pPr>
            <w:r w:rsidRPr="00C97275">
              <w:rPr>
                <w:rFonts w:ascii="Georgia" w:eastAsia="Georgia" w:hAnsi="Georgia" w:cs="Arial"/>
                <w:i/>
                <w:sz w:val="20"/>
                <w:szCs w:val="20"/>
              </w:rPr>
              <w:t xml:space="preserve">Trumpalaikių paskolų refinansavimo galimybės </w:t>
            </w:r>
          </w:p>
        </w:tc>
        <w:tc>
          <w:tcPr>
            <w:tcW w:w="6893" w:type="dxa"/>
          </w:tcPr>
          <w:p w14:paraId="67349203"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C97275">
              <w:rPr>
                <w:rFonts w:ascii="Georgia" w:eastAsia="Georgia" w:hAnsi="Georgia" w:cs="Arial"/>
                <w:sz w:val="20"/>
                <w:szCs w:val="20"/>
              </w:rPr>
              <w:t>Viena pagrindinių komercinių bankų išskiriamų kliūčių yra neapibrėžtumas dėl to, ar pasibaigus projekto įgyvendinimui paskolos gavėjas turės galimybę refinansuoti trumpalaikę paskolą. Tokių mechanizmų nebuvimas sukurs papildomų sunkumų norint gauti trumpalaikį finansavimą.</w:t>
            </w:r>
          </w:p>
          <w:p w14:paraId="66D275E0" w14:textId="77777777" w:rsidR="005A0219" w:rsidRPr="00C97275"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C97275" w14:paraId="4AC32BA5"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47C5D0E2" w14:textId="77777777" w:rsidR="005A0219" w:rsidRPr="00C97275" w:rsidRDefault="005A0219" w:rsidP="005A0219">
            <w:pPr>
              <w:keepNext/>
              <w:rPr>
                <w:rFonts w:ascii="Georgia" w:eastAsia="Georgia" w:hAnsi="Georgia" w:cs="Arial"/>
                <w:i/>
                <w:sz w:val="20"/>
                <w:szCs w:val="20"/>
              </w:rPr>
            </w:pPr>
            <w:r w:rsidRPr="00C97275">
              <w:rPr>
                <w:rFonts w:ascii="Georgia" w:eastAsia="Georgia" w:hAnsi="Georgia" w:cs="Arial"/>
                <w:i/>
                <w:sz w:val="20"/>
                <w:szCs w:val="20"/>
              </w:rPr>
              <w:t>Per maža projektų apimtis ir rizikos pasidalijimas</w:t>
            </w:r>
          </w:p>
        </w:tc>
        <w:tc>
          <w:tcPr>
            <w:tcW w:w="6893" w:type="dxa"/>
          </w:tcPr>
          <w:p w14:paraId="0AEB3E6E"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Pastatų renovacijos pavieniai projektai TFI yra per mažos apimties, be to, šios institucijos nefinansuoja 100 proc. projekto vertės, taip išvengdamos visos rizikos prisiėmimo bei pritraukdamos papildomų lėšų ir kompetencijų projekto finansavimui:</w:t>
            </w:r>
          </w:p>
          <w:p w14:paraId="7DC6AAA5" w14:textId="77777777" w:rsidR="005A0219" w:rsidRPr="00C97275" w:rsidRDefault="005A0219" w:rsidP="0063781D">
            <w:pPr>
              <w:numPr>
                <w:ilvl w:val="0"/>
                <w:numId w:val="33"/>
              </w:numPr>
              <w:ind w:firstLine="0"/>
              <w:contextualSpacing/>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i/>
                <w:sz w:val="20"/>
                <w:szCs w:val="20"/>
              </w:rPr>
              <w:t>Europos plėtros ir rekonstrukcijos bankas</w:t>
            </w:r>
            <w:r w:rsidRPr="00C97275">
              <w:rPr>
                <w:rFonts w:ascii="Georgia" w:eastAsia="Georgia" w:hAnsi="Georgia" w:cs="Times New Roman"/>
                <w:sz w:val="20"/>
                <w:szCs w:val="20"/>
              </w:rPr>
              <w:t>. Vienam projektui nėra skiriamas didesnis finansavimas nei 35 proc. viso projekto išlaidų; finansavimo dydis ne mažesnis nei 5 mln. eurų;</w:t>
            </w:r>
          </w:p>
          <w:p w14:paraId="498D6DFB" w14:textId="77777777" w:rsidR="005A0219" w:rsidRPr="00C97275" w:rsidRDefault="005A0219" w:rsidP="0063781D">
            <w:pPr>
              <w:numPr>
                <w:ilvl w:val="0"/>
                <w:numId w:val="33"/>
              </w:numPr>
              <w:ind w:firstLine="0"/>
              <w:contextualSpacing/>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i/>
                <w:sz w:val="20"/>
                <w:szCs w:val="20"/>
              </w:rPr>
              <w:t>Europos investicijų bankas</w:t>
            </w:r>
            <w:r w:rsidRPr="00C97275">
              <w:rPr>
                <w:rFonts w:ascii="Georgia" w:eastAsia="Georgia" w:hAnsi="Georgia" w:cs="Times New Roman"/>
                <w:sz w:val="20"/>
                <w:szCs w:val="20"/>
              </w:rPr>
              <w:t>. Vienam projektui nėra skiriamas didesnis finansavimas nei 50 proc. viso projekto išlaidų; finansavimo dydis ne mažesnis nei 25 mln. eurų; jeigu projektas yra mažesnės apimties, finansavimas gali būti teikiamas per finansinius tarpininkus;</w:t>
            </w:r>
          </w:p>
          <w:p w14:paraId="51C121B4" w14:textId="77777777" w:rsidR="005A0219" w:rsidRPr="00C97275" w:rsidRDefault="005A0219" w:rsidP="0063781D">
            <w:pPr>
              <w:numPr>
                <w:ilvl w:val="0"/>
                <w:numId w:val="33"/>
              </w:numPr>
              <w:spacing w:after="120"/>
              <w:ind w:left="714" w:firstLine="0"/>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i/>
                <w:sz w:val="20"/>
                <w:szCs w:val="20"/>
              </w:rPr>
              <w:t>Šiaurės investicijų bankas</w:t>
            </w:r>
            <w:r w:rsidRPr="00C97275">
              <w:rPr>
                <w:rFonts w:ascii="Georgia" w:eastAsia="Georgia" w:hAnsi="Georgia" w:cs="Times New Roman"/>
                <w:sz w:val="20"/>
                <w:szCs w:val="20"/>
              </w:rPr>
              <w:t>. Vienam projektui nėra skiriamas didesnis finansavimas nei 50 proc. viso projekto išlaidų; finansavimo dydis ne mažesnis nei 5 mln. eurų.</w:t>
            </w:r>
          </w:p>
          <w:p w14:paraId="7936E954"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 xml:space="preserve">Atsižvelgiant į tai, tikėtina, kad nė viena tarptautinė finansų institucija nefinansuotų pavienių pastatų energijos efektyvumo projektų dėl per mažos jų apimties. Tačiau didžiųjų miestų gatvių apšvietimo projektai yra pakankamos apimties, kad pavieniai projektai potencialiai galėtų būti finansuojami tarptautinių finansų institucijų. Vis dėlto šioje pasiūlos analizėje konkreti finansavimo apimtis, kurią galėtų skirti gatvių apšvietimo modernizavimui tarptautinės finansų institucijos, nėra nurodoma dėl informacijos stokos. </w:t>
            </w:r>
          </w:p>
          <w:p w14:paraId="4AA22DC8" w14:textId="77777777" w:rsidR="005A0219" w:rsidRPr="00C97275"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tc>
      </w:tr>
    </w:tbl>
    <w:p w14:paraId="3C6E388D" w14:textId="77777777" w:rsidR="005A0219" w:rsidRPr="00C97275" w:rsidRDefault="005A0219" w:rsidP="005A0219">
      <w:pPr>
        <w:spacing w:after="160" w:line="240" w:lineRule="auto"/>
        <w:jc w:val="both"/>
        <w:rPr>
          <w:rFonts w:ascii="Georgia" w:eastAsia="Georgia" w:hAnsi="Georgia" w:cs="Arial Unicode MS"/>
          <w:b/>
          <w:iCs/>
          <w:color w:val="821A1A"/>
          <w:sz w:val="20"/>
          <w:szCs w:val="18"/>
          <w:lang w:val="lt-LT"/>
        </w:rPr>
      </w:pPr>
      <w:r w:rsidRPr="00C97275">
        <w:rPr>
          <w:rFonts w:ascii="Georgia" w:eastAsia="Georgia" w:hAnsi="Georgia" w:cs="Arial Unicode MS"/>
          <w:i/>
          <w:iCs/>
          <w:color w:val="821A1A"/>
          <w:sz w:val="20"/>
          <w:szCs w:val="18"/>
          <w:lang w:val="lt-LT"/>
        </w:rPr>
        <w:t>Šaltinis: sudaryta autorių</w:t>
      </w:r>
    </w:p>
    <w:p w14:paraId="482E9C1B" w14:textId="77777777" w:rsidR="00662169" w:rsidRPr="00C97275" w:rsidRDefault="00662169" w:rsidP="00662169">
      <w:pPr>
        <w:rPr>
          <w:rFonts w:ascii="Georgia" w:hAnsi="Georgia"/>
          <w:i/>
          <w:sz w:val="20"/>
          <w:lang w:val="lt-LT"/>
        </w:rPr>
      </w:pPr>
      <w:bookmarkStart w:id="116" w:name="_Hlk496653808"/>
      <w:r w:rsidRPr="00C97275">
        <w:rPr>
          <w:rFonts w:ascii="Georgia" w:hAnsi="Georgia"/>
          <w:i/>
          <w:sz w:val="20"/>
          <w:lang w:val="lt-LT"/>
        </w:rPr>
        <w:t xml:space="preserve">ESCO modelis </w:t>
      </w:r>
    </w:p>
    <w:p w14:paraId="3F2784E9" w14:textId="77777777" w:rsidR="00662169" w:rsidRPr="00C97275" w:rsidRDefault="00662169" w:rsidP="00662169">
      <w:pPr>
        <w:jc w:val="both"/>
        <w:rPr>
          <w:rFonts w:ascii="Georgia" w:hAnsi="Georgia"/>
          <w:sz w:val="20"/>
          <w:lang w:val="lt-LT"/>
        </w:rPr>
      </w:pPr>
      <w:r w:rsidRPr="00C97275">
        <w:rPr>
          <w:rFonts w:ascii="Georgia" w:hAnsi="Georgia"/>
          <w:sz w:val="20"/>
          <w:lang w:val="lt-LT"/>
        </w:rPr>
        <w:t>ESCO tai energetinių paslaugų bendrovė (angl. Energy Service Company), kuri sudarydama Energetinių paslaugų sutartį (angl. Energy Performance Contract) su pastato valdytoju investuoja į pastato energinio efektyvumo priemones ir per sutarties galiojimo laikotarpį iš būsimų energijos sutaupymų padengia patirtas investicijas. Šio modelio esmė – didžiausias energijos sutaupymų efektas nepatiriant didelių pradinių investicijų naštos.</w:t>
      </w:r>
    </w:p>
    <w:p w14:paraId="6A22B4F6" w14:textId="77777777" w:rsidR="00662169" w:rsidRPr="00C97275" w:rsidRDefault="00662169" w:rsidP="00662169">
      <w:pPr>
        <w:jc w:val="center"/>
        <w:rPr>
          <w:rFonts w:ascii="Georgia" w:hAnsi="Georgia"/>
          <w:sz w:val="20"/>
          <w:lang w:val="lt-LT"/>
        </w:rPr>
      </w:pPr>
      <w:r w:rsidRPr="00C97275">
        <w:rPr>
          <w:rFonts w:ascii="Georgia" w:hAnsi="Georgia"/>
          <w:noProof/>
          <w:lang w:val="lt-LT" w:eastAsia="lt-LT"/>
        </w:rPr>
        <w:lastRenderedPageBreak/>
        <w:drawing>
          <wp:inline distT="0" distB="0" distL="0" distR="0" wp14:anchorId="72E1CF14" wp14:editId="3458D618">
            <wp:extent cx="4079019" cy="3108960"/>
            <wp:effectExtent l="0" t="0" r="0" b="0"/>
            <wp:docPr id="11" name="Paveikslėlis 7" descr="C:\Users\rolandas.marcinkevicius.VIPA\Desktop\ESCO modelis 2 - Kopija.png"/>
            <wp:cNvGraphicFramePr/>
            <a:graphic xmlns:a="http://schemas.openxmlformats.org/drawingml/2006/main">
              <a:graphicData uri="http://schemas.openxmlformats.org/drawingml/2006/picture">
                <pic:pic xmlns:pic="http://schemas.openxmlformats.org/drawingml/2006/picture">
                  <pic:nvPicPr>
                    <pic:cNvPr id="2" name="Paveikslėlis 2" descr="C:\Users\rolandas.marcinkevicius.VIPA\Desktop\ESCO modelis 2 - Kopija.png"/>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082155" cy="3111350"/>
                    </a:xfrm>
                    <a:prstGeom prst="rect">
                      <a:avLst/>
                    </a:prstGeom>
                    <a:noFill/>
                    <a:ln>
                      <a:noFill/>
                    </a:ln>
                  </pic:spPr>
                </pic:pic>
              </a:graphicData>
            </a:graphic>
          </wp:inline>
        </w:drawing>
      </w:r>
    </w:p>
    <w:p w14:paraId="508524CC" w14:textId="2938E99B" w:rsidR="00662169" w:rsidRPr="00C97275" w:rsidRDefault="00662169" w:rsidP="00662169">
      <w:pPr>
        <w:pStyle w:val="Antrat"/>
        <w:rPr>
          <w:lang w:val="lt-LT"/>
        </w:rPr>
      </w:pPr>
      <w:bookmarkStart w:id="117" w:name="_Toc19105290"/>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6</w:t>
      </w:r>
      <w:r w:rsidRPr="00C97275">
        <w:rPr>
          <w:lang w:val="lt-LT"/>
        </w:rPr>
        <w:fldChar w:fldCharType="end"/>
      </w:r>
      <w:r w:rsidRPr="00C97275">
        <w:rPr>
          <w:lang w:val="lt-LT"/>
        </w:rPr>
        <w:t xml:space="preserve">. </w:t>
      </w:r>
      <w:r w:rsidRPr="00C97275">
        <w:rPr>
          <w:rFonts w:eastAsia="Times New Roman"/>
          <w:szCs w:val="20"/>
          <w:lang w:val="lt-LT" w:eastAsia="lt-LT"/>
        </w:rPr>
        <w:t>ESCO modelio schema</w:t>
      </w:r>
      <w:bookmarkEnd w:id="117"/>
    </w:p>
    <w:p w14:paraId="1EE18160" w14:textId="77777777" w:rsidR="00662169" w:rsidRPr="00C97275" w:rsidRDefault="00662169" w:rsidP="00662169">
      <w:pPr>
        <w:jc w:val="both"/>
        <w:rPr>
          <w:rFonts w:ascii="Georgia" w:hAnsi="Georgia"/>
          <w:sz w:val="20"/>
          <w:lang w:val="lt-LT"/>
        </w:rPr>
      </w:pPr>
    </w:p>
    <w:p w14:paraId="4C2CFC7E" w14:textId="77777777" w:rsidR="00662169" w:rsidRPr="00C97275" w:rsidRDefault="00662169" w:rsidP="00662169">
      <w:pPr>
        <w:jc w:val="both"/>
        <w:rPr>
          <w:rFonts w:ascii="Georgia" w:hAnsi="Georgia"/>
          <w:b/>
          <w:sz w:val="20"/>
          <w:lang w:val="lt-LT"/>
        </w:rPr>
      </w:pPr>
      <w:r w:rsidRPr="00C97275">
        <w:rPr>
          <w:rFonts w:ascii="Georgia" w:hAnsi="Georgia"/>
          <w:b/>
          <w:sz w:val="20"/>
          <w:lang w:val="lt-LT"/>
        </w:rPr>
        <w:t>ESCO modelio taikymas centrinės valdžios viešiesiems pastatams</w:t>
      </w:r>
    </w:p>
    <w:p w14:paraId="74DF4596" w14:textId="77777777" w:rsidR="00662169" w:rsidRPr="00C97275" w:rsidRDefault="00662169" w:rsidP="00662169">
      <w:pPr>
        <w:jc w:val="both"/>
        <w:rPr>
          <w:rFonts w:ascii="Georgia" w:hAnsi="Georgia"/>
          <w:sz w:val="20"/>
          <w:lang w:val="lt-LT"/>
        </w:rPr>
      </w:pPr>
      <w:r w:rsidRPr="00C97275">
        <w:rPr>
          <w:rFonts w:ascii="Georgia" w:hAnsi="Georgia"/>
          <w:sz w:val="20"/>
          <w:lang w:val="lt-LT"/>
        </w:rPr>
        <w:t xml:space="preserve">Centrinės valdžios viešiesiems pastatams šis modelis galėtų būti taikomas dėl to, kad teisiškai biudžetinėms įstaigoms tiesiogiai negali būti teikiamos paskolos. Šio modelio atveju pastato valdytojui taip pat nereikia rūpintis projekto įgyvendinimu ir finansavimu, viską savo rizika atlieka ESCO kompanija, kuri projektą įgyvendina ieškodama geriausio techninio sprendimo bei panaudodama savo žinias, patirtį bei naujausias technologijas. </w:t>
      </w:r>
    </w:p>
    <w:p w14:paraId="347D8733" w14:textId="77777777" w:rsidR="00662169" w:rsidRPr="00C97275" w:rsidRDefault="00662169" w:rsidP="00662169">
      <w:pPr>
        <w:jc w:val="both"/>
        <w:rPr>
          <w:rFonts w:ascii="Georgia" w:hAnsi="Georgia"/>
          <w:sz w:val="20"/>
          <w:lang w:val="lt-LT"/>
        </w:rPr>
      </w:pPr>
      <w:r w:rsidRPr="00C97275">
        <w:rPr>
          <w:rFonts w:ascii="Georgia" w:hAnsi="Georgia"/>
          <w:sz w:val="20"/>
          <w:lang w:val="lt-LT"/>
        </w:rPr>
        <w:t>Šio modelio įgyvendinimo atveju ESCO kompanija butų atrenkama įvykdžius viešąjį pirkimą, po kurio viešojo pastato valdytojas ir ESCO kompanija pasirašytų energetinių paslaugų sutartį. Šios sutarties pagrindinis elementas – garantuotas energijos sutaupymas pastate įdiegus energiją taupančias priemones.</w:t>
      </w:r>
    </w:p>
    <w:p w14:paraId="4EB8852B" w14:textId="77777777" w:rsidR="00662169" w:rsidRPr="00C97275" w:rsidRDefault="00662169" w:rsidP="00662169">
      <w:pPr>
        <w:jc w:val="center"/>
        <w:rPr>
          <w:rFonts w:ascii="Georgia" w:hAnsi="Georgia"/>
          <w:sz w:val="20"/>
          <w:lang w:val="lt-LT"/>
        </w:rPr>
      </w:pPr>
      <w:r w:rsidRPr="00C97275">
        <w:rPr>
          <w:rFonts w:ascii="Georgia" w:hAnsi="Georgia"/>
          <w:noProof/>
          <w:sz w:val="20"/>
          <w:lang w:val="lt-LT" w:eastAsia="lt-LT"/>
        </w:rPr>
        <w:drawing>
          <wp:inline distT="0" distB="0" distL="0" distR="0" wp14:anchorId="28998658" wp14:editId="4F1A2432">
            <wp:extent cx="3686175" cy="2516524"/>
            <wp:effectExtent l="0" t="0" r="0" b="0"/>
            <wp:docPr id="14" name="Picture 14" descr="C:\Users\vciapas003\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ciapas003\Downloads\image0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3530" cy="2521545"/>
                    </a:xfrm>
                    <a:prstGeom prst="rect">
                      <a:avLst/>
                    </a:prstGeom>
                    <a:noFill/>
                    <a:ln>
                      <a:noFill/>
                    </a:ln>
                  </pic:spPr>
                </pic:pic>
              </a:graphicData>
            </a:graphic>
          </wp:inline>
        </w:drawing>
      </w:r>
    </w:p>
    <w:p w14:paraId="17D9B411" w14:textId="75525717" w:rsidR="00662169" w:rsidRPr="00C97275" w:rsidRDefault="00662169" w:rsidP="00662169">
      <w:pPr>
        <w:pStyle w:val="Antrat"/>
        <w:rPr>
          <w:lang w:val="lt-LT"/>
        </w:rPr>
      </w:pPr>
      <w:bookmarkStart w:id="118" w:name="_Toc19105291"/>
      <w:r w:rsidRPr="00C97275">
        <w:rPr>
          <w:lang w:val="lt-LT"/>
        </w:rPr>
        <w:lastRenderedPageBreak/>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7</w:t>
      </w:r>
      <w:r w:rsidRPr="00C97275">
        <w:rPr>
          <w:lang w:val="lt-LT"/>
        </w:rPr>
        <w:fldChar w:fldCharType="end"/>
      </w:r>
      <w:r w:rsidRPr="00C97275">
        <w:rPr>
          <w:lang w:val="lt-LT"/>
        </w:rPr>
        <w:t xml:space="preserve">. </w:t>
      </w:r>
      <w:r w:rsidRPr="00C97275">
        <w:rPr>
          <w:rFonts w:eastAsia="Times New Roman"/>
          <w:szCs w:val="20"/>
          <w:lang w:val="lt-LT" w:eastAsia="lt-LT"/>
        </w:rPr>
        <w:t>ESCO modelio naudos pasiskirstymas</w:t>
      </w:r>
      <w:bookmarkEnd w:id="118"/>
    </w:p>
    <w:p w14:paraId="2ABAECED" w14:textId="326177BF" w:rsidR="00917572" w:rsidRPr="00C97275" w:rsidRDefault="00662169" w:rsidP="00302F74">
      <w:pPr>
        <w:jc w:val="both"/>
        <w:rPr>
          <w:rFonts w:ascii="Georgia" w:hAnsi="Georgia"/>
          <w:sz w:val="20"/>
          <w:lang w:val="lt-LT"/>
        </w:rPr>
      </w:pPr>
      <w:r w:rsidRPr="00C97275">
        <w:rPr>
          <w:rFonts w:ascii="Georgia" w:hAnsi="Georgia"/>
          <w:sz w:val="20"/>
          <w:lang w:val="lt-LT"/>
        </w:rPr>
        <w:t xml:space="preserve">Pagrindinis šio modelio privalumas yra tai, kad ESCO kompanijos prisiima riziką, kad energijos sutaupymai po renovacijos tikrai bus pasiekti. Taip pat, pagal naujausius </w:t>
      </w:r>
      <w:r w:rsidR="0018041C" w:rsidRPr="00C97275">
        <w:rPr>
          <w:rFonts w:ascii="Georgia" w:hAnsi="Georgia"/>
          <w:sz w:val="20"/>
          <w:lang w:val="lt-LT"/>
        </w:rPr>
        <w:t xml:space="preserve">Eurostato </w:t>
      </w:r>
      <w:r w:rsidRPr="00C97275">
        <w:rPr>
          <w:rFonts w:ascii="Georgia" w:hAnsi="Georgia"/>
          <w:sz w:val="20"/>
          <w:lang w:val="lt-LT"/>
        </w:rPr>
        <w:t>išaiškinimus, įgyvendinant renovacijos projektus per ESCO modelį patiriamos kapitalinės išlaidos neįsiskaičiuoja į valstybės ar savivaldybių skolą.</w:t>
      </w:r>
    </w:p>
    <w:p w14:paraId="6B7C4A5E" w14:textId="70E461B5" w:rsidR="005A0219" w:rsidRPr="00C97275" w:rsidRDefault="005A0219" w:rsidP="005A0219">
      <w:pPr>
        <w:keepNext/>
        <w:spacing w:after="160" w:line="240" w:lineRule="auto"/>
        <w:rPr>
          <w:rFonts w:ascii="Georgia" w:eastAsia="Georgia" w:hAnsi="Georgia" w:cs="Arial Unicode MS"/>
          <w:i/>
          <w:sz w:val="24"/>
          <w:szCs w:val="20"/>
          <w:lang w:val="lt-LT"/>
        </w:rPr>
      </w:pPr>
      <w:r w:rsidRPr="00C97275">
        <w:rPr>
          <w:rFonts w:ascii="Georgia" w:eastAsia="Georgia" w:hAnsi="Georgia" w:cs="Arial Unicode MS"/>
          <w:i/>
          <w:sz w:val="24"/>
          <w:szCs w:val="20"/>
          <w:lang w:val="lt-LT"/>
        </w:rPr>
        <w:t xml:space="preserve">ESCO modelio įgyvendinimo rinkoje barjerai </w:t>
      </w:r>
    </w:p>
    <w:bookmarkEnd w:id="116"/>
    <w:p w14:paraId="1A3DED7D" w14:textId="73310878" w:rsidR="005A0219" w:rsidRPr="00C97275" w:rsidRDefault="005A0219" w:rsidP="005A0219">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ESCO modelis – vienas iš būdų sumažinti susidariusius finansavimo trūkumus, kadangi, pagal paplitusią ESCO modelio įgyvendinimo praktiką, ESCO kompanija pati pasirūpina investicijų finansavimu, projekto įgyvendinimu ir rezultatų priežiūra. ESCO kompanija investicijas gali finansuoti nuosavomis, motininės įmonės, skolintomis lėšomis. ESCO kompanija – tradiciškai privati kompanija, todėl privataus kapitalo įmonėms prieiga prie įvairų finansavimo šaltinių gali būti paprastesnė, dėl to, kad įmonės neturi apribojimų skolintis. ESCO kompanija turi pakankamas kompetencijas įgyvendinti tokius projektus ir pan. Taigi ESCO modelis – vienas iš būdų pasiekti geresnius rezultatus. </w:t>
      </w:r>
    </w:p>
    <w:p w14:paraId="63842784" w14:textId="781130F1" w:rsidR="009648EB" w:rsidRPr="00C97275" w:rsidRDefault="009648EB" w:rsidP="009648EB">
      <w:pPr>
        <w:jc w:val="both"/>
        <w:rPr>
          <w:rFonts w:ascii="Georgia" w:hAnsi="Georgia"/>
          <w:sz w:val="20"/>
          <w:szCs w:val="20"/>
          <w:lang w:val="lt-LT"/>
        </w:rPr>
      </w:pPr>
      <w:r w:rsidRPr="00C97275">
        <w:rPr>
          <w:rFonts w:ascii="Georgia" w:hAnsi="Georgia"/>
          <w:sz w:val="20"/>
          <w:szCs w:val="20"/>
          <w:lang w:val="lt-LT"/>
        </w:rPr>
        <w:t xml:space="preserve">Pastebima, jog ESCO rinka Lietuvoje dar nėra susiformavusi. Nėra ne tik oficialaus </w:t>
      </w:r>
      <w:r w:rsidR="0018041C" w:rsidRPr="00C97275">
        <w:rPr>
          <w:rFonts w:ascii="Georgia" w:hAnsi="Georgia"/>
          <w:sz w:val="20"/>
          <w:szCs w:val="20"/>
          <w:lang w:val="lt-LT"/>
        </w:rPr>
        <w:t>ESCO</w:t>
      </w:r>
      <w:r w:rsidRPr="00C97275">
        <w:rPr>
          <w:rFonts w:ascii="Georgia" w:hAnsi="Georgia"/>
          <w:sz w:val="20"/>
          <w:szCs w:val="20"/>
          <w:lang w:val="lt-LT"/>
        </w:rPr>
        <w:t xml:space="preserve"> įmonių sąrašo, tačiau ir aiškių bendrų kriterijų pagal kuriuos įmonės galėtų būti priskirtos ESCO tipui. Dauguma įmonių, kurias labiausiai domina energijos taupymo paslaugų teikimas yra finansiškai nepajėgios, o pajėgiausi</w:t>
      </w:r>
      <w:r w:rsidR="0018041C" w:rsidRPr="00C97275">
        <w:rPr>
          <w:rFonts w:ascii="Georgia" w:hAnsi="Georgia"/>
          <w:sz w:val="20"/>
          <w:szCs w:val="20"/>
          <w:lang w:val="lt-LT"/>
        </w:rPr>
        <w:t>o</w:t>
      </w:r>
      <w:r w:rsidRPr="00C97275">
        <w:rPr>
          <w:rFonts w:ascii="Georgia" w:hAnsi="Georgia"/>
          <w:sz w:val="20"/>
          <w:szCs w:val="20"/>
          <w:lang w:val="lt-LT"/>
        </w:rPr>
        <w:t xml:space="preserve">s </w:t>
      </w:r>
      <w:r w:rsidR="0018041C" w:rsidRPr="00C97275">
        <w:rPr>
          <w:rFonts w:ascii="Georgia" w:hAnsi="Georgia"/>
          <w:sz w:val="20"/>
          <w:szCs w:val="20"/>
          <w:lang w:val="lt-LT"/>
        </w:rPr>
        <w:t xml:space="preserve">veikia </w:t>
      </w:r>
      <w:r w:rsidRPr="00C97275">
        <w:rPr>
          <w:rFonts w:ascii="Georgia" w:hAnsi="Georgia"/>
          <w:sz w:val="20"/>
          <w:szCs w:val="20"/>
          <w:lang w:val="lt-LT"/>
        </w:rPr>
        <w:t xml:space="preserve">medžiagų ir įrangos pardavimo, statybų ir energijos tiekimo sektoriuose. Iki šiol nėra nei vieno sėkmingai įgyvendinto ESCO projekto, komerciniai bankai nėra susipažinę su tokio modelio veikimu ir rizikomis bei nenori skolinti, nėra iki galo sutvarkyta teisinė bazė, atsipirkimo laikotarpis dažniausiai per ilgas, o per paskutinius ketverius metus mažėjančios vidutinės šilumos kainos šį laikotarpį prailgina dar labiau arba iš viso paverčia pastatų renovavimo projektus ekonomiškai negyvybingais.   </w:t>
      </w:r>
    </w:p>
    <w:p w14:paraId="5FECCD3E" w14:textId="77777777" w:rsidR="009648EB" w:rsidRPr="00C97275" w:rsidRDefault="009648EB" w:rsidP="009648EB">
      <w:pPr>
        <w:jc w:val="both"/>
        <w:rPr>
          <w:rFonts w:ascii="Georgia" w:hAnsi="Georgia"/>
          <w:sz w:val="20"/>
          <w:szCs w:val="20"/>
          <w:lang w:val="lt-LT"/>
        </w:rPr>
      </w:pPr>
      <w:r w:rsidRPr="00C97275">
        <w:rPr>
          <w:rFonts w:ascii="Georgia" w:hAnsi="Georgia"/>
          <w:sz w:val="20"/>
          <w:szCs w:val="20"/>
          <w:lang w:val="lt-LT"/>
        </w:rPr>
        <w:t xml:space="preserve">Vertinant ESCO rinkos perspektyvas Lietuvoje ir ESCO įmonių prisidėjimą renovuojant viešuosius pastatus tenka konstatuoti, jog per ateinančius kelerius metus rinka geriausiu atveju gali tik pradėti formuotis, o įsibėgės tik nuo 2020 metų. Pagrindiniu tokio įsibėgėjimo veiksniu laikomas esamos praktikos formavimasis, teisinės bazės parengimas ir viešųjų pastatų valdytojų motyvacija įgyvendinant renovacijos projektus. </w:t>
      </w:r>
    </w:p>
    <w:p w14:paraId="015423C7" w14:textId="19AFC11A" w:rsidR="005A0219" w:rsidRPr="00C97275" w:rsidRDefault="005A0219" w:rsidP="005A0219">
      <w:pPr>
        <w:spacing w:after="160" w:line="240" w:lineRule="auto"/>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Vertinant ESCO rinkos nepakankamumą galima išskirti keletą papildomų šios problemos susidarymo priežasčių:</w:t>
      </w:r>
    </w:p>
    <w:p w14:paraId="13ED2877" w14:textId="77777777" w:rsidR="005A0219" w:rsidRPr="00C97275" w:rsidRDefault="005A0219" w:rsidP="00162BF5">
      <w:pPr>
        <w:numPr>
          <w:ilvl w:val="0"/>
          <w:numId w:val="72"/>
        </w:numPr>
        <w:spacing w:after="120" w:line="240" w:lineRule="auto"/>
        <w:contextualSpacing/>
        <w:jc w:val="both"/>
        <w:rPr>
          <w:rFonts w:ascii="Georgia" w:eastAsia="Georgia" w:hAnsi="Georgia" w:cs="Arial Unicode MS"/>
          <w:i/>
          <w:sz w:val="20"/>
          <w:szCs w:val="20"/>
          <w:lang w:val="lt-LT"/>
        </w:rPr>
      </w:pPr>
      <w:r w:rsidRPr="00C97275">
        <w:rPr>
          <w:rFonts w:ascii="Georgia" w:eastAsia="Georgia" w:hAnsi="Georgia" w:cs="Arial Unicode MS"/>
          <w:i/>
          <w:sz w:val="20"/>
          <w:szCs w:val="20"/>
          <w:lang w:val="lt-LT"/>
        </w:rPr>
        <w:t>Mažos apimties projektai</w:t>
      </w:r>
    </w:p>
    <w:p w14:paraId="0C36264A" w14:textId="77777777" w:rsidR="005A0219" w:rsidRPr="00C97275" w:rsidRDefault="005A0219" w:rsidP="005A0219">
      <w:pPr>
        <w:spacing w:after="160" w:line="240" w:lineRule="auto"/>
        <w:ind w:left="720"/>
        <w:jc w:val="both"/>
        <w:rPr>
          <w:rFonts w:ascii="Georgia" w:eastAsia="Georgia" w:hAnsi="Georgia" w:cs="Arial Unicode MS"/>
          <w:i/>
          <w:sz w:val="20"/>
          <w:szCs w:val="20"/>
          <w:lang w:val="lt-LT"/>
        </w:rPr>
      </w:pPr>
      <w:r w:rsidRPr="00C97275">
        <w:rPr>
          <w:rFonts w:ascii="Georgia" w:eastAsia="Georgia" w:hAnsi="Georgia" w:cs="Arial Unicode MS"/>
          <w:sz w:val="20"/>
          <w:szCs w:val="20"/>
          <w:lang w:val="lt-LT"/>
        </w:rPr>
        <w:t>ESCO kompanijoms yra sudėtinga įgyvendinti mažos apimties projektus, nes jos turi investuoti daugiau laiko ir išteklių.</w:t>
      </w:r>
    </w:p>
    <w:p w14:paraId="1467A7AF" w14:textId="77777777" w:rsidR="005A0219" w:rsidRPr="00C97275" w:rsidRDefault="005A0219" w:rsidP="00162BF5">
      <w:pPr>
        <w:numPr>
          <w:ilvl w:val="0"/>
          <w:numId w:val="72"/>
        </w:numPr>
        <w:spacing w:after="120" w:line="240" w:lineRule="auto"/>
        <w:contextualSpacing/>
        <w:jc w:val="both"/>
        <w:rPr>
          <w:rFonts w:ascii="Georgia" w:eastAsia="Georgia" w:hAnsi="Georgia" w:cs="Arial Unicode MS"/>
          <w:i/>
          <w:sz w:val="20"/>
          <w:szCs w:val="20"/>
          <w:lang w:val="lt-LT"/>
        </w:rPr>
      </w:pPr>
      <w:r w:rsidRPr="00C97275">
        <w:rPr>
          <w:rFonts w:ascii="Georgia" w:eastAsia="Georgia" w:hAnsi="Georgia" w:cs="Arial Unicode MS"/>
          <w:i/>
          <w:sz w:val="20"/>
          <w:szCs w:val="20"/>
          <w:lang w:val="lt-LT"/>
        </w:rPr>
        <w:t>Centralizuoto šilumos tiekimo įmonių galimybės teikti ESCO paslaugas ir šilumos ūkio sektoriaus reglamentavimas</w:t>
      </w:r>
    </w:p>
    <w:p w14:paraId="6798A8A5" w14:textId="77777777" w:rsidR="005A0219" w:rsidRPr="00C97275" w:rsidRDefault="005A0219" w:rsidP="005A0219">
      <w:pPr>
        <w:spacing w:after="160" w:line="240" w:lineRule="auto"/>
        <w:ind w:left="709"/>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Pagal rinkoje susiklosčiusią praktiką, ESCO paslaugos pastatuose apima pastato šildymo įrengimų ir karšto vandens sistemų atnaujinimą bei techninę priežiūrą. Vadovaujantis LR šilumos ūkio įstatymo 20 straipsnio 2 dalies nuostata „</w:t>
      </w:r>
      <w:r w:rsidRPr="00C97275">
        <w:rPr>
          <w:rFonts w:ascii="Georgia" w:eastAsia="Georgia" w:hAnsi="Georgia" w:cs="Arial Unicode MS"/>
          <w:i/>
          <w:sz w:val="20"/>
          <w:szCs w:val="20"/>
          <w:lang w:val="lt-LT"/>
        </w:rPr>
        <w:t>Pastato šildymo ir karšto vandens sistemos prižiūrėtoju (eksploatuotoju) negali būti šilumos tiekėjas ar asmenys, susiję su šilumos tiekėju darbo santykiais, ar šilumai gaminti naudojamo kuro, šilumos tiekimo veiklai naudojamų apskaitos prietaisų gamintojai, taip pat asmenys, kurie verčiasi šilumai gaminti naudojamo kuro didmenine ar mažmenine prekyba, ar asmenys, kartu su išvardytais asmenimis priklausantys susijusių ūkio subjektų grupei pagal Konkurencijos įstatymą“</w:t>
      </w:r>
      <w:r w:rsidRPr="00C97275">
        <w:rPr>
          <w:rFonts w:ascii="Georgia" w:eastAsia="Georgia" w:hAnsi="Georgia" w:cs="Arial Unicode MS"/>
          <w:sz w:val="20"/>
          <w:szCs w:val="20"/>
          <w:lang w:val="lt-LT"/>
        </w:rPr>
        <w:t>. Atsižvelgiant į šį reglamentavimą, ESCO neturi teisės sudaryti šilumos tiekimo sutarčių ir pastatų savininkams pateikti sąskaitas už šilumos energijos tiekimo paslaugas ir į jas įtraukti savo maržą. Tokiu būdu dalis potencialių ESCO eliminuojama iš rinkos dėl teisinės bazės sukuriamų apribojimų.</w:t>
      </w:r>
    </w:p>
    <w:p w14:paraId="668AAFBF" w14:textId="77777777" w:rsidR="005A0219" w:rsidRPr="00C97275" w:rsidRDefault="005A0219" w:rsidP="00162BF5">
      <w:pPr>
        <w:numPr>
          <w:ilvl w:val="0"/>
          <w:numId w:val="72"/>
        </w:numPr>
        <w:spacing w:after="120" w:line="240" w:lineRule="auto"/>
        <w:contextualSpacing/>
        <w:jc w:val="both"/>
        <w:rPr>
          <w:rFonts w:ascii="Georgia" w:eastAsia="Georgia" w:hAnsi="Georgia" w:cs="Arial Unicode MS"/>
          <w:i/>
          <w:sz w:val="20"/>
          <w:szCs w:val="20"/>
          <w:lang w:val="lt-LT"/>
        </w:rPr>
      </w:pPr>
      <w:r w:rsidRPr="00C97275">
        <w:rPr>
          <w:rFonts w:ascii="Georgia" w:eastAsia="Georgia" w:hAnsi="Georgia" w:cs="Arial Unicode MS"/>
          <w:i/>
          <w:sz w:val="20"/>
          <w:szCs w:val="20"/>
          <w:lang w:val="lt-LT"/>
        </w:rPr>
        <w:t>Nėra vienos gatvių apšvietimo įrangos duomenų bazės</w:t>
      </w:r>
    </w:p>
    <w:p w14:paraId="718526D3" w14:textId="70DD705C" w:rsidR="005A0219" w:rsidRPr="00C97275" w:rsidRDefault="005A0219" w:rsidP="005A0219">
      <w:pPr>
        <w:spacing w:after="160" w:line="240" w:lineRule="auto"/>
        <w:ind w:left="709"/>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Lietuva neturi vienos duomenų bazės, kurioje būtų pateikta informacija apie gatvių apšvietimo įrangą, atskirus tinklo elementus, jų palaikymo ir eksploatavimo sąnaudas. Duomenis apie gatvių apšvietimo tinklą tvarko nemažai įmonių. Dėl duomenų stokos bei </w:t>
      </w:r>
      <w:r w:rsidRPr="00C97275">
        <w:rPr>
          <w:rFonts w:ascii="Georgia" w:eastAsia="Georgia" w:hAnsi="Georgia" w:cs="Arial Unicode MS"/>
          <w:sz w:val="20"/>
          <w:szCs w:val="20"/>
          <w:lang w:val="lt-LT"/>
        </w:rPr>
        <w:lastRenderedPageBreak/>
        <w:t xml:space="preserve">sudėtingo surinkimo trūksta skaidrumo bei informacijos apie infrastruktūros būklę, o </w:t>
      </w:r>
      <w:r w:rsidR="00FB6F18" w:rsidRPr="00C97275">
        <w:rPr>
          <w:rFonts w:ascii="Georgia" w:eastAsia="Georgia" w:hAnsi="Georgia" w:cs="Arial Unicode MS"/>
          <w:sz w:val="20"/>
          <w:szCs w:val="20"/>
          <w:lang w:val="lt-LT"/>
        </w:rPr>
        <w:t xml:space="preserve">ESCO </w:t>
      </w:r>
      <w:r w:rsidRPr="00C97275">
        <w:rPr>
          <w:rFonts w:ascii="Georgia" w:eastAsia="Georgia" w:hAnsi="Georgia" w:cs="Arial Unicode MS"/>
          <w:sz w:val="20"/>
          <w:szCs w:val="20"/>
          <w:lang w:val="lt-LT"/>
        </w:rPr>
        <w:t xml:space="preserve">įmonės turi mažiau galimybių naudotis duomenimis priimdamos sprendimus ankstyvose projektų stadijose. Vienas iš </w:t>
      </w:r>
      <w:r w:rsidR="000D3530" w:rsidRPr="00C97275">
        <w:rPr>
          <w:rFonts w:ascii="Georgia" w:eastAsia="Georgia" w:hAnsi="Georgia" w:cs="Arial Unicode MS"/>
          <w:sz w:val="20"/>
          <w:szCs w:val="20"/>
          <w:lang w:val="lt-LT"/>
        </w:rPr>
        <w:t>sprendimų</w:t>
      </w:r>
      <w:r w:rsidRPr="00C97275">
        <w:rPr>
          <w:rFonts w:ascii="Georgia" w:eastAsia="Georgia" w:hAnsi="Georgia" w:cs="Arial Unicode MS"/>
          <w:sz w:val="20"/>
          <w:szCs w:val="20"/>
          <w:lang w:val="lt-LT"/>
        </w:rPr>
        <w:t xml:space="preserve"> galėtų būti reikalavimas visoms gatvių apšvietimo tinklų įmonėms teikti duomenis į jau veikiančią centrinės valdžios pastatų duomenų bazę.</w:t>
      </w:r>
    </w:p>
    <w:p w14:paraId="1C2F50D6" w14:textId="7A2C6151" w:rsidR="005A0219" w:rsidRPr="00C97275" w:rsidRDefault="005A0219" w:rsidP="005A0219">
      <w:pPr>
        <w:tabs>
          <w:tab w:val="left" w:pos="284"/>
        </w:tabs>
        <w:spacing w:after="160" w:line="240" w:lineRule="auto"/>
        <w:ind w:left="709"/>
        <w:jc w:val="both"/>
        <w:rPr>
          <w:rFonts w:ascii="Georgia" w:eastAsia="Georgia" w:hAnsi="Georgia" w:cs="Arial Unicode MS"/>
          <w:sz w:val="20"/>
          <w:szCs w:val="20"/>
          <w:lang w:val="lt-LT"/>
        </w:rPr>
      </w:pPr>
      <w:r w:rsidRPr="00C97275">
        <w:rPr>
          <w:rFonts w:ascii="Georgia" w:eastAsia="Georgia" w:hAnsi="Georgia" w:cs="Arial Unicode MS"/>
          <w:sz w:val="20"/>
          <w:szCs w:val="20"/>
          <w:lang w:val="lt-LT"/>
        </w:rPr>
        <w:t xml:space="preserve">Neseniai įvesta ir pradėta naudoti Valstybės turto informacinė paieškos sistema (toliau - VTIPS) leido 2017 m. pirmą kartą suskaičiuoti ir įvertinti valstybės valdomą nekilnojamąjį turtą. Šioje duomenų bazėje pradėta kaupti tokia informacija kaip pastatų laisvas ir naudingas plotas, komunalinės išlaidos už šildymą, elektrą ir vandenį, darbuotojų skaičius ir pan. Ši informacija tikėtina paspartins </w:t>
      </w:r>
      <w:r w:rsidR="00FB6F18" w:rsidRPr="00C97275">
        <w:rPr>
          <w:rFonts w:ascii="Georgia" w:eastAsia="Georgia" w:hAnsi="Georgia" w:cs="Arial Unicode MS"/>
          <w:sz w:val="20"/>
          <w:szCs w:val="20"/>
          <w:lang w:val="lt-LT"/>
        </w:rPr>
        <w:t xml:space="preserve">ESCO </w:t>
      </w:r>
      <w:r w:rsidRPr="00C97275">
        <w:rPr>
          <w:rFonts w:ascii="Georgia" w:eastAsia="Georgia" w:hAnsi="Georgia" w:cs="Arial Unicode MS"/>
          <w:sz w:val="20"/>
          <w:szCs w:val="20"/>
          <w:lang w:val="lt-LT"/>
        </w:rPr>
        <w:t xml:space="preserve">rinkos įsibėgėjimą, nes patikimų faktinių duomenų prieinamumas skaičiuojant potencialius energijos sutaupymus yra labai svarbus priimant sprendimus dalyvauti renovacijos projektuose ar ne. </w:t>
      </w:r>
    </w:p>
    <w:p w14:paraId="5E3CCFAC" w14:textId="21522D8C" w:rsidR="00662169" w:rsidRPr="00C97275" w:rsidRDefault="00662169">
      <w:pPr>
        <w:rPr>
          <w:rFonts w:ascii="Georgia" w:eastAsia="Georgia" w:hAnsi="Georgia" w:cs="Arial"/>
          <w:i/>
          <w:sz w:val="20"/>
          <w:szCs w:val="20"/>
          <w:lang w:val="lt-LT"/>
        </w:rPr>
      </w:pPr>
      <w:r w:rsidRPr="00C97275">
        <w:rPr>
          <w:rFonts w:ascii="Georgia" w:eastAsia="Georgia" w:hAnsi="Georgia" w:cs="Arial"/>
          <w:i/>
          <w:sz w:val="20"/>
          <w:szCs w:val="20"/>
          <w:lang w:val="lt-LT"/>
        </w:rPr>
        <w:br w:type="page"/>
      </w:r>
    </w:p>
    <w:p w14:paraId="2D787D74" w14:textId="462A525A" w:rsidR="00D51F4C" w:rsidRPr="00C97275" w:rsidRDefault="00D51F4C" w:rsidP="00162BF5">
      <w:pPr>
        <w:pStyle w:val="Antrat1"/>
        <w:numPr>
          <w:ilvl w:val="0"/>
          <w:numId w:val="19"/>
        </w:numPr>
        <w:spacing w:after="200"/>
        <w:ind w:left="635" w:right="340" w:hanging="567"/>
        <w:rPr>
          <w:lang w:val="lt-LT"/>
        </w:rPr>
      </w:pPr>
      <w:bookmarkStart w:id="119" w:name="_Toc25594665"/>
      <w:r w:rsidRPr="00C97275">
        <w:rPr>
          <w:lang w:val="lt-LT"/>
        </w:rPr>
        <w:lastRenderedPageBreak/>
        <w:t xml:space="preserve">Papildomų privačių </w:t>
      </w:r>
      <w:r w:rsidR="00E718A5" w:rsidRPr="00C97275">
        <w:rPr>
          <w:lang w:val="lt-LT"/>
        </w:rPr>
        <w:t xml:space="preserve">ir viešųjų </w:t>
      </w:r>
      <w:r w:rsidRPr="00C97275">
        <w:rPr>
          <w:lang w:val="lt-LT"/>
        </w:rPr>
        <w:t>lėšų pritraukimas</w:t>
      </w:r>
      <w:bookmarkEnd w:id="119"/>
    </w:p>
    <w:p w14:paraId="4D780C9E" w14:textId="35C2D076" w:rsidR="00E718A5" w:rsidRPr="00C97275" w:rsidRDefault="00E718A5" w:rsidP="00E718A5">
      <w:pPr>
        <w:rPr>
          <w:rFonts w:ascii="Georgia" w:hAnsi="Georgia"/>
          <w:sz w:val="20"/>
          <w:szCs w:val="20"/>
          <w:lang w:val="lt-LT"/>
        </w:rPr>
      </w:pPr>
      <w:r w:rsidRPr="00C97275">
        <w:rPr>
          <w:rFonts w:ascii="Georgia" w:hAnsi="Georgia"/>
          <w:sz w:val="20"/>
          <w:szCs w:val="20"/>
          <w:lang w:val="lt-LT"/>
        </w:rPr>
        <w:t xml:space="preserve">Remiantis EK patvirtintomis finansinių priemonių ex-ante metodikos gairėmis, šioje dalyje </w:t>
      </w:r>
      <w:r w:rsidR="005A6B5F" w:rsidRPr="00C97275">
        <w:rPr>
          <w:rFonts w:ascii="Georgia" w:hAnsi="Georgia"/>
          <w:sz w:val="20"/>
          <w:szCs w:val="20"/>
          <w:lang w:val="lt-LT"/>
        </w:rPr>
        <w:t>vertinamos</w:t>
      </w:r>
      <w:r w:rsidRPr="00C97275">
        <w:rPr>
          <w:rFonts w:ascii="Georgia" w:hAnsi="Georgia"/>
          <w:sz w:val="20"/>
          <w:szCs w:val="20"/>
          <w:lang w:val="lt-LT"/>
        </w:rPr>
        <w:t xml:space="preserve"> galimyb</w:t>
      </w:r>
      <w:r w:rsidR="005A6B5F" w:rsidRPr="00C97275">
        <w:rPr>
          <w:rFonts w:ascii="Georgia" w:hAnsi="Georgia"/>
          <w:sz w:val="20"/>
          <w:szCs w:val="20"/>
          <w:lang w:val="lt-LT"/>
        </w:rPr>
        <w:t>ė</w:t>
      </w:r>
      <w:r w:rsidRPr="00C97275">
        <w:rPr>
          <w:rFonts w:ascii="Georgia" w:hAnsi="Georgia"/>
          <w:sz w:val="20"/>
          <w:szCs w:val="20"/>
          <w:lang w:val="lt-LT"/>
        </w:rPr>
        <w:t>s pritraukti papildom</w:t>
      </w:r>
      <w:r w:rsidR="005A6B5F" w:rsidRPr="00C97275">
        <w:rPr>
          <w:rFonts w:ascii="Georgia" w:hAnsi="Georgia"/>
          <w:sz w:val="20"/>
          <w:szCs w:val="20"/>
          <w:lang w:val="lt-LT"/>
        </w:rPr>
        <w:t>ų</w:t>
      </w:r>
      <w:r w:rsidRPr="00C97275">
        <w:rPr>
          <w:rFonts w:ascii="Georgia" w:hAnsi="Georgia"/>
          <w:sz w:val="20"/>
          <w:szCs w:val="20"/>
          <w:lang w:val="lt-LT"/>
        </w:rPr>
        <w:t xml:space="preserve"> lėš</w:t>
      </w:r>
      <w:r w:rsidR="005A6B5F" w:rsidRPr="00C97275">
        <w:rPr>
          <w:rFonts w:ascii="Georgia" w:hAnsi="Georgia"/>
          <w:sz w:val="20"/>
          <w:szCs w:val="20"/>
          <w:lang w:val="lt-LT"/>
        </w:rPr>
        <w:t>ų</w:t>
      </w:r>
      <w:r w:rsidRPr="00C97275">
        <w:rPr>
          <w:rFonts w:ascii="Georgia" w:hAnsi="Georgia"/>
          <w:sz w:val="20"/>
          <w:szCs w:val="20"/>
          <w:lang w:val="lt-LT"/>
        </w:rPr>
        <w:t xml:space="preserve"> iš privataus ir viešojo sektori</w:t>
      </w:r>
      <w:r w:rsidR="005A6B5F" w:rsidRPr="00C97275">
        <w:rPr>
          <w:rFonts w:ascii="Georgia" w:hAnsi="Georgia"/>
          <w:sz w:val="20"/>
          <w:szCs w:val="20"/>
          <w:lang w:val="lt-LT"/>
        </w:rPr>
        <w:t>ų</w:t>
      </w:r>
      <w:r w:rsidR="00F57ECC" w:rsidRPr="00C97275">
        <w:rPr>
          <w:rFonts w:ascii="Georgia" w:hAnsi="Georgia"/>
          <w:sz w:val="20"/>
          <w:szCs w:val="20"/>
          <w:lang w:val="lt-LT"/>
        </w:rPr>
        <w:t xml:space="preserve">. Atliekant tokį vertinimą </w:t>
      </w:r>
      <w:r w:rsidR="005A6B5F" w:rsidRPr="00C97275">
        <w:rPr>
          <w:rFonts w:ascii="Georgia" w:hAnsi="Georgia"/>
          <w:sz w:val="20"/>
          <w:szCs w:val="20"/>
          <w:lang w:val="lt-LT"/>
        </w:rPr>
        <w:t>siekiama</w:t>
      </w:r>
      <w:r w:rsidRPr="00C97275">
        <w:rPr>
          <w:rFonts w:ascii="Georgia" w:hAnsi="Georgia"/>
          <w:sz w:val="20"/>
          <w:szCs w:val="20"/>
          <w:lang w:val="lt-LT"/>
        </w:rPr>
        <w:t xml:space="preserve"> </w:t>
      </w:r>
      <w:r w:rsidR="00F57ECC" w:rsidRPr="00C97275">
        <w:rPr>
          <w:rFonts w:ascii="Georgia" w:hAnsi="Georgia"/>
          <w:sz w:val="20"/>
          <w:szCs w:val="20"/>
          <w:lang w:val="lt-LT"/>
        </w:rPr>
        <w:t>atsakyti</w:t>
      </w:r>
      <w:r w:rsidRPr="00C97275">
        <w:rPr>
          <w:rFonts w:ascii="Georgia" w:hAnsi="Georgia"/>
          <w:sz w:val="20"/>
          <w:szCs w:val="20"/>
          <w:lang w:val="lt-LT"/>
        </w:rPr>
        <w:t xml:space="preserve"> į </w:t>
      </w:r>
      <w:r w:rsidR="00F57ECC" w:rsidRPr="00C97275">
        <w:rPr>
          <w:rFonts w:ascii="Georgia" w:hAnsi="Georgia"/>
          <w:sz w:val="20"/>
          <w:szCs w:val="20"/>
          <w:lang w:val="lt-LT"/>
        </w:rPr>
        <w:t>du pagrindinius</w:t>
      </w:r>
      <w:r w:rsidRPr="00C97275">
        <w:rPr>
          <w:rFonts w:ascii="Georgia" w:hAnsi="Georgia"/>
          <w:sz w:val="20"/>
          <w:szCs w:val="20"/>
          <w:lang w:val="lt-LT"/>
        </w:rPr>
        <w:t xml:space="preserve"> klausimus:</w:t>
      </w:r>
    </w:p>
    <w:p w14:paraId="2CD38544" w14:textId="30993EFD" w:rsidR="00F57ECC" w:rsidRPr="00C97275" w:rsidRDefault="00F57ECC" w:rsidP="00162BF5">
      <w:pPr>
        <w:pStyle w:val="Sraopastraipa"/>
        <w:numPr>
          <w:ilvl w:val="0"/>
          <w:numId w:val="75"/>
        </w:numPr>
        <w:rPr>
          <w:rFonts w:ascii="Georgia" w:hAnsi="Georgia"/>
          <w:sz w:val="20"/>
          <w:szCs w:val="20"/>
          <w:lang w:val="lt-LT"/>
        </w:rPr>
      </w:pPr>
      <w:r w:rsidRPr="00C97275">
        <w:rPr>
          <w:rFonts w:ascii="Georgia" w:hAnsi="Georgia"/>
          <w:sz w:val="20"/>
          <w:szCs w:val="20"/>
          <w:lang w:val="lt-LT"/>
        </w:rPr>
        <w:t>Ar yra tinkamų privataus sektoriaus finansavimo šaltinių, kuriuos galima būtų panaudoti įgyvendinant finansinę priemonę? ir</w:t>
      </w:r>
    </w:p>
    <w:p w14:paraId="067B5430" w14:textId="183FE1CC" w:rsidR="00F57ECC" w:rsidRPr="00C97275" w:rsidRDefault="00F57ECC" w:rsidP="00162BF5">
      <w:pPr>
        <w:pStyle w:val="Sraopastraipa"/>
        <w:numPr>
          <w:ilvl w:val="0"/>
          <w:numId w:val="75"/>
        </w:numPr>
        <w:rPr>
          <w:rFonts w:ascii="Georgia" w:hAnsi="Georgia"/>
          <w:sz w:val="20"/>
          <w:szCs w:val="20"/>
          <w:lang w:val="lt-LT"/>
        </w:rPr>
      </w:pPr>
      <w:r w:rsidRPr="00C97275">
        <w:rPr>
          <w:rFonts w:ascii="Georgia" w:hAnsi="Georgia"/>
          <w:sz w:val="20"/>
          <w:szCs w:val="20"/>
          <w:lang w:val="lt-LT"/>
        </w:rPr>
        <w:t>Ar yra prieinamų viešųjų lėšų, įskaitant valstybės ir ES paramą, projektams energetikos efektyvumo srityje</w:t>
      </w:r>
      <w:r w:rsidR="005A6B5F" w:rsidRPr="00C97275">
        <w:rPr>
          <w:rFonts w:ascii="Georgia" w:hAnsi="Georgia"/>
          <w:sz w:val="20"/>
          <w:szCs w:val="20"/>
          <w:lang w:val="lt-LT"/>
        </w:rPr>
        <w:t>,</w:t>
      </w:r>
      <w:r w:rsidRPr="00C97275">
        <w:rPr>
          <w:rFonts w:ascii="Georgia" w:hAnsi="Georgia"/>
          <w:sz w:val="20"/>
          <w:szCs w:val="20"/>
          <w:lang w:val="lt-LT"/>
        </w:rPr>
        <w:t xml:space="preserve"> kurios šiuo metu nėra naudojamos?</w:t>
      </w:r>
    </w:p>
    <w:p w14:paraId="78E4EB11" w14:textId="23D9767E" w:rsidR="00E718A5" w:rsidRPr="00C97275" w:rsidRDefault="00F57ECC" w:rsidP="00F57ECC">
      <w:pPr>
        <w:rPr>
          <w:rFonts w:ascii="Georgia" w:hAnsi="Georgia"/>
          <w:sz w:val="20"/>
          <w:szCs w:val="20"/>
          <w:lang w:val="lt-LT"/>
        </w:rPr>
      </w:pPr>
      <w:r w:rsidRPr="00C97275">
        <w:rPr>
          <w:rFonts w:ascii="Georgia" w:hAnsi="Georgia"/>
          <w:sz w:val="20"/>
          <w:szCs w:val="20"/>
          <w:lang w:val="lt-LT"/>
        </w:rPr>
        <w:t>Žemiau esančiuose skyriuose visų pirma identifikuojamos ir analizuojamos galimybės pritraukti privačias lėšas finansuojant daugiabučių, viešųjų pastatų ir gatvių apšvietimo atnaujinimo projektus</w:t>
      </w:r>
      <w:r w:rsidR="009718DC" w:rsidRPr="00C97275">
        <w:rPr>
          <w:rFonts w:ascii="Georgia" w:hAnsi="Georgia"/>
          <w:sz w:val="20"/>
          <w:szCs w:val="20"/>
          <w:lang w:val="lt-LT"/>
        </w:rPr>
        <w:t>, o</w:t>
      </w:r>
      <w:r w:rsidR="005A6B5F" w:rsidRPr="00C97275">
        <w:rPr>
          <w:rFonts w:ascii="Georgia" w:hAnsi="Georgia"/>
          <w:sz w:val="20"/>
          <w:szCs w:val="20"/>
          <w:lang w:val="lt-LT"/>
        </w:rPr>
        <w:t xml:space="preserve"> vėliau vertinami papildomų lėšų pritraukimo lygiai, rizikos kapitalų fondo galimybės pritraukti papildomų lėšų bei apžvelgiama galimybė panaudoti grįžtančias lėšas</w:t>
      </w:r>
      <w:r w:rsidR="00476ABC" w:rsidRPr="00C97275">
        <w:rPr>
          <w:rFonts w:ascii="Georgia" w:hAnsi="Georgia"/>
          <w:sz w:val="20"/>
          <w:szCs w:val="20"/>
          <w:lang w:val="lt-LT"/>
        </w:rPr>
        <w:t>.</w:t>
      </w:r>
    </w:p>
    <w:p w14:paraId="5AE92004" w14:textId="0764FABC" w:rsidR="00C66C28" w:rsidRPr="00C97275" w:rsidRDefault="00F55A2A" w:rsidP="00162BF5">
      <w:pPr>
        <w:pStyle w:val="Antrat2"/>
        <w:numPr>
          <w:ilvl w:val="1"/>
          <w:numId w:val="19"/>
        </w:numPr>
        <w:spacing w:after="120"/>
        <w:ind w:left="709"/>
        <w:rPr>
          <w:rFonts w:ascii="Georgia" w:hAnsi="Georgia"/>
          <w:i/>
          <w:lang w:val="lt-LT"/>
        </w:rPr>
      </w:pPr>
      <w:bookmarkStart w:id="120" w:name="_Toc25594666"/>
      <w:r w:rsidRPr="00C97275">
        <w:rPr>
          <w:rFonts w:ascii="Georgia" w:hAnsi="Georgia"/>
          <w:i/>
          <w:lang w:val="lt-LT"/>
        </w:rPr>
        <w:t>L</w:t>
      </w:r>
      <w:r w:rsidR="00884B93" w:rsidRPr="00C97275">
        <w:rPr>
          <w:rFonts w:ascii="Georgia" w:hAnsi="Georgia"/>
          <w:i/>
          <w:lang w:val="lt-LT"/>
        </w:rPr>
        <w:t xml:space="preserve">ėšų </w:t>
      </w:r>
      <w:r w:rsidR="00D51F4C" w:rsidRPr="00C97275">
        <w:rPr>
          <w:rFonts w:ascii="Georgia" w:hAnsi="Georgia"/>
          <w:i/>
          <w:lang w:val="lt-LT"/>
        </w:rPr>
        <w:t>šaltinių identifikavimas</w:t>
      </w:r>
      <w:bookmarkEnd w:id="120"/>
    </w:p>
    <w:tbl>
      <w:tblPr>
        <w:tblStyle w:val="LightList-Accent21"/>
        <w:tblW w:w="0" w:type="auto"/>
        <w:tblLook w:val="04A0" w:firstRow="1" w:lastRow="0" w:firstColumn="1" w:lastColumn="0" w:noHBand="0" w:noVBand="1"/>
      </w:tblPr>
      <w:tblGrid>
        <w:gridCol w:w="2660"/>
        <w:gridCol w:w="6582"/>
      </w:tblGrid>
      <w:tr w:rsidR="00F57ECC" w:rsidRPr="00C97275" w14:paraId="2EB6088A" w14:textId="77777777" w:rsidTr="00364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29124F5" w14:textId="6377259F" w:rsidR="00F57ECC" w:rsidRPr="00C97275" w:rsidRDefault="00F57ECC" w:rsidP="00D51F4C">
            <w:pPr>
              <w:pStyle w:val="Pagrindinistekstas"/>
              <w:rPr>
                <w:lang w:val="lt-LT"/>
              </w:rPr>
            </w:pPr>
            <w:r w:rsidRPr="00C97275">
              <w:rPr>
                <w:lang w:val="lt-LT"/>
              </w:rPr>
              <w:t>Papildomi finansavimo šaltiniai</w:t>
            </w:r>
          </w:p>
        </w:tc>
        <w:tc>
          <w:tcPr>
            <w:tcW w:w="6582" w:type="dxa"/>
          </w:tcPr>
          <w:p w14:paraId="2543A24C" w14:textId="0BD7A6C5" w:rsidR="00F57ECC" w:rsidRPr="00C97275" w:rsidRDefault="00F57ECC" w:rsidP="00D51F4C">
            <w:pPr>
              <w:pStyle w:val="Pagrindinistekstas"/>
              <w:cnfStyle w:val="100000000000" w:firstRow="1" w:lastRow="0" w:firstColumn="0" w:lastColumn="0" w:oddVBand="0" w:evenVBand="0" w:oddHBand="0" w:evenHBand="0" w:firstRowFirstColumn="0" w:firstRowLastColumn="0" w:lastRowFirstColumn="0" w:lastRowLastColumn="0"/>
              <w:rPr>
                <w:lang w:val="lt-LT"/>
              </w:rPr>
            </w:pPr>
            <w:r w:rsidRPr="00C97275">
              <w:rPr>
                <w:lang w:val="lt-LT"/>
              </w:rPr>
              <w:t>Trumpas aprašymas</w:t>
            </w:r>
          </w:p>
        </w:tc>
      </w:tr>
      <w:tr w:rsidR="00F57ECC" w:rsidRPr="00C97275" w14:paraId="2984307F"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8726230" w14:textId="27AB4A17" w:rsidR="00F57ECC" w:rsidRPr="00C97275" w:rsidRDefault="00F57ECC" w:rsidP="00F57ECC">
            <w:pPr>
              <w:pStyle w:val="Pagrindinistekstas"/>
              <w:rPr>
                <w:b w:val="0"/>
                <w:lang w:val="lt-LT"/>
              </w:rPr>
            </w:pPr>
            <w:r w:rsidRPr="00C97275">
              <w:rPr>
                <w:b w:val="0"/>
                <w:lang w:val="lt-LT"/>
              </w:rPr>
              <w:t xml:space="preserve">Kitos valstybės paramos programos </w:t>
            </w:r>
          </w:p>
        </w:tc>
        <w:tc>
          <w:tcPr>
            <w:tcW w:w="6582" w:type="dxa"/>
          </w:tcPr>
          <w:p w14:paraId="772D8CEC" w14:textId="3662D7E4" w:rsidR="00F57ECC" w:rsidRPr="00C97275" w:rsidRDefault="009064B6" w:rsidP="009064B6">
            <w:pPr>
              <w:pStyle w:val="Pagrindinistekstas"/>
              <w:cnfStyle w:val="000000100000" w:firstRow="0" w:lastRow="0" w:firstColumn="0" w:lastColumn="0" w:oddVBand="0" w:evenVBand="0" w:oddHBand="1" w:evenHBand="0" w:firstRowFirstColumn="0" w:firstRowLastColumn="0" w:lastRowFirstColumn="0" w:lastRowLastColumn="0"/>
              <w:rPr>
                <w:lang w:val="lt-LT"/>
              </w:rPr>
            </w:pPr>
            <w:r w:rsidRPr="00C97275">
              <w:rPr>
                <w:lang w:val="lt-LT"/>
              </w:rPr>
              <w:t>Vienintelis toks finansavimo šaltinis yra Klimato Kaitos Fondas, administruojamas Aplinkos Ministerijos.</w:t>
            </w:r>
            <w:r w:rsidR="00F57ECC" w:rsidRPr="00C97275">
              <w:rPr>
                <w:lang w:val="lt-LT"/>
              </w:rPr>
              <w:t xml:space="preserve">  </w:t>
            </w:r>
          </w:p>
        </w:tc>
      </w:tr>
      <w:tr w:rsidR="00F57ECC" w:rsidRPr="00C97275" w14:paraId="428CCDA1" w14:textId="77777777" w:rsidTr="003640CE">
        <w:tc>
          <w:tcPr>
            <w:cnfStyle w:val="001000000000" w:firstRow="0" w:lastRow="0" w:firstColumn="1" w:lastColumn="0" w:oddVBand="0" w:evenVBand="0" w:oddHBand="0" w:evenHBand="0" w:firstRowFirstColumn="0" w:firstRowLastColumn="0" w:lastRowFirstColumn="0" w:lastRowLastColumn="0"/>
            <w:tcW w:w="2660" w:type="dxa"/>
          </w:tcPr>
          <w:p w14:paraId="4F454E3B" w14:textId="5F803FC2" w:rsidR="00F57ECC" w:rsidRPr="00C97275" w:rsidRDefault="009064B6" w:rsidP="00D51F4C">
            <w:pPr>
              <w:pStyle w:val="Pagrindinistekstas"/>
              <w:rPr>
                <w:b w:val="0"/>
                <w:lang w:val="lt-LT"/>
              </w:rPr>
            </w:pPr>
            <w:r w:rsidRPr="00C97275">
              <w:rPr>
                <w:b w:val="0"/>
                <w:lang w:val="lt-LT"/>
              </w:rPr>
              <w:t>ES programos</w:t>
            </w:r>
          </w:p>
        </w:tc>
        <w:tc>
          <w:tcPr>
            <w:tcW w:w="6582" w:type="dxa"/>
          </w:tcPr>
          <w:p w14:paraId="30D6FBF6" w14:textId="5853B3EE" w:rsidR="009064B6" w:rsidRPr="00C97275" w:rsidRDefault="009064B6" w:rsidP="009064B6">
            <w:pPr>
              <w:pStyle w:val="Pagrindinistekstas"/>
              <w:cnfStyle w:val="000000000000" w:firstRow="0" w:lastRow="0" w:firstColumn="0" w:lastColumn="0" w:oddVBand="0" w:evenVBand="0" w:oddHBand="0" w:evenHBand="0" w:firstRowFirstColumn="0" w:firstRowLastColumn="0" w:lastRowFirstColumn="0" w:lastRowLastColumn="0"/>
              <w:rPr>
                <w:lang w:val="lt-LT"/>
              </w:rPr>
            </w:pPr>
            <w:r w:rsidRPr="00C97275">
              <w:rPr>
                <w:lang w:val="lt-LT"/>
              </w:rPr>
              <w:t xml:space="preserve">Europos infrastruktūros priemonė (angl. CEF), Pažangi energetika Europai (angl. IEE), Horizontas 2020, EBI-ELENA, KfW-ELENA, LIFE+Programa (2014-2020), “Marguerite” fondas, </w:t>
            </w:r>
          </w:p>
        </w:tc>
      </w:tr>
      <w:tr w:rsidR="00F57ECC" w:rsidRPr="00C97275" w14:paraId="36AF6021"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EB97B59" w14:textId="5866CF84" w:rsidR="00F57ECC" w:rsidRPr="00C97275" w:rsidRDefault="009064B6" w:rsidP="00D51F4C">
            <w:pPr>
              <w:pStyle w:val="Pagrindinistekstas"/>
              <w:rPr>
                <w:b w:val="0"/>
                <w:lang w:val="lt-LT"/>
              </w:rPr>
            </w:pPr>
            <w:r w:rsidRPr="00C97275">
              <w:rPr>
                <w:b w:val="0"/>
                <w:lang w:val="lt-LT"/>
              </w:rPr>
              <w:t>Privatus sektorius</w:t>
            </w:r>
          </w:p>
        </w:tc>
        <w:tc>
          <w:tcPr>
            <w:tcW w:w="6582" w:type="dxa"/>
          </w:tcPr>
          <w:p w14:paraId="1CBDC15A" w14:textId="27EB6E6C" w:rsidR="009064B6" w:rsidRPr="00C97275" w:rsidRDefault="00C66C28" w:rsidP="008D15C2">
            <w:pPr>
              <w:pStyle w:val="Pagrindinistekstas"/>
              <w:cnfStyle w:val="000000100000" w:firstRow="0" w:lastRow="0" w:firstColumn="0" w:lastColumn="0" w:oddVBand="0" w:evenVBand="0" w:oddHBand="1" w:evenHBand="0" w:firstRowFirstColumn="0" w:firstRowLastColumn="0" w:lastRowFirstColumn="0" w:lastRowLastColumn="0"/>
              <w:rPr>
                <w:lang w:val="lt-LT"/>
              </w:rPr>
            </w:pPr>
            <w:r w:rsidRPr="00C97275">
              <w:rPr>
                <w:lang w:val="lt-LT"/>
              </w:rPr>
              <w:t xml:space="preserve">Tolimesniuose skyriuose detaliau analizuojamos </w:t>
            </w:r>
            <w:r w:rsidR="009064B6" w:rsidRPr="00C97275">
              <w:rPr>
                <w:lang w:val="lt-LT"/>
              </w:rPr>
              <w:t>Tarptautinės finansinės institucijos (EPRB, ŠIB, EIB)</w:t>
            </w:r>
            <w:r w:rsidR="00520021" w:rsidRPr="00C97275">
              <w:rPr>
                <w:lang w:val="lt-LT"/>
              </w:rPr>
              <w:t xml:space="preserve">, </w:t>
            </w:r>
            <w:r w:rsidR="00F53EEF" w:rsidRPr="00C97275">
              <w:rPr>
                <w:lang w:val="lt-LT"/>
              </w:rPr>
              <w:t xml:space="preserve">ESCO, </w:t>
            </w:r>
            <w:r w:rsidR="00520021" w:rsidRPr="00C97275">
              <w:rPr>
                <w:lang w:val="lt-LT"/>
              </w:rPr>
              <w:t xml:space="preserve">komerciniai bankai, </w:t>
            </w:r>
            <w:r w:rsidRPr="00C97275">
              <w:rPr>
                <w:lang w:val="lt-LT"/>
              </w:rPr>
              <w:t xml:space="preserve">aptariami šiuo metu veikiantys </w:t>
            </w:r>
            <w:r w:rsidR="00520021" w:rsidRPr="00C97275">
              <w:rPr>
                <w:lang w:val="lt-LT"/>
              </w:rPr>
              <w:t>i</w:t>
            </w:r>
            <w:r w:rsidR="009064B6" w:rsidRPr="00C97275">
              <w:rPr>
                <w:lang w:val="lt-LT"/>
              </w:rPr>
              <w:t>nfrastruktūros fondai</w:t>
            </w:r>
            <w:r w:rsidRPr="00C97275">
              <w:rPr>
                <w:lang w:val="lt-LT"/>
              </w:rPr>
              <w:t xml:space="preserve"> investuojantys į energetikos efektyvumo sritį, kuri yra šios ex-ante vertinimo objektas</w:t>
            </w:r>
            <w:r w:rsidR="00520021" w:rsidRPr="00C97275">
              <w:rPr>
                <w:lang w:val="lt-LT"/>
              </w:rPr>
              <w:t xml:space="preserve">. </w:t>
            </w:r>
          </w:p>
        </w:tc>
      </w:tr>
      <w:tr w:rsidR="002811A4" w:rsidRPr="00C97275" w14:paraId="20522F48" w14:textId="77777777" w:rsidTr="003640CE">
        <w:tc>
          <w:tcPr>
            <w:cnfStyle w:val="001000000000" w:firstRow="0" w:lastRow="0" w:firstColumn="1" w:lastColumn="0" w:oddVBand="0" w:evenVBand="0" w:oddHBand="0" w:evenHBand="0" w:firstRowFirstColumn="0" w:firstRowLastColumn="0" w:lastRowFirstColumn="0" w:lastRowLastColumn="0"/>
            <w:tcW w:w="2660" w:type="dxa"/>
          </w:tcPr>
          <w:p w14:paraId="2FF1E457" w14:textId="148911D2" w:rsidR="002811A4" w:rsidRPr="00C97275" w:rsidRDefault="002811A4" w:rsidP="00D51F4C">
            <w:pPr>
              <w:pStyle w:val="Pagrindinistekstas"/>
              <w:rPr>
                <w:b w:val="0"/>
                <w:lang w:val="lt-LT"/>
              </w:rPr>
            </w:pPr>
            <w:r w:rsidRPr="00C97275">
              <w:rPr>
                <w:b w:val="0"/>
                <w:lang w:val="lt-LT"/>
              </w:rPr>
              <w:t>Grįžtančios lėšos</w:t>
            </w:r>
          </w:p>
        </w:tc>
        <w:tc>
          <w:tcPr>
            <w:tcW w:w="6582" w:type="dxa"/>
          </w:tcPr>
          <w:p w14:paraId="6DD1AFCD" w14:textId="468F910D" w:rsidR="002811A4" w:rsidRPr="00C97275" w:rsidRDefault="002811A4" w:rsidP="002811A4">
            <w:pPr>
              <w:pStyle w:val="Pagrindinistekstas"/>
              <w:cnfStyle w:val="000000000000" w:firstRow="0" w:lastRow="0" w:firstColumn="0" w:lastColumn="0" w:oddVBand="0" w:evenVBand="0" w:oddHBand="0" w:evenHBand="0" w:firstRowFirstColumn="0" w:firstRowLastColumn="0" w:lastRowFirstColumn="0" w:lastRowLastColumn="0"/>
              <w:rPr>
                <w:lang w:val="lt-LT"/>
              </w:rPr>
            </w:pPr>
            <w:r w:rsidRPr="00C97275">
              <w:rPr>
                <w:lang w:val="lt-LT"/>
              </w:rPr>
              <w:t xml:space="preserve">Lėšos grįžusios per finansines priemones įgyvendintas ankstesniame laikotarpyje, pvz. JESSICA KF, DNMF ir kt. </w:t>
            </w:r>
          </w:p>
        </w:tc>
      </w:tr>
    </w:tbl>
    <w:p w14:paraId="5BCA8EC1" w14:textId="108DAA0F" w:rsidR="00390E64" w:rsidRPr="00C97275" w:rsidRDefault="00F57ECC" w:rsidP="00D51F4C">
      <w:pPr>
        <w:pStyle w:val="Pagrindinistekstas"/>
        <w:rPr>
          <w:i/>
          <w:lang w:val="lt-LT"/>
        </w:rPr>
      </w:pPr>
      <w:r w:rsidRPr="00C97275">
        <w:rPr>
          <w:i/>
          <w:lang w:val="lt-LT"/>
        </w:rPr>
        <w:t>Šaltinis: sudaryta autorių</w:t>
      </w:r>
    </w:p>
    <w:p w14:paraId="33EBA1C3" w14:textId="54E24A2D" w:rsidR="00F55A2A" w:rsidRPr="00C97275" w:rsidRDefault="00F55A2A" w:rsidP="00E718A5">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21" w:name="_Toc25594667"/>
      <w:r w:rsidRPr="00C97275">
        <w:rPr>
          <w:rFonts w:ascii="Georgia" w:eastAsia="Times New Roman" w:hAnsi="Georgia" w:cs="Arial Unicode MS"/>
          <w:b/>
          <w:i/>
          <w:color w:val="821A1A"/>
          <w:sz w:val="32"/>
          <w:szCs w:val="26"/>
          <w:lang w:val="lt-LT"/>
        </w:rPr>
        <w:t>Kitos valstybės paramos programos</w:t>
      </w:r>
      <w:bookmarkEnd w:id="121"/>
    </w:p>
    <w:p w14:paraId="44E32C5C" w14:textId="344E6978" w:rsidR="00F27409" w:rsidRPr="00C97275" w:rsidRDefault="00F27409" w:rsidP="00F27409">
      <w:pPr>
        <w:jc w:val="both"/>
        <w:rPr>
          <w:rFonts w:ascii="Georgia" w:hAnsi="Georgia"/>
          <w:sz w:val="20"/>
          <w:szCs w:val="20"/>
          <w:lang w:val="lt-LT"/>
        </w:rPr>
      </w:pPr>
      <w:r w:rsidRPr="00C97275">
        <w:rPr>
          <w:rFonts w:ascii="Georgia" w:hAnsi="Georgia"/>
          <w:sz w:val="20"/>
          <w:szCs w:val="20"/>
          <w:lang w:val="lt-LT"/>
        </w:rPr>
        <w:t>Vienintelis papildomas finansavimo šaltinis šioje grupėje yra Klimato kaitos specialioji programa</w:t>
      </w:r>
      <w:r w:rsidR="002811A4" w:rsidRPr="00C97275">
        <w:rPr>
          <w:rFonts w:ascii="Georgia" w:hAnsi="Georgia"/>
          <w:sz w:val="20"/>
          <w:szCs w:val="20"/>
          <w:lang w:val="lt-LT"/>
        </w:rPr>
        <w:t>.</w:t>
      </w:r>
      <w:r w:rsidRPr="00C97275">
        <w:rPr>
          <w:rFonts w:ascii="Georgia" w:hAnsi="Georgia"/>
          <w:sz w:val="20"/>
          <w:szCs w:val="20"/>
          <w:lang w:val="lt-LT"/>
        </w:rPr>
        <w:t xml:space="preserve"> </w:t>
      </w:r>
    </w:p>
    <w:p w14:paraId="6F3ABF1D" w14:textId="56F6608F" w:rsidR="00F27409" w:rsidRPr="00C97275" w:rsidRDefault="00F27409" w:rsidP="00F27409">
      <w:pPr>
        <w:jc w:val="both"/>
        <w:rPr>
          <w:rFonts w:ascii="Georgia" w:hAnsi="Georgia"/>
          <w:b/>
          <w:sz w:val="20"/>
          <w:szCs w:val="20"/>
          <w:lang w:val="lt-LT"/>
        </w:rPr>
      </w:pPr>
      <w:r w:rsidRPr="00C97275">
        <w:rPr>
          <w:rFonts w:ascii="Georgia" w:hAnsi="Georgia"/>
          <w:b/>
          <w:sz w:val="20"/>
          <w:szCs w:val="20"/>
          <w:lang w:val="lt-LT"/>
        </w:rPr>
        <w:t>Klimato kaitos specialioji programa</w:t>
      </w:r>
    </w:p>
    <w:p w14:paraId="3BC2A21D" w14:textId="77777777" w:rsidR="00F27409" w:rsidRPr="00C97275" w:rsidRDefault="00F27409" w:rsidP="00F27409">
      <w:pPr>
        <w:jc w:val="both"/>
        <w:rPr>
          <w:rFonts w:ascii="Georgia" w:hAnsi="Georgia"/>
          <w:sz w:val="20"/>
          <w:szCs w:val="20"/>
          <w:lang w:val="lt-LT"/>
        </w:rPr>
      </w:pPr>
      <w:r w:rsidRPr="00C97275">
        <w:rPr>
          <w:rFonts w:ascii="Georgia" w:hAnsi="Georgia"/>
          <w:sz w:val="20"/>
          <w:szCs w:val="20"/>
          <w:lang w:val="lt-LT"/>
        </w:rPr>
        <w:t>Valstybės paramos daugiabučiams namams atnaujinti (modernizuoti) teikimo ir daugiabučių namų atnaujinimo (modernizavimo) projektų įgyvendinimo priežiūros taisyklėse numatyta, kad Klimato kaitos programos lėšomis paramos daugiabučių namų modernizavimo projektams dydis bus nustatomas tokia tvarka:</w:t>
      </w:r>
    </w:p>
    <w:p w14:paraId="34D1FFA3" w14:textId="77777777" w:rsidR="00F27409" w:rsidRPr="00C97275" w:rsidRDefault="00F27409" w:rsidP="00F27409">
      <w:pPr>
        <w:jc w:val="both"/>
        <w:rPr>
          <w:rFonts w:ascii="Georgia" w:hAnsi="Georgia"/>
          <w:sz w:val="20"/>
          <w:szCs w:val="20"/>
          <w:lang w:val="lt-LT"/>
        </w:rPr>
      </w:pPr>
      <w:r w:rsidRPr="00C97275">
        <w:rPr>
          <w:rFonts w:ascii="Georgia" w:hAnsi="Georgia"/>
          <w:sz w:val="20"/>
          <w:szCs w:val="20"/>
          <w:lang w:val="lt-LT"/>
        </w:rPr>
        <w:t xml:space="preserve">„Daugiabučio namo butų ir kitų patalpų savininkams, nuo 2015 m. sausio 1 d. parengusiems ir įgyvendinantiems daugiabučio namo atnaujinimo (modernizavimo) projektą, Klimato kaitos specialiosios programos lėšomis teikiama papildoma valstybės parama – kompensuojama ši </w:t>
      </w:r>
      <w:r w:rsidRPr="00C97275">
        <w:rPr>
          <w:rFonts w:ascii="Georgia" w:hAnsi="Georgia"/>
          <w:sz w:val="20"/>
          <w:szCs w:val="20"/>
          <w:lang w:val="lt-LT"/>
        </w:rPr>
        <w:lastRenderedPageBreak/>
        <w:t>investicijų, tenkančių Programos priede nurodytoms energinį efektyvumą didinančioms priemonėms, jeigu įgyvendinus projektą pasiekiama ne mažesnė kaip C pastato energinio naudingumo klasė ir skaičiuojamosios šiluminės energijos sąnaudos sumažinamos ne mažiau kaip 40 procentų, palyginti su skaičiuojamosiomis šiluminės energijos sąnaudomis iki atnaujinimo (modernizavimo) projekto įgyvendinimo, dalis:</w:t>
      </w:r>
    </w:p>
    <w:p w14:paraId="7748E687" w14:textId="77777777" w:rsidR="00F27409" w:rsidRPr="00C97275" w:rsidRDefault="00F27409" w:rsidP="00F27409">
      <w:pPr>
        <w:jc w:val="both"/>
        <w:rPr>
          <w:rFonts w:ascii="Georgia" w:hAnsi="Georgia"/>
          <w:sz w:val="20"/>
          <w:szCs w:val="20"/>
          <w:lang w:val="lt-LT"/>
        </w:rPr>
      </w:pPr>
      <w:r w:rsidRPr="00C97275">
        <w:rPr>
          <w:rFonts w:ascii="Georgia" w:hAnsi="Georgia"/>
          <w:sz w:val="20"/>
          <w:szCs w:val="20"/>
          <w:lang w:val="lt-LT"/>
        </w:rPr>
        <w:t>2.7.1.1. 20 procentų, jeigu daugiabučio namo atnaujinimo (modernizavimo) projektas įgyvendintas iki 2017 m. gruodžio 31 dienos;</w:t>
      </w:r>
    </w:p>
    <w:p w14:paraId="42C0D2D6" w14:textId="77777777" w:rsidR="00F27409" w:rsidRPr="00C97275" w:rsidRDefault="00F27409" w:rsidP="00F27409">
      <w:pPr>
        <w:jc w:val="both"/>
        <w:rPr>
          <w:rFonts w:ascii="Georgia" w:hAnsi="Georgia"/>
          <w:sz w:val="20"/>
          <w:szCs w:val="20"/>
          <w:lang w:val="lt-LT"/>
        </w:rPr>
      </w:pPr>
      <w:r w:rsidRPr="00C97275">
        <w:rPr>
          <w:rFonts w:ascii="Georgia" w:hAnsi="Georgia"/>
          <w:sz w:val="20"/>
          <w:szCs w:val="20"/>
          <w:lang w:val="lt-LT"/>
        </w:rPr>
        <w:t>2.7.1.2. 15 procentų, jeigu daugiabučio namo atnaujinimo (modernizavimo) projektas įgyvendintas po 2017 m. gruodžio 31 d., bet ne vėliau kaip iki 2020 m. gruodžio 31 dienos.“</w:t>
      </w:r>
    </w:p>
    <w:p w14:paraId="08448BB9" w14:textId="3C72634E" w:rsidR="00F55A2A" w:rsidRPr="00C97275" w:rsidRDefault="00F27409" w:rsidP="00F27409">
      <w:pPr>
        <w:jc w:val="both"/>
        <w:rPr>
          <w:rFonts w:ascii="Georgia" w:hAnsi="Georgia"/>
          <w:sz w:val="20"/>
          <w:szCs w:val="20"/>
          <w:lang w:val="lt-LT"/>
        </w:rPr>
      </w:pPr>
      <w:r w:rsidRPr="00C97275">
        <w:rPr>
          <w:rFonts w:ascii="Georgia" w:hAnsi="Georgia"/>
          <w:sz w:val="20"/>
          <w:szCs w:val="20"/>
          <w:lang w:val="lt-LT"/>
        </w:rPr>
        <w:t>Kaip matoma iš pakoreguoto valstybės paramos daugiabučių namų modernizavimui teikimo taisyklių, valstybės parama yra palaipsniui mažinama. Taip pat pastebima, jog pagal 2017 m. gegužės 26 d. įsakymą Nr. D1-450 “Klimato kaitos specialiosios programos lėšų naudojimo 2017 m. sąmatą detalizuojantis planas” nustato valstybės planuojamą paramą daugiabučių atnaujinimui 2017 m. lygią 31,6 mln. eurų, iš kurių tikėtina, jog 71,5% bus išmokėta. Daroma prielaida, jog pasiūlos analizėje gali būti įtraukti tik 31,6 mln. eurų visam 2017-2023 metų laikotarpiui. Šios lėšos tikėtina padės greičiau išmokėti renovacijos paskolas finansiniams tarpininkams ir bus reinvestuojamos į kitus atnaujinimo projektus.</w:t>
      </w:r>
    </w:p>
    <w:p w14:paraId="19008545" w14:textId="3AEAE7C6" w:rsidR="00F55A2A" w:rsidRPr="00C97275" w:rsidRDefault="00F55A2A" w:rsidP="00E718A5">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22" w:name="_Toc25594668"/>
      <w:r w:rsidRPr="00C97275">
        <w:rPr>
          <w:rFonts w:ascii="Georgia" w:eastAsia="Times New Roman" w:hAnsi="Georgia" w:cs="Arial Unicode MS"/>
          <w:b/>
          <w:i/>
          <w:color w:val="821A1A"/>
          <w:sz w:val="32"/>
          <w:szCs w:val="26"/>
          <w:lang w:val="lt-LT"/>
        </w:rPr>
        <w:t>ES programos</w:t>
      </w:r>
      <w:bookmarkEnd w:id="122"/>
    </w:p>
    <w:tbl>
      <w:tblPr>
        <w:tblStyle w:val="LightList-Accent21"/>
        <w:tblW w:w="0" w:type="auto"/>
        <w:tblLook w:val="04A0" w:firstRow="1" w:lastRow="0" w:firstColumn="1" w:lastColumn="0" w:noHBand="0" w:noVBand="1"/>
      </w:tblPr>
      <w:tblGrid>
        <w:gridCol w:w="2943"/>
        <w:gridCol w:w="6299"/>
      </w:tblGrid>
      <w:tr w:rsidR="00F27409" w:rsidRPr="00C97275" w14:paraId="375CDAED" w14:textId="77777777" w:rsidTr="00364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7A31D1" w14:textId="33940037" w:rsidR="00F27409" w:rsidRPr="00C97275" w:rsidRDefault="00F27409" w:rsidP="00F55A2A">
            <w:pPr>
              <w:jc w:val="both"/>
              <w:rPr>
                <w:rFonts w:ascii="Georgia" w:hAnsi="Georgia"/>
                <w:sz w:val="20"/>
                <w:szCs w:val="20"/>
              </w:rPr>
            </w:pPr>
            <w:r w:rsidRPr="00C97275">
              <w:rPr>
                <w:rFonts w:ascii="Georgia" w:hAnsi="Georgia"/>
                <w:sz w:val="20"/>
                <w:szCs w:val="20"/>
              </w:rPr>
              <w:t>ES programa</w:t>
            </w:r>
          </w:p>
        </w:tc>
        <w:tc>
          <w:tcPr>
            <w:tcW w:w="6299" w:type="dxa"/>
          </w:tcPr>
          <w:p w14:paraId="50D5DBC4" w14:textId="510FD1E7" w:rsidR="00F27409" w:rsidRPr="00C97275" w:rsidRDefault="00F27409" w:rsidP="00F55A2A">
            <w:pPr>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Aprašymas</w:t>
            </w:r>
          </w:p>
        </w:tc>
      </w:tr>
      <w:tr w:rsidR="00F27409" w:rsidRPr="00C97275" w14:paraId="0B75AEEB"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0477F15" w14:textId="4EC5F451" w:rsidR="00F27409" w:rsidRPr="00C97275" w:rsidRDefault="00F27409" w:rsidP="00984ACE">
            <w:pPr>
              <w:rPr>
                <w:rFonts w:ascii="Georgia" w:hAnsi="Georgia"/>
                <w:b w:val="0"/>
                <w:sz w:val="20"/>
                <w:szCs w:val="20"/>
              </w:rPr>
            </w:pPr>
            <w:r w:rsidRPr="00C97275">
              <w:rPr>
                <w:rFonts w:ascii="Georgia" w:hAnsi="Georgia"/>
                <w:b w:val="0"/>
                <w:sz w:val="20"/>
                <w:szCs w:val="20"/>
              </w:rPr>
              <w:t>Europos infrastruktūros tinklų priemonė (angl. Connecting Europe facility )</w:t>
            </w:r>
          </w:p>
        </w:tc>
        <w:tc>
          <w:tcPr>
            <w:tcW w:w="6299" w:type="dxa"/>
          </w:tcPr>
          <w:p w14:paraId="6483DB68" w14:textId="77777777" w:rsidR="00F27409" w:rsidRPr="00C97275" w:rsidRDefault="00984ACE" w:rsidP="00984ACE">
            <w:pPr>
              <w:keepNext/>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 xml:space="preserve">CEF buvo įsteigta Bendruoju nuostatų reglamentu, kuriame nustatytos sąlygos, metodai ir procedūros kaip teikiama ES parama transeuropiniams tinklams, bendro intereso projektams transporto, energetikos ir telekomunikacijų sektoriuose. Bendras finansavimo paketas 2014-2020 metais sudaro 30,44 mlrd. eurų, iš kurių 5,35 mlrd.  eurų skirta energetikos sektoriui. Bendrajame nuostatų reglamente  finansinės priemonės aiškiai minimos kaip įgyvendinimo metodas CEF  ištekliams taip skatinant esminį privataus sektoriaus ir finansinių institucijų dalyvavimą investuojant į infrastruktūrą, remiantis nuostatomis, kad daugeliu atvejų, esant nepakankamam investavimui ar rinkos nepakankamumo situacijoje gali būti efektyviau spręsti finansiniais instrumentais, o ne dotacijomis </w:t>
            </w:r>
            <w:r w:rsidRPr="00C97275">
              <w:rPr>
                <w:rStyle w:val="Puslapioinaosnuoroda"/>
                <w:rFonts w:ascii="Georgia" w:hAnsi="Georgia" w:cs="Arial"/>
                <w:sz w:val="20"/>
                <w:szCs w:val="20"/>
              </w:rPr>
              <w:footnoteReference w:id="45"/>
            </w:r>
            <w:r w:rsidRPr="00C97275">
              <w:rPr>
                <w:rFonts w:ascii="Georgia" w:hAnsi="Georgia" w:cs="Arial"/>
                <w:sz w:val="20"/>
                <w:szCs w:val="20"/>
              </w:rPr>
              <w:t>.</w:t>
            </w:r>
          </w:p>
          <w:p w14:paraId="51E2F8F5" w14:textId="70F0E4BB" w:rsidR="00984ACE" w:rsidRPr="00C97275" w:rsidRDefault="00984ACE" w:rsidP="00984ACE">
            <w:pPr>
              <w:keepNext/>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p>
        </w:tc>
      </w:tr>
      <w:tr w:rsidR="00F27409" w:rsidRPr="00C97275" w14:paraId="055F1341"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3CC41C0D" w14:textId="232D23EA" w:rsidR="00F27409" w:rsidRPr="00C97275" w:rsidRDefault="00984ACE" w:rsidP="00984ACE">
            <w:pPr>
              <w:rPr>
                <w:rFonts w:ascii="Georgia" w:hAnsi="Georgia"/>
                <w:b w:val="0"/>
                <w:sz w:val="20"/>
                <w:szCs w:val="20"/>
              </w:rPr>
            </w:pPr>
            <w:r w:rsidRPr="00C97275">
              <w:rPr>
                <w:rFonts w:ascii="Georgia" w:hAnsi="Georgia"/>
                <w:b w:val="0"/>
                <w:sz w:val="20"/>
                <w:szCs w:val="20"/>
              </w:rPr>
              <w:t>Pažangi energetika Europai (angl. Intelligent Energy-Europe)</w:t>
            </w:r>
          </w:p>
        </w:tc>
        <w:tc>
          <w:tcPr>
            <w:tcW w:w="6299" w:type="dxa"/>
          </w:tcPr>
          <w:p w14:paraId="6CE73E98" w14:textId="77777777" w:rsidR="00F27409" w:rsidRPr="00C97275" w:rsidRDefault="00984ACE"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 xml:space="preserve">IEE programa buvo sudaryta 2007-2013 metų programavimo laikotarpiu su tikslu šalinti netechnologines kliūtis energijos efektyvumo didinimo rinkų įsisavinimui. 2014-2020 metų periodu ši programa buvo sujungta su Horizon 2020, kurio tikslas išlieka ir toliau kurti palankias rinkos sąlygas, formuojant politiką ir įgyvendinimą, ruošiant pagrindus investicijoms, žinių įgijimas ir gebėjimų formavimas, suinteresuotų šalių informavimas ir įsipareigojimų skatinimas energijos efektyvumo didinimo srityje. </w:t>
            </w:r>
          </w:p>
          <w:p w14:paraId="4A74FEC8" w14:textId="7AE98D86" w:rsidR="00984ACE" w:rsidRPr="00C97275" w:rsidRDefault="00984ACE"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r>
      <w:tr w:rsidR="00F27409" w:rsidRPr="00C97275" w14:paraId="79FAFFE2"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B725ADD" w14:textId="50ECBA86" w:rsidR="00F27409" w:rsidRPr="00C97275" w:rsidRDefault="00984ACE" w:rsidP="00984ACE">
            <w:pPr>
              <w:rPr>
                <w:rFonts w:ascii="Georgia" w:hAnsi="Georgia"/>
                <w:b w:val="0"/>
                <w:sz w:val="20"/>
                <w:szCs w:val="20"/>
              </w:rPr>
            </w:pPr>
            <w:r w:rsidRPr="00C97275">
              <w:rPr>
                <w:rFonts w:ascii="Georgia" w:hAnsi="Georgia"/>
                <w:b w:val="0"/>
                <w:sz w:val="20"/>
                <w:szCs w:val="20"/>
              </w:rPr>
              <w:t>Horizontas 2020</w:t>
            </w:r>
          </w:p>
        </w:tc>
        <w:tc>
          <w:tcPr>
            <w:tcW w:w="6299" w:type="dxa"/>
          </w:tcPr>
          <w:p w14:paraId="5A763B49" w14:textId="0663B193" w:rsidR="00F27409" w:rsidRPr="00C97275" w:rsidRDefault="00984ACE" w:rsidP="00F55A2A">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Horizon</w:t>
            </w:r>
            <w:r w:rsidR="0018041C" w:rsidRPr="00C97275">
              <w:rPr>
                <w:rFonts w:ascii="Georgia" w:hAnsi="Georgia" w:cs="Arial"/>
                <w:sz w:val="20"/>
                <w:szCs w:val="20"/>
              </w:rPr>
              <w:t>tas</w:t>
            </w:r>
            <w:r w:rsidRPr="00C97275">
              <w:rPr>
                <w:rFonts w:ascii="Georgia" w:hAnsi="Georgia" w:cs="Arial"/>
                <w:sz w:val="20"/>
                <w:szCs w:val="20"/>
              </w:rPr>
              <w:t xml:space="preserve"> 2020 yra pagrindinė ES programa skirta tyrimams ir inovacijoms ir bus vykdoma 2014-2020 metais, o jos biudžetas – virš 77 mlrd. eurų. Horizon</w:t>
            </w:r>
            <w:r w:rsidR="0018041C" w:rsidRPr="00C97275">
              <w:rPr>
                <w:rFonts w:ascii="Georgia" w:hAnsi="Georgia" w:cs="Arial"/>
                <w:sz w:val="20"/>
                <w:szCs w:val="20"/>
              </w:rPr>
              <w:t>tas</w:t>
            </w:r>
            <w:r w:rsidRPr="00C97275">
              <w:rPr>
                <w:rFonts w:ascii="Georgia" w:hAnsi="Georgia" w:cs="Arial"/>
                <w:sz w:val="20"/>
                <w:szCs w:val="20"/>
              </w:rPr>
              <w:t xml:space="preserve"> 2020 likęs biudžetas 3 metų (2018, 2019 ir 2020) yra 37,1 mlrd. eurų </w:t>
            </w:r>
            <w:r w:rsidRPr="00C97275">
              <w:rPr>
                <w:rStyle w:val="Puslapioinaosnuoroda"/>
                <w:rFonts w:ascii="Georgia" w:hAnsi="Georgia" w:cs="Arial"/>
                <w:sz w:val="20"/>
                <w:szCs w:val="20"/>
              </w:rPr>
              <w:footnoteReference w:id="46"/>
            </w:r>
            <w:r w:rsidRPr="00C97275">
              <w:rPr>
                <w:rFonts w:ascii="Georgia" w:hAnsi="Georgia" w:cs="Arial"/>
                <w:sz w:val="20"/>
                <w:szCs w:val="20"/>
              </w:rPr>
              <w:t>.</w:t>
            </w:r>
          </w:p>
          <w:p w14:paraId="5D14973E" w14:textId="2BF11318" w:rsidR="00984ACE" w:rsidRPr="00C97275" w:rsidRDefault="00984ACE" w:rsidP="00F55A2A">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p>
        </w:tc>
      </w:tr>
      <w:tr w:rsidR="00F27409" w:rsidRPr="00C97275" w14:paraId="3C54F1B5"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2D37838E" w14:textId="2209E80F" w:rsidR="00F27409" w:rsidRPr="00C97275" w:rsidRDefault="00984ACE" w:rsidP="00984ACE">
            <w:pPr>
              <w:rPr>
                <w:rFonts w:ascii="Georgia" w:hAnsi="Georgia"/>
                <w:b w:val="0"/>
                <w:sz w:val="20"/>
                <w:szCs w:val="20"/>
              </w:rPr>
            </w:pPr>
            <w:r w:rsidRPr="00C97275">
              <w:rPr>
                <w:rFonts w:ascii="Georgia" w:hAnsi="Georgia"/>
                <w:b w:val="0"/>
                <w:sz w:val="20"/>
                <w:szCs w:val="20"/>
              </w:rPr>
              <w:t>EIB ELENA</w:t>
            </w:r>
          </w:p>
        </w:tc>
        <w:tc>
          <w:tcPr>
            <w:tcW w:w="6299" w:type="dxa"/>
          </w:tcPr>
          <w:p w14:paraId="61F12935" w14:textId="77777777" w:rsidR="00984ACE" w:rsidRPr="00C97275" w:rsidRDefault="00984ACE" w:rsidP="00984ACE">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 xml:space="preserve">EIB-ELENA buvo sukurta Europos komisijos ir EIB iniciatyva kaip </w:t>
            </w:r>
            <w:r w:rsidRPr="00C97275">
              <w:rPr>
                <w:rFonts w:ascii="Georgia" w:hAnsi="Georgia" w:cs="Arial"/>
                <w:sz w:val="20"/>
                <w:szCs w:val="20"/>
              </w:rPr>
              <w:lastRenderedPageBreak/>
              <w:t xml:space="preserve">dalis IEE programos, kuri buvo sujungta su Horizon 2020. Bendras EIB-ELENA tikslas padėti perėjimui nuo veiksmų plano parengimo iki didelės apimties investicijų įgyvendinimo, paprastai viršijančių 50 mln. eurų sumą. </w:t>
            </w:r>
          </w:p>
          <w:p w14:paraId="45BE9B34" w14:textId="77777777" w:rsidR="00F27409" w:rsidRPr="00C97275" w:rsidRDefault="00F27409"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F27409" w:rsidRPr="00C97275" w14:paraId="3054A0C7"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1C98219" w14:textId="1C949389" w:rsidR="00F27409" w:rsidRPr="00C97275" w:rsidRDefault="00984ACE" w:rsidP="00984ACE">
            <w:pPr>
              <w:rPr>
                <w:rFonts w:ascii="Georgia" w:hAnsi="Georgia"/>
                <w:b w:val="0"/>
                <w:sz w:val="20"/>
                <w:szCs w:val="20"/>
              </w:rPr>
            </w:pPr>
            <w:r w:rsidRPr="00C97275">
              <w:rPr>
                <w:rFonts w:ascii="Georgia" w:hAnsi="Georgia"/>
                <w:b w:val="0"/>
                <w:sz w:val="20"/>
                <w:szCs w:val="20"/>
              </w:rPr>
              <w:lastRenderedPageBreak/>
              <w:t>KfW-ELENA</w:t>
            </w:r>
          </w:p>
        </w:tc>
        <w:tc>
          <w:tcPr>
            <w:tcW w:w="6299" w:type="dxa"/>
          </w:tcPr>
          <w:p w14:paraId="585A7F6E" w14:textId="77777777" w:rsidR="00984ACE" w:rsidRPr="00C97275"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Nuo 2011 metų KfW-ELENA suteikią papildomą pagalbą prie jau esančio ELENA su tikslu mobilizuoti/apjungti tvarias investicijas mažų ir vidutinių dydžių savivaldybių investicijas ir kur įmanoma ESCO kai suma neviršija 50 mln. eurų.</w:t>
            </w:r>
          </w:p>
          <w:p w14:paraId="4A90CEA6" w14:textId="77777777" w:rsidR="00F27409" w:rsidRPr="00C97275" w:rsidRDefault="00F27409" w:rsidP="00F55A2A">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F27409" w:rsidRPr="00C97275" w14:paraId="3F1D8156"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39A8D067" w14:textId="3EA19B8B" w:rsidR="00F27409" w:rsidRPr="00C97275" w:rsidRDefault="00984ACE" w:rsidP="00984ACE">
            <w:pPr>
              <w:rPr>
                <w:rFonts w:ascii="Georgia" w:hAnsi="Georgia"/>
                <w:b w:val="0"/>
                <w:sz w:val="20"/>
                <w:szCs w:val="20"/>
              </w:rPr>
            </w:pPr>
            <w:r w:rsidRPr="00C97275">
              <w:rPr>
                <w:rFonts w:ascii="Georgia" w:hAnsi="Georgia"/>
                <w:b w:val="0"/>
                <w:sz w:val="20"/>
                <w:szCs w:val="20"/>
              </w:rPr>
              <w:t>LIFE+ programa (2014-2020)</w:t>
            </w:r>
          </w:p>
        </w:tc>
        <w:tc>
          <w:tcPr>
            <w:tcW w:w="6299" w:type="dxa"/>
          </w:tcPr>
          <w:p w14:paraId="32CCF28E" w14:textId="77777777" w:rsidR="00984ACE" w:rsidRPr="00C97275" w:rsidRDefault="00984ACE" w:rsidP="00984ACE">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Naujoji LIFE programa turi dvi programos kryptis – aplinkai ir klimato kaitai. Klimato kaitos programos kryptis apima tokias sritis kaip klimato kaitos sušvelninimas, prisitaikymas prie klimato kaitos ir klimato valdymo bei informavimo. Vadovaujantis Bendrųjų nuostatų reglamento nuostatomis LIFE programos lėšos gali būti skiriamos kaip garantijos, skelbiant viešuosius konkursus ir per finansinius instrumentus 2014-2020 metų periodu.</w:t>
            </w:r>
          </w:p>
          <w:p w14:paraId="1C4FDEA8" w14:textId="77777777" w:rsidR="00F27409" w:rsidRPr="00C97275" w:rsidRDefault="00F27409"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F27409" w:rsidRPr="00C97275" w14:paraId="346ACE26"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9F7A3D2" w14:textId="63393D7B" w:rsidR="00F27409" w:rsidRPr="00C97275" w:rsidRDefault="00984ACE" w:rsidP="00984ACE">
            <w:pPr>
              <w:rPr>
                <w:rFonts w:ascii="Georgia" w:hAnsi="Georgia"/>
                <w:b w:val="0"/>
                <w:sz w:val="20"/>
                <w:szCs w:val="20"/>
              </w:rPr>
            </w:pPr>
            <w:r w:rsidRPr="00C97275">
              <w:rPr>
                <w:rFonts w:ascii="Georgia" w:hAnsi="Georgia"/>
                <w:b w:val="0"/>
                <w:sz w:val="20"/>
                <w:szCs w:val="20"/>
              </w:rPr>
              <w:t>Marguerite fondas</w:t>
            </w:r>
          </w:p>
        </w:tc>
        <w:tc>
          <w:tcPr>
            <w:tcW w:w="6299" w:type="dxa"/>
          </w:tcPr>
          <w:p w14:paraId="09C96F24" w14:textId="77777777" w:rsidR="00984ACE" w:rsidRPr="00C97275"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Europos infrastruktūros fondas skirtas ilgo laikotarpio instituciniams investuotojams finansuoti projektų įgyvendinimą transporto, energetikos, klimato ir atsinaujinančių šaltinių srityse investuojant į akcinį kapitalą.</w:t>
            </w:r>
          </w:p>
          <w:p w14:paraId="5B796D4F" w14:textId="3F30FB2F" w:rsidR="00F27409" w:rsidRPr="00C97275"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Platesnis pritrauktų privačių lėšų apimties aprašymas, šioje e</w:t>
            </w:r>
            <w:r w:rsidR="00300FF4" w:rsidRPr="00C97275">
              <w:rPr>
                <w:rFonts w:ascii="Georgia" w:hAnsi="Georgia" w:cs="Arial"/>
                <w:sz w:val="20"/>
                <w:szCs w:val="20"/>
              </w:rPr>
              <w:t>x-ante</w:t>
            </w:r>
            <w:r w:rsidRPr="00C97275">
              <w:rPr>
                <w:rFonts w:ascii="Georgia" w:hAnsi="Georgia" w:cs="Arial"/>
                <w:sz w:val="20"/>
                <w:szCs w:val="20"/>
              </w:rPr>
              <w:t xml:space="preserve"> analizuojamoms sritims identifikuotas šio vertinimo 2.2.2 punkte</w:t>
            </w:r>
          </w:p>
          <w:p w14:paraId="5C54987D" w14:textId="6E5F5CD6" w:rsidR="00984ACE" w:rsidRPr="00C97275"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984ACE" w:rsidRPr="00C97275" w14:paraId="3F21DF84"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2C710EB7" w14:textId="39FB0AC7" w:rsidR="00984ACE" w:rsidRPr="00C97275" w:rsidRDefault="00984ACE" w:rsidP="00984ACE">
            <w:pPr>
              <w:rPr>
                <w:rFonts w:ascii="Georgia" w:hAnsi="Georgia"/>
                <w:b w:val="0"/>
                <w:sz w:val="20"/>
                <w:szCs w:val="20"/>
              </w:rPr>
            </w:pPr>
            <w:r w:rsidRPr="00C97275">
              <w:rPr>
                <w:rFonts w:ascii="Georgia" w:hAnsi="Georgia"/>
                <w:b w:val="0"/>
                <w:sz w:val="20"/>
                <w:szCs w:val="20"/>
              </w:rPr>
              <w:t>Europos energijos vartojimo efektyvumo fondas</w:t>
            </w:r>
          </w:p>
        </w:tc>
        <w:tc>
          <w:tcPr>
            <w:tcW w:w="6299" w:type="dxa"/>
          </w:tcPr>
          <w:p w14:paraId="4B2CC003" w14:textId="552104B4" w:rsidR="00984ACE" w:rsidRPr="00C97275" w:rsidRDefault="00984ACE" w:rsidP="00984AC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2011 m. </w:t>
            </w:r>
            <w:r w:rsidR="0018041C" w:rsidRPr="00C97275">
              <w:rPr>
                <w:rFonts w:ascii="Georgia" w:hAnsi="Georgia"/>
                <w:sz w:val="20"/>
                <w:szCs w:val="20"/>
              </w:rPr>
              <w:t>l</w:t>
            </w:r>
            <w:r w:rsidRPr="00C97275">
              <w:rPr>
                <w:rFonts w:ascii="Georgia" w:hAnsi="Georgia"/>
                <w:sz w:val="20"/>
                <w:szCs w:val="20"/>
              </w:rPr>
              <w:t xml:space="preserve">iepos 1 d. šis fondas pradėjo veiklą, bendra investicinė suma 265 mln. eurų. Šis fondas suteikia specialiai pritaikytos skolos ir nuosavybės priemones vietos, regionų ir nacionalinėms valdžios institucijos arba jų vardu veikiantiems viešiems ar privatiems subjektai. EEEF siekia finansuoti projektus susijusiu su energetikos efektyvumu (70%), atsinaujinančia energetika (20%) ir švarų miestų transportą (10%) taikant naujoviškus finansavimo instrumentus. </w:t>
            </w:r>
          </w:p>
          <w:p w14:paraId="084E4E63" w14:textId="77777777" w:rsidR="00984ACE" w:rsidRPr="00C97275" w:rsidRDefault="00984ACE"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bl>
    <w:p w14:paraId="60CA635B" w14:textId="77777777" w:rsidR="00F55A2A" w:rsidRPr="00C97275" w:rsidRDefault="00F55A2A" w:rsidP="00F55A2A">
      <w:pPr>
        <w:jc w:val="both"/>
        <w:rPr>
          <w:rFonts w:ascii="Georgia" w:hAnsi="Georgia"/>
          <w:sz w:val="20"/>
          <w:szCs w:val="20"/>
          <w:lang w:val="lt-LT"/>
        </w:rPr>
      </w:pPr>
    </w:p>
    <w:p w14:paraId="04D35703" w14:textId="625A81A0" w:rsidR="00583EB1" w:rsidRPr="00C97275" w:rsidRDefault="00583EB1" w:rsidP="00E718A5">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23" w:name="_Toc25594669"/>
      <w:r w:rsidRPr="00C97275">
        <w:rPr>
          <w:rFonts w:ascii="Georgia" w:eastAsia="Times New Roman" w:hAnsi="Georgia" w:cs="Arial Unicode MS"/>
          <w:b/>
          <w:i/>
          <w:color w:val="821A1A"/>
          <w:sz w:val="32"/>
          <w:szCs w:val="26"/>
          <w:lang w:val="lt-LT"/>
        </w:rPr>
        <w:t>Tarptautinių finansų institucijų analizė</w:t>
      </w:r>
      <w:bookmarkEnd w:id="123"/>
    </w:p>
    <w:p w14:paraId="452BCC2A" w14:textId="63600632"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Žemiau analizuojamos keturios pagrindinės tarptautinių finansų institucijos: EPRB, ŠIB, EIB ir ETVB.</w:t>
      </w:r>
    </w:p>
    <w:p w14:paraId="721FFC9D" w14:textId="77777777" w:rsidR="006977C2" w:rsidRPr="00C97275"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24" w:name="_Toc25594670"/>
      <w:r w:rsidRPr="00C97275">
        <w:rPr>
          <w:rFonts w:ascii="Georgia" w:eastAsia="Times New Roman" w:hAnsi="Georgia" w:cs="Arial Unicode MS"/>
          <w:b/>
          <w:i/>
          <w:color w:val="821A1A"/>
          <w:sz w:val="32"/>
          <w:szCs w:val="26"/>
          <w:lang w:val="lt-LT"/>
        </w:rPr>
        <w:t>Europos rekonstrukcijos ir plėtros bankas</w:t>
      </w:r>
      <w:bookmarkEnd w:id="124"/>
    </w:p>
    <w:p w14:paraId="502B01C7" w14:textId="6EBE43EE"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ERPB siekia skatinti ekonomines reformas, kurios paspartina valstybių perėjimą prie atviros ir demokratiškos rinkos ekonomikos</w:t>
      </w:r>
      <w:r w:rsidRPr="00C97275">
        <w:rPr>
          <w:rFonts w:ascii="Georgia" w:eastAsia="Calibri" w:hAnsi="Georgia" w:cs="Arial"/>
          <w:sz w:val="20"/>
          <w:szCs w:val="20"/>
          <w:vertAlign w:val="superscript"/>
          <w:lang w:val="lt-LT"/>
        </w:rPr>
        <w:footnoteReference w:id="47"/>
      </w:r>
      <w:r w:rsidRPr="00C97275">
        <w:rPr>
          <w:rFonts w:ascii="Georgia" w:eastAsia="Calibri" w:hAnsi="Georgia" w:cs="Arial"/>
          <w:sz w:val="20"/>
          <w:szCs w:val="20"/>
          <w:lang w:val="lt-LT"/>
        </w:rPr>
        <w:t>.</w:t>
      </w:r>
    </w:p>
    <w:p w14:paraId="1CF01B1E"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Bankas finansuoja projektus žemės ūkio, energijos vartojimo efektyvumo, finansų įstaigų, gamybos, vietinės aplinkosaugos infrastruktūros, gamtos išteklių, energetikos, nuosavybės, turizmo, mažų ir vidutinių įmonių, telekomunikacijų, informacinių technologijų, žiniasklaidos ir transporto srityse</w:t>
      </w:r>
      <w:r w:rsidRPr="00C97275">
        <w:rPr>
          <w:rFonts w:ascii="Georgia" w:eastAsia="Calibri" w:hAnsi="Georgia" w:cs="Arial"/>
          <w:sz w:val="20"/>
          <w:szCs w:val="20"/>
          <w:vertAlign w:val="superscript"/>
          <w:lang w:val="lt-LT"/>
        </w:rPr>
        <w:footnoteReference w:id="48"/>
      </w:r>
      <w:r w:rsidRPr="00C97275">
        <w:rPr>
          <w:rFonts w:ascii="Georgia" w:eastAsia="Calibri" w:hAnsi="Georgia" w:cs="Arial"/>
          <w:sz w:val="20"/>
          <w:szCs w:val="20"/>
          <w:lang w:val="lt-LT"/>
        </w:rPr>
        <w:t>.</w:t>
      </w:r>
    </w:p>
    <w:p w14:paraId="424D0FFC" w14:textId="77777777" w:rsidR="006977C2" w:rsidRPr="00C97275" w:rsidRDefault="006977C2" w:rsidP="006977C2">
      <w:pPr>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Energetinio efektyvumo projektų finansavimas</w:t>
      </w:r>
    </w:p>
    <w:p w14:paraId="216B1855" w14:textId="1440F9CC" w:rsidR="006977C2" w:rsidRPr="00C97275" w:rsidRDefault="006977C2" w:rsidP="006977C2">
      <w:pPr>
        <w:autoSpaceDE w:val="0"/>
        <w:autoSpaceDN w:val="0"/>
        <w:adjustRightInd w:val="0"/>
        <w:spacing w:after="120"/>
        <w:jc w:val="both"/>
        <w:rPr>
          <w:rFonts w:ascii="Georgia" w:eastAsia="FranklinGothicBookCondITC-Reg" w:hAnsi="Georgia" w:cs="Arial"/>
          <w:sz w:val="20"/>
          <w:szCs w:val="20"/>
          <w:lang w:val="lt-LT"/>
        </w:rPr>
      </w:pPr>
      <w:r w:rsidRPr="00C97275">
        <w:rPr>
          <w:rFonts w:ascii="Georgia" w:eastAsia="FranklinGothicBookCondITC-Reg" w:hAnsi="Georgia" w:cs="Arial"/>
          <w:sz w:val="20"/>
          <w:szCs w:val="20"/>
          <w:lang w:val="lt-LT"/>
        </w:rPr>
        <w:t>2013 m. pabaigoje ERPB patvirtino naują energetikos sektoriaus strategiją</w:t>
      </w:r>
      <w:r w:rsidRPr="00C97275">
        <w:rPr>
          <w:rFonts w:ascii="Georgia" w:eastAsia="FranklinGothicBookCondITC-Reg" w:hAnsi="Georgia" w:cs="Arial"/>
          <w:sz w:val="20"/>
          <w:szCs w:val="20"/>
          <w:vertAlign w:val="superscript"/>
          <w:lang w:val="lt-LT"/>
        </w:rPr>
        <w:footnoteReference w:id="49"/>
      </w:r>
      <w:r w:rsidRPr="00C97275">
        <w:rPr>
          <w:rFonts w:ascii="Georgia" w:eastAsia="FranklinGothicBookCondITC-Reg" w:hAnsi="Georgia" w:cs="Arial"/>
          <w:sz w:val="20"/>
          <w:szCs w:val="20"/>
          <w:lang w:val="lt-LT"/>
        </w:rPr>
        <w:t xml:space="preserve">. Šiame dokumente ERPB įtvirtina savo įsipareigojimus padėti šalims naudos gavėjoms kurti tvarios energetikos ateitį. Svarbiausias strategijos prioritetas yra energijos vartojimo efektyvumas, pripažįstant, jog tai yra tinkamiausias kelias siekiant tvarios, saugios ir prieinamos energijos. Strategija pabrėžia energetikos </w:t>
      </w:r>
      <w:r w:rsidRPr="00C97275">
        <w:rPr>
          <w:rFonts w:ascii="Georgia" w:eastAsia="FranklinGothicBookCondITC-Reg" w:hAnsi="Georgia" w:cs="Arial"/>
          <w:sz w:val="20"/>
          <w:szCs w:val="20"/>
          <w:lang w:val="lt-LT"/>
        </w:rPr>
        <w:lastRenderedPageBreak/>
        <w:t>sektoriaus ekonominę svarbą, viešojo ir privataus sektorių sąveiką bei poveikį aplinkai ir energetikos sektorių įvardina kaip vieną iš pagrindinių priemonių, siekiant ERPB tikslų. Strategijoje taip pat akcentuojama parama atsinaujinantiems energijos ištekliams, kuri apima tiek energijos generavimo pajėgumų, tiek pagrindinės infrastruktūros, tokios kaip perdavimo linijų ir t. t., finansavimą.</w:t>
      </w:r>
    </w:p>
    <w:p w14:paraId="249129EE" w14:textId="100DEED6"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Nuo 2015 m. ERPB energetinio efektyvumo ir atsinaujinančios energijos projektus remia per perėjimo prie žaliosios ekonomikos (angl. Green Economy transition (GET)) iniciatyvą. Bankas investuoja į savivaldybių ir įmonių projektus, kuriais siekiama sumažinti energijos vartojimo kiekius gamybos procesuose, pastatų statybos ir transporto srityje</w:t>
      </w:r>
      <w:r w:rsidRPr="00C97275">
        <w:rPr>
          <w:rFonts w:ascii="Georgia" w:eastAsia="Calibri" w:hAnsi="Georgia" w:cs="Arial"/>
          <w:sz w:val="20"/>
          <w:szCs w:val="20"/>
          <w:vertAlign w:val="superscript"/>
          <w:lang w:val="lt-LT"/>
        </w:rPr>
        <w:footnoteReference w:id="50"/>
      </w:r>
      <w:r w:rsidRPr="00C97275">
        <w:rPr>
          <w:rFonts w:ascii="Georgia" w:eastAsia="Calibri" w:hAnsi="Georgia" w:cs="Arial"/>
          <w:sz w:val="20"/>
          <w:szCs w:val="20"/>
          <w:lang w:val="lt-LT"/>
        </w:rPr>
        <w:t>. Per 2016-2020 m. investicijos sieks iki 18 mlrd. eurų</w:t>
      </w:r>
      <w:r w:rsidRPr="00C97275">
        <w:rPr>
          <w:rFonts w:ascii="Georgia" w:eastAsia="Calibri" w:hAnsi="Georgia" w:cs="Arial"/>
          <w:sz w:val="20"/>
          <w:szCs w:val="20"/>
          <w:vertAlign w:val="superscript"/>
          <w:lang w:val="lt-LT"/>
        </w:rPr>
        <w:footnoteReference w:id="51"/>
      </w:r>
      <w:r w:rsidRPr="00C97275">
        <w:rPr>
          <w:rFonts w:ascii="Georgia" w:eastAsia="Calibri" w:hAnsi="Georgia" w:cs="Arial"/>
          <w:sz w:val="20"/>
          <w:szCs w:val="20"/>
          <w:lang w:val="lt-LT"/>
        </w:rPr>
        <w:t xml:space="preserve">. Su šia iniciatyvai planuojama, kad tarp pusės ir dviejų trečiųjų visų projektų bus finansuojami privataus sektoriaus projektai </w:t>
      </w:r>
      <w:r w:rsidRPr="00C97275">
        <w:rPr>
          <w:rFonts w:ascii="Georgia" w:eastAsia="Calibri" w:hAnsi="Georgia" w:cs="Arial"/>
          <w:sz w:val="20"/>
          <w:szCs w:val="20"/>
          <w:vertAlign w:val="superscript"/>
          <w:lang w:val="lt-LT"/>
        </w:rPr>
        <w:footnoteReference w:id="52"/>
      </w:r>
      <w:r w:rsidRPr="00C97275">
        <w:rPr>
          <w:rFonts w:ascii="Georgia" w:eastAsia="Calibri" w:hAnsi="Georgia" w:cs="Arial"/>
          <w:sz w:val="20"/>
          <w:szCs w:val="20"/>
          <w:lang w:val="lt-LT"/>
        </w:rPr>
        <w:t>.</w:t>
      </w:r>
    </w:p>
    <w:p w14:paraId="70025A03" w14:textId="01902EA2" w:rsidR="006977C2" w:rsidRPr="00C97275" w:rsidRDefault="006977C2" w:rsidP="006977C2">
      <w:pPr>
        <w:jc w:val="both"/>
        <w:rPr>
          <w:rFonts w:ascii="Georgia" w:eastAsia="FranklinGothicBookCondITC-Reg" w:hAnsi="Georgia" w:cs="Arial"/>
          <w:sz w:val="20"/>
          <w:szCs w:val="20"/>
          <w:lang w:val="lt-LT"/>
        </w:rPr>
      </w:pPr>
      <w:r w:rsidRPr="00C97275">
        <w:rPr>
          <w:rFonts w:ascii="Georgia" w:eastAsia="FranklinGothicBookCondITC-Reg" w:hAnsi="Georgia" w:cs="Arial"/>
          <w:sz w:val="20"/>
          <w:szCs w:val="20"/>
          <w:lang w:val="lt-LT"/>
        </w:rPr>
        <w:t>Nuo 2006-2016 m. ERPB projektų finansavimui skyrė 24 mlrd. eurų. Didžiausia dalis lėšų buvo skiriama įmonių energiniam efektyvumui - 27%, švaresnės energijos produkcijai - 23% ir atsinaujinančiai energetikai – 18%</w:t>
      </w:r>
      <w:r w:rsidRPr="00C97275">
        <w:rPr>
          <w:rFonts w:ascii="Georgia" w:eastAsia="FranklinGothicBookCondITC-Reg" w:hAnsi="Georgia" w:cs="Arial"/>
          <w:sz w:val="20"/>
          <w:szCs w:val="20"/>
          <w:vertAlign w:val="superscript"/>
          <w:lang w:val="lt-LT"/>
        </w:rPr>
        <w:footnoteReference w:id="53"/>
      </w:r>
      <w:r w:rsidRPr="00C97275">
        <w:rPr>
          <w:rFonts w:ascii="Georgia" w:eastAsia="FranklinGothicBookCondITC-Reg" w:hAnsi="Georgia" w:cs="Arial"/>
          <w:sz w:val="20"/>
          <w:szCs w:val="20"/>
          <w:lang w:val="lt-LT"/>
        </w:rPr>
        <w:t>.</w:t>
      </w:r>
    </w:p>
    <w:p w14:paraId="40CDB1C9" w14:textId="598913CD" w:rsidR="006977C2" w:rsidRPr="00C97275" w:rsidRDefault="006977C2" w:rsidP="006977C2">
      <w:pPr>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Banko veikla Lietuvoje</w:t>
      </w:r>
    </w:p>
    <w:p w14:paraId="2E2A487C"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Strategijoje Lietuvai </w:t>
      </w:r>
      <w:r w:rsidRPr="00C97275">
        <w:rPr>
          <w:rFonts w:ascii="Georgia" w:eastAsia="Calibri" w:hAnsi="Georgia" w:cs="Arial"/>
          <w:sz w:val="20"/>
          <w:szCs w:val="20"/>
          <w:vertAlign w:val="superscript"/>
          <w:lang w:val="lt-LT"/>
        </w:rPr>
        <w:footnoteReference w:id="54"/>
      </w:r>
      <w:r w:rsidRPr="00C97275">
        <w:rPr>
          <w:rFonts w:ascii="Georgia" w:eastAsia="Calibri" w:hAnsi="Georgia" w:cs="Arial"/>
          <w:sz w:val="20"/>
          <w:szCs w:val="20"/>
          <w:lang w:val="lt-LT"/>
        </w:rPr>
        <w:t xml:space="preserve"> nurodoma, kad ERPB veikla šiuo metu apsiriboja ir ateityje apsiribos keturiais prioritetais, vienas iš jų yra investicijos į atsinaujinančios energijos išteklių ir efektyvaus energijos naudojimo projektus. ERPB nurodo, jog rems šiuos projektus ir skatins investicijas, skirtas užtikrinti efektyvesnį energijos naudojimą, ypač visuomeniniuose pastatuose, komunalinių paslaugų įmonėse bei pramonės įmonėse. ERPB taip pat ieškos būdų, kaip remti investicijas į gyvenamųjų namų sektorių.</w:t>
      </w:r>
    </w:p>
    <w:p w14:paraId="272B7612"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Informacija apie pagrindinius ERPB veiklos rodiklius Lietuvoje pateikiama žemiau esančioje lentelėje.</w:t>
      </w:r>
    </w:p>
    <w:p w14:paraId="495D4CC8" w14:textId="5C469634" w:rsidR="006977C2" w:rsidRPr="00C97275" w:rsidRDefault="006977C2" w:rsidP="006977C2">
      <w:pPr>
        <w:keepNext/>
        <w:rPr>
          <w:rFonts w:ascii="Georgia" w:eastAsia="PMingLiU" w:hAnsi="Georgia" w:cs="Times New Roman"/>
          <w:b/>
          <w:bCs/>
          <w:i/>
          <w:color w:val="A32020"/>
          <w:sz w:val="20"/>
          <w:szCs w:val="18"/>
          <w:lang w:val="lt-LT"/>
        </w:rPr>
      </w:pPr>
      <w:bookmarkStart w:id="125" w:name="_Toc19105241"/>
      <w:r w:rsidRPr="00C97275">
        <w:rPr>
          <w:rFonts w:ascii="Georgia" w:eastAsia="PMingLiU" w:hAnsi="Georgia" w:cs="Times New Roman"/>
          <w:b/>
          <w:bCs/>
          <w:color w:val="A32020"/>
          <w:sz w:val="20"/>
          <w:szCs w:val="18"/>
          <w:lang w:val="lt-LT"/>
        </w:rPr>
        <w:t xml:space="preserve">Lentelė </w:t>
      </w:r>
      <w:r w:rsidRPr="00C97275">
        <w:rPr>
          <w:rFonts w:ascii="Georgia" w:eastAsia="PMingLiU" w:hAnsi="Georgia" w:cs="Times New Roman"/>
          <w:b/>
          <w:bCs/>
          <w:color w:val="A32020"/>
          <w:sz w:val="20"/>
          <w:szCs w:val="18"/>
          <w:lang w:val="lt-LT"/>
        </w:rPr>
        <w:fldChar w:fldCharType="begin"/>
      </w:r>
      <w:r w:rsidRPr="00C97275">
        <w:rPr>
          <w:rFonts w:ascii="Georgia" w:eastAsia="PMingLiU" w:hAnsi="Georgia" w:cs="Times New Roman"/>
          <w:b/>
          <w:bCs/>
          <w:color w:val="A32020"/>
          <w:sz w:val="20"/>
          <w:szCs w:val="18"/>
          <w:lang w:val="lt-LT"/>
        </w:rPr>
        <w:instrText xml:space="preserve"> SEQ Lentelė \* ARABIC </w:instrText>
      </w:r>
      <w:r w:rsidRPr="00C97275">
        <w:rPr>
          <w:rFonts w:ascii="Georgia" w:eastAsia="PMingLiU" w:hAnsi="Georgia" w:cs="Times New Roman"/>
          <w:b/>
          <w:bCs/>
          <w:color w:val="A32020"/>
          <w:sz w:val="20"/>
          <w:szCs w:val="18"/>
          <w:lang w:val="lt-LT"/>
        </w:rPr>
        <w:fldChar w:fldCharType="separate"/>
      </w:r>
      <w:r w:rsidR="001028BC" w:rsidRPr="00C97275">
        <w:rPr>
          <w:rFonts w:ascii="Georgia" w:eastAsia="PMingLiU" w:hAnsi="Georgia" w:cs="Times New Roman"/>
          <w:b/>
          <w:bCs/>
          <w:noProof/>
          <w:color w:val="A32020"/>
          <w:sz w:val="20"/>
          <w:szCs w:val="18"/>
          <w:lang w:val="lt-LT"/>
        </w:rPr>
        <w:t>28</w:t>
      </w:r>
      <w:r w:rsidRPr="00C97275">
        <w:rPr>
          <w:rFonts w:ascii="Georgia" w:eastAsia="PMingLiU" w:hAnsi="Georgia" w:cs="Times New Roman"/>
          <w:b/>
          <w:bCs/>
          <w:color w:val="A32020"/>
          <w:sz w:val="20"/>
          <w:szCs w:val="18"/>
          <w:lang w:val="lt-LT"/>
        </w:rPr>
        <w:fldChar w:fldCharType="end"/>
      </w:r>
      <w:r w:rsidRPr="00C97275">
        <w:rPr>
          <w:rFonts w:ascii="Georgia" w:eastAsia="PMingLiU" w:hAnsi="Georgia" w:cs="Arial"/>
          <w:bCs/>
          <w:sz w:val="20"/>
          <w:szCs w:val="20"/>
          <w:lang w:val="lt-LT"/>
        </w:rPr>
        <w:t xml:space="preserve">. </w:t>
      </w:r>
      <w:r w:rsidRPr="00C97275">
        <w:rPr>
          <w:rFonts w:ascii="Georgia" w:eastAsia="PMingLiU" w:hAnsi="Georgia" w:cs="Times New Roman"/>
          <w:b/>
          <w:bCs/>
          <w:color w:val="A32020"/>
          <w:sz w:val="20"/>
          <w:szCs w:val="18"/>
          <w:lang w:val="lt-LT"/>
        </w:rPr>
        <w:t>ERPB veiklos rodikliai Lietuvoje.</w:t>
      </w:r>
      <w:bookmarkEnd w:id="125"/>
      <w:r w:rsidRPr="00C97275">
        <w:rPr>
          <w:rFonts w:ascii="Georgia" w:eastAsia="PMingLiU" w:hAnsi="Georgia" w:cs="Times New Roman"/>
          <w:b/>
          <w:bCs/>
          <w:color w:val="A32020"/>
          <w:sz w:val="20"/>
          <w:szCs w:val="18"/>
          <w:lang w:val="lt-LT"/>
        </w:rPr>
        <w:t xml:space="preserve"> </w:t>
      </w:r>
    </w:p>
    <w:tbl>
      <w:tblPr>
        <w:tblStyle w:val="LightList-Accent21"/>
        <w:tblW w:w="5000" w:type="pct"/>
        <w:tblLook w:val="04A0" w:firstRow="1" w:lastRow="0" w:firstColumn="1" w:lastColumn="0" w:noHBand="0" w:noVBand="1"/>
      </w:tblPr>
      <w:tblGrid>
        <w:gridCol w:w="4965"/>
        <w:gridCol w:w="4277"/>
      </w:tblGrid>
      <w:tr w:rsidR="006977C2" w:rsidRPr="00C97275" w14:paraId="634F5766" w14:textId="77777777" w:rsidTr="005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576FFF" w14:textId="77777777" w:rsidR="006977C2" w:rsidRPr="00C97275" w:rsidRDefault="006977C2" w:rsidP="006977C2">
            <w:pPr>
              <w:jc w:val="center"/>
              <w:rPr>
                <w:rFonts w:ascii="Georgia" w:eastAsia="Calibri" w:hAnsi="Georgia" w:cs="Arial"/>
                <w:sz w:val="20"/>
                <w:szCs w:val="20"/>
              </w:rPr>
            </w:pPr>
            <w:r w:rsidRPr="00C97275">
              <w:rPr>
                <w:rFonts w:ascii="Georgia" w:eastAsia="Calibri" w:hAnsi="Georgia" w:cs="Arial"/>
                <w:sz w:val="20"/>
                <w:szCs w:val="20"/>
              </w:rPr>
              <w:t>Rodiklis</w:t>
            </w:r>
          </w:p>
        </w:tc>
        <w:tc>
          <w:tcPr>
            <w:tcW w:w="0" w:type="pct"/>
          </w:tcPr>
          <w:p w14:paraId="04704D3A" w14:textId="77777777" w:rsidR="006977C2" w:rsidRPr="00C97275" w:rsidRDefault="006977C2" w:rsidP="006977C2">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Arial"/>
                <w:sz w:val="20"/>
                <w:szCs w:val="20"/>
              </w:rPr>
            </w:pPr>
            <w:r w:rsidRPr="00C97275">
              <w:rPr>
                <w:rFonts w:ascii="Georgia" w:eastAsia="Calibri" w:hAnsi="Georgia" w:cs="Arial"/>
                <w:sz w:val="20"/>
                <w:szCs w:val="20"/>
              </w:rPr>
              <w:t>Reikšmė</w:t>
            </w:r>
          </w:p>
        </w:tc>
      </w:tr>
      <w:tr w:rsidR="006977C2" w:rsidRPr="00C97275" w14:paraId="63C1BEC8"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5D8E022" w14:textId="77777777" w:rsidR="006977C2" w:rsidRPr="00C97275" w:rsidRDefault="006977C2" w:rsidP="006977C2">
            <w:pPr>
              <w:jc w:val="both"/>
              <w:rPr>
                <w:rFonts w:ascii="Georgia" w:eastAsia="Calibri" w:hAnsi="Georgia" w:cs="Arial"/>
                <w:bCs w:val="0"/>
                <w:sz w:val="20"/>
                <w:szCs w:val="20"/>
              </w:rPr>
            </w:pPr>
            <w:r w:rsidRPr="00C97275">
              <w:rPr>
                <w:rFonts w:ascii="Georgia" w:eastAsia="Calibri" w:hAnsi="Georgia" w:cs="Arial"/>
                <w:sz w:val="20"/>
                <w:szCs w:val="20"/>
              </w:rPr>
              <w:t>Projektų skaičius (iš viso)</w:t>
            </w:r>
          </w:p>
        </w:tc>
        <w:tc>
          <w:tcPr>
            <w:tcW w:w="0" w:type="pct"/>
            <w:hideMark/>
          </w:tcPr>
          <w:p w14:paraId="1C1B70C4" w14:textId="77777777" w:rsidR="006977C2" w:rsidRPr="00C97275" w:rsidRDefault="006977C2" w:rsidP="006977C2">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Arial"/>
                <w:b/>
                <w:bCs/>
                <w:sz w:val="20"/>
                <w:szCs w:val="20"/>
              </w:rPr>
            </w:pPr>
            <w:r w:rsidRPr="00C97275">
              <w:rPr>
                <w:rFonts w:ascii="Georgia" w:eastAsia="Calibri" w:hAnsi="Georgia" w:cs="Arial"/>
                <w:sz w:val="20"/>
                <w:szCs w:val="20"/>
              </w:rPr>
              <w:t>81</w:t>
            </w:r>
          </w:p>
        </w:tc>
      </w:tr>
      <w:tr w:rsidR="006977C2" w:rsidRPr="00C97275" w14:paraId="1AF7AE75" w14:textId="77777777" w:rsidTr="005B31C6">
        <w:tc>
          <w:tcPr>
            <w:cnfStyle w:val="001000000000" w:firstRow="0" w:lastRow="0" w:firstColumn="1" w:lastColumn="0" w:oddVBand="0" w:evenVBand="0" w:oddHBand="0" w:evenHBand="0" w:firstRowFirstColumn="0" w:firstRowLastColumn="0" w:lastRowFirstColumn="0" w:lastRowLastColumn="0"/>
            <w:tcW w:w="0" w:type="pct"/>
            <w:hideMark/>
          </w:tcPr>
          <w:p w14:paraId="1AC0E59C" w14:textId="77777777" w:rsidR="006977C2" w:rsidRPr="00C97275" w:rsidRDefault="006977C2" w:rsidP="006977C2">
            <w:pPr>
              <w:jc w:val="both"/>
              <w:rPr>
                <w:rFonts w:ascii="Georgia" w:eastAsia="Calibri" w:hAnsi="Georgia" w:cs="Arial"/>
                <w:bCs w:val="0"/>
                <w:sz w:val="20"/>
                <w:szCs w:val="20"/>
              </w:rPr>
            </w:pPr>
            <w:r w:rsidRPr="00C97275">
              <w:rPr>
                <w:rFonts w:ascii="Georgia" w:eastAsia="Calibri" w:hAnsi="Georgia" w:cs="Arial"/>
                <w:sz w:val="20"/>
                <w:szCs w:val="20"/>
              </w:rPr>
              <w:t>Įsipareigojimai (iš viso)</w:t>
            </w:r>
            <w:r w:rsidRPr="00C97275">
              <w:rPr>
                <w:rFonts w:ascii="Georgia" w:eastAsia="Calibri" w:hAnsi="Georgia" w:cs="Arial"/>
                <w:sz w:val="20"/>
                <w:szCs w:val="20"/>
                <w:vertAlign w:val="superscript"/>
              </w:rPr>
              <w:footnoteReference w:id="55"/>
            </w:r>
          </w:p>
        </w:tc>
        <w:tc>
          <w:tcPr>
            <w:tcW w:w="0" w:type="pct"/>
            <w:hideMark/>
          </w:tcPr>
          <w:p w14:paraId="75355B2C" w14:textId="77777777" w:rsidR="006977C2" w:rsidRPr="00C97275" w:rsidRDefault="006977C2" w:rsidP="006977C2">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rPr>
            </w:pPr>
            <w:r w:rsidRPr="00C97275">
              <w:rPr>
                <w:rFonts w:ascii="Georgia" w:eastAsia="Calibri" w:hAnsi="Georgia" w:cs="Arial"/>
                <w:sz w:val="20"/>
                <w:szCs w:val="20"/>
              </w:rPr>
              <w:t>701 mln. EUR</w:t>
            </w:r>
          </w:p>
        </w:tc>
      </w:tr>
      <w:tr w:rsidR="006977C2" w:rsidRPr="00C97275" w14:paraId="241B6335"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2AEC8191" w14:textId="77777777" w:rsidR="006977C2" w:rsidRPr="00C97275" w:rsidRDefault="006977C2" w:rsidP="006977C2">
            <w:pPr>
              <w:jc w:val="both"/>
              <w:rPr>
                <w:rFonts w:ascii="Georgia" w:eastAsia="Calibri" w:hAnsi="Georgia" w:cs="Arial"/>
                <w:bCs w:val="0"/>
                <w:sz w:val="20"/>
                <w:szCs w:val="20"/>
              </w:rPr>
            </w:pPr>
            <w:r w:rsidRPr="00C97275">
              <w:rPr>
                <w:rFonts w:ascii="Georgia" w:eastAsia="Calibri" w:hAnsi="Georgia" w:cs="Arial"/>
                <w:sz w:val="20"/>
                <w:szCs w:val="20"/>
              </w:rPr>
              <w:t>Išmokėta lėšų (iš viso)</w:t>
            </w:r>
          </w:p>
        </w:tc>
        <w:tc>
          <w:tcPr>
            <w:tcW w:w="0" w:type="pct"/>
            <w:hideMark/>
          </w:tcPr>
          <w:p w14:paraId="4E3360F5" w14:textId="77777777" w:rsidR="006977C2" w:rsidRPr="00C97275" w:rsidRDefault="006977C2" w:rsidP="006977C2">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rPr>
            </w:pPr>
            <w:r w:rsidRPr="00C97275">
              <w:rPr>
                <w:rFonts w:ascii="Georgia" w:eastAsia="Calibri" w:hAnsi="Georgia" w:cs="Arial"/>
                <w:sz w:val="20"/>
                <w:szCs w:val="20"/>
              </w:rPr>
              <w:t>648 mln. EUR</w:t>
            </w:r>
          </w:p>
        </w:tc>
      </w:tr>
      <w:tr w:rsidR="006977C2" w:rsidRPr="00C97275" w14:paraId="44A62AEA" w14:textId="77777777" w:rsidTr="005B31C6">
        <w:tc>
          <w:tcPr>
            <w:cnfStyle w:val="001000000000" w:firstRow="0" w:lastRow="0" w:firstColumn="1" w:lastColumn="0" w:oddVBand="0" w:evenVBand="0" w:oddHBand="0" w:evenHBand="0" w:firstRowFirstColumn="0" w:firstRowLastColumn="0" w:lastRowFirstColumn="0" w:lastRowLastColumn="0"/>
            <w:tcW w:w="0" w:type="pct"/>
            <w:hideMark/>
          </w:tcPr>
          <w:p w14:paraId="49B9B7AD" w14:textId="77777777" w:rsidR="006977C2" w:rsidRPr="00C97275" w:rsidRDefault="006977C2" w:rsidP="006977C2">
            <w:pPr>
              <w:jc w:val="both"/>
              <w:rPr>
                <w:rFonts w:ascii="Georgia" w:eastAsia="Calibri" w:hAnsi="Georgia" w:cs="Arial"/>
                <w:bCs w:val="0"/>
                <w:sz w:val="20"/>
                <w:szCs w:val="20"/>
              </w:rPr>
            </w:pPr>
            <w:r w:rsidRPr="00C97275">
              <w:rPr>
                <w:rFonts w:ascii="Georgia" w:eastAsia="Calibri" w:hAnsi="Georgia" w:cs="Arial"/>
                <w:sz w:val="20"/>
                <w:szCs w:val="20"/>
              </w:rPr>
              <w:t>Portfelio dalis privačiame sektoriuje</w:t>
            </w:r>
          </w:p>
        </w:tc>
        <w:tc>
          <w:tcPr>
            <w:tcW w:w="0" w:type="pct"/>
            <w:hideMark/>
          </w:tcPr>
          <w:p w14:paraId="74C8565D" w14:textId="77777777" w:rsidR="006977C2" w:rsidRPr="00C97275" w:rsidRDefault="006977C2" w:rsidP="006977C2">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rPr>
            </w:pPr>
            <w:r w:rsidRPr="00C97275">
              <w:rPr>
                <w:rFonts w:ascii="Georgia" w:eastAsia="Calibri" w:hAnsi="Georgia" w:cs="Arial"/>
                <w:sz w:val="20"/>
                <w:szCs w:val="20"/>
              </w:rPr>
              <w:t>62 proc.</w:t>
            </w:r>
          </w:p>
        </w:tc>
      </w:tr>
    </w:tbl>
    <w:p w14:paraId="35C93A09" w14:textId="77777777" w:rsidR="006977C2" w:rsidRPr="00C97275" w:rsidRDefault="006977C2" w:rsidP="006977C2">
      <w:pPr>
        <w:keepNext/>
        <w:rPr>
          <w:rFonts w:ascii="Georgia" w:eastAsia="PMingLiU" w:hAnsi="Georgia" w:cs="Times New Roman"/>
          <w:bCs/>
          <w:i/>
          <w:sz w:val="20"/>
          <w:szCs w:val="18"/>
          <w:lang w:val="lt-LT"/>
        </w:rPr>
      </w:pPr>
      <w:r w:rsidRPr="00C97275">
        <w:rPr>
          <w:rFonts w:ascii="Georgia" w:eastAsia="PMingLiU" w:hAnsi="Georgia" w:cs="Times New Roman"/>
          <w:bCs/>
          <w:i/>
          <w:sz w:val="20"/>
          <w:szCs w:val="18"/>
          <w:lang w:val="lt-LT"/>
        </w:rPr>
        <w:t xml:space="preserve">Šaltinis: ERPB projektai Lietuvoje (2017 m. birželio 30 d. duomenys) </w:t>
      </w:r>
      <w:r w:rsidRPr="00C97275">
        <w:rPr>
          <w:rFonts w:ascii="Georgia" w:eastAsia="PMingLiU" w:hAnsi="Georgia" w:cs="Times New Roman"/>
          <w:bCs/>
          <w:i/>
          <w:sz w:val="20"/>
          <w:szCs w:val="18"/>
          <w:vertAlign w:val="superscript"/>
          <w:lang w:val="lt-LT"/>
        </w:rPr>
        <w:footnoteReference w:id="56"/>
      </w:r>
    </w:p>
    <w:p w14:paraId="03C43BBF" w14:textId="745DE636" w:rsidR="006977C2" w:rsidRPr="00C97275" w:rsidRDefault="006977C2" w:rsidP="006977C2">
      <w:pPr>
        <w:spacing w:after="120" w:line="240" w:lineRule="auto"/>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Informacija apie ERPB portfelio raidą Lietuvoje 2008-2016 m. pateikiama žemiau esančiame paveiksle. 2017 m. birželio 30 d. duomenimis ERPB portfelio apimtis buvo 131 mln. </w:t>
      </w:r>
      <w:r w:rsidR="0018041C" w:rsidRPr="00C97275">
        <w:rPr>
          <w:rFonts w:ascii="Georgia" w:eastAsia="Calibri" w:hAnsi="Georgia" w:cs="Arial"/>
          <w:sz w:val="20"/>
          <w:szCs w:val="20"/>
          <w:lang w:val="lt-LT"/>
        </w:rPr>
        <w:t>e</w:t>
      </w:r>
      <w:r w:rsidRPr="00C97275">
        <w:rPr>
          <w:rFonts w:ascii="Georgia" w:eastAsia="Calibri" w:hAnsi="Georgia" w:cs="Arial"/>
          <w:sz w:val="20"/>
          <w:szCs w:val="20"/>
          <w:lang w:val="lt-LT"/>
        </w:rPr>
        <w:t>urų</w:t>
      </w:r>
      <w:r w:rsidRPr="00C97275">
        <w:rPr>
          <w:rFonts w:ascii="Georgia" w:eastAsia="Calibri" w:hAnsi="Georgia" w:cs="Arial"/>
          <w:sz w:val="20"/>
          <w:szCs w:val="20"/>
          <w:vertAlign w:val="superscript"/>
          <w:lang w:val="lt-LT"/>
        </w:rPr>
        <w:footnoteReference w:id="57"/>
      </w:r>
      <w:r w:rsidRPr="00C97275">
        <w:rPr>
          <w:rFonts w:ascii="Georgia" w:eastAsia="Calibri" w:hAnsi="Georgia" w:cs="Arial"/>
          <w:sz w:val="20"/>
          <w:szCs w:val="20"/>
          <w:lang w:val="lt-LT"/>
        </w:rPr>
        <w:t>.</w:t>
      </w:r>
    </w:p>
    <w:p w14:paraId="1A34C503" w14:textId="77777777" w:rsidR="006977C2" w:rsidRPr="00C97275" w:rsidRDefault="006977C2" w:rsidP="006977C2">
      <w:pPr>
        <w:spacing w:after="120" w:line="240" w:lineRule="auto"/>
        <w:jc w:val="both"/>
        <w:rPr>
          <w:rFonts w:ascii="Georgia" w:eastAsia="Calibri" w:hAnsi="Georgia" w:cs="Arial"/>
          <w:sz w:val="20"/>
          <w:szCs w:val="20"/>
          <w:lang w:val="lt-LT"/>
        </w:rPr>
      </w:pPr>
      <w:r w:rsidRPr="00C97275">
        <w:rPr>
          <w:rFonts w:ascii="Georgia" w:eastAsia="Calibri" w:hAnsi="Georgia" w:cs="Arial"/>
          <w:sz w:val="20"/>
          <w:szCs w:val="20"/>
          <w:lang w:val="lt-LT"/>
        </w:rPr>
        <w:t>ERPB Lietuvoje finansuojamų projektų pasiskirstymas pagal sektorius pateikiamas žemiau esančiame paveiksle.</w:t>
      </w:r>
    </w:p>
    <w:p w14:paraId="7576C786" w14:textId="77777777" w:rsidR="006977C2" w:rsidRPr="00C97275" w:rsidRDefault="006977C2" w:rsidP="006977C2">
      <w:pPr>
        <w:spacing w:after="120" w:line="240" w:lineRule="auto"/>
        <w:jc w:val="both"/>
        <w:rPr>
          <w:rFonts w:ascii="Georgia" w:eastAsia="Calibri" w:hAnsi="Georgia" w:cs="Arial"/>
          <w:sz w:val="20"/>
          <w:szCs w:val="20"/>
          <w:lang w:val="lt-LT"/>
        </w:rPr>
      </w:pPr>
    </w:p>
    <w:p w14:paraId="43DC7906" w14:textId="77777777" w:rsidR="006977C2" w:rsidRPr="00C97275" w:rsidRDefault="006977C2" w:rsidP="006977C2">
      <w:pPr>
        <w:keepNext/>
        <w:spacing w:line="240" w:lineRule="auto"/>
        <w:rPr>
          <w:rFonts w:ascii="Georgia" w:eastAsia="PMingLiU" w:hAnsi="Georgia" w:cs="Arial"/>
          <w:b/>
          <w:bCs/>
          <w:i/>
          <w:color w:val="A32020"/>
          <w:sz w:val="20"/>
          <w:szCs w:val="20"/>
          <w:lang w:val="lt-LT"/>
        </w:rPr>
      </w:pPr>
      <w:r w:rsidRPr="00C97275">
        <w:rPr>
          <w:rFonts w:ascii="Georgia" w:eastAsia="PMingLiU" w:hAnsi="Georgia" w:cs="Times New Roman"/>
          <w:b/>
          <w:bCs/>
          <w:color w:val="A32020"/>
          <w:sz w:val="20"/>
          <w:szCs w:val="18"/>
          <w:lang w:val="lt-LT"/>
        </w:rPr>
        <w:lastRenderedPageBreak/>
        <w:t>Paveikslas 10. ERPB portfelio raida Lietuvoje 2009-2016 metais ir finansuojamų projektų pasiskirstymas pagal sektorius 2017 m. birželio 30 d.</w:t>
      </w:r>
    </w:p>
    <w:p w14:paraId="7C1BABF3" w14:textId="77777777" w:rsidR="006977C2" w:rsidRPr="00C97275" w:rsidRDefault="006977C2" w:rsidP="006977C2">
      <w:pPr>
        <w:rPr>
          <w:rFonts w:ascii="Georgia" w:eastAsia="Calibri" w:hAnsi="Georgia" w:cs="DokChampa"/>
          <w:lang w:val="lt-LT"/>
        </w:rPr>
      </w:pPr>
      <w:r w:rsidRPr="00C97275">
        <w:rPr>
          <w:rFonts w:ascii="Georgia" w:eastAsia="Calibri" w:hAnsi="Georgia" w:cs="DokChampa"/>
          <w:noProof/>
          <w:lang w:val="lt-LT" w:eastAsia="lt-LT"/>
        </w:rPr>
        <w:drawing>
          <wp:inline distT="0" distB="0" distL="0" distR="0" wp14:anchorId="44AD521B" wp14:editId="3DF04D10">
            <wp:extent cx="3019425" cy="16859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97275">
        <w:rPr>
          <w:rFonts w:ascii="Georgia" w:eastAsia="Calibri" w:hAnsi="Georgia" w:cs="DokChampa"/>
          <w:lang w:val="lt-LT"/>
        </w:rPr>
        <w:t xml:space="preserve"> </w:t>
      </w:r>
      <w:r w:rsidRPr="00C97275">
        <w:rPr>
          <w:rFonts w:ascii="Georgia" w:eastAsia="Calibri" w:hAnsi="Georgia" w:cs="DokChampa"/>
          <w:noProof/>
          <w:lang w:val="lt-LT" w:eastAsia="lt-LT"/>
        </w:rPr>
        <w:drawing>
          <wp:inline distT="0" distB="0" distL="0" distR="0" wp14:anchorId="0028B907" wp14:editId="46C9458A">
            <wp:extent cx="2295524" cy="1952619"/>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A08223" w14:textId="77777777" w:rsidR="006977C2" w:rsidRPr="00C97275" w:rsidRDefault="006977C2" w:rsidP="006977C2">
      <w:pPr>
        <w:keepNext/>
        <w:rPr>
          <w:rFonts w:ascii="Georgia" w:eastAsia="PMingLiU" w:hAnsi="Georgia" w:cs="Times New Roman"/>
          <w:bCs/>
          <w:sz w:val="20"/>
          <w:szCs w:val="18"/>
          <w:vertAlign w:val="superscript"/>
          <w:lang w:val="lt-LT"/>
        </w:rPr>
      </w:pPr>
      <w:r w:rsidRPr="00C97275">
        <w:rPr>
          <w:rFonts w:ascii="Georgia" w:eastAsia="PMingLiU" w:hAnsi="Georgia" w:cs="Times New Roman"/>
          <w:bCs/>
          <w:i/>
          <w:sz w:val="20"/>
          <w:szCs w:val="18"/>
          <w:lang w:val="lt-LT"/>
        </w:rPr>
        <w:t>Šaltinis: 2012 m. lapkričio mėn. 13 ERPB valdybos patvirtinta strategija Lietuvai ir ERPB projektų Lietuvoje ataskaita</w:t>
      </w:r>
      <w:r w:rsidRPr="00C97275">
        <w:rPr>
          <w:rFonts w:ascii="Georgia" w:eastAsia="PMingLiU" w:hAnsi="Georgia" w:cs="Times New Roman"/>
          <w:bCs/>
          <w:sz w:val="20"/>
          <w:szCs w:val="18"/>
          <w:vertAlign w:val="superscript"/>
          <w:lang w:val="lt-LT"/>
        </w:rPr>
        <w:t xml:space="preserve">  </w:t>
      </w:r>
      <w:r w:rsidRPr="00C97275">
        <w:rPr>
          <w:rFonts w:ascii="Georgia" w:eastAsia="PMingLiU" w:hAnsi="Georgia" w:cs="Times New Roman"/>
          <w:bCs/>
          <w:sz w:val="20"/>
          <w:szCs w:val="18"/>
          <w:vertAlign w:val="superscript"/>
          <w:lang w:val="lt-LT"/>
        </w:rPr>
        <w:footnoteReference w:id="58"/>
      </w:r>
    </w:p>
    <w:p w14:paraId="21025D85" w14:textId="77777777" w:rsidR="006977C2" w:rsidRPr="00C97275" w:rsidRDefault="006977C2" w:rsidP="006977C2">
      <w:pPr>
        <w:jc w:val="center"/>
        <w:rPr>
          <w:rFonts w:ascii="Georgia" w:eastAsia="Calibri" w:hAnsi="Georgia" w:cs="DokChampa"/>
          <w:sz w:val="20"/>
          <w:szCs w:val="20"/>
          <w:lang w:val="lt-LT"/>
        </w:rPr>
      </w:pPr>
    </w:p>
    <w:p w14:paraId="5D441ED4"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14:paraId="195F81DC" w14:textId="76C94DA5"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2016 m. geguž</w:t>
      </w:r>
      <w:r w:rsidR="0018041C" w:rsidRPr="00C97275">
        <w:rPr>
          <w:rFonts w:ascii="Georgia" w:eastAsia="Calibri" w:hAnsi="Georgia" w:cs="Arial"/>
          <w:sz w:val="20"/>
          <w:szCs w:val="20"/>
          <w:lang w:val="lt-LT"/>
        </w:rPr>
        <w:t>ės mėn.</w:t>
      </w:r>
      <w:r w:rsidR="0018041C" w:rsidRPr="00C97275" w:rsidDel="0018041C">
        <w:rPr>
          <w:rFonts w:ascii="Georgia" w:eastAsia="Calibri" w:hAnsi="Georgia" w:cs="Arial"/>
          <w:sz w:val="20"/>
          <w:szCs w:val="20"/>
          <w:lang w:val="lt-LT"/>
        </w:rPr>
        <w:t xml:space="preserve"> </w:t>
      </w:r>
      <w:r w:rsidRPr="00C97275">
        <w:rPr>
          <w:rFonts w:ascii="Georgia" w:eastAsia="Calibri" w:hAnsi="Georgia" w:cs="Arial"/>
          <w:sz w:val="20"/>
          <w:szCs w:val="20"/>
          <w:lang w:val="lt-LT"/>
        </w:rPr>
        <w:t>VIPA pasirašė sutartį su ERPB dėl 50 mln. eurų paskolos daugiabučių namų renovacijai Lietuvoj</w:t>
      </w:r>
      <w:r w:rsidR="00AB35B9" w:rsidRPr="00C97275">
        <w:rPr>
          <w:rFonts w:ascii="Georgia" w:eastAsia="Calibri" w:hAnsi="Georgia" w:cs="Arial"/>
          <w:sz w:val="20"/>
          <w:szCs w:val="20"/>
          <w:lang w:val="lt-LT"/>
        </w:rPr>
        <w:t>e</w:t>
      </w:r>
      <w:r w:rsidRPr="00C97275">
        <w:rPr>
          <w:rFonts w:ascii="Georgia" w:eastAsia="Calibri" w:hAnsi="Georgia" w:cs="Arial"/>
          <w:sz w:val="20"/>
          <w:szCs w:val="20"/>
          <w:vertAlign w:val="superscript"/>
          <w:lang w:val="lt-LT"/>
        </w:rPr>
        <w:footnoteReference w:id="59"/>
      </w:r>
      <w:r w:rsidRPr="00C97275">
        <w:rPr>
          <w:rFonts w:ascii="Georgia" w:eastAsia="Calibri" w:hAnsi="Georgia" w:cs="Arial"/>
          <w:sz w:val="20"/>
          <w:szCs w:val="20"/>
          <w:lang w:val="lt-LT"/>
        </w:rPr>
        <w:t>.</w:t>
      </w:r>
    </w:p>
    <w:p w14:paraId="00059C68" w14:textId="722CBEBD"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2017 m. liep</w:t>
      </w:r>
      <w:r w:rsidR="0018041C" w:rsidRPr="00C97275">
        <w:rPr>
          <w:rFonts w:ascii="Georgia" w:eastAsia="Calibri" w:hAnsi="Georgia" w:cs="Arial"/>
          <w:sz w:val="20"/>
          <w:szCs w:val="20"/>
          <w:lang w:val="lt-LT"/>
        </w:rPr>
        <w:t xml:space="preserve">os </w:t>
      </w:r>
      <w:r w:rsidR="00D9139B" w:rsidRPr="00C97275">
        <w:rPr>
          <w:rFonts w:ascii="Georgia" w:eastAsia="Calibri" w:hAnsi="Georgia" w:cs="Arial"/>
          <w:sz w:val="20"/>
          <w:szCs w:val="20"/>
          <w:lang w:val="lt-LT"/>
        </w:rPr>
        <w:t>mėn.</w:t>
      </w:r>
      <w:r w:rsidR="0018041C" w:rsidRPr="00C97275">
        <w:rPr>
          <w:rFonts w:ascii="Georgia" w:eastAsia="Calibri" w:hAnsi="Georgia" w:cs="Arial"/>
          <w:sz w:val="20"/>
          <w:szCs w:val="20"/>
          <w:lang w:val="lt-LT"/>
        </w:rPr>
        <w:t xml:space="preserve"> ERPB investavo</w:t>
      </w:r>
      <w:r w:rsidRPr="00C97275">
        <w:rPr>
          <w:rFonts w:ascii="Georgia" w:eastAsia="Calibri" w:hAnsi="Georgia" w:cs="Arial"/>
          <w:sz w:val="20"/>
          <w:szCs w:val="20"/>
          <w:lang w:val="lt-LT"/>
        </w:rPr>
        <w:t xml:space="preserve"> 30 mln. </w:t>
      </w:r>
      <w:r w:rsidR="00AB35B9" w:rsidRPr="00C97275">
        <w:rPr>
          <w:rFonts w:ascii="Georgia" w:eastAsia="Calibri" w:hAnsi="Georgia" w:cs="Arial"/>
          <w:sz w:val="20"/>
          <w:szCs w:val="20"/>
          <w:lang w:val="lt-LT"/>
        </w:rPr>
        <w:t>į UAB „Lietuvos energija“ 300 mln. eurų</w:t>
      </w:r>
      <w:r w:rsidRPr="00C97275">
        <w:rPr>
          <w:rFonts w:ascii="Georgia" w:eastAsia="Calibri" w:hAnsi="Georgia" w:cs="Arial"/>
          <w:sz w:val="20"/>
          <w:szCs w:val="20"/>
          <w:lang w:val="lt-LT"/>
        </w:rPr>
        <w:t xml:space="preserve"> žaliųjų obligacijų emisiją. Investicijų programa, kurią remia ERPB, yra ypatingai svarbi padedant UAB „Lietuvos energija“ modernizuoti savo skirstomuosius tinklus ir išplėsti energijos gamybos iš atsinaujinančių šaltinių pajėgumus, tuo siekiant sustiprinti energijos tiekimo Lietuvai tvarumą bei saugumą ir sumažinti jos priklausomybę nuo importuojamos energijos</w:t>
      </w:r>
      <w:r w:rsidRPr="00C97275">
        <w:rPr>
          <w:rFonts w:ascii="Georgia" w:eastAsia="Calibri" w:hAnsi="Georgia" w:cs="Arial"/>
          <w:sz w:val="20"/>
          <w:szCs w:val="20"/>
          <w:vertAlign w:val="superscript"/>
          <w:lang w:val="lt-LT"/>
        </w:rPr>
        <w:footnoteReference w:id="60"/>
      </w:r>
      <w:r w:rsidRPr="00C97275">
        <w:rPr>
          <w:rFonts w:ascii="Georgia" w:eastAsia="Calibri" w:hAnsi="Georgia" w:cs="DokChampa"/>
          <w:lang w:val="lt-LT"/>
        </w:rPr>
        <w:t>.</w:t>
      </w:r>
    </w:p>
    <w:p w14:paraId="724E0032" w14:textId="77777777" w:rsidR="006977C2" w:rsidRPr="00C97275" w:rsidRDefault="006977C2" w:rsidP="002D46ED">
      <w:pPr>
        <w:spacing w:after="12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Produktai</w:t>
      </w:r>
    </w:p>
    <w:p w14:paraId="356A63C5"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Pagrindiniai ERPB siūlomi produktai yra paskolos ir garantijos.</w:t>
      </w:r>
    </w:p>
    <w:p w14:paraId="4D8249AB" w14:textId="77777777" w:rsidR="006977C2" w:rsidRPr="00C97275" w:rsidRDefault="006977C2" w:rsidP="006977C2">
      <w:pPr>
        <w:keepNext/>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Paskolos</w:t>
      </w:r>
    </w:p>
    <w:p w14:paraId="1A50FB71" w14:textId="77777777" w:rsidR="006977C2" w:rsidRPr="00C97275" w:rsidRDefault="006977C2" w:rsidP="006977C2">
      <w:pPr>
        <w:keepNext/>
        <w:spacing w:after="120" w:line="240" w:lineRule="auto"/>
        <w:jc w:val="both"/>
        <w:rPr>
          <w:rFonts w:ascii="Georgia" w:eastAsia="Calibri" w:hAnsi="Georgia" w:cs="Arial"/>
          <w:sz w:val="20"/>
          <w:szCs w:val="20"/>
          <w:lang w:val="lt-LT"/>
        </w:rPr>
      </w:pPr>
      <w:r w:rsidRPr="00C97275">
        <w:rPr>
          <w:rFonts w:ascii="Georgia" w:eastAsia="Calibri" w:hAnsi="Georgia" w:cs="Arial"/>
          <w:sz w:val="20"/>
          <w:szCs w:val="20"/>
          <w:lang w:val="lt-LT"/>
        </w:rPr>
        <w:t>Paskolos sąlygos nustatomos vertinant konkretaus projekto finansinius srautus ir kliento gebėjimą grąžinti paskolą per sutartą laikotarpį. Kredito rizika gali būti pilnai prisiimta banko arba iš dalies sindikuota į rinką. Paskola gali būti užtikrinta skolininko turtu ir / arba gali būti konvertuojama į akcijas ar susieta su kapitalu.</w:t>
      </w:r>
    </w:p>
    <w:p w14:paraId="2FCADB1E" w14:textId="77777777" w:rsidR="006977C2" w:rsidRPr="00C97275" w:rsidRDefault="006977C2" w:rsidP="006977C2">
      <w:pPr>
        <w:spacing w:after="120" w:line="240" w:lineRule="auto"/>
        <w:jc w:val="both"/>
        <w:rPr>
          <w:rFonts w:ascii="Georgia" w:eastAsia="Calibri" w:hAnsi="Georgia" w:cs="Arial"/>
          <w:sz w:val="20"/>
          <w:szCs w:val="20"/>
          <w:lang w:val="lt-LT"/>
        </w:rPr>
      </w:pPr>
      <w:r w:rsidRPr="00C97275">
        <w:rPr>
          <w:rFonts w:ascii="Georgia" w:eastAsia="Calibri" w:hAnsi="Georgia" w:cs="Arial"/>
          <w:sz w:val="20"/>
          <w:szCs w:val="20"/>
          <w:lang w:val="lt-LT"/>
        </w:rPr>
        <w:t>Informacija apie ERPB paskoloms keliamus reikalavimus pateikiama žemiau esančioje lentelėje.</w:t>
      </w:r>
    </w:p>
    <w:p w14:paraId="1444E92A" w14:textId="4380F46D" w:rsidR="006977C2" w:rsidRPr="00C97275" w:rsidRDefault="006977C2" w:rsidP="006977C2">
      <w:pPr>
        <w:keepNext/>
        <w:jc w:val="both"/>
        <w:rPr>
          <w:rFonts w:ascii="Georgia" w:eastAsia="PMingLiU" w:hAnsi="Georgia" w:cs="Arial"/>
          <w:b/>
          <w:bCs/>
          <w:color w:val="A32020"/>
          <w:sz w:val="20"/>
          <w:szCs w:val="20"/>
          <w:lang w:val="lt-LT"/>
        </w:rPr>
      </w:pPr>
      <w:bookmarkStart w:id="126" w:name="_Toc19105242"/>
      <w:r w:rsidRPr="00C97275">
        <w:rPr>
          <w:rFonts w:ascii="Georgia" w:eastAsia="PMingLiU" w:hAnsi="Georgia" w:cs="Times New Roman"/>
          <w:b/>
          <w:bCs/>
          <w:color w:val="A32020"/>
          <w:sz w:val="20"/>
          <w:szCs w:val="18"/>
          <w:lang w:val="lt-LT"/>
        </w:rPr>
        <w:t xml:space="preserve">Lentelė </w:t>
      </w:r>
      <w:r w:rsidRPr="00C97275">
        <w:rPr>
          <w:rFonts w:ascii="Georgia" w:eastAsia="PMingLiU" w:hAnsi="Georgia" w:cs="Times New Roman"/>
          <w:b/>
          <w:bCs/>
          <w:color w:val="A32020"/>
          <w:sz w:val="20"/>
          <w:szCs w:val="18"/>
          <w:lang w:val="lt-LT"/>
        </w:rPr>
        <w:fldChar w:fldCharType="begin"/>
      </w:r>
      <w:r w:rsidRPr="00C97275">
        <w:rPr>
          <w:rFonts w:ascii="Georgia" w:eastAsia="PMingLiU" w:hAnsi="Georgia" w:cs="Times New Roman"/>
          <w:b/>
          <w:bCs/>
          <w:color w:val="A32020"/>
          <w:sz w:val="20"/>
          <w:szCs w:val="18"/>
          <w:lang w:val="lt-LT"/>
        </w:rPr>
        <w:instrText xml:space="preserve"> SEQ Lentelė \* ARABIC </w:instrText>
      </w:r>
      <w:r w:rsidRPr="00C97275">
        <w:rPr>
          <w:rFonts w:ascii="Georgia" w:eastAsia="PMingLiU" w:hAnsi="Georgia" w:cs="Times New Roman"/>
          <w:b/>
          <w:bCs/>
          <w:color w:val="A32020"/>
          <w:sz w:val="20"/>
          <w:szCs w:val="18"/>
          <w:lang w:val="lt-LT"/>
        </w:rPr>
        <w:fldChar w:fldCharType="separate"/>
      </w:r>
      <w:r w:rsidR="001028BC" w:rsidRPr="00C97275">
        <w:rPr>
          <w:rFonts w:ascii="Georgia" w:eastAsia="PMingLiU" w:hAnsi="Georgia" w:cs="Times New Roman"/>
          <w:b/>
          <w:bCs/>
          <w:noProof/>
          <w:color w:val="A32020"/>
          <w:sz w:val="20"/>
          <w:szCs w:val="18"/>
          <w:lang w:val="lt-LT"/>
        </w:rPr>
        <w:t>29</w:t>
      </w:r>
      <w:r w:rsidRPr="00C97275">
        <w:rPr>
          <w:rFonts w:ascii="Georgia" w:eastAsia="PMingLiU" w:hAnsi="Georgia" w:cs="Times New Roman"/>
          <w:b/>
          <w:bCs/>
          <w:color w:val="A32020"/>
          <w:sz w:val="20"/>
          <w:szCs w:val="18"/>
          <w:lang w:val="lt-LT"/>
        </w:rPr>
        <w:fldChar w:fldCharType="end"/>
      </w:r>
      <w:r w:rsidRPr="00C97275">
        <w:rPr>
          <w:rFonts w:ascii="Georgia" w:eastAsia="PMingLiU" w:hAnsi="Georgia" w:cs="Times New Roman"/>
          <w:b/>
          <w:bCs/>
          <w:color w:val="A32020"/>
          <w:sz w:val="20"/>
          <w:szCs w:val="18"/>
          <w:lang w:val="lt-LT"/>
        </w:rPr>
        <w:t>. ERPB siūlomų produktų sąlygos.</w:t>
      </w:r>
      <w:bookmarkEnd w:id="126"/>
      <w:r w:rsidRPr="00C97275">
        <w:rPr>
          <w:rFonts w:ascii="Georgia" w:eastAsia="PMingLiU" w:hAnsi="Georgia" w:cs="Times New Roman"/>
          <w:b/>
          <w:bCs/>
          <w:color w:val="A32020"/>
          <w:sz w:val="20"/>
          <w:szCs w:val="18"/>
          <w:lang w:val="lt-LT"/>
        </w:rPr>
        <w:t xml:space="preserve"> </w:t>
      </w:r>
    </w:p>
    <w:tbl>
      <w:tblPr>
        <w:tblStyle w:val="MediumGrid3-Accent21"/>
        <w:tblW w:w="5000" w:type="pct"/>
        <w:jc w:val="center"/>
        <w:tblLook w:val="04A0" w:firstRow="1" w:lastRow="0" w:firstColumn="1" w:lastColumn="0" w:noHBand="0" w:noVBand="1"/>
      </w:tblPr>
      <w:tblGrid>
        <w:gridCol w:w="4484"/>
        <w:gridCol w:w="4758"/>
      </w:tblGrid>
      <w:tr w:rsidR="002D46ED" w:rsidRPr="00C97275" w14:paraId="2DEEC76E" w14:textId="77777777" w:rsidTr="005B31C6">
        <w:trPr>
          <w:cnfStyle w:val="100000000000" w:firstRow="1" w:lastRow="0" w:firstColumn="0" w:lastColumn="0" w:oddVBand="0" w:evenVBand="0" w:oddHBand="0" w:evenHBand="0" w:firstRowFirstColumn="0" w:firstRowLastColumn="0" w:lastRowFirstColumn="0" w:lastRowLastColumn="0"/>
          <w:cantSplit/>
          <w:trHeight w:val="325"/>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0BFE1816" w14:textId="77777777" w:rsidR="002D46ED" w:rsidRPr="00C97275" w:rsidRDefault="002D46ED" w:rsidP="002D46ED">
            <w:pPr>
              <w:autoSpaceDE w:val="0"/>
              <w:autoSpaceDN w:val="0"/>
              <w:adjustRightInd w:val="0"/>
              <w:jc w:val="center"/>
              <w:rPr>
                <w:rFonts w:ascii="Georgia" w:eastAsia="Calibri" w:hAnsi="Georgia" w:cs="Arial"/>
                <w:bCs w:val="0"/>
                <w:sz w:val="20"/>
                <w:szCs w:val="20"/>
                <w:lang w:val="lt-LT"/>
              </w:rPr>
            </w:pPr>
            <w:r w:rsidRPr="00C97275">
              <w:rPr>
                <w:rFonts w:ascii="Georgia" w:eastAsia="Calibri" w:hAnsi="Georgia" w:cs="Arial"/>
                <w:sz w:val="20"/>
                <w:szCs w:val="20"/>
                <w:lang w:val="lt-LT"/>
              </w:rPr>
              <w:t>Paskolos sąlygos</w:t>
            </w:r>
          </w:p>
        </w:tc>
      </w:tr>
      <w:tr w:rsidR="002D46ED" w:rsidRPr="00C97275" w14:paraId="76D053DC"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C658CB8"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lastRenderedPageBreak/>
              <w:t>Dydis</w:t>
            </w:r>
          </w:p>
        </w:tc>
        <w:tc>
          <w:tcPr>
            <w:tcW w:w="0" w:type="pct"/>
            <w:shd w:val="clear" w:color="auto" w:fill="FFECC0"/>
            <w:hideMark/>
          </w:tcPr>
          <w:p w14:paraId="1ED44CCE" w14:textId="77777777" w:rsidR="002D46ED" w:rsidRPr="00C97275" w:rsidRDefault="002D46ED" w:rsidP="00162BF5">
            <w:pPr>
              <w:numPr>
                <w:ilvl w:val="0"/>
                <w:numId w:val="9"/>
              </w:numPr>
              <w:autoSpaceDE w:val="0"/>
              <w:autoSpaceDN w:val="0"/>
              <w:adjustRightInd w:val="0"/>
              <w:ind w:left="147"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minimalus paskolos dydis – 5 mln. EUR, tačiau kai kuriose valstybėse gali būti ir mažesnis;</w:t>
            </w:r>
          </w:p>
          <w:p w14:paraId="51934C22" w14:textId="77777777" w:rsidR="002D46ED" w:rsidRPr="00C97275" w:rsidRDefault="002D46ED" w:rsidP="00162BF5">
            <w:pPr>
              <w:numPr>
                <w:ilvl w:val="0"/>
                <w:numId w:val="9"/>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mažesni projektai gali būti finansuojami per finansinius tarpininkus arba specialias programas, orientuotas į nedidelės apimties tiesiogines investicijas mažiau išsivysčiusiose valstybėse;</w:t>
            </w:r>
          </w:p>
          <w:p w14:paraId="1ADC9144" w14:textId="77777777" w:rsidR="002D46ED" w:rsidRPr="00C97275" w:rsidRDefault="002D46ED" w:rsidP="00162BF5">
            <w:pPr>
              <w:numPr>
                <w:ilvl w:val="0"/>
                <w:numId w:val="9"/>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maksimalus paskolos dydis paprastai būna ne didesnis nei 230 mln. EUR;</w:t>
            </w:r>
          </w:p>
          <w:p w14:paraId="1ABD9A2C" w14:textId="77777777" w:rsidR="002D46ED" w:rsidRPr="00C97275" w:rsidRDefault="002D46ED" w:rsidP="00162BF5">
            <w:pPr>
              <w:numPr>
                <w:ilvl w:val="0"/>
                <w:numId w:val="9"/>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ERPB finansuoja iki 35 proc. visos projekto vertės.</w:t>
            </w:r>
          </w:p>
        </w:tc>
      </w:tr>
      <w:tr w:rsidR="002D46ED" w:rsidRPr="00C97275" w14:paraId="1837F87A"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12E22DF"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Palūkanų norma</w:t>
            </w:r>
          </w:p>
        </w:tc>
        <w:tc>
          <w:tcPr>
            <w:tcW w:w="0" w:type="pct"/>
            <w:tcBorders>
              <w:top w:val="single" w:sz="6" w:space="0" w:color="FFFFFF"/>
              <w:left w:val="single" w:sz="6" w:space="0" w:color="FFFFFF"/>
              <w:bottom w:val="single" w:sz="6" w:space="0" w:color="FFFFFF"/>
              <w:right w:val="single" w:sz="8" w:space="0" w:color="FFFFFF"/>
            </w:tcBorders>
            <w:hideMark/>
          </w:tcPr>
          <w:p w14:paraId="51FC99E8"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konkurencinga, įvertinus rinkos įkainius, pvz. EURIBOR;</w:t>
            </w:r>
          </w:p>
          <w:p w14:paraId="62A92B67"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ERPB nesiūlo lengvatinių paskolų, taip pat nekonkuruoja su privačiais bankais;</w:t>
            </w:r>
          </w:p>
          <w:p w14:paraId="0EF2EB42"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fiksuota arba kintanti palūkanų norma.</w:t>
            </w:r>
          </w:p>
        </w:tc>
      </w:tr>
      <w:tr w:rsidR="002D46ED" w:rsidRPr="00C97275" w14:paraId="72782156"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6442E52"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Tipas</w:t>
            </w:r>
          </w:p>
        </w:tc>
        <w:tc>
          <w:tcPr>
            <w:tcW w:w="0" w:type="pct"/>
            <w:shd w:val="clear" w:color="auto" w:fill="FFECC0"/>
            <w:hideMark/>
          </w:tcPr>
          <w:p w14:paraId="70B1DCFF"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privilegijuota, pasitikėtina (subordinuota), „</w:t>
            </w:r>
            <w:r w:rsidRPr="00C97275">
              <w:rPr>
                <w:rFonts w:ascii="Georgia" w:eastAsia="Calibri" w:hAnsi="Georgia" w:cs="Arial"/>
                <w:i/>
                <w:sz w:val="20"/>
                <w:szCs w:val="20"/>
                <w:lang w:val="lt-LT"/>
              </w:rPr>
              <w:t>mezzanine</w:t>
            </w:r>
            <w:r w:rsidRPr="00C97275">
              <w:rPr>
                <w:rFonts w:ascii="Georgia" w:eastAsia="Calibri" w:hAnsi="Georgia" w:cs="Arial"/>
                <w:sz w:val="20"/>
                <w:szCs w:val="20"/>
                <w:lang w:val="lt-LT"/>
              </w:rPr>
              <w:t>“ ar konvertuojamoji skola.</w:t>
            </w:r>
          </w:p>
        </w:tc>
      </w:tr>
      <w:tr w:rsidR="002D46ED" w:rsidRPr="00C97275" w14:paraId="6545E781"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05A3E671"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hideMark/>
          </w:tcPr>
          <w:p w14:paraId="7BCC3CD0"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pagrindinėmis užsienio arba kai kurių valstybių vietinėmis valiutomis.</w:t>
            </w:r>
          </w:p>
        </w:tc>
      </w:tr>
      <w:tr w:rsidR="002D46ED" w:rsidRPr="00C97275" w14:paraId="71850A35"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5CF2817"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Trukmė</w:t>
            </w:r>
          </w:p>
        </w:tc>
        <w:tc>
          <w:tcPr>
            <w:tcW w:w="0" w:type="pct"/>
            <w:shd w:val="clear" w:color="auto" w:fill="FFECC0"/>
            <w:hideMark/>
          </w:tcPr>
          <w:p w14:paraId="3741C73C"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1-15 metų, išimtinais atvejais iki 20 metų.</w:t>
            </w:r>
          </w:p>
        </w:tc>
      </w:tr>
      <w:tr w:rsidR="002D46ED" w:rsidRPr="00C97275" w14:paraId="0E011EAF"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7E5830D"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Atidėjimo laikotarpis</w:t>
            </w:r>
          </w:p>
        </w:tc>
        <w:tc>
          <w:tcPr>
            <w:tcW w:w="0" w:type="pct"/>
            <w:tcBorders>
              <w:top w:val="single" w:sz="6" w:space="0" w:color="FFFFFF"/>
              <w:left w:val="single" w:sz="6" w:space="0" w:color="FFFFFF"/>
              <w:bottom w:val="single" w:sz="6" w:space="0" w:color="FFFFFF"/>
              <w:right w:val="single" w:sz="8" w:space="0" w:color="FFFFFF"/>
            </w:tcBorders>
            <w:hideMark/>
          </w:tcPr>
          <w:p w14:paraId="5AE13D7F"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analizuojama konkretaus projekto atveju.</w:t>
            </w:r>
          </w:p>
        </w:tc>
      </w:tr>
      <w:tr w:rsidR="002D46ED" w:rsidRPr="00C97275" w14:paraId="769D8667" w14:textId="77777777" w:rsidTr="005B31C6">
        <w:trPr>
          <w:cnfStyle w:val="000000100000" w:firstRow="0" w:lastRow="0" w:firstColumn="0" w:lastColumn="0" w:oddVBand="0" w:evenVBand="0" w:oddHBand="1" w:evenHBand="0" w:firstRowFirstColumn="0" w:firstRowLastColumn="0" w:lastRowFirstColumn="0" w:lastRowLastColumn="0"/>
          <w:cantSplit/>
          <w:trHeight w:val="361"/>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5C02E87A" w14:textId="77777777" w:rsidR="002D46ED" w:rsidRPr="00C97275" w:rsidRDefault="002D46ED" w:rsidP="002D46ED">
            <w:pPr>
              <w:autoSpaceDE w:val="0"/>
              <w:autoSpaceDN w:val="0"/>
              <w:adjustRightInd w:val="0"/>
              <w:ind w:left="176" w:hanging="142"/>
              <w:jc w:val="center"/>
              <w:rPr>
                <w:rFonts w:ascii="Georgia" w:eastAsia="Calibri" w:hAnsi="Georgia" w:cs="Arial"/>
                <w:bCs w:val="0"/>
                <w:color w:val="auto"/>
                <w:sz w:val="20"/>
                <w:szCs w:val="20"/>
                <w:lang w:val="lt-LT"/>
              </w:rPr>
            </w:pPr>
            <w:r w:rsidRPr="00C97275">
              <w:rPr>
                <w:rFonts w:ascii="Georgia" w:eastAsia="Calibri" w:hAnsi="Georgia" w:cs="Arial"/>
                <w:color w:val="auto"/>
                <w:sz w:val="20"/>
                <w:szCs w:val="20"/>
                <w:lang w:val="lt-LT"/>
              </w:rPr>
              <w:t>Mokesčiai ir rinkliavos</w:t>
            </w:r>
          </w:p>
        </w:tc>
      </w:tr>
      <w:tr w:rsidR="002D46ED" w:rsidRPr="00C97275" w14:paraId="696052B6"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43A27D0"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Banko marža</w:t>
            </w:r>
          </w:p>
        </w:tc>
        <w:tc>
          <w:tcPr>
            <w:tcW w:w="0" w:type="pct"/>
            <w:tcBorders>
              <w:top w:val="single" w:sz="6" w:space="0" w:color="FFFFFF"/>
              <w:left w:val="single" w:sz="6" w:space="0" w:color="FFFFFF"/>
              <w:bottom w:val="single" w:sz="6" w:space="0" w:color="FFFFFF"/>
              <w:right w:val="single" w:sz="8" w:space="0" w:color="FFFFFF"/>
            </w:tcBorders>
            <w:hideMark/>
          </w:tcPr>
          <w:p w14:paraId="16161CEC"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nustatoma atsižvelgiant į konkrečios valstybės ir projekto rizikos laipsnį.</w:t>
            </w:r>
          </w:p>
        </w:tc>
      </w:tr>
      <w:tr w:rsidR="002D46ED" w:rsidRPr="00C97275" w14:paraId="5216C764"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2F520D2D"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Papildomi mokesčiai</w:t>
            </w:r>
          </w:p>
        </w:tc>
        <w:tc>
          <w:tcPr>
            <w:tcW w:w="0" w:type="pct"/>
            <w:shd w:val="clear" w:color="auto" w:fill="FFECC0"/>
          </w:tcPr>
          <w:p w14:paraId="79D030E4"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vertinimo mokestis;</w:t>
            </w:r>
          </w:p>
          <w:p w14:paraId="42F087D9"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iš anksto mokamas struktūrizavimo mokestis (angl. </w:t>
            </w:r>
            <w:r w:rsidRPr="00C97275">
              <w:rPr>
                <w:rFonts w:ascii="Georgia" w:eastAsia="Calibri" w:hAnsi="Georgia" w:cs="Arial"/>
                <w:i/>
                <w:sz w:val="20"/>
                <w:szCs w:val="20"/>
                <w:lang w:val="lt-LT"/>
              </w:rPr>
              <w:t>front-end</w:t>
            </w:r>
            <w:r w:rsidRPr="00C97275">
              <w:rPr>
                <w:rFonts w:ascii="Georgia" w:eastAsia="Calibri" w:hAnsi="Georgia" w:cs="Arial"/>
                <w:sz w:val="20"/>
                <w:szCs w:val="20"/>
                <w:lang w:val="lt-LT"/>
              </w:rPr>
              <w:t xml:space="preserve"> mokestis)</w:t>
            </w:r>
          </w:p>
          <w:p w14:paraId="209874C3"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DokChampa"/>
                <w:lang w:val="lt-LT"/>
              </w:rPr>
            </w:pPr>
            <w:r w:rsidRPr="00C97275">
              <w:rPr>
                <w:rFonts w:ascii="Georgia" w:eastAsia="Calibri" w:hAnsi="Georgia" w:cs="Arial"/>
                <w:sz w:val="20"/>
                <w:szCs w:val="20"/>
                <w:lang w:val="lt-LT"/>
              </w:rPr>
              <w:t>sindikuotos paskolos mokestis, jei taikoma;</w:t>
            </w:r>
          </w:p>
          <w:p w14:paraId="13C42A05"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DokChampa"/>
                <w:lang w:val="lt-LT"/>
              </w:rPr>
            </w:pPr>
            <w:r w:rsidRPr="00C97275">
              <w:rPr>
                <w:rFonts w:ascii="Georgia" w:eastAsia="Calibri" w:hAnsi="Georgia" w:cs="Arial"/>
                <w:sz w:val="20"/>
                <w:szCs w:val="20"/>
                <w:lang w:val="lt-LT"/>
              </w:rPr>
              <w:t>įsipareigojimo mokestis, mokamas nuo įsipareigotos, bet nepanaudotos paskolos sumos;</w:t>
            </w:r>
          </w:p>
          <w:p w14:paraId="678CB8BD"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paskolos konvertavimo mokesčiai;</w:t>
            </w:r>
          </w:p>
          <w:p w14:paraId="1C9809F9"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avanso, atšaukimo ir vėlavimo mokesčiai, jei taikoma.</w:t>
            </w:r>
          </w:p>
          <w:p w14:paraId="0FC34ABC" w14:textId="77777777" w:rsidR="002D46ED" w:rsidRPr="00C97275" w:rsidRDefault="002D46ED" w:rsidP="002D46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p>
        </w:tc>
      </w:tr>
      <w:tr w:rsidR="002D46ED" w:rsidRPr="00C97275" w14:paraId="561CE522" w14:textId="77777777" w:rsidTr="005B31C6">
        <w:trPr>
          <w:cantSplit/>
          <w:trHeight w:val="314"/>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4EEC30E7" w14:textId="77777777" w:rsidR="002D46ED" w:rsidRPr="00C97275" w:rsidRDefault="002D46ED" w:rsidP="002D46ED">
            <w:pPr>
              <w:autoSpaceDE w:val="0"/>
              <w:autoSpaceDN w:val="0"/>
              <w:adjustRightInd w:val="0"/>
              <w:ind w:left="176" w:hanging="142"/>
              <w:jc w:val="cente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Kitos paskolos sąlygos</w:t>
            </w:r>
            <w:r w:rsidRPr="00C97275">
              <w:rPr>
                <w:rFonts w:ascii="Georgia" w:eastAsia="Calibri" w:hAnsi="Georgia" w:cs="Arial"/>
                <w:color w:val="auto"/>
                <w:sz w:val="20"/>
                <w:szCs w:val="20"/>
                <w:vertAlign w:val="superscript"/>
                <w:lang w:val="lt-LT"/>
              </w:rPr>
              <w:footnoteReference w:id="61"/>
            </w:r>
          </w:p>
        </w:tc>
      </w:tr>
      <w:tr w:rsidR="002D46ED" w:rsidRPr="00C97275" w14:paraId="43445B4B"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2D8F33AD"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Atgręžtinis reikalavimas</w:t>
            </w:r>
          </w:p>
        </w:tc>
        <w:tc>
          <w:tcPr>
            <w:tcW w:w="0" w:type="pct"/>
            <w:shd w:val="clear" w:color="auto" w:fill="FFECC0"/>
            <w:hideMark/>
          </w:tcPr>
          <w:p w14:paraId="69BE4405"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atgręžtinis reikalavimas, nukreiptas į laiduotojus, nėra visada reikalaujamas. Tačiau ERPB gali reikalauti specifinių veiklos ir užbaigimo garantijų arba kelti kitus reikalavimus, kurie atitinka įprastą praktiką.</w:t>
            </w:r>
          </w:p>
        </w:tc>
      </w:tr>
      <w:tr w:rsidR="002D46ED" w:rsidRPr="00C97275" w14:paraId="3CE704C9"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06F202B"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Draudimas</w:t>
            </w:r>
          </w:p>
        </w:tc>
        <w:tc>
          <w:tcPr>
            <w:tcW w:w="0" w:type="pct"/>
            <w:tcBorders>
              <w:top w:val="single" w:sz="6" w:space="0" w:color="FFFFFF"/>
              <w:left w:val="single" w:sz="6" w:space="0" w:color="FFFFFF"/>
              <w:bottom w:val="single" w:sz="6" w:space="0" w:color="FFFFFF"/>
              <w:right w:val="single" w:sz="8" w:space="0" w:color="FFFFFF"/>
            </w:tcBorders>
            <w:hideMark/>
          </w:tcPr>
          <w:p w14:paraId="3231D5E2"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ERPB reikalauja iš projektų vykdytojų draudimo dėl įprastų rizikų, pvz., vagystės, gaisro, specifinių statybos rizikų ir pan.</w:t>
            </w:r>
          </w:p>
        </w:tc>
      </w:tr>
      <w:tr w:rsidR="002D46ED" w:rsidRPr="00C97275" w14:paraId="0030F4C9"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5AF6A04"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Paskolos saugumas</w:t>
            </w:r>
          </w:p>
        </w:tc>
        <w:tc>
          <w:tcPr>
            <w:tcW w:w="0" w:type="pct"/>
            <w:shd w:val="clear" w:color="auto" w:fill="FFECC0"/>
            <w:hideMark/>
          </w:tcPr>
          <w:p w14:paraId="3582CA82" w14:textId="77777777" w:rsidR="002D46ED" w:rsidRPr="00C97275"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ERPB paprastai reikalauja, jog paskola būtų garantuota projekto turtu. Tai gali apimti:</w:t>
            </w:r>
          </w:p>
          <w:p w14:paraId="759FB9C3" w14:textId="77777777" w:rsidR="002D46ED" w:rsidRPr="00C97275"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nekilnojamojo turto įkeitimą, pvz. žemės, pastatų ir pan.;</w:t>
            </w:r>
          </w:p>
          <w:p w14:paraId="0BA65432" w14:textId="77777777" w:rsidR="002D46ED" w:rsidRPr="00C97275"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kilnojamojo turto įkeitimą, pvz. įrangos ir pan.;</w:t>
            </w:r>
          </w:p>
          <w:p w14:paraId="06F8BA70" w14:textId="77777777" w:rsidR="002D46ED" w:rsidRPr="00C97275"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teises į įmonės pajamas užsienio ir vietine valiuta;</w:t>
            </w:r>
          </w:p>
          <w:p w14:paraId="0F151DFA" w14:textId="77777777" w:rsidR="002D46ED" w:rsidRPr="00C97275"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akcijų įmonėje įkeitimą;</w:t>
            </w:r>
          </w:p>
          <w:p w14:paraId="382BB7A5" w14:textId="77777777" w:rsidR="002D46ED" w:rsidRPr="00C97275"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teises į įmonės draudimo išmokas ir kitą iš sutarčių gaunamą naudą.</w:t>
            </w:r>
          </w:p>
        </w:tc>
      </w:tr>
      <w:tr w:rsidR="002D46ED" w:rsidRPr="00C97275" w14:paraId="41161D88"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712B6D34" w14:textId="77777777" w:rsidR="002D46ED" w:rsidRPr="00C97275" w:rsidRDefault="002D46ED" w:rsidP="002D46ED">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lastRenderedPageBreak/>
              <w:t>Įsipareigojimai pagal sutartį</w:t>
            </w:r>
          </w:p>
        </w:tc>
        <w:tc>
          <w:tcPr>
            <w:tcW w:w="0" w:type="pct"/>
            <w:tcBorders>
              <w:top w:val="single" w:sz="6" w:space="0" w:color="FFFFFF"/>
              <w:left w:val="single" w:sz="6" w:space="0" w:color="FFFFFF"/>
              <w:bottom w:val="single" w:sz="6" w:space="0" w:color="FFFFFF"/>
              <w:right w:val="single" w:sz="8" w:space="0" w:color="FFFFFF"/>
            </w:tcBorders>
            <w:hideMark/>
          </w:tcPr>
          <w:p w14:paraId="2A0947D9"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tipiniams projektams finansiniai įsipareigojimai pagal sutartį (angl. </w:t>
            </w:r>
            <w:r w:rsidRPr="00C97275">
              <w:rPr>
                <w:rFonts w:ascii="Georgia" w:eastAsia="Calibri" w:hAnsi="Georgia" w:cs="Arial"/>
                <w:i/>
                <w:sz w:val="20"/>
                <w:szCs w:val="20"/>
                <w:lang w:val="lt-LT"/>
              </w:rPr>
              <w:t>finance covenants</w:t>
            </w:r>
            <w:r w:rsidRPr="00C97275">
              <w:rPr>
                <w:rFonts w:ascii="Georgia" w:eastAsia="Calibri" w:hAnsi="Georgia" w:cs="Arial"/>
                <w:sz w:val="20"/>
                <w:szCs w:val="20"/>
                <w:lang w:val="lt-LT"/>
              </w:rPr>
              <w:t>) yra privalomi kaip paskolos paketo dalis. Tokie įsipareigojimai, nurodantys tam tikras skolininko finansinę būklę liečiančias sąlygas, nustatomi derybų būdu.</w:t>
            </w:r>
          </w:p>
        </w:tc>
      </w:tr>
      <w:tr w:rsidR="002D46ED" w:rsidRPr="00C97275" w14:paraId="77C43EA1" w14:textId="77777777" w:rsidTr="005B31C6">
        <w:trPr>
          <w:cnfStyle w:val="000000100000" w:firstRow="0" w:lastRow="0" w:firstColumn="0" w:lastColumn="0" w:oddVBand="0" w:evenVBand="0" w:oddHBand="1" w:evenHBand="0" w:firstRowFirstColumn="0" w:firstRowLastColumn="0" w:lastRowFirstColumn="0" w:lastRowLastColumn="0"/>
          <w:cantSplit/>
          <w:trHeight w:val="327"/>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0877D21C" w14:textId="77777777" w:rsidR="002D46ED" w:rsidRPr="00C97275" w:rsidRDefault="002D46ED" w:rsidP="002D46ED">
            <w:pPr>
              <w:keepNext/>
              <w:autoSpaceDE w:val="0"/>
              <w:autoSpaceDN w:val="0"/>
              <w:adjustRightInd w:val="0"/>
              <w:ind w:left="176" w:hanging="142"/>
              <w:jc w:val="center"/>
              <w:rPr>
                <w:rFonts w:ascii="Georgia" w:eastAsia="Calibri" w:hAnsi="Georgia" w:cs="Arial"/>
                <w:bCs w:val="0"/>
                <w:color w:val="auto"/>
                <w:sz w:val="20"/>
                <w:szCs w:val="20"/>
                <w:lang w:val="lt-LT"/>
              </w:rPr>
            </w:pPr>
            <w:r w:rsidRPr="00C97275">
              <w:rPr>
                <w:rFonts w:ascii="Georgia" w:eastAsia="Calibri" w:hAnsi="Georgia" w:cs="Arial"/>
                <w:color w:val="auto"/>
                <w:sz w:val="20"/>
                <w:szCs w:val="20"/>
                <w:lang w:val="lt-LT"/>
              </w:rPr>
              <w:t>Paskolos mokėjimas</w:t>
            </w:r>
          </w:p>
        </w:tc>
      </w:tr>
      <w:tr w:rsidR="002D46ED" w:rsidRPr="00C97275" w14:paraId="13B24224"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tcPr>
          <w:p w14:paraId="3EA3AB1D" w14:textId="77777777" w:rsidR="002D46ED" w:rsidRPr="00C97275" w:rsidRDefault="002D46ED" w:rsidP="002D46ED">
            <w:pPr>
              <w:keepNext/>
              <w:autoSpaceDE w:val="0"/>
              <w:autoSpaceDN w:val="0"/>
              <w:adjustRightInd w:val="0"/>
              <w:rPr>
                <w:rFonts w:ascii="Georgia" w:eastAsia="Calibri" w:hAnsi="Georgia" w:cs="Arial"/>
                <w:b w:val="0"/>
                <w:bCs w:val="0"/>
                <w:color w:val="auto"/>
                <w:sz w:val="20"/>
                <w:szCs w:val="20"/>
                <w:lang w:val="lt-LT"/>
              </w:rPr>
            </w:pPr>
          </w:p>
        </w:tc>
        <w:tc>
          <w:tcPr>
            <w:tcW w:w="0" w:type="pct"/>
            <w:tcBorders>
              <w:top w:val="single" w:sz="6" w:space="0" w:color="FFFFFF"/>
              <w:left w:val="single" w:sz="6" w:space="0" w:color="FFFFFF"/>
              <w:bottom w:val="single" w:sz="6" w:space="0" w:color="FFFFFF"/>
              <w:right w:val="single" w:sz="8" w:space="0" w:color="FFFFFF"/>
            </w:tcBorders>
            <w:hideMark/>
          </w:tcPr>
          <w:p w14:paraId="27E83E7E" w14:textId="77777777" w:rsidR="002D46ED" w:rsidRPr="00C97275" w:rsidRDefault="002D46ED" w:rsidP="00162BF5">
            <w:pPr>
              <w:keepNext/>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paskolos grąžinamos lygiomis dalimis mokant dukart per metus. Ilgesni paskolos grąžinimo terminai ir grąžinimas nelygiomis dalimis gali būti taikomi išimtiniais atvejais.</w:t>
            </w:r>
          </w:p>
        </w:tc>
      </w:tr>
      <w:tr w:rsidR="002D46ED" w:rsidRPr="00C97275" w14:paraId="704ADF60" w14:textId="77777777" w:rsidTr="005B31C6">
        <w:trPr>
          <w:cnfStyle w:val="000000100000" w:firstRow="0" w:lastRow="0" w:firstColumn="0" w:lastColumn="0" w:oddVBand="0" w:evenVBand="0" w:oddHBand="1" w:evenHBand="0" w:firstRowFirstColumn="0" w:firstRowLastColumn="0" w:lastRowFirstColumn="0" w:lastRowLastColumn="0"/>
          <w:cantSplit/>
          <w:trHeight w:val="343"/>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38A014CD" w14:textId="77777777" w:rsidR="002D46ED" w:rsidRPr="00C97275" w:rsidRDefault="002D46ED" w:rsidP="002D46ED">
            <w:pPr>
              <w:autoSpaceDE w:val="0"/>
              <w:autoSpaceDN w:val="0"/>
              <w:adjustRightInd w:val="0"/>
              <w:ind w:left="176" w:hanging="142"/>
              <w:contextualSpacing/>
              <w:jc w:val="center"/>
              <w:rPr>
                <w:rFonts w:ascii="Georgia" w:eastAsia="Calibri" w:hAnsi="Georgia" w:cs="Arial"/>
                <w:bCs w:val="0"/>
                <w:sz w:val="20"/>
                <w:szCs w:val="20"/>
                <w:lang w:val="lt-LT"/>
              </w:rPr>
            </w:pPr>
            <w:r w:rsidRPr="00C97275">
              <w:rPr>
                <w:rFonts w:ascii="Georgia" w:eastAsia="Calibri" w:hAnsi="Georgia" w:cs="Arial"/>
                <w:color w:val="auto"/>
                <w:sz w:val="20"/>
                <w:szCs w:val="20"/>
                <w:lang w:val="lt-LT"/>
              </w:rPr>
              <w:t xml:space="preserve">Rizikų valdymas (angl. </w:t>
            </w:r>
            <w:r w:rsidRPr="00C97275">
              <w:rPr>
                <w:rFonts w:ascii="Georgia" w:eastAsia="Calibri" w:hAnsi="Georgia" w:cs="Arial"/>
                <w:i/>
                <w:color w:val="auto"/>
                <w:sz w:val="20"/>
                <w:szCs w:val="20"/>
                <w:lang w:val="lt-LT"/>
              </w:rPr>
              <w:t>hedging</w:t>
            </w:r>
            <w:r w:rsidRPr="00C97275">
              <w:rPr>
                <w:rFonts w:ascii="Georgia" w:eastAsia="Calibri" w:hAnsi="Georgia" w:cs="Arial"/>
                <w:sz w:val="20"/>
                <w:szCs w:val="20"/>
                <w:lang w:val="lt-LT"/>
              </w:rPr>
              <w:t>)</w:t>
            </w:r>
          </w:p>
        </w:tc>
      </w:tr>
      <w:tr w:rsidR="002D46ED" w:rsidRPr="00C97275" w14:paraId="7216B391"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tcPr>
          <w:p w14:paraId="03685D17" w14:textId="77777777" w:rsidR="002D46ED" w:rsidRPr="00C97275" w:rsidRDefault="002D46ED" w:rsidP="002D46ED">
            <w:pPr>
              <w:autoSpaceDE w:val="0"/>
              <w:autoSpaceDN w:val="0"/>
              <w:adjustRightInd w:val="0"/>
              <w:rPr>
                <w:rFonts w:ascii="Georgia" w:eastAsia="Calibri" w:hAnsi="Georgia" w:cs="Arial"/>
                <w:b w:val="0"/>
                <w:bCs w:val="0"/>
                <w:sz w:val="20"/>
                <w:szCs w:val="20"/>
                <w:lang w:val="lt-LT"/>
              </w:rPr>
            </w:pPr>
          </w:p>
        </w:tc>
        <w:tc>
          <w:tcPr>
            <w:tcW w:w="0" w:type="pct"/>
            <w:tcBorders>
              <w:top w:val="single" w:sz="6" w:space="0" w:color="FFFFFF"/>
              <w:left w:val="single" w:sz="6" w:space="0" w:color="FFFFFF"/>
              <w:bottom w:val="single" w:sz="6" w:space="0" w:color="FFFFFF"/>
              <w:right w:val="single" w:sz="8" w:space="0" w:color="FFFFFF"/>
            </w:tcBorders>
            <w:hideMark/>
          </w:tcPr>
          <w:p w14:paraId="55C7EE88" w14:textId="77777777" w:rsidR="002D46ED" w:rsidRPr="00C97275"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ERPB gali padėti valdyti finansų rizikas, susijusias su projekto turtu ir įsipareigojimais. Pagalba apima užsienio valiutų kursų svyravimo riziką, palūkanų normos riziką ir prekių kainos riziką.</w:t>
            </w:r>
          </w:p>
        </w:tc>
      </w:tr>
      <w:tr w:rsidR="002D46ED" w:rsidRPr="00C97275" w14:paraId="7E090D05" w14:textId="77777777" w:rsidTr="005B31C6">
        <w:trPr>
          <w:cnfStyle w:val="000000100000" w:firstRow="0" w:lastRow="0" w:firstColumn="0" w:lastColumn="0" w:oddVBand="0" w:evenVBand="0" w:oddHBand="1" w:evenHBand="0" w:firstRowFirstColumn="0" w:firstRowLastColumn="0" w:lastRowFirstColumn="0" w:lastRowLastColumn="0"/>
          <w:cantSplit/>
          <w:trHeight w:val="345"/>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6BF3AB8C" w14:textId="77777777" w:rsidR="002D46ED" w:rsidRPr="00C97275" w:rsidRDefault="002D46ED" w:rsidP="002D46ED">
            <w:pPr>
              <w:autoSpaceDE w:val="0"/>
              <w:autoSpaceDN w:val="0"/>
              <w:adjustRightInd w:val="0"/>
              <w:ind w:left="176" w:hanging="142"/>
              <w:jc w:val="center"/>
              <w:rPr>
                <w:rFonts w:ascii="Georgia" w:eastAsia="Calibri" w:hAnsi="Georgia" w:cs="Arial"/>
                <w:bCs w:val="0"/>
                <w:sz w:val="20"/>
                <w:szCs w:val="20"/>
                <w:lang w:val="lt-LT"/>
              </w:rPr>
            </w:pPr>
            <w:r w:rsidRPr="00C97275">
              <w:rPr>
                <w:rFonts w:ascii="Georgia" w:eastAsia="Calibri" w:hAnsi="Georgia" w:cs="Arial"/>
                <w:color w:val="auto"/>
                <w:sz w:val="20"/>
                <w:szCs w:val="20"/>
                <w:lang w:val="lt-LT"/>
              </w:rPr>
              <w:t>Investicijos</w:t>
            </w:r>
          </w:p>
        </w:tc>
      </w:tr>
      <w:tr w:rsidR="002D46ED" w:rsidRPr="00C97275" w14:paraId="1651E4BF"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bottom w:val="single" w:sz="8" w:space="0" w:color="FFFFFF"/>
            </w:tcBorders>
            <w:shd w:val="clear" w:color="auto" w:fill="FFECC0"/>
          </w:tcPr>
          <w:p w14:paraId="3C458010" w14:textId="77777777" w:rsidR="002D46ED" w:rsidRPr="00C97275" w:rsidRDefault="002D46ED" w:rsidP="002D46ED">
            <w:pPr>
              <w:autoSpaceDE w:val="0"/>
              <w:autoSpaceDN w:val="0"/>
              <w:adjustRightInd w:val="0"/>
              <w:rPr>
                <w:rFonts w:ascii="Georgia" w:eastAsia="Calibri" w:hAnsi="Georgia" w:cs="Arial"/>
                <w:b w:val="0"/>
                <w:bCs w:val="0"/>
                <w:sz w:val="20"/>
                <w:szCs w:val="20"/>
                <w:lang w:val="lt-LT"/>
              </w:rPr>
            </w:pPr>
          </w:p>
        </w:tc>
        <w:tc>
          <w:tcPr>
            <w:tcW w:w="0" w:type="pct"/>
            <w:tcBorders>
              <w:top w:val="single" w:sz="6" w:space="0" w:color="FFFFFF"/>
              <w:left w:val="single" w:sz="6" w:space="0" w:color="FFFFFF"/>
              <w:bottom w:val="single" w:sz="8" w:space="0" w:color="FFFFFF"/>
              <w:right w:val="single" w:sz="8" w:space="0" w:color="FFFFFF"/>
            </w:tcBorders>
            <w:hideMark/>
          </w:tcPr>
          <w:p w14:paraId="514EBA68" w14:textId="0A8D4A6B" w:rsidR="002D46ED" w:rsidRPr="00C97275" w:rsidRDefault="002D46ED" w:rsidP="00162BF5">
            <w:pPr>
              <w:numPr>
                <w:ilvl w:val="0"/>
                <w:numId w:val="8"/>
              </w:numPr>
              <w:autoSpaceDE w:val="0"/>
              <w:autoSpaceDN w:val="0"/>
              <w:adjustRightInd w:val="0"/>
              <w:ind w:left="147"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ERPB gali investuoti į kapitalo instrumentus pramonės, infrastruktūros ir finansų sektoriuose nuo 2 mln. </w:t>
            </w:r>
            <w:r w:rsidR="00035974" w:rsidRPr="00C97275">
              <w:rPr>
                <w:rFonts w:ascii="Georgia" w:eastAsia="Calibri" w:hAnsi="Georgia" w:cs="Arial"/>
                <w:sz w:val="20"/>
                <w:szCs w:val="20"/>
                <w:lang w:val="lt-LT"/>
              </w:rPr>
              <w:t xml:space="preserve"> eurų</w:t>
            </w:r>
            <w:r w:rsidRPr="00C97275">
              <w:rPr>
                <w:rFonts w:ascii="Georgia" w:eastAsia="Calibri" w:hAnsi="Georgia" w:cs="Arial"/>
                <w:sz w:val="20"/>
                <w:szCs w:val="20"/>
                <w:lang w:val="lt-LT"/>
              </w:rPr>
              <w:t xml:space="preserve"> iki 100 mln. </w:t>
            </w:r>
            <w:r w:rsidR="00035974" w:rsidRPr="00C97275">
              <w:rPr>
                <w:rFonts w:ascii="Georgia" w:eastAsia="Calibri" w:hAnsi="Georgia" w:cs="Arial"/>
                <w:sz w:val="20"/>
                <w:szCs w:val="20"/>
                <w:lang w:val="lt-LT"/>
              </w:rPr>
              <w:t xml:space="preserve"> eurų</w:t>
            </w:r>
            <w:r w:rsidRPr="00C97275">
              <w:rPr>
                <w:rFonts w:ascii="Georgia" w:eastAsia="Calibri" w:hAnsi="Georgia" w:cs="Arial"/>
                <w:sz w:val="20"/>
                <w:szCs w:val="20"/>
                <w:lang w:val="lt-LT"/>
              </w:rPr>
              <w:t xml:space="preserve"> priklausomai nuo galimos grąžos. Bankas užima tik mažumos poziciją ir turi aiškią pasitraukimo strategiją.</w:t>
            </w:r>
          </w:p>
          <w:p w14:paraId="54520464" w14:textId="77777777" w:rsidR="002D46ED" w:rsidRPr="00C97275" w:rsidRDefault="002D46ED" w:rsidP="002D46ED">
            <w:p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Banko taikomi instrumentai:</w:t>
            </w:r>
          </w:p>
          <w:p w14:paraId="697F5DA5" w14:textId="77777777" w:rsidR="002D46ED" w:rsidRPr="00C97275"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paprastosios akcijos (listinguojamos ir nelistinguojamos akcijos);</w:t>
            </w:r>
          </w:p>
          <w:p w14:paraId="563883AB" w14:textId="77777777" w:rsidR="002D46ED" w:rsidRPr="00C97275"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pasitikėtinos (subordinuotos) ir konvertuojamosios paskolos;</w:t>
            </w:r>
          </w:p>
          <w:p w14:paraId="51201335" w14:textId="77777777" w:rsidR="002D46ED" w:rsidRPr="00C97275"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pajamų vekseliai</w:t>
            </w:r>
            <w:r w:rsidRPr="00C97275">
              <w:rPr>
                <w:rFonts w:ascii="Georgia" w:eastAsia="Calibri" w:hAnsi="Georgia" w:cs="Arial"/>
                <w:sz w:val="20"/>
                <w:szCs w:val="20"/>
                <w:vertAlign w:val="superscript"/>
                <w:lang w:val="lt-LT"/>
              </w:rPr>
              <w:footnoteReference w:id="62"/>
            </w:r>
            <w:r w:rsidRPr="00C97275">
              <w:rPr>
                <w:rFonts w:ascii="Georgia" w:eastAsia="Calibri" w:hAnsi="Georgia" w:cs="Arial"/>
                <w:sz w:val="20"/>
                <w:szCs w:val="20"/>
                <w:lang w:val="lt-LT"/>
              </w:rPr>
              <w:t>;</w:t>
            </w:r>
          </w:p>
          <w:p w14:paraId="568DBB28" w14:textId="77777777" w:rsidR="002D46ED" w:rsidRPr="00C97275"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išperkamosios privilegijuotosios akcijos.</w:t>
            </w:r>
          </w:p>
        </w:tc>
      </w:tr>
    </w:tbl>
    <w:p w14:paraId="1BC998EE" w14:textId="27E36921" w:rsidR="006977C2" w:rsidRPr="00C97275" w:rsidRDefault="006977C2" w:rsidP="006977C2">
      <w:pPr>
        <w:spacing w:after="240" w:line="240" w:lineRule="atLeast"/>
        <w:rPr>
          <w:rFonts w:ascii="Georgia" w:eastAsia="PMingLiU" w:hAnsi="Georgia" w:cs="Times New Roman"/>
          <w:i/>
          <w:sz w:val="20"/>
          <w:szCs w:val="20"/>
          <w:lang w:val="lt-LT"/>
        </w:rPr>
      </w:pPr>
      <w:r w:rsidRPr="00C97275">
        <w:rPr>
          <w:rFonts w:ascii="Georgia" w:eastAsia="PMingLiU" w:hAnsi="Georgia" w:cs="Times New Roman"/>
          <w:bCs/>
          <w:i/>
          <w:sz w:val="20"/>
          <w:szCs w:val="18"/>
          <w:lang w:val="lt-LT"/>
        </w:rPr>
        <w:t xml:space="preserve">Šaltinis: </w:t>
      </w:r>
      <w:r w:rsidRPr="00C97275">
        <w:rPr>
          <w:rFonts w:ascii="Georgia" w:eastAsia="PMingLiU" w:hAnsi="Georgia" w:cs="Arial"/>
          <w:bCs/>
          <w:i/>
          <w:sz w:val="20"/>
          <w:szCs w:val="18"/>
          <w:lang w:val="lt-LT"/>
        </w:rPr>
        <w:t xml:space="preserve">ERPB finansavimo vadovas (2016 balandis) </w:t>
      </w:r>
      <w:r w:rsidRPr="00C97275">
        <w:rPr>
          <w:rFonts w:ascii="Georgia" w:eastAsia="PMingLiU" w:hAnsi="Georgia" w:cs="Arial"/>
          <w:i/>
          <w:sz w:val="20"/>
          <w:szCs w:val="20"/>
          <w:vertAlign w:val="superscript"/>
          <w:lang w:val="lt-LT"/>
        </w:rPr>
        <w:footnoteReference w:id="63"/>
      </w:r>
    </w:p>
    <w:p w14:paraId="1FFC9783" w14:textId="77777777" w:rsidR="006977C2" w:rsidRPr="00C97275" w:rsidRDefault="006977C2" w:rsidP="006977C2">
      <w:pPr>
        <w:spacing w:after="240" w:line="240" w:lineRule="atLeast"/>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Garantijos ir kiti produktai</w:t>
      </w:r>
    </w:p>
    <w:p w14:paraId="384D4725" w14:textId="77777777" w:rsidR="006977C2" w:rsidRPr="00C97275" w:rsidRDefault="006977C2" w:rsidP="006977C2">
      <w:pPr>
        <w:autoSpaceDE w:val="0"/>
        <w:autoSpaceDN w:val="0"/>
        <w:adjustRightInd w:val="0"/>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ERPB teikia įvairias garantijas – nuo garantijų dėl įsipareigojimų nevykdymo, pagal kurias bankas padengia nuostolius nepriklausomai nuo priežasties, iki garantijų dėl įsipareigojimų nevykdymo, atsirandančių dėl specifinių įvykių. Visais atvejais bankas vertina maksimalią riziką, kuri turi būti žinoma bei išmatuojama, ir kredito riziką, kuri privalo būti priimtina. Kiekvienos garantijos sąlygos vertinamos pagal konkretų atvejį.</w:t>
      </w:r>
    </w:p>
    <w:p w14:paraId="07AF2605" w14:textId="77777777" w:rsidR="006977C2" w:rsidRPr="00C97275" w:rsidRDefault="006977C2" w:rsidP="006977C2">
      <w:pPr>
        <w:autoSpaceDE w:val="0"/>
        <w:autoSpaceDN w:val="0"/>
        <w:adjustRightInd w:val="0"/>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Taip pat investuoja į obligacijas ir kitus įmonių finansinius instrumentus. ERPB  investicijų sąlygos priklauso nuo kiekvieno projekto rizikos ir perspektyvų grąžos </w:t>
      </w:r>
      <w:r w:rsidRPr="00C97275">
        <w:rPr>
          <w:rFonts w:ascii="Georgia" w:eastAsia="Calibri" w:hAnsi="Georgia" w:cs="Arial"/>
          <w:sz w:val="20"/>
          <w:szCs w:val="20"/>
          <w:vertAlign w:val="superscript"/>
          <w:lang w:val="lt-LT"/>
        </w:rPr>
        <w:footnoteReference w:id="64"/>
      </w:r>
      <w:r w:rsidRPr="00C97275">
        <w:rPr>
          <w:rFonts w:ascii="Georgia" w:eastAsia="Calibri" w:hAnsi="Georgia" w:cs="Arial"/>
          <w:sz w:val="20"/>
          <w:szCs w:val="20"/>
          <w:lang w:val="lt-LT"/>
        </w:rPr>
        <w:t>.</w:t>
      </w:r>
    </w:p>
    <w:p w14:paraId="41D2813A" w14:textId="77777777" w:rsidR="006977C2" w:rsidRPr="00C97275"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27" w:name="_Toc25594671"/>
      <w:r w:rsidRPr="00C97275">
        <w:rPr>
          <w:rFonts w:ascii="Georgia" w:eastAsia="Times New Roman" w:hAnsi="Georgia" w:cs="Arial Unicode MS"/>
          <w:b/>
          <w:i/>
          <w:color w:val="821A1A"/>
          <w:sz w:val="32"/>
          <w:szCs w:val="26"/>
          <w:lang w:val="lt-LT"/>
        </w:rPr>
        <w:t>Šiaurės investicijų bankas</w:t>
      </w:r>
      <w:bookmarkEnd w:id="127"/>
    </w:p>
    <w:p w14:paraId="43B46FED"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ŠIB finansuoja Šiaurės ir Baltijos valstybių regiono konkurencingumą stiprinančius bei jų aplinką tausojančius projektus.</w:t>
      </w:r>
    </w:p>
    <w:p w14:paraId="7C36B97A" w14:textId="696C9F78"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Bankas finansuoja projektus pažangių technologijų ir inovacijų, žmogiškojo kapitalo plėtros, infrastruktūros gerinimo, rinkos efektyvumo didinimo, efektyvesnio išteklių naudojimo, </w:t>
      </w:r>
      <w:r w:rsidRPr="00C97275">
        <w:rPr>
          <w:rFonts w:ascii="Georgia" w:eastAsia="Calibri" w:hAnsi="Georgia" w:cs="Arial"/>
          <w:sz w:val="20"/>
          <w:szCs w:val="20"/>
          <w:lang w:val="lt-LT"/>
        </w:rPr>
        <w:lastRenderedPageBreak/>
        <w:t>konkurencingos, mažai anglies dvideginio į aplinką išskiriančių technologijų ekonomikos plėtros, aplinkos ir ekosistemų apsaugos ir švarių technologijų vystymo srityse</w:t>
      </w:r>
      <w:r w:rsidRPr="00C97275">
        <w:rPr>
          <w:rFonts w:ascii="Georgia" w:eastAsia="Calibri" w:hAnsi="Georgia" w:cs="Arial"/>
          <w:sz w:val="20"/>
          <w:szCs w:val="20"/>
          <w:vertAlign w:val="superscript"/>
          <w:lang w:val="lt-LT"/>
        </w:rPr>
        <w:footnoteReference w:id="65"/>
      </w:r>
      <w:r w:rsidRPr="00C97275">
        <w:rPr>
          <w:rFonts w:ascii="Georgia" w:eastAsia="Calibri" w:hAnsi="Georgia" w:cs="Arial"/>
          <w:sz w:val="20"/>
          <w:szCs w:val="20"/>
          <w:lang w:val="lt-LT"/>
        </w:rPr>
        <w:t>.</w:t>
      </w:r>
    </w:p>
    <w:p w14:paraId="0BD1D0DA" w14:textId="77777777" w:rsidR="006977C2" w:rsidRPr="00C97275" w:rsidRDefault="006977C2" w:rsidP="006977C2">
      <w:pPr>
        <w:spacing w:after="240"/>
        <w:rPr>
          <w:rFonts w:ascii="Georgia" w:eastAsia="PMingLiU" w:hAnsi="Georgia" w:cs="Times New Roman"/>
          <w:b/>
          <w:sz w:val="20"/>
          <w:szCs w:val="20"/>
          <w:lang w:val="lt-LT"/>
        </w:rPr>
      </w:pPr>
      <w:r w:rsidRPr="00C97275">
        <w:rPr>
          <w:rFonts w:ascii="Georgia" w:eastAsia="PMingLiU" w:hAnsi="Georgia" w:cs="Times New Roman"/>
          <w:b/>
          <w:i/>
          <w:sz w:val="20"/>
          <w:szCs w:val="20"/>
          <w:lang w:val="lt-LT"/>
        </w:rPr>
        <w:t>Energetinio efektyvumo projektų finansavimas</w:t>
      </w:r>
    </w:p>
    <w:p w14:paraId="0B45E768" w14:textId="32AFD4FF" w:rsidR="006977C2" w:rsidRPr="00C97275" w:rsidRDefault="006977C2" w:rsidP="009718DC">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2010 m. ŠIB pradėjo energetikos sektoriaus verslo strategiją. </w:t>
      </w:r>
      <w:r w:rsidR="00D9139B" w:rsidRPr="00C97275">
        <w:rPr>
          <w:rFonts w:ascii="Georgia" w:eastAsia="Calibri" w:hAnsi="Georgia" w:cs="Arial"/>
          <w:sz w:val="20"/>
          <w:szCs w:val="20"/>
          <w:lang w:val="lt-LT"/>
        </w:rPr>
        <w:t>Strategijoje</w:t>
      </w:r>
      <w:r w:rsidRPr="00C97275">
        <w:rPr>
          <w:rFonts w:ascii="Georgia" w:eastAsia="Calibri" w:hAnsi="Georgia" w:cs="Arial"/>
          <w:sz w:val="20"/>
          <w:szCs w:val="20"/>
          <w:lang w:val="lt-LT"/>
        </w:rPr>
        <w:t xml:space="preserve"> skelbiama, kad energetikos sektorius bus tarp prioritetinių sričių. ŠIB investuos į projektus, kuriais siekiama didinti energijos taupymą esamuose pastatuose, didesnis centralizuoto šildymo/aušinimo ir termofikacijos naudojimas, esamų jėgainių modernizavimas ir energijos gamybos metodikos tobulinimas. Kiti projektai, kurie domins ŠIB yra susiję su elektros energijos perdavimo tinklų stiprinimu</w:t>
      </w:r>
      <w:r w:rsidRPr="00C97275">
        <w:rPr>
          <w:rFonts w:ascii="Georgia" w:eastAsia="Calibri" w:hAnsi="Georgia" w:cs="Arial"/>
          <w:sz w:val="20"/>
          <w:szCs w:val="20"/>
          <w:vertAlign w:val="superscript"/>
          <w:lang w:val="lt-LT"/>
        </w:rPr>
        <w:footnoteReference w:id="66"/>
      </w:r>
      <w:r w:rsidRPr="00C97275">
        <w:rPr>
          <w:rFonts w:ascii="Georgia" w:eastAsia="Calibri" w:hAnsi="Georgia" w:cs="Arial"/>
          <w:sz w:val="20"/>
          <w:szCs w:val="20"/>
          <w:lang w:val="lt-LT"/>
        </w:rPr>
        <w:t>. 2016 m. ŠIB pradėjo įgyvendinti banko atnaujintą strategiją. Šia strategija bus orientuojamasi į Arktines paskolas (ang</w:t>
      </w:r>
      <w:r w:rsidR="00D9139B" w:rsidRPr="00C97275">
        <w:rPr>
          <w:rFonts w:ascii="Georgia" w:eastAsia="Calibri" w:hAnsi="Georgia" w:cs="Arial"/>
          <w:sz w:val="20"/>
          <w:szCs w:val="20"/>
          <w:lang w:val="lt-LT"/>
        </w:rPr>
        <w:t>l</w:t>
      </w:r>
      <w:r w:rsidRPr="00C97275">
        <w:rPr>
          <w:rFonts w:ascii="Georgia" w:eastAsia="Calibri" w:hAnsi="Georgia" w:cs="Arial"/>
          <w:sz w:val="20"/>
          <w:szCs w:val="20"/>
          <w:lang w:val="lt-LT"/>
        </w:rPr>
        <w:t>. Artic loans), paskolų išdavimą vidutinio dydžio įmonėms  ir rizikos pasidalijimą su finansinėmis institucijomis</w:t>
      </w:r>
      <w:r w:rsidRPr="00C97275">
        <w:rPr>
          <w:rFonts w:ascii="Georgia" w:eastAsia="Calibri" w:hAnsi="Georgia" w:cs="Arial"/>
          <w:sz w:val="20"/>
          <w:szCs w:val="20"/>
          <w:vertAlign w:val="superscript"/>
          <w:lang w:val="lt-LT"/>
        </w:rPr>
        <w:footnoteReference w:id="67"/>
      </w:r>
      <w:r w:rsidRPr="00C97275">
        <w:rPr>
          <w:rFonts w:ascii="Georgia" w:eastAsia="Calibri" w:hAnsi="Georgia" w:cs="Arial"/>
          <w:sz w:val="20"/>
          <w:szCs w:val="20"/>
          <w:lang w:val="lt-LT"/>
        </w:rPr>
        <w:t xml:space="preserve">. </w:t>
      </w:r>
    </w:p>
    <w:p w14:paraId="13CB3AB4" w14:textId="2458EF6F" w:rsidR="006977C2" w:rsidRPr="00C97275" w:rsidRDefault="006977C2" w:rsidP="009718DC">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2015 m. ŠIB pradėjo vykdyti naują arktini</w:t>
      </w:r>
      <w:r w:rsidR="00AB35B9" w:rsidRPr="00C97275">
        <w:rPr>
          <w:rFonts w:ascii="Georgia" w:eastAsia="Calibri" w:hAnsi="Georgia" w:cs="Arial"/>
          <w:sz w:val="20"/>
          <w:szCs w:val="20"/>
          <w:lang w:val="lt-LT"/>
        </w:rPr>
        <w:t>o</w:t>
      </w:r>
      <w:r w:rsidRPr="00C97275">
        <w:rPr>
          <w:rFonts w:ascii="Georgia" w:eastAsia="Calibri" w:hAnsi="Georgia" w:cs="Arial"/>
          <w:sz w:val="20"/>
          <w:szCs w:val="20"/>
          <w:lang w:val="lt-LT"/>
        </w:rPr>
        <w:t xml:space="preserve"> finansavim</w:t>
      </w:r>
      <w:r w:rsidR="00AB35B9" w:rsidRPr="00C97275">
        <w:rPr>
          <w:rFonts w:ascii="Georgia" w:eastAsia="Calibri" w:hAnsi="Georgia" w:cs="Arial"/>
          <w:sz w:val="20"/>
          <w:szCs w:val="20"/>
          <w:lang w:val="lt-LT"/>
        </w:rPr>
        <w:t>o iniciatyvą</w:t>
      </w:r>
      <w:r w:rsidRPr="00C97275">
        <w:rPr>
          <w:rFonts w:ascii="Georgia" w:eastAsia="Calibri" w:hAnsi="Georgia" w:cs="Arial"/>
          <w:sz w:val="20"/>
          <w:szCs w:val="20"/>
          <w:lang w:val="lt-LT"/>
        </w:rPr>
        <w:t xml:space="preserve"> (ang</w:t>
      </w:r>
      <w:r w:rsidR="00D9139B" w:rsidRPr="00C97275">
        <w:rPr>
          <w:rFonts w:ascii="Georgia" w:eastAsia="Calibri" w:hAnsi="Georgia" w:cs="Arial"/>
          <w:sz w:val="20"/>
          <w:szCs w:val="20"/>
          <w:lang w:val="lt-LT"/>
        </w:rPr>
        <w:t>l</w:t>
      </w:r>
      <w:r w:rsidRPr="00C97275">
        <w:rPr>
          <w:rFonts w:ascii="Georgia" w:eastAsia="Calibri" w:hAnsi="Georgia" w:cs="Arial"/>
          <w:sz w:val="20"/>
          <w:szCs w:val="20"/>
          <w:lang w:val="lt-LT"/>
        </w:rPr>
        <w:t>. Arctic facility) skirta finansuoti projektus Arktikoje, bus suteikta paskolų už 500 mln. eurų. Ši suma bus skirta energetikos, transporto ir mažų ir vidutinių įmonių finansavimui</w:t>
      </w:r>
      <w:r w:rsidRPr="00C97275">
        <w:rPr>
          <w:rFonts w:ascii="Georgia" w:eastAsia="Calibri" w:hAnsi="Georgia" w:cs="Arial"/>
          <w:sz w:val="20"/>
          <w:szCs w:val="20"/>
          <w:vertAlign w:val="superscript"/>
          <w:lang w:val="lt-LT"/>
        </w:rPr>
        <w:footnoteReference w:id="68"/>
      </w:r>
      <w:r w:rsidRPr="00C97275">
        <w:rPr>
          <w:rFonts w:ascii="Georgia" w:eastAsia="Calibri" w:hAnsi="Georgia" w:cs="Arial"/>
          <w:sz w:val="20"/>
          <w:szCs w:val="20"/>
          <w:lang w:val="lt-LT"/>
        </w:rPr>
        <w:t xml:space="preserve">. </w:t>
      </w:r>
    </w:p>
    <w:p w14:paraId="7697CE86" w14:textId="720875B8" w:rsidR="006977C2" w:rsidRPr="00C97275" w:rsidRDefault="006977C2" w:rsidP="009718DC">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2016 m. energetikos ir aplinkos sektoriaus projektams buvo suteikta paskolų už 1.534 mln. eurų arba 35% nuo visų paskolų (Išmokėta paskolų už 1</w:t>
      </w:r>
      <w:r w:rsidR="00AB35B9" w:rsidRPr="00C97275">
        <w:rPr>
          <w:rFonts w:ascii="Georgia" w:eastAsia="Calibri" w:hAnsi="Georgia" w:cs="Arial"/>
          <w:sz w:val="20"/>
          <w:szCs w:val="20"/>
          <w:lang w:val="lt-LT"/>
        </w:rPr>
        <w:t xml:space="preserve"> </w:t>
      </w:r>
      <w:r w:rsidRPr="00C97275">
        <w:rPr>
          <w:rFonts w:ascii="Georgia" w:eastAsia="Calibri" w:hAnsi="Georgia" w:cs="Arial"/>
          <w:sz w:val="20"/>
          <w:szCs w:val="20"/>
          <w:lang w:val="lt-LT"/>
        </w:rPr>
        <w:t xml:space="preserve">153 mln. </w:t>
      </w:r>
      <w:r w:rsidR="00AB35B9" w:rsidRPr="00C97275">
        <w:rPr>
          <w:rFonts w:ascii="Georgia" w:eastAsia="Calibri" w:hAnsi="Georgia" w:cs="Arial"/>
          <w:sz w:val="20"/>
          <w:szCs w:val="20"/>
          <w:lang w:val="lt-LT"/>
        </w:rPr>
        <w:t>e</w:t>
      </w:r>
      <w:r w:rsidRPr="00C97275">
        <w:rPr>
          <w:rFonts w:ascii="Georgia" w:eastAsia="Calibri" w:hAnsi="Georgia" w:cs="Arial"/>
          <w:sz w:val="20"/>
          <w:szCs w:val="20"/>
          <w:lang w:val="lt-LT"/>
        </w:rPr>
        <w:t>urų, 34%)</w:t>
      </w:r>
      <w:r w:rsidRPr="00C97275">
        <w:rPr>
          <w:rFonts w:ascii="Georgia" w:eastAsia="Calibri" w:hAnsi="Georgia" w:cs="Arial"/>
          <w:sz w:val="20"/>
          <w:szCs w:val="20"/>
          <w:vertAlign w:val="superscript"/>
          <w:lang w:val="lt-LT"/>
        </w:rPr>
        <w:footnoteReference w:id="69"/>
      </w:r>
      <w:r w:rsidRPr="00C97275">
        <w:rPr>
          <w:rFonts w:ascii="Georgia" w:eastAsia="Calibri" w:hAnsi="Georgia" w:cs="Arial"/>
          <w:sz w:val="20"/>
          <w:szCs w:val="20"/>
          <w:lang w:val="lt-LT"/>
        </w:rPr>
        <w:t xml:space="preserve">. </w:t>
      </w:r>
    </w:p>
    <w:p w14:paraId="38DAE14B" w14:textId="0D2E42B0" w:rsidR="006977C2" w:rsidRPr="00C97275" w:rsidRDefault="002D46ED" w:rsidP="006977C2">
      <w:pPr>
        <w:keepNext/>
        <w:spacing w:after="240" w:line="240" w:lineRule="atLeast"/>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B</w:t>
      </w:r>
      <w:r w:rsidR="006977C2" w:rsidRPr="00C97275">
        <w:rPr>
          <w:rFonts w:ascii="Georgia" w:eastAsia="PMingLiU" w:hAnsi="Georgia" w:cs="Times New Roman"/>
          <w:b/>
          <w:i/>
          <w:sz w:val="20"/>
          <w:szCs w:val="20"/>
          <w:lang w:val="lt-LT"/>
        </w:rPr>
        <w:t>anko veikla Lietuvoje</w:t>
      </w:r>
    </w:p>
    <w:p w14:paraId="4001C267" w14:textId="499912D9" w:rsidR="006977C2" w:rsidRPr="00C97275" w:rsidRDefault="006977C2" w:rsidP="009718DC">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2013-2017 m. Lietuvoje registruotiems juridiniams asmenims </w:t>
      </w:r>
      <w:r w:rsidR="0011549E" w:rsidRPr="00C97275">
        <w:rPr>
          <w:rFonts w:ascii="Georgia" w:eastAsia="Calibri" w:hAnsi="Georgia" w:cs="Arial"/>
          <w:sz w:val="20"/>
          <w:szCs w:val="20"/>
          <w:lang w:val="lt-LT"/>
        </w:rPr>
        <w:t>Š</w:t>
      </w:r>
      <w:r w:rsidRPr="00C97275">
        <w:rPr>
          <w:rFonts w:ascii="Georgia" w:eastAsia="Calibri" w:hAnsi="Georgia" w:cs="Arial"/>
          <w:sz w:val="20"/>
          <w:szCs w:val="20"/>
          <w:lang w:val="lt-LT"/>
        </w:rPr>
        <w:t xml:space="preserve">IB suteikė 12 paskolų. Šių paskolų vertė – 567,3 mln. eurų, trukmė – 10-20 metų (žr. paveikslėlį žemiau). Keturios iš jų buvo suteiktos energetikos ir aplinkos sektoriaus projektams ir siekė nuo 22 mln. eurų iki 100 mln. eurų. </w:t>
      </w:r>
    </w:p>
    <w:p w14:paraId="0E668096" w14:textId="77777777" w:rsidR="002D46ED" w:rsidRPr="00C97275" w:rsidRDefault="002D46ED" w:rsidP="002D46ED">
      <w:pPr>
        <w:keepNext/>
        <w:jc w:val="both"/>
        <w:rPr>
          <w:rFonts w:ascii="Georgia" w:eastAsia="PMingLiU" w:hAnsi="Georgia" w:cs="Times New Roman"/>
          <w:b/>
          <w:bCs/>
          <w:color w:val="A32020"/>
          <w:sz w:val="20"/>
          <w:szCs w:val="18"/>
          <w:lang w:val="lt-LT"/>
        </w:rPr>
      </w:pPr>
      <w:r w:rsidRPr="00C97275">
        <w:rPr>
          <w:rFonts w:ascii="Georgia" w:eastAsia="PMingLiU" w:hAnsi="Georgia" w:cs="Times New Roman"/>
          <w:b/>
          <w:bCs/>
          <w:color w:val="A32020"/>
          <w:sz w:val="20"/>
          <w:szCs w:val="18"/>
          <w:lang w:val="lt-LT"/>
        </w:rPr>
        <w:t xml:space="preserve">Paveikslas 11. ŠIB portfelio raida Lietuvoje ir finansuojamų projektų pasiskirstymas pagal sektorių 2007-2017 metais </w:t>
      </w:r>
    </w:p>
    <w:p w14:paraId="0D5FAC2C" w14:textId="77777777" w:rsidR="002D46ED" w:rsidRPr="00C97275" w:rsidRDefault="002D46ED" w:rsidP="002D46ED">
      <w:pPr>
        <w:rPr>
          <w:rFonts w:ascii="Georgia" w:eastAsia="Calibri" w:hAnsi="Georgia" w:cs="DokChampa"/>
          <w:lang w:val="lt-LT"/>
        </w:rPr>
      </w:pPr>
      <w:r w:rsidRPr="00C97275">
        <w:rPr>
          <w:rFonts w:ascii="Georgia" w:eastAsia="Calibri" w:hAnsi="Georgia" w:cs="DokChampa"/>
          <w:noProof/>
          <w:lang w:val="lt-LT" w:eastAsia="lt-LT"/>
        </w:rPr>
        <w:drawing>
          <wp:inline distT="0" distB="0" distL="0" distR="0" wp14:anchorId="46D24F37" wp14:editId="327D9A19">
            <wp:extent cx="3305175" cy="23526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97275">
        <w:rPr>
          <w:rFonts w:ascii="Georgia" w:eastAsia="Calibri" w:hAnsi="Georgia" w:cs="DokChampa"/>
          <w:noProof/>
          <w:lang w:val="lt-LT" w:eastAsia="lt-LT"/>
        </w:rPr>
        <w:drawing>
          <wp:inline distT="0" distB="0" distL="0" distR="0" wp14:anchorId="665BED4F" wp14:editId="178D7831">
            <wp:extent cx="2409825" cy="21336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5CD7DF" w14:textId="1074E42E" w:rsidR="002D46ED" w:rsidRPr="00C97275" w:rsidRDefault="002D46ED" w:rsidP="002D46ED">
      <w:pPr>
        <w:keepNext/>
        <w:spacing w:line="240" w:lineRule="auto"/>
        <w:rPr>
          <w:rFonts w:ascii="Georgia" w:eastAsia="PMingLiU" w:hAnsi="Georgia" w:cs="Arial"/>
          <w:bCs/>
          <w:i/>
          <w:sz w:val="20"/>
          <w:szCs w:val="20"/>
          <w:lang w:val="lt-LT"/>
        </w:rPr>
      </w:pPr>
      <w:r w:rsidRPr="00C97275">
        <w:rPr>
          <w:rFonts w:ascii="Georgia" w:eastAsia="PMingLiU" w:hAnsi="Georgia" w:cs="Times New Roman"/>
          <w:bCs/>
          <w:i/>
          <w:sz w:val="20"/>
          <w:szCs w:val="18"/>
          <w:lang w:val="lt-LT"/>
        </w:rPr>
        <w:t>Šaltinis: Sutartų paskolų ataskaita ŠIB</w:t>
      </w:r>
      <w:r w:rsidRPr="00C97275">
        <w:rPr>
          <w:rFonts w:ascii="Georgia" w:eastAsia="PMingLiU" w:hAnsi="Georgia" w:cs="Arial"/>
          <w:bCs/>
          <w:i/>
          <w:sz w:val="20"/>
          <w:szCs w:val="20"/>
          <w:vertAlign w:val="superscript"/>
          <w:lang w:val="lt-LT"/>
        </w:rPr>
        <w:footnoteReference w:id="70"/>
      </w:r>
    </w:p>
    <w:p w14:paraId="1FA0C394" w14:textId="6F6267EA"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Energetikos ir aplinkos sektoriuje didžiausia paskola išduota 2015 m. - Lietuvos Respublikos finansų ministerija pasirašė sutartį su banku dėl 100 mln. eurų paskolos Lietuvai. Ilgalaikė paskola bus naudojama renovuoti gyvenamuosius namus, kurių bendras plotas sudaro 4 milijonus kvadratinių </w:t>
      </w:r>
      <w:r w:rsidRPr="00C97275">
        <w:rPr>
          <w:rFonts w:ascii="Georgia" w:eastAsia="Calibri" w:hAnsi="Georgia" w:cs="Arial"/>
          <w:sz w:val="20"/>
          <w:szCs w:val="20"/>
          <w:lang w:val="lt-LT"/>
        </w:rPr>
        <w:lastRenderedPageBreak/>
        <w:t>metrų, ir 49 viešuosius pastatus, daugiausiai ligonines, sveikatos priežiūros ir bendruomenių centrus. Paskolos grąžinimo laikotarpis – 20 metų. Iš banko gautas lėšas Finansų ministerija pervedė tiesiogiai institucijoms, įstaigoms ir organizacijoms, įgyvendinančioms projektus pagal Valstybės investicijų ir Daugiabučių atnaujinimo (modernizavimo) programas</w:t>
      </w:r>
      <w:r w:rsidRPr="00C97275">
        <w:rPr>
          <w:rFonts w:ascii="Georgia" w:eastAsia="Calibri" w:hAnsi="Georgia" w:cs="Arial"/>
          <w:sz w:val="20"/>
          <w:szCs w:val="20"/>
          <w:vertAlign w:val="superscript"/>
          <w:lang w:val="lt-LT"/>
        </w:rPr>
        <w:footnoteReference w:id="71"/>
      </w:r>
      <w:r w:rsidRPr="00C97275">
        <w:rPr>
          <w:rFonts w:ascii="Georgia" w:eastAsia="Calibri" w:hAnsi="Georgia" w:cs="Arial"/>
          <w:sz w:val="20"/>
          <w:szCs w:val="20"/>
          <w:lang w:val="lt-LT"/>
        </w:rPr>
        <w:t>.</w:t>
      </w:r>
    </w:p>
    <w:p w14:paraId="757BC773" w14:textId="77777777" w:rsidR="006977C2" w:rsidRPr="00C97275" w:rsidRDefault="006977C2" w:rsidP="006977C2">
      <w:pPr>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Produktai</w:t>
      </w:r>
    </w:p>
    <w:p w14:paraId="289F79F2" w14:textId="0E1D5ADF"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Bankas savo klientams siūlo ilgalaikes paskolas ir garantijas. Atsižvelgiant į </w:t>
      </w:r>
      <w:r w:rsidR="0011549E" w:rsidRPr="00C97275">
        <w:rPr>
          <w:rFonts w:ascii="Georgia" w:eastAsia="Calibri" w:hAnsi="Georgia" w:cs="Arial"/>
          <w:sz w:val="20"/>
          <w:szCs w:val="20"/>
          <w:lang w:val="lt-LT"/>
        </w:rPr>
        <w:t xml:space="preserve">ŠIB </w:t>
      </w:r>
      <w:r w:rsidRPr="00C97275">
        <w:rPr>
          <w:rFonts w:ascii="Georgia" w:eastAsia="Calibri" w:hAnsi="Georgia" w:cs="Arial"/>
          <w:sz w:val="20"/>
          <w:szCs w:val="20"/>
          <w:lang w:val="lt-LT"/>
        </w:rPr>
        <w:t xml:space="preserve">misiją, visi banko finansuojami projektai privalo prisidėti prie konkurencingumo stiprinimo ir / arba aplinkos tausojimo, t.y. dviejų pagrindinių </w:t>
      </w:r>
      <w:r w:rsidR="0011549E" w:rsidRPr="00C97275">
        <w:rPr>
          <w:rFonts w:ascii="Georgia" w:eastAsia="Calibri" w:hAnsi="Georgia" w:cs="Arial"/>
          <w:sz w:val="20"/>
          <w:szCs w:val="20"/>
          <w:lang w:val="lt-LT"/>
        </w:rPr>
        <w:t xml:space="preserve">ŠIB </w:t>
      </w:r>
      <w:r w:rsidRPr="00C97275">
        <w:rPr>
          <w:rFonts w:ascii="Georgia" w:eastAsia="Calibri" w:hAnsi="Georgia" w:cs="Arial"/>
          <w:sz w:val="20"/>
          <w:szCs w:val="20"/>
          <w:lang w:val="lt-LT"/>
        </w:rPr>
        <w:t>strateginių tikslų.</w:t>
      </w:r>
    </w:p>
    <w:p w14:paraId="0915F370" w14:textId="68FACBBC" w:rsidR="006977C2" w:rsidRPr="00C97275" w:rsidRDefault="006977C2" w:rsidP="006977C2">
      <w:pPr>
        <w:keepNext/>
        <w:spacing w:line="240" w:lineRule="auto"/>
        <w:rPr>
          <w:rFonts w:ascii="Georgia" w:eastAsia="PMingLiU" w:hAnsi="Georgia" w:cs="Arial"/>
          <w:b/>
          <w:bCs/>
          <w:color w:val="A32020"/>
          <w:sz w:val="20"/>
          <w:szCs w:val="20"/>
          <w:lang w:val="lt-LT"/>
        </w:rPr>
      </w:pPr>
      <w:bookmarkStart w:id="128" w:name="_Toc19105243"/>
      <w:r w:rsidRPr="00C97275">
        <w:rPr>
          <w:rFonts w:ascii="Georgia" w:eastAsia="PMingLiU" w:hAnsi="Georgia" w:cs="Times New Roman"/>
          <w:b/>
          <w:bCs/>
          <w:color w:val="A32020"/>
          <w:sz w:val="20"/>
          <w:szCs w:val="18"/>
          <w:lang w:val="lt-LT"/>
        </w:rPr>
        <w:t xml:space="preserve">Lentelė </w:t>
      </w:r>
      <w:r w:rsidRPr="00C97275">
        <w:rPr>
          <w:rFonts w:ascii="Georgia" w:eastAsia="PMingLiU" w:hAnsi="Georgia" w:cs="Times New Roman"/>
          <w:b/>
          <w:bCs/>
          <w:color w:val="A32020"/>
          <w:sz w:val="20"/>
          <w:szCs w:val="18"/>
          <w:lang w:val="lt-LT"/>
        </w:rPr>
        <w:fldChar w:fldCharType="begin"/>
      </w:r>
      <w:r w:rsidRPr="00C97275">
        <w:rPr>
          <w:rFonts w:ascii="Georgia" w:eastAsia="PMingLiU" w:hAnsi="Georgia" w:cs="Times New Roman"/>
          <w:b/>
          <w:bCs/>
          <w:color w:val="A32020"/>
          <w:sz w:val="20"/>
          <w:szCs w:val="18"/>
          <w:lang w:val="lt-LT"/>
        </w:rPr>
        <w:instrText xml:space="preserve"> SEQ Lentelė \* ARABIC </w:instrText>
      </w:r>
      <w:r w:rsidRPr="00C97275">
        <w:rPr>
          <w:rFonts w:ascii="Georgia" w:eastAsia="PMingLiU" w:hAnsi="Georgia" w:cs="Times New Roman"/>
          <w:b/>
          <w:bCs/>
          <w:color w:val="A32020"/>
          <w:sz w:val="20"/>
          <w:szCs w:val="18"/>
          <w:lang w:val="lt-LT"/>
        </w:rPr>
        <w:fldChar w:fldCharType="separate"/>
      </w:r>
      <w:r w:rsidR="001028BC" w:rsidRPr="00C97275">
        <w:rPr>
          <w:rFonts w:ascii="Georgia" w:eastAsia="PMingLiU" w:hAnsi="Georgia" w:cs="Times New Roman"/>
          <w:b/>
          <w:bCs/>
          <w:noProof/>
          <w:color w:val="A32020"/>
          <w:sz w:val="20"/>
          <w:szCs w:val="18"/>
          <w:lang w:val="lt-LT"/>
        </w:rPr>
        <w:t>30</w:t>
      </w:r>
      <w:r w:rsidRPr="00C97275">
        <w:rPr>
          <w:rFonts w:ascii="Georgia" w:eastAsia="PMingLiU" w:hAnsi="Georgia" w:cs="Times New Roman"/>
          <w:b/>
          <w:bCs/>
          <w:color w:val="A32020"/>
          <w:sz w:val="20"/>
          <w:szCs w:val="18"/>
          <w:lang w:val="lt-LT"/>
        </w:rPr>
        <w:fldChar w:fldCharType="end"/>
      </w:r>
      <w:r w:rsidRPr="00C97275">
        <w:rPr>
          <w:rFonts w:ascii="Georgia" w:eastAsia="PMingLiU" w:hAnsi="Georgia" w:cs="Times New Roman"/>
          <w:b/>
          <w:bCs/>
          <w:color w:val="A32020"/>
          <w:sz w:val="20"/>
          <w:szCs w:val="18"/>
          <w:lang w:val="lt-LT"/>
        </w:rPr>
        <w:t xml:space="preserve">. </w:t>
      </w:r>
      <w:r w:rsidR="0011549E" w:rsidRPr="00C97275">
        <w:rPr>
          <w:rFonts w:ascii="Georgia" w:eastAsia="PMingLiU" w:hAnsi="Georgia" w:cs="Times New Roman"/>
          <w:b/>
          <w:bCs/>
          <w:color w:val="A32020"/>
          <w:sz w:val="20"/>
          <w:szCs w:val="18"/>
          <w:lang w:val="lt-LT"/>
        </w:rPr>
        <w:t xml:space="preserve">ŠIB </w:t>
      </w:r>
      <w:r w:rsidRPr="00C97275">
        <w:rPr>
          <w:rFonts w:ascii="Georgia" w:eastAsia="PMingLiU" w:hAnsi="Georgia" w:cs="Times New Roman"/>
          <w:b/>
          <w:bCs/>
          <w:color w:val="A32020"/>
          <w:sz w:val="20"/>
          <w:szCs w:val="18"/>
          <w:lang w:val="lt-LT"/>
        </w:rPr>
        <w:t>siūlomų finansinių produktų sąlygos.</w:t>
      </w:r>
      <w:bookmarkEnd w:id="128"/>
      <w:r w:rsidRPr="00C97275">
        <w:rPr>
          <w:rFonts w:ascii="Georgia" w:eastAsia="PMingLiU" w:hAnsi="Georgia" w:cs="Times New Roman"/>
          <w:b/>
          <w:bCs/>
          <w:color w:val="A32020"/>
          <w:sz w:val="20"/>
          <w:szCs w:val="18"/>
          <w:lang w:val="lt-LT"/>
        </w:rPr>
        <w:t xml:space="preserve"> </w:t>
      </w:r>
    </w:p>
    <w:tbl>
      <w:tblPr>
        <w:tblStyle w:val="3vidutinistinklelis2parykinimas"/>
        <w:tblW w:w="5000" w:type="pct"/>
        <w:tblLook w:val="04A0" w:firstRow="1" w:lastRow="0" w:firstColumn="1" w:lastColumn="0" w:noHBand="0" w:noVBand="1"/>
      </w:tblPr>
      <w:tblGrid>
        <w:gridCol w:w="4414"/>
        <w:gridCol w:w="4828"/>
      </w:tblGrid>
      <w:tr w:rsidR="006977C2" w:rsidRPr="00C97275" w14:paraId="7807DD1C" w14:textId="77777777" w:rsidTr="005B31C6">
        <w:trPr>
          <w:cnfStyle w:val="100000000000" w:firstRow="1" w:lastRow="0" w:firstColumn="0" w:lastColumn="0" w:oddVBand="0" w:evenVBand="0" w:oddHBand="0" w:evenHBand="0" w:firstRowFirstColumn="0" w:firstRowLastColumn="0" w:lastRowFirstColumn="0" w:lastRowLastColumn="0"/>
          <w:cantSplit/>
          <w:trHeight w:val="329"/>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2A28BDD8" w14:textId="77777777" w:rsidR="006977C2" w:rsidRPr="00C97275" w:rsidRDefault="006977C2" w:rsidP="006977C2">
            <w:pPr>
              <w:jc w:val="center"/>
              <w:rPr>
                <w:rFonts w:ascii="Georgia" w:eastAsia="Calibri" w:hAnsi="Georgia" w:cs="Arial"/>
                <w:bCs w:val="0"/>
                <w:color w:val="FFFFFF"/>
                <w:sz w:val="20"/>
                <w:szCs w:val="20"/>
                <w:lang w:val="lt-LT"/>
              </w:rPr>
            </w:pPr>
            <w:r w:rsidRPr="00C97275">
              <w:rPr>
                <w:rFonts w:ascii="Georgia" w:eastAsia="Calibri" w:hAnsi="Georgia" w:cs="Arial"/>
                <w:sz w:val="20"/>
                <w:szCs w:val="20"/>
                <w:lang w:val="lt-LT"/>
              </w:rPr>
              <w:t>Paskolos sąlygos</w:t>
            </w:r>
          </w:p>
        </w:tc>
      </w:tr>
      <w:tr w:rsidR="006977C2" w:rsidRPr="00C97275" w14:paraId="05CB8E89"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60BA6C9D"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Tikslinė grupė</w:t>
            </w:r>
          </w:p>
        </w:tc>
        <w:tc>
          <w:tcPr>
            <w:tcW w:w="0" w:type="pct"/>
            <w:shd w:val="clear" w:color="auto" w:fill="FFECC0"/>
            <w:hideMark/>
          </w:tcPr>
          <w:p w14:paraId="6AE59D2C"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bankas teikia paskolas ir garantijas privataus ir viešojo sektoriaus įmonėms, vyriausybėms, savivaldybėms ir finansų įstaigoms.</w:t>
            </w:r>
          </w:p>
        </w:tc>
      </w:tr>
      <w:tr w:rsidR="006977C2" w:rsidRPr="00C97275" w14:paraId="0236DD43"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D27C075"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Dydis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290F4C87"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banko paskolos yra naudojamos finansuoti dideliems projektams, kurių bendra vertė yra didesnė nei 50 mln. EUR. MVĮ bankas finansuoja per tarpininkus;</w:t>
            </w:r>
          </w:p>
          <w:p w14:paraId="4AF7B2FB"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paskolos dydis yra 10-100 mln. EUR;</w:t>
            </w:r>
          </w:p>
          <w:p w14:paraId="1B9A1C28"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paskola ar garantija paprastai neturi viršyti 50 proc. bendros projekto vertės.</w:t>
            </w:r>
          </w:p>
        </w:tc>
      </w:tr>
      <w:tr w:rsidR="006977C2" w:rsidRPr="00C97275" w14:paraId="5184D6D3"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DD305B2"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Palūkanų norma</w:t>
            </w:r>
          </w:p>
        </w:tc>
        <w:tc>
          <w:tcPr>
            <w:tcW w:w="0" w:type="pct"/>
            <w:shd w:val="clear" w:color="auto" w:fill="FFECC0"/>
            <w:hideMark/>
          </w:tcPr>
          <w:p w14:paraId="738E3389"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konkurencinga, įvertinus rinkos situaciją;</w:t>
            </w:r>
          </w:p>
          <w:p w14:paraId="315C169E"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NIB siūlo paskolas ir garantijas komerciškai pagrįstomis bankininkystės sąlygomis, t.y. be subsidijos elemento; NIB nekonkuruoja su privačiais bankais;</w:t>
            </w:r>
          </w:p>
          <w:p w14:paraId="34DC6B03"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NIB neteikia subsidijų ar finansinės paramos;</w:t>
            </w:r>
          </w:p>
          <w:p w14:paraId="0702341A"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fiksuota arba kintančia palūkanų norma;</w:t>
            </w:r>
          </w:p>
          <w:p w14:paraId="7A956D08"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NIB siekia papildyti kitus finansinius šaltinius ir sukurti pridėtinę vertę per ilgalaikį finansavimą ir tarptautinės finansų įstaigos statusą. </w:t>
            </w:r>
          </w:p>
        </w:tc>
      </w:tr>
      <w:tr w:rsidR="006977C2" w:rsidRPr="00C97275" w14:paraId="6C7CB91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70322D7F"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500860F7"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klientas gali rinktis tarp pagrindinių konvertuojamų valiutų.</w:t>
            </w:r>
          </w:p>
        </w:tc>
      </w:tr>
      <w:tr w:rsidR="006977C2" w:rsidRPr="00C97275" w14:paraId="3E96D1AF"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7D4E379"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Trukmė</w:t>
            </w:r>
          </w:p>
        </w:tc>
        <w:tc>
          <w:tcPr>
            <w:tcW w:w="0" w:type="pct"/>
            <w:shd w:val="clear" w:color="auto" w:fill="FFECC0"/>
            <w:hideMark/>
          </w:tcPr>
          <w:p w14:paraId="0D275D38"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paskolos suteikiamos turto, sukurto projekto metu, naudingo ekonominio gyvavimo laikotarpiui arba sutarčių, užtikrinančių finansavimą, laikotarpiui;</w:t>
            </w:r>
          </w:p>
          <w:p w14:paraId="3A2FF307"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paskolos trukmė gali siekti iki 25-30 metų, pvz.:</w:t>
            </w:r>
          </w:p>
          <w:p w14:paraId="5C8B2A89" w14:textId="77777777" w:rsidR="006977C2" w:rsidRPr="00C97275"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vyriausybėms teikiamoms paskoloms arba paskoloms, garantuotoms valstybės (15-25 metų);</w:t>
            </w:r>
          </w:p>
          <w:p w14:paraId="61EB9F30" w14:textId="77777777" w:rsidR="006977C2" w:rsidRPr="00C97275"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paskoloms verslui (5-15 metų);</w:t>
            </w:r>
          </w:p>
          <w:p w14:paraId="2746D0FA" w14:textId="77777777" w:rsidR="006977C2" w:rsidRPr="00C97275"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VPSP projektams (5-15 metų);</w:t>
            </w:r>
          </w:p>
          <w:p w14:paraId="62CBC6CF" w14:textId="77777777" w:rsidR="006977C2" w:rsidRPr="00C97275"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MVĮ finansavimui per finansinius tarpininkus (5-12 metų)</w:t>
            </w:r>
          </w:p>
        </w:tc>
      </w:tr>
      <w:tr w:rsidR="006977C2" w:rsidRPr="00C97275" w14:paraId="1724E2BE"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AF70249"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Atidėjimo laikotarpis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311F90F3"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atidėjimo laikotarpio galimybė analizuojama konkretaus projekto atveju;</w:t>
            </w:r>
          </w:p>
          <w:p w14:paraId="2308795E"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atidėjimo laikotarpis iki 5 m.</w:t>
            </w:r>
          </w:p>
        </w:tc>
      </w:tr>
      <w:tr w:rsidR="006977C2" w:rsidRPr="00C97275" w14:paraId="5260F688"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7D1B5375"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Lėšų panaudojimo apribojimai</w:t>
            </w:r>
          </w:p>
        </w:tc>
        <w:tc>
          <w:tcPr>
            <w:tcW w:w="0" w:type="pct"/>
            <w:shd w:val="clear" w:color="auto" w:fill="FFECC0"/>
            <w:hideMark/>
          </w:tcPr>
          <w:p w14:paraId="1C5DB7CD"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paskolų lėšos gali būti naudojamos bet kokiems su projektu susijusiems kaštams padengti.</w:t>
            </w:r>
          </w:p>
        </w:tc>
      </w:tr>
      <w:tr w:rsidR="006977C2" w:rsidRPr="00C97275" w14:paraId="12C9C09A"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CDEAF0C"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Specifiniai reikalavimai projektų turiniui</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35EE51ED"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paskolos teikiamos tik projektams, kurie stiprina konkurencingumą ir tausoja aplinką.</w:t>
            </w:r>
          </w:p>
        </w:tc>
      </w:tr>
      <w:tr w:rsidR="006977C2" w:rsidRPr="00C97275" w14:paraId="3832FE67" w14:textId="77777777" w:rsidTr="005B31C6">
        <w:trPr>
          <w:cnfStyle w:val="000000100000" w:firstRow="0" w:lastRow="0" w:firstColumn="0" w:lastColumn="0" w:oddVBand="0" w:evenVBand="0" w:oddHBand="1" w:evenHBand="0" w:firstRowFirstColumn="0" w:firstRowLastColumn="0" w:lastRowFirstColumn="0" w:lastRowLastColumn="0"/>
          <w:cantSplit/>
          <w:trHeight w:val="293"/>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60EE7CB4" w14:textId="77777777" w:rsidR="006977C2" w:rsidRPr="00C97275" w:rsidRDefault="006977C2" w:rsidP="006977C2">
            <w:pPr>
              <w:contextualSpacing/>
              <w:jc w:val="center"/>
              <w:rPr>
                <w:rFonts w:ascii="Georgia" w:eastAsia="Calibri" w:hAnsi="Georgia" w:cs="Arial"/>
                <w:bCs w:val="0"/>
                <w:color w:val="FFFFFF"/>
                <w:sz w:val="20"/>
                <w:szCs w:val="20"/>
                <w:lang w:val="lt-LT"/>
              </w:rPr>
            </w:pPr>
            <w:r w:rsidRPr="00C97275">
              <w:rPr>
                <w:rFonts w:ascii="Georgia" w:eastAsia="Calibri" w:hAnsi="Georgia" w:cs="Arial"/>
                <w:color w:val="auto"/>
                <w:sz w:val="20"/>
                <w:szCs w:val="20"/>
                <w:lang w:val="lt-LT"/>
              </w:rPr>
              <w:lastRenderedPageBreak/>
              <w:t>Mokesčiai ir rinkliavos</w:t>
            </w:r>
          </w:p>
        </w:tc>
      </w:tr>
      <w:tr w:rsidR="006977C2" w:rsidRPr="00C97275" w14:paraId="4B35041A"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756764F"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Banko marža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6B0573B6"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nėra informacijos.</w:t>
            </w:r>
          </w:p>
        </w:tc>
      </w:tr>
      <w:tr w:rsidR="006977C2" w:rsidRPr="00C97275" w14:paraId="7D8A054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BEB445E"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Papildomi mokesčiai</w:t>
            </w:r>
          </w:p>
        </w:tc>
        <w:tc>
          <w:tcPr>
            <w:tcW w:w="0" w:type="pct"/>
            <w:shd w:val="clear" w:color="auto" w:fill="FFECC0"/>
            <w:hideMark/>
          </w:tcPr>
          <w:p w14:paraId="1BAAABB5"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mokesčiai apima </w:t>
            </w:r>
            <w:r w:rsidRPr="00C97275">
              <w:rPr>
                <w:rFonts w:ascii="Georgia" w:eastAsia="Calibri" w:hAnsi="Georgia" w:cs="Arial"/>
                <w:i/>
                <w:sz w:val="20"/>
                <w:szCs w:val="20"/>
                <w:lang w:val="lt-LT"/>
              </w:rPr>
              <w:t>inter alia</w:t>
            </w:r>
            <w:r w:rsidRPr="00C97275">
              <w:rPr>
                <w:rFonts w:ascii="Georgia" w:eastAsia="Calibri" w:hAnsi="Georgia" w:cs="Arial"/>
                <w:sz w:val="20"/>
                <w:szCs w:val="20"/>
                <w:lang w:val="lt-LT"/>
              </w:rPr>
              <w:t xml:space="preserve"> įsipareigojimų ir parengimo mokesčius.</w:t>
            </w:r>
          </w:p>
        </w:tc>
      </w:tr>
      <w:tr w:rsidR="006977C2" w:rsidRPr="00C97275" w14:paraId="09DB5C6E" w14:textId="77777777" w:rsidTr="005B31C6">
        <w:trPr>
          <w:cantSplit/>
          <w:trHeight w:val="323"/>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vAlign w:val="center"/>
            <w:hideMark/>
          </w:tcPr>
          <w:p w14:paraId="32F8B242" w14:textId="77777777" w:rsidR="006977C2" w:rsidRPr="00C97275" w:rsidRDefault="006977C2" w:rsidP="006977C2">
            <w:pPr>
              <w:jc w:val="center"/>
              <w:rPr>
                <w:rFonts w:ascii="Georgia" w:eastAsia="Calibri" w:hAnsi="Georgia" w:cs="Arial"/>
                <w:bCs w:val="0"/>
                <w:color w:val="FFFFFF"/>
                <w:sz w:val="20"/>
                <w:szCs w:val="20"/>
                <w:lang w:val="lt-LT"/>
              </w:rPr>
            </w:pPr>
            <w:r w:rsidRPr="00C97275">
              <w:rPr>
                <w:rFonts w:ascii="Georgia" w:eastAsia="Calibri" w:hAnsi="Georgia" w:cs="Arial"/>
                <w:color w:val="auto"/>
                <w:sz w:val="20"/>
                <w:szCs w:val="20"/>
                <w:lang w:val="lt-LT"/>
              </w:rPr>
              <w:t>Kitos paskolos sąlygos</w:t>
            </w:r>
          </w:p>
        </w:tc>
      </w:tr>
      <w:tr w:rsidR="006977C2" w:rsidRPr="00C97275" w14:paraId="7E59473C"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F75A241"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Paskolos užtikrinimas</w:t>
            </w:r>
          </w:p>
        </w:tc>
        <w:tc>
          <w:tcPr>
            <w:tcW w:w="0" w:type="pct"/>
            <w:shd w:val="clear" w:color="auto" w:fill="FFECC0"/>
            <w:hideMark/>
          </w:tcPr>
          <w:p w14:paraId="1EDE7D98"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negalima išskirti specifinių paskolos užtikrinimo priemonių, kurių reikalauja bankas. Vertinimas atliekamas konkrečiam projektui ir remiantis šio vertinimo rezultatais reikalaujama adekvačių paskolos užtikrinimo priemonių;</w:t>
            </w:r>
          </w:p>
          <w:p w14:paraId="5884EBDC" w14:textId="77777777" w:rsidR="006977C2" w:rsidRPr="00C97275"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NIB gali suteikti ir paskolas be užstato sandorio šalims, jei jos turi pakankamą kreditingumą. Tokiu atveju bankas reikalauja papildomų susitarimų tarp sandorio šalių, kurie įtraukiami į paskolos dokumentų paketą.</w:t>
            </w:r>
          </w:p>
        </w:tc>
      </w:tr>
      <w:tr w:rsidR="006977C2" w:rsidRPr="00C97275" w14:paraId="2E3043FB"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bottom w:val="single" w:sz="8" w:space="0" w:color="FFFFFF"/>
            </w:tcBorders>
            <w:shd w:val="clear" w:color="auto" w:fill="FFECC0"/>
            <w:hideMark/>
          </w:tcPr>
          <w:p w14:paraId="420ED3B7"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Techninė pagalba</w:t>
            </w:r>
          </w:p>
        </w:tc>
        <w:tc>
          <w:tcPr>
            <w:tcW w:w="0" w:type="pct"/>
            <w:tcBorders>
              <w:top w:val="single" w:sz="6" w:space="0" w:color="FFFFFF"/>
              <w:left w:val="single" w:sz="6" w:space="0" w:color="FFFFFF"/>
              <w:bottom w:val="single" w:sz="8" w:space="0" w:color="FFFFFF"/>
              <w:right w:val="single" w:sz="8" w:space="0" w:color="FFFFFF"/>
            </w:tcBorders>
            <w:shd w:val="clear" w:color="auto" w:fill="FFECC0"/>
            <w:hideMark/>
          </w:tcPr>
          <w:p w14:paraId="4DDCE454" w14:textId="77777777" w:rsidR="006977C2" w:rsidRPr="00C97275"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NIB gali padėti savo klientams su projekto ir struktūrizuotu finansavimu, pavyzdžiui, naudojant viešojo ir privataus sektoriaus partnerystės modelį.</w:t>
            </w:r>
          </w:p>
        </w:tc>
      </w:tr>
    </w:tbl>
    <w:p w14:paraId="0CACC961" w14:textId="77777777" w:rsidR="006977C2" w:rsidRPr="00C97275" w:rsidRDefault="006977C2" w:rsidP="006977C2">
      <w:pPr>
        <w:keepNext/>
        <w:spacing w:line="240" w:lineRule="auto"/>
        <w:rPr>
          <w:rFonts w:ascii="Georgia" w:eastAsia="PMingLiU" w:hAnsi="Georgia" w:cs="Arial"/>
          <w:bCs/>
          <w:i/>
          <w:sz w:val="20"/>
          <w:szCs w:val="18"/>
          <w:lang w:val="lt-LT"/>
        </w:rPr>
      </w:pPr>
      <w:r w:rsidRPr="00C97275">
        <w:rPr>
          <w:rFonts w:ascii="Georgia" w:eastAsia="PMingLiU" w:hAnsi="Georgia" w:cs="Arial"/>
          <w:bCs/>
          <w:i/>
          <w:sz w:val="20"/>
          <w:szCs w:val="18"/>
          <w:lang w:val="lt-LT"/>
        </w:rPr>
        <w:t xml:space="preserve">Šaltinis: Paskolų sąlygos </w:t>
      </w:r>
      <w:r w:rsidRPr="00C97275">
        <w:rPr>
          <w:rFonts w:ascii="Georgia" w:eastAsia="PMingLiU" w:hAnsi="Georgia" w:cs="Arial"/>
          <w:bCs/>
          <w:i/>
          <w:sz w:val="20"/>
          <w:szCs w:val="18"/>
          <w:vertAlign w:val="superscript"/>
          <w:lang w:val="lt-LT"/>
        </w:rPr>
        <w:footnoteReference w:id="72"/>
      </w:r>
    </w:p>
    <w:p w14:paraId="5BB655DE" w14:textId="77777777" w:rsidR="006977C2" w:rsidRPr="00C97275" w:rsidRDefault="006977C2" w:rsidP="006977C2">
      <w:pPr>
        <w:rPr>
          <w:rFonts w:ascii="Georgia" w:eastAsia="Calibri" w:hAnsi="Georgia" w:cs="DokChampa"/>
          <w:b/>
          <w:sz w:val="20"/>
          <w:szCs w:val="20"/>
          <w:lang w:val="lt-LT"/>
        </w:rPr>
      </w:pPr>
      <w:r w:rsidRPr="00C97275">
        <w:rPr>
          <w:rFonts w:ascii="Georgia" w:eastAsia="Calibri" w:hAnsi="Georgia" w:cs="DokChampa"/>
          <w:b/>
          <w:sz w:val="20"/>
          <w:szCs w:val="20"/>
          <w:lang w:val="lt-LT"/>
        </w:rPr>
        <w:t>Kiti produktai</w:t>
      </w:r>
    </w:p>
    <w:p w14:paraId="7D09185C" w14:textId="1725231B" w:rsidR="006977C2" w:rsidRPr="00C97275" w:rsidRDefault="006977C2" w:rsidP="006977C2">
      <w:pPr>
        <w:rPr>
          <w:rFonts w:ascii="Georgia" w:eastAsia="PMingLiU" w:hAnsi="Georgia" w:cs="Times New Roman"/>
          <w:b/>
          <w:sz w:val="20"/>
          <w:szCs w:val="20"/>
          <w:lang w:val="lt-LT"/>
        </w:rPr>
      </w:pPr>
      <w:r w:rsidRPr="00C97275">
        <w:rPr>
          <w:rFonts w:ascii="Georgia" w:eastAsia="Calibri" w:hAnsi="Georgia" w:cs="DokChampa"/>
          <w:sz w:val="20"/>
          <w:szCs w:val="20"/>
          <w:lang w:val="lt-LT"/>
        </w:rPr>
        <w:t>2016 m. NIB pradėjo investicijas į žaliąsias obligacijas (ang</w:t>
      </w:r>
      <w:r w:rsidR="00D9139B" w:rsidRPr="00C97275">
        <w:rPr>
          <w:rFonts w:ascii="Georgia" w:eastAsia="Calibri" w:hAnsi="Georgia" w:cs="DokChampa"/>
          <w:sz w:val="20"/>
          <w:szCs w:val="20"/>
          <w:lang w:val="lt-LT"/>
        </w:rPr>
        <w:t>l</w:t>
      </w:r>
      <w:r w:rsidRPr="00C97275">
        <w:rPr>
          <w:rFonts w:ascii="Georgia" w:eastAsia="Calibri" w:hAnsi="Georgia" w:cs="DokChampa"/>
          <w:sz w:val="20"/>
          <w:szCs w:val="20"/>
          <w:lang w:val="lt-LT"/>
        </w:rPr>
        <w:t xml:space="preserve">. Green bond), išleidžiamas bendrovių ar savivaldybių. Tikslas - remti žaliųjų obligacijų rinkos plėtrą, finansuoti investicijas į aplinką. Šiuo tikslu buvo patvirtinta 500 mln. EUR investicija </w:t>
      </w:r>
      <w:r w:rsidRPr="00C97275">
        <w:rPr>
          <w:rFonts w:ascii="Georgia" w:eastAsia="Calibri" w:hAnsi="Georgia" w:cs="DokChampa"/>
          <w:sz w:val="20"/>
          <w:szCs w:val="20"/>
          <w:vertAlign w:val="superscript"/>
          <w:lang w:val="lt-LT"/>
        </w:rPr>
        <w:footnoteReference w:id="73"/>
      </w:r>
      <w:r w:rsidRPr="00C97275">
        <w:rPr>
          <w:rFonts w:ascii="Georgia" w:eastAsia="Calibri" w:hAnsi="Georgia" w:cs="DokChampa"/>
          <w:sz w:val="20"/>
          <w:szCs w:val="20"/>
          <w:lang w:val="lt-LT"/>
        </w:rPr>
        <w:t>.</w:t>
      </w:r>
      <w:r w:rsidRPr="00C97275">
        <w:rPr>
          <w:rFonts w:ascii="Georgia" w:eastAsia="Calibri" w:hAnsi="Georgia" w:cs="DokChampa"/>
          <w:b/>
          <w:sz w:val="20"/>
          <w:szCs w:val="20"/>
          <w:lang w:val="lt-LT"/>
        </w:rPr>
        <w:t xml:space="preserve"> </w:t>
      </w:r>
    </w:p>
    <w:p w14:paraId="60F88525" w14:textId="77777777" w:rsidR="006977C2" w:rsidRPr="00C97275"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29" w:name="_Toc25594672"/>
      <w:r w:rsidRPr="00C97275">
        <w:rPr>
          <w:rFonts w:ascii="Georgia" w:eastAsia="Times New Roman" w:hAnsi="Georgia" w:cs="Arial Unicode MS"/>
          <w:b/>
          <w:i/>
          <w:color w:val="821A1A"/>
          <w:sz w:val="32"/>
          <w:szCs w:val="26"/>
          <w:lang w:val="lt-LT"/>
        </w:rPr>
        <w:t>Europos investicijų bankas</w:t>
      </w:r>
      <w:bookmarkEnd w:id="129"/>
    </w:p>
    <w:p w14:paraId="3918C2DE"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EIB remia projektus, kurie reikšmingai prisideda prie ekonomikos augimo, užimtumo didinimo, ekonominės ir socialines sanglaudos ir aplinkos tvarumo Europoje ir už jos ribų. EIB yra svarbus instrumentas, skirtas padėti valstybėms atsigauti po ekonominės krizės.</w:t>
      </w:r>
    </w:p>
    <w:p w14:paraId="05F8A41B"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EIB teikia finansavimą žinių ekonomikos, TEN-T, konkurencingos ir saugios energetikos, MVĮ ir "</w:t>
      </w:r>
      <w:r w:rsidRPr="00C97275">
        <w:rPr>
          <w:rFonts w:ascii="Georgia" w:eastAsia="Calibri" w:hAnsi="Georgia" w:cs="Arial"/>
          <w:i/>
          <w:sz w:val="20"/>
          <w:szCs w:val="20"/>
          <w:lang w:val="lt-LT"/>
        </w:rPr>
        <w:t>mid-caps</w:t>
      </w:r>
      <w:r w:rsidRPr="00C97275">
        <w:rPr>
          <w:rFonts w:ascii="Georgia" w:eastAsia="Calibri" w:hAnsi="Georgia" w:cs="Arial"/>
          <w:sz w:val="20"/>
          <w:szCs w:val="20"/>
          <w:lang w:val="lt-LT"/>
        </w:rPr>
        <w:t>"</w:t>
      </w:r>
      <w:r w:rsidRPr="00C97275">
        <w:rPr>
          <w:rFonts w:ascii="Georgia" w:eastAsia="Calibri" w:hAnsi="Georgia" w:cs="Arial"/>
          <w:sz w:val="20"/>
          <w:szCs w:val="20"/>
          <w:vertAlign w:val="superscript"/>
          <w:lang w:val="lt-LT"/>
        </w:rPr>
        <w:footnoteReference w:id="74"/>
      </w:r>
      <w:r w:rsidRPr="00C97275">
        <w:rPr>
          <w:rFonts w:ascii="Georgia" w:eastAsia="Calibri" w:hAnsi="Georgia" w:cs="Arial"/>
          <w:sz w:val="20"/>
          <w:szCs w:val="20"/>
          <w:lang w:val="lt-LT"/>
        </w:rPr>
        <w:t xml:space="preserve"> įmonių, miestų atnaujinimo, aplinkosaugos, atsinaujinančių energijos išteklių ir energijos efektyvumo bei tvaraus transporto projektams </w:t>
      </w:r>
      <w:r w:rsidRPr="00C97275">
        <w:rPr>
          <w:rFonts w:ascii="Georgia" w:eastAsia="Calibri" w:hAnsi="Georgia" w:cs="Arial"/>
          <w:sz w:val="20"/>
          <w:szCs w:val="20"/>
          <w:vertAlign w:val="superscript"/>
          <w:lang w:val="lt-LT"/>
        </w:rPr>
        <w:footnoteReference w:id="75"/>
      </w:r>
      <w:r w:rsidRPr="00C97275">
        <w:rPr>
          <w:rFonts w:ascii="Georgia" w:eastAsia="Calibri" w:hAnsi="Georgia" w:cs="Arial"/>
          <w:sz w:val="20"/>
          <w:szCs w:val="20"/>
          <w:lang w:val="lt-LT"/>
        </w:rPr>
        <w:t>.</w:t>
      </w:r>
    </w:p>
    <w:p w14:paraId="2EBC510A"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EIF yra EIB grupės dalis, teikianti rizikos kapitalo sprendimus finansų tarpininkams ir taip remiantis MVĮ bei skatinantis Europoje diegti inovacijas </w:t>
      </w:r>
      <w:r w:rsidRPr="00C97275">
        <w:rPr>
          <w:rFonts w:ascii="Georgia" w:eastAsia="Calibri" w:hAnsi="Georgia" w:cs="Arial"/>
          <w:sz w:val="20"/>
          <w:szCs w:val="20"/>
          <w:vertAlign w:val="superscript"/>
          <w:lang w:val="lt-LT"/>
        </w:rPr>
        <w:footnoteReference w:id="76"/>
      </w:r>
      <w:r w:rsidRPr="00C97275">
        <w:rPr>
          <w:rFonts w:ascii="Georgia" w:eastAsia="Calibri" w:hAnsi="Georgia" w:cs="Arial"/>
          <w:sz w:val="20"/>
          <w:szCs w:val="20"/>
          <w:lang w:val="lt-LT"/>
        </w:rPr>
        <w:t>.</w:t>
      </w:r>
    </w:p>
    <w:p w14:paraId="097DAD13" w14:textId="77777777" w:rsidR="006977C2" w:rsidRPr="00C97275" w:rsidRDefault="006977C2" w:rsidP="006977C2">
      <w:pPr>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Energetinio efektyvumo projektų finansavimas</w:t>
      </w:r>
    </w:p>
    <w:p w14:paraId="35656D79" w14:textId="3C913202" w:rsidR="006977C2" w:rsidRPr="00C97275" w:rsidRDefault="006977C2" w:rsidP="006977C2">
      <w:pPr>
        <w:autoSpaceDE w:val="0"/>
        <w:autoSpaceDN w:val="0"/>
        <w:adjustRightInd w:val="0"/>
        <w:spacing w:after="120"/>
        <w:jc w:val="both"/>
        <w:rPr>
          <w:rFonts w:ascii="Georgia" w:eastAsia="FranklinGothicBookCondITC-Reg" w:hAnsi="Georgia" w:cs="Arial"/>
          <w:sz w:val="20"/>
          <w:szCs w:val="20"/>
          <w:lang w:val="lt-LT"/>
        </w:rPr>
      </w:pPr>
      <w:r w:rsidRPr="00C97275">
        <w:rPr>
          <w:rFonts w:ascii="Georgia" w:eastAsia="FranklinGothicBookCondITC-Reg" w:hAnsi="Georgia" w:cs="Arial"/>
          <w:sz w:val="20"/>
          <w:szCs w:val="20"/>
          <w:lang w:val="lt-LT"/>
        </w:rPr>
        <w:t>2015 m. EIB  patvirtino naują klimato strategiją (ang</w:t>
      </w:r>
      <w:r w:rsidR="00D9139B" w:rsidRPr="00C97275">
        <w:rPr>
          <w:rFonts w:ascii="Georgia" w:eastAsia="FranklinGothicBookCondITC-Reg" w:hAnsi="Georgia" w:cs="Arial"/>
          <w:sz w:val="20"/>
          <w:szCs w:val="20"/>
          <w:lang w:val="lt-LT"/>
        </w:rPr>
        <w:t>l</w:t>
      </w:r>
      <w:r w:rsidRPr="00C97275">
        <w:rPr>
          <w:rFonts w:ascii="Georgia" w:eastAsia="FranklinGothicBookCondITC-Reg" w:hAnsi="Georgia" w:cs="Arial"/>
          <w:sz w:val="20"/>
          <w:szCs w:val="20"/>
          <w:lang w:val="lt-LT"/>
        </w:rPr>
        <w:t xml:space="preserve">. Climate strategy). Šiame dokumente EIB patvirtino, kad mažiausiai 25% viso finansavimo bus skiriama klimato kaitos projektams. Klimato kaitos projektus apima šios sritys: aplinka, </w:t>
      </w:r>
      <w:r w:rsidRPr="00C97275">
        <w:rPr>
          <w:rFonts w:ascii="Georgia" w:eastAsia="Calibri" w:hAnsi="Georgia" w:cs="Arial"/>
          <w:sz w:val="20"/>
          <w:szCs w:val="20"/>
          <w:lang w:val="lt-LT"/>
        </w:rPr>
        <w:t>MVĮ ir "</w:t>
      </w:r>
      <w:r w:rsidRPr="00C97275">
        <w:rPr>
          <w:rFonts w:ascii="Georgia" w:eastAsia="Calibri" w:hAnsi="Georgia" w:cs="Arial"/>
          <w:i/>
          <w:sz w:val="20"/>
          <w:szCs w:val="20"/>
          <w:lang w:val="lt-LT"/>
        </w:rPr>
        <w:t>mid-caps</w:t>
      </w:r>
      <w:r w:rsidRPr="00C97275">
        <w:rPr>
          <w:rFonts w:ascii="Georgia" w:eastAsia="Calibri" w:hAnsi="Georgia" w:cs="Arial"/>
          <w:sz w:val="20"/>
          <w:szCs w:val="20"/>
          <w:lang w:val="lt-LT"/>
        </w:rPr>
        <w:t xml:space="preserve">" įmonės, </w:t>
      </w:r>
      <w:r w:rsidRPr="00C97275">
        <w:rPr>
          <w:rFonts w:ascii="Georgia" w:eastAsia="FranklinGothicBookCondITC-Reg" w:hAnsi="Georgia" w:cs="Arial"/>
          <w:sz w:val="20"/>
          <w:szCs w:val="20"/>
          <w:lang w:val="lt-LT"/>
        </w:rPr>
        <w:t xml:space="preserve">infrastruktūra ir inovacijos </w:t>
      </w:r>
      <w:r w:rsidRPr="00C97275">
        <w:rPr>
          <w:rFonts w:ascii="Georgia" w:eastAsia="Calibri" w:hAnsi="Georgia" w:cs="Arial"/>
          <w:sz w:val="20"/>
          <w:szCs w:val="20"/>
          <w:vertAlign w:val="superscript"/>
          <w:lang w:val="lt-LT"/>
        </w:rPr>
        <w:footnoteReference w:id="77"/>
      </w:r>
      <w:r w:rsidRPr="00C97275">
        <w:rPr>
          <w:rFonts w:ascii="Georgia" w:eastAsia="FranklinGothicBookCondITC-Reg" w:hAnsi="Georgia" w:cs="Arial"/>
          <w:sz w:val="20"/>
          <w:szCs w:val="20"/>
          <w:lang w:val="lt-LT"/>
        </w:rPr>
        <w:t xml:space="preserve">. Svarbiausias strategijos prioritetas yra energijos vartojimo efektyvumas. Strategijoje taip pat akcentuojama parama atsinaujinantiems energijos ištekliams </w:t>
      </w:r>
      <w:r w:rsidRPr="00C97275">
        <w:rPr>
          <w:rFonts w:ascii="Georgia" w:eastAsia="FranklinGothicBookCondITC-Reg" w:hAnsi="Georgia" w:cs="Arial"/>
          <w:sz w:val="20"/>
          <w:szCs w:val="20"/>
          <w:vertAlign w:val="superscript"/>
          <w:lang w:val="lt-LT"/>
        </w:rPr>
        <w:footnoteReference w:id="78"/>
      </w:r>
      <w:r w:rsidRPr="00C97275">
        <w:rPr>
          <w:rFonts w:ascii="Georgia" w:eastAsia="FranklinGothicBookCondITC-Reg" w:hAnsi="Georgia" w:cs="Arial"/>
          <w:sz w:val="20"/>
          <w:szCs w:val="20"/>
          <w:lang w:val="lt-LT"/>
        </w:rPr>
        <w:t>.</w:t>
      </w:r>
    </w:p>
    <w:p w14:paraId="0F257DF2" w14:textId="77777777" w:rsidR="006977C2" w:rsidRPr="00C97275" w:rsidRDefault="006977C2" w:rsidP="006977C2">
      <w:pPr>
        <w:autoSpaceDE w:val="0"/>
        <w:autoSpaceDN w:val="0"/>
        <w:adjustRightInd w:val="0"/>
        <w:spacing w:after="120"/>
        <w:jc w:val="both"/>
        <w:rPr>
          <w:rFonts w:ascii="Georgia" w:eastAsia="FranklinGothicBookCondITC-Reg" w:hAnsi="Georgia" w:cs="Arial"/>
          <w:sz w:val="20"/>
          <w:szCs w:val="20"/>
          <w:lang w:val="lt-LT"/>
        </w:rPr>
      </w:pPr>
      <w:r w:rsidRPr="00C97275">
        <w:rPr>
          <w:rFonts w:ascii="Georgia" w:eastAsia="FranklinGothicBookCondITC-Reg" w:hAnsi="Georgia" w:cs="Arial"/>
          <w:sz w:val="20"/>
          <w:szCs w:val="20"/>
          <w:lang w:val="lt-LT"/>
        </w:rPr>
        <w:lastRenderedPageBreak/>
        <w:t xml:space="preserve">2015 m. Strategijoje patvirtino, kad aplinkos projektams bus skiriama 19,6 mlrd. eurų per ateinančius 5 metus </w:t>
      </w:r>
      <w:r w:rsidRPr="00C97275">
        <w:rPr>
          <w:rFonts w:ascii="Georgia" w:eastAsia="FranklinGothicBookCondITC-Reg" w:hAnsi="Georgia" w:cs="Arial"/>
          <w:sz w:val="20"/>
          <w:szCs w:val="20"/>
          <w:vertAlign w:val="superscript"/>
          <w:lang w:val="lt-LT"/>
        </w:rPr>
        <w:footnoteReference w:id="79"/>
      </w:r>
      <w:r w:rsidRPr="00C97275">
        <w:rPr>
          <w:rFonts w:ascii="Georgia" w:eastAsia="FranklinGothicBookCondITC-Reg" w:hAnsi="Georgia" w:cs="Arial"/>
          <w:sz w:val="20"/>
          <w:szCs w:val="20"/>
          <w:lang w:val="lt-LT"/>
        </w:rPr>
        <w:t>.</w:t>
      </w:r>
    </w:p>
    <w:p w14:paraId="2C5D6F3A" w14:textId="77777777"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2016 m. EIB skyrė 3,62 mlrd. EUR energijos vartojimo efektyvumo projektams. Projektai dažniausiai buvo orientuoti į esamos socialinės ir urbanistinės infrastruktūros ir paslaugų modifikavimą ir plėtrą, pvz., gyvenamųjų rajonų (kvartalų) šildymas ir aušinimas, kogeneracija, pastatų atnaujinimas ir modernizavimas, pramonės procesų tobulinimas, miesto transporto, atliekų ir vandens valdymo tinklų energetinių savybių gerinimas </w:t>
      </w:r>
      <w:r w:rsidRPr="00C97275">
        <w:rPr>
          <w:rFonts w:ascii="Georgia" w:eastAsia="Calibri" w:hAnsi="Georgia" w:cs="Arial"/>
          <w:sz w:val="20"/>
          <w:szCs w:val="20"/>
          <w:vertAlign w:val="superscript"/>
          <w:lang w:val="lt-LT"/>
        </w:rPr>
        <w:footnoteReference w:id="80"/>
      </w:r>
      <w:r w:rsidRPr="00C97275">
        <w:rPr>
          <w:rFonts w:ascii="Georgia" w:eastAsia="Calibri" w:hAnsi="Georgia" w:cs="Arial"/>
          <w:sz w:val="20"/>
          <w:szCs w:val="20"/>
          <w:lang w:val="lt-LT"/>
        </w:rPr>
        <w:t>.</w:t>
      </w:r>
    </w:p>
    <w:p w14:paraId="1780D465"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EIB naudoja rizikos pasidalijimo priemones derinant subsidijas su paskolomis, teikia techninę pagalbą kartu su Europos Komisija arba nacionalinėmis institucijomis (pvz., 2011 m. EIB kartu su Europos Komisija įsteigtas EEEF </w:t>
      </w:r>
      <w:r w:rsidRPr="00C97275">
        <w:rPr>
          <w:rFonts w:ascii="Georgia" w:eastAsia="Calibri" w:hAnsi="Georgia" w:cs="Arial"/>
          <w:sz w:val="20"/>
          <w:szCs w:val="20"/>
          <w:vertAlign w:val="superscript"/>
          <w:lang w:val="lt-LT"/>
        </w:rPr>
        <w:footnoteReference w:id="81"/>
      </w:r>
      <w:r w:rsidRPr="00C97275">
        <w:rPr>
          <w:rFonts w:ascii="Georgia" w:eastAsia="Calibri" w:hAnsi="Georgia" w:cs="Arial"/>
          <w:sz w:val="20"/>
          <w:szCs w:val="20"/>
          <w:lang w:val="lt-LT"/>
        </w:rPr>
        <w:t>).</w:t>
      </w:r>
    </w:p>
    <w:p w14:paraId="4460F5BE"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EEEF tikslai:</w:t>
      </w:r>
    </w:p>
    <w:p w14:paraId="56C045B3" w14:textId="77777777" w:rsidR="006977C2" w:rsidRPr="00C97275" w:rsidRDefault="006977C2" w:rsidP="00162BF5">
      <w:pPr>
        <w:numPr>
          <w:ilvl w:val="0"/>
          <w:numId w:val="12"/>
        </w:numPr>
        <w:spacing w:after="120"/>
        <w:contextualSpacing/>
        <w:jc w:val="both"/>
        <w:rPr>
          <w:rFonts w:ascii="Georgia" w:eastAsia="Calibri" w:hAnsi="Georgia" w:cs="Arial"/>
          <w:sz w:val="20"/>
          <w:szCs w:val="20"/>
          <w:lang w:val="lt-LT"/>
        </w:rPr>
      </w:pPr>
      <w:r w:rsidRPr="00C97275">
        <w:rPr>
          <w:rFonts w:ascii="Georgia" w:eastAsia="Calibri" w:hAnsi="Georgia" w:cs="Arial"/>
          <w:sz w:val="20"/>
          <w:szCs w:val="20"/>
          <w:lang w:val="lt-LT"/>
        </w:rPr>
        <w:t>prisidėti prie klimato kaitos pasekmių mažinimo;</w:t>
      </w:r>
    </w:p>
    <w:p w14:paraId="293ECF67" w14:textId="77777777" w:rsidR="006977C2" w:rsidRPr="00C97275" w:rsidRDefault="006977C2" w:rsidP="00162BF5">
      <w:pPr>
        <w:numPr>
          <w:ilvl w:val="0"/>
          <w:numId w:val="12"/>
        </w:numPr>
        <w:spacing w:after="120"/>
        <w:contextualSpacing/>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pasiekti ekonominį fondo tvarumą; </w:t>
      </w:r>
    </w:p>
    <w:p w14:paraId="69A7610E" w14:textId="77777777" w:rsidR="006977C2" w:rsidRPr="00C97275" w:rsidRDefault="006977C2" w:rsidP="00162BF5">
      <w:pPr>
        <w:numPr>
          <w:ilvl w:val="0"/>
          <w:numId w:val="12"/>
        </w:numPr>
        <w:spacing w:after="120"/>
        <w:contextualSpacing/>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pritraukti privatų ir viešąjį kapitalą į kovos su klimato kaita finansavimą </w:t>
      </w:r>
      <w:r w:rsidRPr="00C97275">
        <w:rPr>
          <w:rFonts w:ascii="Georgia" w:eastAsia="Calibri" w:hAnsi="Georgia" w:cs="Arial"/>
          <w:sz w:val="20"/>
          <w:szCs w:val="20"/>
          <w:vertAlign w:val="superscript"/>
          <w:lang w:val="lt-LT"/>
        </w:rPr>
        <w:footnoteReference w:id="82"/>
      </w:r>
      <w:r w:rsidRPr="00C97275">
        <w:rPr>
          <w:rFonts w:ascii="Georgia" w:eastAsia="Calibri" w:hAnsi="Georgia" w:cs="Arial"/>
          <w:sz w:val="20"/>
          <w:szCs w:val="20"/>
          <w:lang w:val="lt-LT"/>
        </w:rPr>
        <w:t>.</w:t>
      </w:r>
    </w:p>
    <w:p w14:paraId="55435098" w14:textId="77777777"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Galutiniai naudos gavėjai yra vietos ar regionų institucijos, taip pat šių institucijų vardu veikiantys viešieji ir juridiniai asmenys, pvz., daugiabučių namų savininkų bendrijos, ESCO ir t.t. Investuojama gali būti eurais arba vietine valiuta, tačiau pastaruoju atveju taikomi papildomi apribojimai.</w:t>
      </w:r>
    </w:p>
    <w:p w14:paraId="1277B063" w14:textId="3BAC67BE" w:rsidR="006977C2" w:rsidRPr="00C97275" w:rsidRDefault="006977C2" w:rsidP="006977C2">
      <w:pPr>
        <w:jc w:val="both"/>
        <w:rPr>
          <w:rFonts w:ascii="Georgia" w:eastAsia="Calibri" w:hAnsi="Georgia" w:cs="Arial"/>
          <w:color w:val="FF0000"/>
          <w:sz w:val="20"/>
          <w:szCs w:val="20"/>
          <w:lang w:val="lt-LT"/>
        </w:rPr>
      </w:pPr>
      <w:r w:rsidRPr="00C97275">
        <w:rPr>
          <w:rFonts w:ascii="Georgia" w:eastAsia="Calibri" w:hAnsi="Georgia" w:cs="Arial"/>
          <w:sz w:val="20"/>
          <w:szCs w:val="20"/>
          <w:lang w:val="lt-LT"/>
        </w:rPr>
        <w:t>EEEF gali investuoti tiesiogiai į ESCO, nedidelėmis apimtimis į iš atsinaujinančių energijos išteklių energiją gaminančias įmones ir t.t. Investicijos svyruoja nuo 5 mln. eurų iki 25 mln. eurų. Investicinės priemonės apima privilegijuotąsias paskolas, „mezzanine“ instrumentus, forfeitingo priemones, lizingą. Taip pat įmanomos kapitalo investicijos atsinaujinančių energijos išteklių projektams arba kapitalo investicijos į specialiosios paskirties įmones</w:t>
      </w:r>
      <w:r w:rsidRPr="00C97275">
        <w:rPr>
          <w:rFonts w:ascii="Georgia" w:eastAsia="Calibri" w:hAnsi="Georgia" w:cs="Arial"/>
          <w:sz w:val="20"/>
          <w:szCs w:val="20"/>
          <w:vertAlign w:val="superscript"/>
          <w:lang w:val="lt-LT"/>
        </w:rPr>
        <w:footnoteReference w:id="83"/>
      </w:r>
      <w:r w:rsidRPr="00C97275">
        <w:rPr>
          <w:rFonts w:ascii="Georgia" w:eastAsia="Calibri" w:hAnsi="Georgia" w:cs="Arial"/>
          <w:sz w:val="20"/>
          <w:szCs w:val="20"/>
          <w:lang w:val="lt-LT"/>
        </w:rPr>
        <w:t xml:space="preserve">. Paskolos suteikiamos iki 15 m. laikotarpiui, kapitalo investicijos gali būti pritaikytos pagal skirtingų projekto etapų poreikius. Fondas gali investuoti kaip konsorciumo dalyvis arba gali dalyvauti dalindamasis rizika su vietine finansų įstaiga. </w:t>
      </w:r>
    </w:p>
    <w:p w14:paraId="14B67F4A" w14:textId="6014C7FA"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EEEF taip pat investuoja per finansines įstaigas, tokias kaip vietiniai komerciniai bankai, kurie suteikia finansavimą galutiniams naudos gavėjams. Finansų įstaigos, su kuriomis bendradarbiaujama, gauna terminuotas (iki 15 m.) skolinimo priemones. Skolinimo priemonės apima privilegijuotąsias paskolas, subordinuotas paskolas, garantijas. EEEF neteikia kapitalo investicijų finansų įstaigoms. Finansų įstaigos perskolina lėšas galutiniams naudos gavėjams pagal iš anksto nustatytus tinkamumo kriterijus</w:t>
      </w:r>
      <w:r w:rsidRPr="00C97275">
        <w:rPr>
          <w:rFonts w:ascii="Georgia" w:eastAsia="Calibri" w:hAnsi="Georgia" w:cs="Arial"/>
          <w:sz w:val="20"/>
          <w:szCs w:val="20"/>
          <w:vertAlign w:val="superscript"/>
          <w:lang w:val="lt-LT"/>
        </w:rPr>
        <w:footnoteReference w:id="84"/>
      </w:r>
      <w:r w:rsidRPr="00C97275">
        <w:rPr>
          <w:rFonts w:ascii="Georgia" w:eastAsia="Calibri" w:hAnsi="Georgia" w:cs="Arial"/>
          <w:sz w:val="20"/>
          <w:szCs w:val="20"/>
          <w:lang w:val="lt-LT"/>
        </w:rPr>
        <w:t>.</w:t>
      </w:r>
    </w:p>
    <w:p w14:paraId="383DEBA3" w14:textId="1848A780"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2017 m. II ketvirčio ataskaitos duomenimis EEEF investavo 121,1 mln. eurų septyniuose valstybėse – Ispanijoje (2 proc.), Olandijoje (7 proc.), Rumunijoje (21 proc.), Vokietijoje (1 proc.), Didžiojoje Britanijoje (4%), Italijoje (26%) ir Prancūzijoje (39 proc.). 21 proc. investicijų sudarė subordinuotos paskolos, 69 proc. – privilegijuotosios paskolos, 10 proc. – investicijos į kapitalą</w:t>
      </w:r>
      <w:r w:rsidRPr="00C97275">
        <w:rPr>
          <w:rFonts w:ascii="Georgia" w:eastAsia="Calibri" w:hAnsi="Georgia" w:cs="Arial"/>
          <w:sz w:val="20"/>
          <w:szCs w:val="20"/>
          <w:vertAlign w:val="superscript"/>
          <w:lang w:val="lt-LT"/>
        </w:rPr>
        <w:footnoteReference w:id="85"/>
      </w:r>
      <w:r w:rsidRPr="00C97275">
        <w:rPr>
          <w:rFonts w:ascii="Georgia" w:eastAsia="Calibri" w:hAnsi="Georgia" w:cs="Arial"/>
          <w:sz w:val="20"/>
          <w:szCs w:val="20"/>
          <w:lang w:val="lt-LT"/>
        </w:rPr>
        <w:t xml:space="preserve">. </w:t>
      </w:r>
    </w:p>
    <w:p w14:paraId="3A859712" w14:textId="364E9FA2"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EIB dalyvauja Europos techninės pagalbos vietinei energetikai priemonėje (ELENA) – tai bendra EIB ir Europos Komisijos iniciatyva, skirta teikti techninę pagalbą vietos ir regionų valdžios institucijoms rengti energijos vartojimo efektyvumo arba atsinaujinančių energijos išteklių projektus, taip didinant </w:t>
      </w:r>
      <w:r w:rsidRPr="00C97275">
        <w:rPr>
          <w:rFonts w:ascii="Georgia" w:eastAsia="Calibri" w:hAnsi="Georgia" w:cs="Arial"/>
          <w:sz w:val="20"/>
          <w:szCs w:val="20"/>
          <w:lang w:val="lt-LT"/>
        </w:rPr>
        <w:lastRenderedPageBreak/>
        <w:t>jų patrauklumą išorės investuotojams. Nuo 2016 m. liepos 26 d. duomenimis buvo patvirtinti 13 projektų, iš kurių šeši patvirtinti 2017 m.</w:t>
      </w:r>
      <w:r w:rsidRPr="00C97275">
        <w:rPr>
          <w:rFonts w:ascii="Georgia" w:eastAsia="Calibri" w:hAnsi="Georgia" w:cs="Arial"/>
          <w:sz w:val="20"/>
          <w:szCs w:val="20"/>
          <w:vertAlign w:val="superscript"/>
          <w:lang w:val="lt-LT"/>
        </w:rPr>
        <w:footnoteReference w:id="86"/>
      </w:r>
      <w:r w:rsidRPr="00C97275">
        <w:rPr>
          <w:rFonts w:ascii="Georgia" w:eastAsia="Calibri" w:hAnsi="Georgia" w:cs="Arial"/>
          <w:sz w:val="20"/>
          <w:szCs w:val="20"/>
          <w:lang w:val="lt-LT"/>
        </w:rPr>
        <w:t>.</w:t>
      </w:r>
    </w:p>
    <w:p w14:paraId="320152A0" w14:textId="014EE44B"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Kita iniciatyva, kurioje aktyviai dalyvauja EIB, yra Bendra Europos parama tvarioms investicijoms į miestų teritorijas - JESSICA. Šioje iniciatyvoje dalyvauja EIB, Europos Komisija ir Europos Tarybos Vystymo bankas. JESSICA finansuoja miestų infrastruktūrą, paveldo arba kultūros vietoves, pramoninės paskirties sklypų pakartotinį panaudojimą, naujų komercinių erdvių kūrimą, universitetų pastatus ir energijos efektyvumo didinimą</w:t>
      </w:r>
      <w:r w:rsidRPr="00C97275">
        <w:rPr>
          <w:rFonts w:ascii="Georgia" w:eastAsia="Calibri" w:hAnsi="Georgia" w:cs="Arial"/>
          <w:sz w:val="20"/>
          <w:szCs w:val="20"/>
          <w:vertAlign w:val="superscript"/>
          <w:lang w:val="lt-LT"/>
        </w:rPr>
        <w:footnoteReference w:id="87"/>
      </w:r>
      <w:r w:rsidRPr="00C97275">
        <w:rPr>
          <w:rFonts w:ascii="Georgia" w:eastAsia="Calibri" w:hAnsi="Georgia" w:cs="Arial"/>
          <w:sz w:val="20"/>
          <w:szCs w:val="20"/>
          <w:lang w:val="lt-LT"/>
        </w:rPr>
        <w:t xml:space="preserve">. Pagal 2016 m. duomenis JESSICA fondo įsipareigojimai siekė 1,5 mlrd. Susitarimai pasirašyti su beveik 40 finansinių tarpininkų, daugiausia dėmesio skiriama: miestų plėtros, pastatų energinio efektyvumo didinimui ir atsinaujinantiems energijos šaltiniams </w:t>
      </w:r>
      <w:r w:rsidRPr="00C97275">
        <w:rPr>
          <w:rFonts w:ascii="Georgia" w:eastAsia="Calibri" w:hAnsi="Georgia" w:cs="Arial"/>
          <w:sz w:val="20"/>
          <w:szCs w:val="20"/>
          <w:vertAlign w:val="superscript"/>
          <w:lang w:val="lt-LT"/>
        </w:rPr>
        <w:footnoteReference w:id="88"/>
      </w:r>
      <w:r w:rsidRPr="00C97275">
        <w:rPr>
          <w:rFonts w:ascii="Georgia" w:eastAsia="Calibri" w:hAnsi="Georgia" w:cs="Arial"/>
          <w:sz w:val="20"/>
          <w:szCs w:val="20"/>
          <w:lang w:val="lt-LT"/>
        </w:rPr>
        <w:t xml:space="preserve">. </w:t>
      </w:r>
    </w:p>
    <w:p w14:paraId="77CB89BB" w14:textId="63214EF9"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Privataus finansavimo energijos vartojimo efektyvumui (PF4EE) yra nauja finansinė priemonė, kurią finansuoja Europos Komisija per LIFE programą ir Europos investicijų banką (EIB). Šia iniciatyva bus suteikiamos paskolos, rizikos pasidalijimas ir ekspertų parama finansiniams tarpininkams, kurie didina investicijas į energijos vartojimo efektyvumo projektus. 2014 - 2017 m. PF4EE finansuos mažiausiai 480 mln. EUR</w:t>
      </w:r>
      <w:r w:rsidRPr="00C97275">
        <w:rPr>
          <w:rFonts w:ascii="Georgia" w:eastAsia="Calibri" w:hAnsi="Georgia" w:cs="Arial"/>
          <w:sz w:val="20"/>
          <w:szCs w:val="20"/>
          <w:vertAlign w:val="superscript"/>
          <w:lang w:val="lt-LT"/>
        </w:rPr>
        <w:footnoteReference w:id="89"/>
      </w:r>
      <w:r w:rsidRPr="00C97275">
        <w:rPr>
          <w:rFonts w:ascii="Georgia" w:eastAsia="Calibri" w:hAnsi="Georgia" w:cs="DokChampa"/>
          <w:lang w:val="lt-LT"/>
        </w:rPr>
        <w:t>.</w:t>
      </w:r>
      <w:r w:rsidRPr="00C97275">
        <w:rPr>
          <w:rFonts w:ascii="Georgia" w:eastAsia="Calibri" w:hAnsi="Georgia" w:cs="Arial"/>
          <w:sz w:val="20"/>
          <w:szCs w:val="20"/>
          <w:lang w:val="lt-LT"/>
        </w:rPr>
        <w:t xml:space="preserve"> 2016 m. buvo paremti septyni bankai per rizikos pasidalinimo priemonę (ang</w:t>
      </w:r>
      <w:r w:rsidR="00D9139B" w:rsidRPr="00C97275">
        <w:rPr>
          <w:rFonts w:ascii="Georgia" w:eastAsia="Calibri" w:hAnsi="Georgia" w:cs="Arial"/>
          <w:sz w:val="20"/>
          <w:szCs w:val="20"/>
          <w:lang w:val="lt-LT"/>
        </w:rPr>
        <w:t>l</w:t>
      </w:r>
      <w:r w:rsidRPr="00C97275">
        <w:rPr>
          <w:rFonts w:ascii="Georgia" w:eastAsia="Calibri" w:hAnsi="Georgia" w:cs="Arial"/>
          <w:sz w:val="20"/>
          <w:szCs w:val="20"/>
          <w:lang w:val="lt-LT"/>
        </w:rPr>
        <w:t>. Risk Sharing Facility (RSF)), paramos suma siekė 28,9 mln. eurų</w:t>
      </w:r>
      <w:r w:rsidRPr="00C97275">
        <w:rPr>
          <w:rFonts w:ascii="Georgia" w:eastAsia="Calibri" w:hAnsi="Georgia" w:cs="Arial"/>
          <w:sz w:val="20"/>
          <w:szCs w:val="20"/>
          <w:vertAlign w:val="superscript"/>
          <w:lang w:val="lt-LT"/>
        </w:rPr>
        <w:footnoteReference w:id="90"/>
      </w:r>
      <w:r w:rsidRPr="00C97275">
        <w:rPr>
          <w:rFonts w:ascii="Georgia" w:eastAsia="Calibri" w:hAnsi="Georgia" w:cs="Arial"/>
          <w:sz w:val="20"/>
          <w:szCs w:val="20"/>
          <w:lang w:val="lt-LT"/>
        </w:rPr>
        <w:t xml:space="preserve">.  </w:t>
      </w:r>
    </w:p>
    <w:p w14:paraId="566FC152" w14:textId="0CB6F05F" w:rsidR="006977C2" w:rsidRPr="00C97275" w:rsidRDefault="006977C2" w:rsidP="006977C2">
      <w:pPr>
        <w:autoSpaceDE w:val="0"/>
        <w:autoSpaceDN w:val="0"/>
        <w:adjustRightInd w:val="0"/>
        <w:spacing w:after="120"/>
        <w:jc w:val="both"/>
        <w:rPr>
          <w:rFonts w:ascii="Georgia" w:eastAsia="Calibri" w:hAnsi="Georgia" w:cs="Arial"/>
          <w:color w:val="FF0000"/>
          <w:sz w:val="20"/>
          <w:szCs w:val="20"/>
          <w:lang w:val="lt-LT"/>
        </w:rPr>
      </w:pPr>
      <w:r w:rsidRPr="00C97275">
        <w:rPr>
          <w:rFonts w:ascii="Georgia" w:eastAsia="Calibri" w:hAnsi="Georgia" w:cs="Arial"/>
          <w:sz w:val="20"/>
          <w:szCs w:val="20"/>
          <w:lang w:val="lt-LT"/>
        </w:rPr>
        <w:t xml:space="preserve">EIB remia akcijų ir obligacijų fondus, kurie yra susiję su atsinaujinančia energetika ir energetikos naudojimo efektyvumu, paskutinės investicija buvo 2014 m. </w:t>
      </w:r>
      <w:r w:rsidRPr="00C97275">
        <w:rPr>
          <w:rFonts w:ascii="Georgia" w:eastAsia="Calibri" w:hAnsi="Georgia" w:cs="Arial"/>
          <w:sz w:val="20"/>
          <w:szCs w:val="20"/>
          <w:vertAlign w:val="superscript"/>
          <w:lang w:val="lt-LT"/>
        </w:rPr>
        <w:footnoteReference w:id="91"/>
      </w:r>
      <w:r w:rsidRPr="00C97275">
        <w:rPr>
          <w:rFonts w:ascii="Georgia" w:eastAsia="Calibri" w:hAnsi="Georgia" w:cs="Arial"/>
          <w:sz w:val="20"/>
          <w:szCs w:val="20"/>
          <w:lang w:val="lt-LT"/>
        </w:rPr>
        <w:t>. Be to, ir toliau valdė kitus strateginės paskirties fondus ir iniciatyvas, pavyzdžiui, Pasaulinį energijos vartojimo efektyvumo ir atsinaujinančiosios energijos fondą (GEEREF), kuris per privačiąsias investicijas teikia pasaulinį rizikos kapitalą energijos vartojimo efektyvumo ir atsinaujinančiosios energijos projektams besivystančiosiose ir pereinamosios ekonomikos šalyse</w:t>
      </w:r>
      <w:r w:rsidRPr="00C97275">
        <w:rPr>
          <w:rFonts w:ascii="Georgia" w:eastAsia="Calibri" w:hAnsi="Georgia" w:cs="Arial"/>
          <w:sz w:val="20"/>
          <w:szCs w:val="20"/>
          <w:vertAlign w:val="superscript"/>
          <w:lang w:val="lt-LT"/>
        </w:rPr>
        <w:footnoteReference w:id="92"/>
      </w:r>
      <w:r w:rsidRPr="00C97275">
        <w:rPr>
          <w:rFonts w:ascii="Georgia" w:eastAsia="Calibri" w:hAnsi="Georgia" w:cs="Arial"/>
          <w:sz w:val="20"/>
          <w:szCs w:val="20"/>
          <w:lang w:val="lt-LT"/>
        </w:rPr>
        <w:t>.</w:t>
      </w:r>
    </w:p>
    <w:p w14:paraId="18584055" w14:textId="70C9BC51" w:rsidR="006977C2" w:rsidRPr="00C97275" w:rsidRDefault="009718DC" w:rsidP="006977C2">
      <w:pPr>
        <w:keepNext/>
        <w:spacing w:after="240" w:line="240" w:lineRule="atLeast"/>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lastRenderedPageBreak/>
        <w:t>Banko</w:t>
      </w:r>
      <w:r w:rsidR="006977C2" w:rsidRPr="00C97275">
        <w:rPr>
          <w:rFonts w:ascii="Georgia" w:eastAsia="PMingLiU" w:hAnsi="Georgia" w:cs="Times New Roman"/>
          <w:b/>
          <w:i/>
          <w:sz w:val="20"/>
          <w:szCs w:val="20"/>
          <w:lang w:val="lt-LT"/>
        </w:rPr>
        <w:t xml:space="preserve"> veikla Lietuvoje</w:t>
      </w:r>
    </w:p>
    <w:p w14:paraId="0CA8B2AE" w14:textId="0DBE04CB" w:rsidR="006977C2" w:rsidRPr="00C97275" w:rsidRDefault="006977C2" w:rsidP="006977C2">
      <w:pPr>
        <w:keepNext/>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2016 m. EIB Lietuvos subjektams suteikė 255 mln. eurų paskolų</w:t>
      </w:r>
      <w:r w:rsidRPr="00C97275">
        <w:rPr>
          <w:rFonts w:ascii="Georgia" w:eastAsia="Calibri" w:hAnsi="Georgia" w:cs="Arial"/>
          <w:sz w:val="20"/>
          <w:szCs w:val="20"/>
          <w:vertAlign w:val="superscript"/>
          <w:lang w:val="lt-LT"/>
        </w:rPr>
        <w:footnoteReference w:id="93"/>
      </w:r>
      <w:r w:rsidRPr="00C97275">
        <w:rPr>
          <w:rFonts w:ascii="Georgia" w:eastAsia="Calibri" w:hAnsi="Georgia" w:cs="Arial"/>
          <w:sz w:val="20"/>
          <w:szCs w:val="20"/>
          <w:lang w:val="lt-LT"/>
        </w:rPr>
        <w:t>. Paskolų pasiskirstymas pagal sektorius ir EIB portfelio Lietuvoje raida pateikiama paveiksle žemiau. Per penkerių metų laikotarpį (2012–2016) Lietuvai teko 1,08 mlrd. EUR EIB paskolų</w:t>
      </w:r>
      <w:r w:rsidRPr="00C97275">
        <w:rPr>
          <w:rFonts w:ascii="Georgia" w:eastAsia="Calibri" w:hAnsi="Georgia" w:cs="Arial"/>
          <w:sz w:val="20"/>
          <w:szCs w:val="20"/>
          <w:vertAlign w:val="superscript"/>
          <w:lang w:val="lt-LT"/>
        </w:rPr>
        <w:footnoteReference w:id="94"/>
      </w:r>
      <w:r w:rsidRPr="00C97275">
        <w:rPr>
          <w:rFonts w:ascii="Georgia" w:eastAsia="Calibri" w:hAnsi="Georgia" w:cs="Arial"/>
          <w:sz w:val="20"/>
          <w:szCs w:val="20"/>
          <w:lang w:val="lt-LT"/>
        </w:rPr>
        <w:t>.</w:t>
      </w:r>
    </w:p>
    <w:p w14:paraId="644B2987" w14:textId="77777777" w:rsidR="002D46ED" w:rsidRPr="00C97275" w:rsidRDefault="002D46ED" w:rsidP="002D46ED">
      <w:pPr>
        <w:keepNext/>
        <w:jc w:val="both"/>
        <w:rPr>
          <w:rFonts w:ascii="Georgia" w:eastAsia="PMingLiU" w:hAnsi="Georgia" w:cs="Times New Roman"/>
          <w:b/>
          <w:bCs/>
          <w:color w:val="A32020"/>
          <w:sz w:val="20"/>
          <w:szCs w:val="18"/>
          <w:lang w:val="lt-LT"/>
        </w:rPr>
      </w:pPr>
      <w:r w:rsidRPr="00C97275">
        <w:rPr>
          <w:rFonts w:ascii="Georgia" w:eastAsia="PMingLiU" w:hAnsi="Georgia" w:cs="Times New Roman"/>
          <w:b/>
          <w:bCs/>
          <w:color w:val="A32020"/>
          <w:sz w:val="20"/>
          <w:szCs w:val="18"/>
          <w:lang w:val="lt-LT"/>
        </w:rPr>
        <w:t>Paveikslas 12. EIB portfelio raida Lietuvoje 2009-2016 metais ir finansuojamų projektų pasiskirstymas pagal sektorių 2012-2016 metais</w:t>
      </w:r>
    </w:p>
    <w:p w14:paraId="0FB9F089" w14:textId="77777777" w:rsidR="002D46ED" w:rsidRPr="00C97275" w:rsidRDefault="002D46ED" w:rsidP="002D46ED">
      <w:pPr>
        <w:keepNext/>
        <w:spacing w:after="120"/>
        <w:jc w:val="both"/>
        <w:rPr>
          <w:rFonts w:ascii="Georgia" w:eastAsia="Calibri" w:hAnsi="Georgia" w:cs="Arial"/>
          <w:sz w:val="20"/>
          <w:szCs w:val="20"/>
          <w:lang w:val="lt-LT"/>
        </w:rPr>
      </w:pPr>
      <w:r w:rsidRPr="00C97275">
        <w:rPr>
          <w:rFonts w:ascii="Georgia" w:eastAsia="Calibri" w:hAnsi="Georgia" w:cs="DokChampa"/>
          <w:noProof/>
          <w:lang w:val="lt-LT" w:eastAsia="lt-LT"/>
        </w:rPr>
        <w:drawing>
          <wp:inline distT="0" distB="0" distL="0" distR="0" wp14:anchorId="4D734B4F" wp14:editId="2948B1BD">
            <wp:extent cx="2695575" cy="2169160"/>
            <wp:effectExtent l="0" t="0" r="0" b="0"/>
            <wp:docPr id="50195" name="Chart 50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97275">
        <w:rPr>
          <w:rFonts w:ascii="Georgia" w:eastAsia="Calibri" w:hAnsi="Georgia" w:cs="DokChampa"/>
          <w:noProof/>
          <w:lang w:val="lt-LT" w:eastAsia="lt-LT"/>
        </w:rPr>
        <w:drawing>
          <wp:inline distT="0" distB="0" distL="0" distR="0" wp14:anchorId="00F5E91C" wp14:editId="64D77381">
            <wp:extent cx="2914650" cy="2409825"/>
            <wp:effectExtent l="0" t="0" r="0" b="0"/>
            <wp:docPr id="50202" name="Chart 50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4D6EB1" w14:textId="77777777" w:rsidR="002D46ED" w:rsidRPr="00C97275" w:rsidRDefault="002D46ED" w:rsidP="002D46ED">
      <w:pPr>
        <w:keepNext/>
        <w:spacing w:after="0" w:line="240" w:lineRule="auto"/>
        <w:jc w:val="center"/>
        <w:rPr>
          <w:rFonts w:ascii="Georgia" w:eastAsia="Calibri" w:hAnsi="Georgia" w:cs="DokChampa"/>
          <w:sz w:val="20"/>
          <w:szCs w:val="20"/>
          <w:lang w:val="lt-LT"/>
        </w:rPr>
      </w:pPr>
    </w:p>
    <w:p w14:paraId="149C5B9D" w14:textId="4DCA98C4" w:rsidR="002D46ED" w:rsidRPr="00C97275" w:rsidRDefault="002D46ED" w:rsidP="002D46ED">
      <w:pPr>
        <w:keepNext/>
        <w:jc w:val="both"/>
        <w:rPr>
          <w:rFonts w:ascii="Georgia" w:eastAsia="PMingLiU" w:hAnsi="Georgia" w:cs="Times New Roman"/>
          <w:bCs/>
          <w:sz w:val="20"/>
          <w:szCs w:val="18"/>
          <w:lang w:val="lt-LT"/>
        </w:rPr>
      </w:pPr>
      <w:r w:rsidRPr="00C97275">
        <w:rPr>
          <w:rFonts w:ascii="Georgia" w:eastAsia="PMingLiU" w:hAnsi="Georgia" w:cs="Times New Roman"/>
          <w:bCs/>
          <w:i/>
          <w:sz w:val="20"/>
          <w:szCs w:val="18"/>
          <w:lang w:val="lt-LT"/>
        </w:rPr>
        <w:t>Šaltinis. EIB statistikos ataskaitos</w:t>
      </w:r>
      <w:r w:rsidRPr="00C97275">
        <w:rPr>
          <w:rFonts w:ascii="Georgia" w:eastAsia="PMingLiU" w:hAnsi="Georgia" w:cs="Times New Roman"/>
          <w:bCs/>
          <w:sz w:val="20"/>
          <w:szCs w:val="18"/>
          <w:vertAlign w:val="superscript"/>
          <w:lang w:val="lt-LT"/>
        </w:rPr>
        <w:footnoteReference w:id="95"/>
      </w:r>
    </w:p>
    <w:p w14:paraId="4998AA7D" w14:textId="705379CE"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Per penkerius metus dažniausiai EIB Lietuvoje išdavė paskolas, kuriomis buvo finansuojamos šios sritys: energetika (29%), vandentvarkos ir nuotekų tvarkymo, miestų plėtra (24%), mažos ir vidutinės apimties projektai (23%), </w:t>
      </w:r>
      <w:r w:rsidR="00D9139B" w:rsidRPr="00C97275">
        <w:rPr>
          <w:rFonts w:ascii="Georgia" w:eastAsia="Calibri" w:hAnsi="Georgia" w:cs="Arial"/>
          <w:sz w:val="20"/>
          <w:szCs w:val="20"/>
          <w:lang w:val="lt-LT"/>
        </w:rPr>
        <w:t>transporto</w:t>
      </w:r>
      <w:r w:rsidRPr="00C97275">
        <w:rPr>
          <w:rFonts w:ascii="Georgia" w:eastAsia="Calibri" w:hAnsi="Georgia" w:cs="Arial"/>
          <w:sz w:val="20"/>
          <w:szCs w:val="20"/>
          <w:lang w:val="lt-LT"/>
        </w:rPr>
        <w:t xml:space="preserve"> ir telekomunikacijos (17%) (žr. paveikslėlį viršuje). </w:t>
      </w:r>
    </w:p>
    <w:p w14:paraId="00D14965" w14:textId="1630D2CC"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bCs/>
          <w:sz w:val="20"/>
          <w:szCs w:val="20"/>
          <w:lang w:val="lt-LT"/>
        </w:rPr>
        <w:t xml:space="preserve">2016 m. EIB ir Vilniaus savivaldybė pasirašė sutartį dėl pirmosios 50 mln. eurų paskolos dalies – 25 mln. eurų suteikimo miesto investicijų programai įgyvendinti artimiausiais metais. Didžioji lėšų dalis bus panaudota investicijoms į miesto infrastruktūros atnaujinimo projektus ir vakarinio aplinkkelio statybą </w:t>
      </w:r>
      <w:r w:rsidRPr="00C97275">
        <w:rPr>
          <w:rFonts w:ascii="Georgia" w:eastAsia="Calibri" w:hAnsi="Georgia" w:cs="Arial"/>
          <w:bCs/>
          <w:sz w:val="20"/>
          <w:szCs w:val="20"/>
          <w:vertAlign w:val="superscript"/>
          <w:lang w:val="lt-LT"/>
        </w:rPr>
        <w:footnoteReference w:id="96"/>
      </w:r>
      <w:r w:rsidRPr="00C97275">
        <w:rPr>
          <w:rFonts w:ascii="Georgia" w:eastAsia="Calibri" w:hAnsi="Georgia" w:cs="Arial"/>
          <w:bCs/>
          <w:sz w:val="20"/>
          <w:szCs w:val="20"/>
          <w:lang w:val="lt-LT"/>
        </w:rPr>
        <w:t>.</w:t>
      </w:r>
    </w:p>
    <w:p w14:paraId="77F952D9" w14:textId="35A5ABC3"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bCs/>
          <w:sz w:val="20"/>
          <w:szCs w:val="20"/>
          <w:lang w:val="lt-LT"/>
        </w:rPr>
        <w:t>2016 m. EIB ir „Lietuvos energija“ pasirašė susitarimą dėl 190 mln. eurų paskolos, skirtos naujos kogeneracinės jėgainės statybų Vilniuje finansavimui</w:t>
      </w:r>
      <w:r w:rsidRPr="00C97275">
        <w:rPr>
          <w:rFonts w:ascii="Georgia" w:eastAsia="Calibri" w:hAnsi="Georgia" w:cs="Arial"/>
          <w:bCs/>
          <w:sz w:val="20"/>
          <w:szCs w:val="20"/>
          <w:vertAlign w:val="superscript"/>
          <w:lang w:val="lt-LT"/>
        </w:rPr>
        <w:footnoteReference w:id="97"/>
      </w:r>
      <w:r w:rsidRPr="00C97275">
        <w:rPr>
          <w:rFonts w:ascii="Georgia" w:eastAsia="Calibri" w:hAnsi="Georgia" w:cs="Arial"/>
          <w:bCs/>
          <w:sz w:val="20"/>
          <w:szCs w:val="20"/>
          <w:lang w:val="lt-LT"/>
        </w:rPr>
        <w:t>. </w:t>
      </w:r>
    </w:p>
    <w:p w14:paraId="32EC40A7" w14:textId="5E2493DF" w:rsidR="006977C2" w:rsidRPr="00C97275" w:rsidRDefault="006977C2" w:rsidP="006977C2">
      <w:pPr>
        <w:jc w:val="both"/>
        <w:rPr>
          <w:rFonts w:ascii="Georgia" w:eastAsia="Calibri" w:hAnsi="Georgia" w:cs="Arial"/>
          <w:color w:val="FF0000"/>
          <w:sz w:val="20"/>
          <w:szCs w:val="20"/>
          <w:lang w:val="lt-LT"/>
        </w:rPr>
      </w:pPr>
      <w:r w:rsidRPr="00C97275">
        <w:rPr>
          <w:rFonts w:ascii="Georgia" w:eastAsia="Calibri" w:hAnsi="Georgia" w:cs="Arial"/>
          <w:sz w:val="20"/>
          <w:szCs w:val="20"/>
          <w:lang w:val="lt-LT"/>
        </w:rPr>
        <w:t xml:space="preserve">2017 m. Šiaulių bankas ir EIB susitarė dėl naujos paramos daugiabučių namų atnaujinimui ir modernizavimui Lietuvoje. </w:t>
      </w:r>
      <w:r w:rsidR="00335B55" w:rsidRPr="00C97275">
        <w:rPr>
          <w:rFonts w:ascii="Georgia" w:eastAsia="Calibri" w:hAnsi="Georgia" w:cs="Arial"/>
          <w:sz w:val="20"/>
          <w:szCs w:val="20"/>
          <w:lang w:val="lt-LT"/>
        </w:rPr>
        <w:t>I</w:t>
      </w:r>
      <w:r w:rsidR="00A45805" w:rsidRPr="00C97275">
        <w:rPr>
          <w:rFonts w:ascii="Georgia" w:eastAsia="Calibri" w:hAnsi="Georgia" w:cs="Arial"/>
          <w:sz w:val="20"/>
          <w:szCs w:val="20"/>
          <w:lang w:val="lt-LT"/>
        </w:rPr>
        <w:t xml:space="preserve">ki šiol </w:t>
      </w:r>
      <w:r w:rsidR="00335B55" w:rsidRPr="00C97275">
        <w:rPr>
          <w:rFonts w:ascii="Georgia" w:eastAsia="Calibri" w:hAnsi="Georgia" w:cs="Arial"/>
          <w:sz w:val="20"/>
          <w:szCs w:val="20"/>
          <w:lang w:val="lt-LT"/>
        </w:rPr>
        <w:t>i</w:t>
      </w:r>
      <w:r w:rsidRPr="00C97275">
        <w:rPr>
          <w:rFonts w:ascii="Georgia" w:eastAsia="Calibri" w:hAnsi="Georgia" w:cs="Arial"/>
          <w:sz w:val="20"/>
          <w:szCs w:val="20"/>
          <w:lang w:val="lt-LT"/>
        </w:rPr>
        <w:t xml:space="preserve">š "Jessica II" fondo </w:t>
      </w:r>
      <w:r w:rsidR="003051B1" w:rsidRPr="00C97275">
        <w:rPr>
          <w:rFonts w:ascii="Georgia" w:eastAsia="Calibri" w:hAnsi="Georgia" w:cs="Arial"/>
          <w:sz w:val="20"/>
          <w:szCs w:val="20"/>
          <w:lang w:val="lt-LT"/>
        </w:rPr>
        <w:t xml:space="preserve">Šiaulių bankui kaip </w:t>
      </w:r>
      <w:r w:rsidR="00335B55" w:rsidRPr="00C97275">
        <w:rPr>
          <w:rFonts w:ascii="Georgia" w:eastAsia="Calibri" w:hAnsi="Georgia" w:cs="Arial"/>
          <w:sz w:val="20"/>
          <w:szCs w:val="20"/>
          <w:lang w:val="lt-LT"/>
        </w:rPr>
        <w:t>finansiniam tarpinink</w:t>
      </w:r>
      <w:r w:rsidR="003051B1" w:rsidRPr="00C97275">
        <w:rPr>
          <w:rFonts w:ascii="Georgia" w:eastAsia="Calibri" w:hAnsi="Georgia" w:cs="Arial"/>
          <w:sz w:val="20"/>
          <w:szCs w:val="20"/>
          <w:lang w:val="lt-LT"/>
        </w:rPr>
        <w:t>ui</w:t>
      </w:r>
      <w:r w:rsidR="00335B55" w:rsidRPr="00C97275">
        <w:rPr>
          <w:rFonts w:ascii="Georgia" w:eastAsia="Calibri" w:hAnsi="Georgia" w:cs="Arial"/>
          <w:sz w:val="20"/>
          <w:szCs w:val="20"/>
          <w:lang w:val="lt-LT"/>
        </w:rPr>
        <w:t xml:space="preserve"> </w:t>
      </w:r>
      <w:r w:rsidR="00A45805" w:rsidRPr="00C97275">
        <w:rPr>
          <w:rFonts w:ascii="Georgia" w:eastAsia="Calibri" w:hAnsi="Georgia" w:cs="Arial"/>
          <w:sz w:val="20"/>
          <w:szCs w:val="20"/>
          <w:lang w:val="lt-LT"/>
        </w:rPr>
        <w:t xml:space="preserve">yra išmokėta 108 </w:t>
      </w:r>
      <w:r w:rsidRPr="00C97275">
        <w:rPr>
          <w:rFonts w:ascii="Georgia" w:eastAsia="Calibri" w:hAnsi="Georgia" w:cs="Arial"/>
          <w:sz w:val="20"/>
          <w:szCs w:val="20"/>
          <w:lang w:val="lt-LT"/>
        </w:rPr>
        <w:t xml:space="preserve">mln. </w:t>
      </w:r>
      <w:r w:rsidR="00A45805" w:rsidRPr="00C97275">
        <w:rPr>
          <w:rFonts w:ascii="Georgia" w:eastAsia="Calibri" w:hAnsi="Georgia" w:cs="Arial"/>
          <w:sz w:val="20"/>
          <w:szCs w:val="20"/>
          <w:lang w:val="lt-LT"/>
        </w:rPr>
        <w:t>E</w:t>
      </w:r>
      <w:r w:rsidRPr="00C97275">
        <w:rPr>
          <w:rFonts w:ascii="Georgia" w:eastAsia="Calibri" w:hAnsi="Georgia" w:cs="Arial"/>
          <w:sz w:val="20"/>
          <w:szCs w:val="20"/>
          <w:lang w:val="lt-LT"/>
        </w:rPr>
        <w:t>urų</w:t>
      </w:r>
      <w:r w:rsidR="00A45805" w:rsidRPr="00C97275">
        <w:rPr>
          <w:rFonts w:ascii="Georgia" w:eastAsia="Calibri" w:hAnsi="Georgia" w:cs="Arial"/>
          <w:sz w:val="20"/>
          <w:szCs w:val="20"/>
          <w:lang w:val="lt-LT"/>
        </w:rPr>
        <w:t xml:space="preserve"> </w:t>
      </w:r>
      <w:r w:rsidR="00335B55" w:rsidRPr="00C97275">
        <w:rPr>
          <w:rFonts w:ascii="Georgia" w:eastAsia="Calibri" w:hAnsi="Georgia" w:cs="Arial"/>
          <w:sz w:val="20"/>
          <w:szCs w:val="20"/>
          <w:lang w:val="lt-LT"/>
        </w:rPr>
        <w:t>ES struktūrinių fondų lėšų</w:t>
      </w:r>
      <w:r w:rsidR="00EA6ACC" w:rsidRPr="00C97275">
        <w:rPr>
          <w:rFonts w:ascii="Georgia" w:eastAsia="Calibri" w:hAnsi="Georgia" w:cs="Arial"/>
          <w:sz w:val="20"/>
          <w:szCs w:val="20"/>
          <w:lang w:val="lt-LT"/>
        </w:rPr>
        <w:t xml:space="preserve"> </w:t>
      </w:r>
      <w:r w:rsidR="00A45805" w:rsidRPr="00C97275">
        <w:rPr>
          <w:rFonts w:ascii="Georgia" w:eastAsia="Calibri" w:hAnsi="Georgia" w:cs="Arial"/>
          <w:sz w:val="20"/>
          <w:szCs w:val="20"/>
          <w:lang w:val="lt-LT"/>
        </w:rPr>
        <w:t>(arba 72%)</w:t>
      </w:r>
      <w:r w:rsidRPr="00C97275">
        <w:rPr>
          <w:rFonts w:ascii="Georgia" w:eastAsia="Calibri" w:hAnsi="Georgia" w:cs="Arial"/>
          <w:sz w:val="20"/>
          <w:szCs w:val="20"/>
          <w:lang w:val="lt-LT"/>
        </w:rPr>
        <w:t xml:space="preserve">, </w:t>
      </w:r>
      <w:r w:rsidR="00A45805" w:rsidRPr="00C97275">
        <w:rPr>
          <w:rFonts w:ascii="Georgia" w:eastAsia="Calibri" w:hAnsi="Georgia" w:cs="Arial"/>
          <w:sz w:val="20"/>
          <w:szCs w:val="20"/>
          <w:lang w:val="lt-LT"/>
        </w:rPr>
        <w:t xml:space="preserve">prie </w:t>
      </w:r>
      <w:r w:rsidRPr="00C97275">
        <w:rPr>
          <w:rFonts w:ascii="Georgia" w:eastAsia="Calibri" w:hAnsi="Georgia" w:cs="Arial"/>
          <w:sz w:val="20"/>
          <w:szCs w:val="20"/>
          <w:lang w:val="lt-LT"/>
        </w:rPr>
        <w:t xml:space="preserve">kurių </w:t>
      </w:r>
      <w:r w:rsidR="00A45805" w:rsidRPr="00C97275">
        <w:rPr>
          <w:rFonts w:ascii="Georgia" w:eastAsia="Calibri" w:hAnsi="Georgia" w:cs="Arial"/>
          <w:sz w:val="20"/>
          <w:szCs w:val="20"/>
          <w:lang w:val="lt-LT"/>
        </w:rPr>
        <w:t>dar</w:t>
      </w:r>
      <w:r w:rsidR="00335B55" w:rsidRPr="00C97275">
        <w:rPr>
          <w:rFonts w:ascii="Georgia" w:eastAsia="Calibri" w:hAnsi="Georgia" w:cs="Arial"/>
          <w:sz w:val="20"/>
          <w:szCs w:val="20"/>
          <w:lang w:val="lt-LT"/>
        </w:rPr>
        <w:t xml:space="preserve"> 130 </w:t>
      </w:r>
      <w:r w:rsidRPr="00C97275">
        <w:rPr>
          <w:rFonts w:ascii="Georgia" w:eastAsia="Calibri" w:hAnsi="Georgia" w:cs="Arial"/>
          <w:sz w:val="20"/>
          <w:szCs w:val="20"/>
          <w:lang w:val="lt-LT"/>
        </w:rPr>
        <w:t xml:space="preserve">mln. eurų prisidėjo Šiaulių bankas. </w:t>
      </w:r>
    </w:p>
    <w:p w14:paraId="31E6EC18" w14:textId="77777777" w:rsidR="00D55D5A" w:rsidRPr="00C97275" w:rsidRDefault="00D55D5A" w:rsidP="006977C2">
      <w:pPr>
        <w:jc w:val="both"/>
        <w:rPr>
          <w:rFonts w:ascii="Georgia" w:eastAsia="Calibri" w:hAnsi="Georgia" w:cs="Arial"/>
          <w:color w:val="FF0000"/>
          <w:sz w:val="20"/>
          <w:szCs w:val="20"/>
          <w:lang w:val="lt-LT"/>
        </w:rPr>
      </w:pPr>
    </w:p>
    <w:p w14:paraId="2C790263" w14:textId="77777777" w:rsidR="006977C2" w:rsidRPr="00C97275" w:rsidRDefault="006977C2" w:rsidP="006977C2">
      <w:pPr>
        <w:spacing w:after="240" w:line="240" w:lineRule="atLeast"/>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Produktai</w:t>
      </w:r>
    </w:p>
    <w:p w14:paraId="395D60E3" w14:textId="3C49BEE2"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Pagrindinis EIB siūlomas produktas yra paskolos</w:t>
      </w:r>
      <w:r w:rsidRPr="00C97275">
        <w:rPr>
          <w:rFonts w:ascii="Georgia" w:eastAsia="Calibri" w:hAnsi="Georgia" w:cs="Arial"/>
          <w:sz w:val="20"/>
          <w:szCs w:val="20"/>
          <w:vertAlign w:val="superscript"/>
          <w:lang w:val="lt-LT"/>
        </w:rPr>
        <w:footnoteReference w:id="98"/>
      </w:r>
      <w:r w:rsidRPr="00C97275">
        <w:rPr>
          <w:rFonts w:ascii="Georgia" w:eastAsia="Calibri" w:hAnsi="Georgia" w:cs="Arial"/>
          <w:sz w:val="20"/>
          <w:szCs w:val="20"/>
          <w:lang w:val="lt-LT"/>
        </w:rPr>
        <w:t xml:space="preserve">. EIB taip pat finansuoja kompleksines ilgalaikes programas. Šiomis paskolomis finansuojama įvairūs projektai, pastaruoju metu dažniausiai </w:t>
      </w:r>
      <w:r w:rsidRPr="00C97275">
        <w:rPr>
          <w:rFonts w:ascii="Georgia" w:eastAsia="Calibri" w:hAnsi="Georgia" w:cs="Arial"/>
          <w:sz w:val="20"/>
          <w:szCs w:val="20"/>
          <w:lang w:val="lt-LT"/>
        </w:rPr>
        <w:lastRenderedPageBreak/>
        <w:t>infrastruktūros, energetinio efektyvumo, atsinaujinančių energijos išteklių transporto ir miestų plėtros sektoriuose</w:t>
      </w:r>
      <w:r w:rsidRPr="00C97275">
        <w:rPr>
          <w:rFonts w:ascii="Georgia" w:eastAsia="Calibri" w:hAnsi="Georgia" w:cs="Arial"/>
          <w:sz w:val="20"/>
          <w:szCs w:val="20"/>
          <w:vertAlign w:val="superscript"/>
          <w:lang w:val="lt-LT"/>
        </w:rPr>
        <w:footnoteReference w:id="99"/>
      </w:r>
      <w:r w:rsidRPr="00C97275">
        <w:rPr>
          <w:rFonts w:ascii="Georgia" w:eastAsia="Calibri" w:hAnsi="Georgia" w:cs="Arial"/>
          <w:sz w:val="20"/>
          <w:szCs w:val="20"/>
          <w:lang w:val="lt-LT"/>
        </w:rPr>
        <w:t>.</w:t>
      </w:r>
    </w:p>
    <w:p w14:paraId="4E5AC4E6" w14:textId="07F9DB00" w:rsidR="006977C2" w:rsidRPr="00C97275" w:rsidRDefault="006977C2" w:rsidP="006977C2">
      <w:pPr>
        <w:keepNext/>
        <w:spacing w:line="240" w:lineRule="auto"/>
        <w:rPr>
          <w:rFonts w:ascii="Georgia" w:eastAsia="PMingLiU" w:hAnsi="Georgia" w:cs="Arial"/>
          <w:b/>
          <w:bCs/>
          <w:color w:val="A32020"/>
          <w:sz w:val="20"/>
          <w:szCs w:val="20"/>
          <w:lang w:val="lt-LT"/>
        </w:rPr>
      </w:pPr>
      <w:bookmarkStart w:id="131" w:name="_Toc19105244"/>
      <w:r w:rsidRPr="00C97275">
        <w:rPr>
          <w:rFonts w:ascii="Georgia" w:eastAsia="PMingLiU" w:hAnsi="Georgia" w:cs="Times New Roman"/>
          <w:b/>
          <w:bCs/>
          <w:color w:val="A32020"/>
          <w:sz w:val="20"/>
          <w:szCs w:val="18"/>
          <w:lang w:val="lt-LT"/>
        </w:rPr>
        <w:t xml:space="preserve">Lentelė </w:t>
      </w:r>
      <w:r w:rsidRPr="00C97275">
        <w:rPr>
          <w:rFonts w:ascii="Georgia" w:eastAsia="PMingLiU" w:hAnsi="Georgia" w:cs="Times New Roman"/>
          <w:b/>
          <w:bCs/>
          <w:color w:val="A32020"/>
          <w:sz w:val="20"/>
          <w:szCs w:val="18"/>
          <w:lang w:val="lt-LT"/>
        </w:rPr>
        <w:fldChar w:fldCharType="begin"/>
      </w:r>
      <w:r w:rsidRPr="00C97275">
        <w:rPr>
          <w:rFonts w:ascii="Georgia" w:eastAsia="PMingLiU" w:hAnsi="Georgia" w:cs="Times New Roman"/>
          <w:b/>
          <w:bCs/>
          <w:color w:val="A32020"/>
          <w:sz w:val="20"/>
          <w:szCs w:val="18"/>
          <w:lang w:val="lt-LT"/>
        </w:rPr>
        <w:instrText xml:space="preserve"> SEQ Lentelė \* ARABIC </w:instrText>
      </w:r>
      <w:r w:rsidRPr="00C97275">
        <w:rPr>
          <w:rFonts w:ascii="Georgia" w:eastAsia="PMingLiU" w:hAnsi="Georgia" w:cs="Times New Roman"/>
          <w:b/>
          <w:bCs/>
          <w:color w:val="A32020"/>
          <w:sz w:val="20"/>
          <w:szCs w:val="18"/>
          <w:lang w:val="lt-LT"/>
        </w:rPr>
        <w:fldChar w:fldCharType="separate"/>
      </w:r>
      <w:r w:rsidR="001028BC" w:rsidRPr="00C97275">
        <w:rPr>
          <w:rFonts w:ascii="Georgia" w:eastAsia="PMingLiU" w:hAnsi="Georgia" w:cs="Times New Roman"/>
          <w:b/>
          <w:bCs/>
          <w:noProof/>
          <w:color w:val="A32020"/>
          <w:sz w:val="20"/>
          <w:szCs w:val="18"/>
          <w:lang w:val="lt-LT"/>
        </w:rPr>
        <w:t>31</w:t>
      </w:r>
      <w:r w:rsidRPr="00C97275">
        <w:rPr>
          <w:rFonts w:ascii="Georgia" w:eastAsia="PMingLiU" w:hAnsi="Georgia" w:cs="Times New Roman"/>
          <w:b/>
          <w:bCs/>
          <w:color w:val="A32020"/>
          <w:sz w:val="20"/>
          <w:szCs w:val="18"/>
          <w:lang w:val="lt-LT"/>
        </w:rPr>
        <w:fldChar w:fldCharType="end"/>
      </w:r>
      <w:r w:rsidRPr="00C97275">
        <w:rPr>
          <w:rFonts w:ascii="Georgia" w:eastAsia="PMingLiU" w:hAnsi="Georgia" w:cs="Times New Roman"/>
          <w:b/>
          <w:bCs/>
          <w:color w:val="A32020"/>
          <w:sz w:val="20"/>
          <w:szCs w:val="18"/>
          <w:lang w:val="lt-LT"/>
        </w:rPr>
        <w:t>. EIB siūlomų finansinių produktų sąlygos.</w:t>
      </w:r>
      <w:bookmarkEnd w:id="131"/>
      <w:r w:rsidRPr="00C97275">
        <w:rPr>
          <w:rFonts w:ascii="Georgia" w:eastAsia="PMingLiU" w:hAnsi="Georgia" w:cs="Times New Roman"/>
          <w:b/>
          <w:bCs/>
          <w:color w:val="A32020"/>
          <w:sz w:val="20"/>
          <w:szCs w:val="18"/>
          <w:lang w:val="lt-LT"/>
        </w:rPr>
        <w:t xml:space="preserve"> </w:t>
      </w:r>
    </w:p>
    <w:tbl>
      <w:tblPr>
        <w:tblStyle w:val="3vidutinistinklelis2parykinimas"/>
        <w:tblW w:w="5000" w:type="pct"/>
        <w:tblLook w:val="04A0" w:firstRow="1" w:lastRow="0" w:firstColumn="1" w:lastColumn="0" w:noHBand="0" w:noVBand="1"/>
      </w:tblPr>
      <w:tblGrid>
        <w:gridCol w:w="4522"/>
        <w:gridCol w:w="4720"/>
      </w:tblGrid>
      <w:tr w:rsidR="006977C2" w:rsidRPr="00C97275" w14:paraId="43F9F47F" w14:textId="77777777" w:rsidTr="005B31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hideMark/>
          </w:tcPr>
          <w:p w14:paraId="0B407CA1" w14:textId="77777777" w:rsidR="006977C2" w:rsidRPr="00C97275" w:rsidRDefault="006977C2" w:rsidP="006977C2">
            <w:pPr>
              <w:ind w:left="341" w:hanging="341"/>
              <w:contextualSpacing/>
              <w:jc w:val="center"/>
              <w:rPr>
                <w:rFonts w:ascii="Georgia" w:eastAsia="Calibri" w:hAnsi="Georgia" w:cs="Arial"/>
                <w:bCs w:val="0"/>
                <w:color w:val="auto"/>
                <w:sz w:val="20"/>
                <w:szCs w:val="20"/>
                <w:lang w:val="lt-LT"/>
              </w:rPr>
            </w:pPr>
            <w:r w:rsidRPr="00C97275">
              <w:rPr>
                <w:rFonts w:ascii="Georgia" w:eastAsia="Calibri" w:hAnsi="Georgia" w:cs="Arial"/>
                <w:color w:val="auto"/>
                <w:sz w:val="20"/>
                <w:szCs w:val="20"/>
                <w:lang w:val="lt-LT"/>
              </w:rPr>
              <w:t>Paskolos sąlygos</w:t>
            </w:r>
          </w:p>
        </w:tc>
      </w:tr>
      <w:tr w:rsidR="006977C2" w:rsidRPr="00C97275" w14:paraId="154A6AFC"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672574F7"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Tikslinė grupė</w:t>
            </w:r>
          </w:p>
        </w:tc>
        <w:tc>
          <w:tcPr>
            <w:tcW w:w="0" w:type="pct"/>
            <w:shd w:val="clear" w:color="auto" w:fill="FFECC0"/>
            <w:hideMark/>
          </w:tcPr>
          <w:p w14:paraId="230516DA"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tiek privatus, tiek viešasis sektoriai.</w:t>
            </w:r>
          </w:p>
        </w:tc>
      </w:tr>
      <w:tr w:rsidR="006977C2" w:rsidRPr="00C97275" w14:paraId="40BB41B0"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2F70B74"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Projekto dydis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3A7F4D0A" w14:textId="77777777" w:rsidR="006977C2" w:rsidRPr="00C97275"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daugiau nei 25 mln. EUR.</w:t>
            </w:r>
          </w:p>
        </w:tc>
      </w:tr>
      <w:tr w:rsidR="006977C2" w:rsidRPr="00C97275" w14:paraId="6E57BFB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6AD3DA98"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Paskolos dydis</w:t>
            </w:r>
          </w:p>
        </w:tc>
        <w:tc>
          <w:tcPr>
            <w:tcW w:w="0" w:type="pct"/>
            <w:shd w:val="clear" w:color="auto" w:fill="FFECC0"/>
            <w:hideMark/>
          </w:tcPr>
          <w:p w14:paraId="5C75FB5E"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iki 50 proc. projekto vertės;</w:t>
            </w:r>
          </w:p>
          <w:p w14:paraId="3539329F"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paskola siekia apie 1/3 projekto vertės.</w:t>
            </w:r>
          </w:p>
        </w:tc>
      </w:tr>
      <w:tr w:rsidR="006977C2" w:rsidRPr="00C97275" w14:paraId="778E97B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76209DF"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Palūkanų norma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472193BE" w14:textId="77777777" w:rsidR="006977C2" w:rsidRPr="00C97275"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bankas yra pelno nesiekianti, orientuota į politinių tikslų siekimą institucija;</w:t>
            </w:r>
          </w:p>
          <w:p w14:paraId="6E2DB0CB" w14:textId="77777777" w:rsidR="006977C2" w:rsidRPr="00C97275"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EIB teikia lengvatines paskolas; </w:t>
            </w:r>
          </w:p>
          <w:p w14:paraId="69E4549A" w14:textId="77777777" w:rsidR="006977C2" w:rsidRPr="00C97275"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palūkanų norma gali būti fiksuota, kintanti arba konvertuojamoji (t.y. palūkanų normos formulė gali būti peržiūrima tam tikrais iš anksto apibrėžtais laikotarpiais).</w:t>
            </w:r>
          </w:p>
        </w:tc>
      </w:tr>
      <w:tr w:rsidR="006977C2" w:rsidRPr="00C97275" w14:paraId="2E5C0321"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45E7C41"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Specifiniai reikalavimai projektams</w:t>
            </w:r>
          </w:p>
        </w:tc>
        <w:tc>
          <w:tcPr>
            <w:tcW w:w="0" w:type="pct"/>
            <w:shd w:val="clear" w:color="auto" w:fill="FFECC0"/>
            <w:hideMark/>
          </w:tcPr>
          <w:p w14:paraId="27D1955E"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projektas privalo atitikti EIB skolinimo tikslus ir būti ekonomiškai, finansiškai, techniškai ir aplinkosaugos požiūriu patikimas.</w:t>
            </w:r>
          </w:p>
        </w:tc>
      </w:tr>
      <w:tr w:rsidR="006977C2" w:rsidRPr="00C97275" w14:paraId="25A04308"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AF0C383"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218926BF" w14:textId="77777777" w:rsidR="006977C2" w:rsidRPr="00C97275"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paskolos suteikiamos eurais, tačiau taip pat gali būti teikiamos GBP, USD, JPY, SEK, DKK, CHF, PLN, CZK ir HUF ar kitomis valiutomis.</w:t>
            </w:r>
          </w:p>
        </w:tc>
      </w:tr>
      <w:tr w:rsidR="006977C2" w:rsidRPr="00C97275" w14:paraId="55E7AE6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103854FD"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Atidėjimo laikotarpis</w:t>
            </w:r>
          </w:p>
        </w:tc>
        <w:tc>
          <w:tcPr>
            <w:tcW w:w="0" w:type="pct"/>
            <w:shd w:val="clear" w:color="auto" w:fill="FFECC0"/>
            <w:hideMark/>
          </w:tcPr>
          <w:p w14:paraId="5C212189"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analizuojama konkretaus projekto atveju;</w:t>
            </w:r>
          </w:p>
          <w:p w14:paraId="7E106460"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atidėjimo laikotarpis paskolos grąžinimui gali būti skiriamas projekto statybų etape.</w:t>
            </w:r>
          </w:p>
        </w:tc>
      </w:tr>
      <w:tr w:rsidR="006977C2" w:rsidRPr="00C97275" w14:paraId="5EF3F421"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3419DB04" w14:textId="77777777" w:rsidR="006977C2" w:rsidRPr="00C97275" w:rsidRDefault="006977C2" w:rsidP="006977C2">
            <w:pPr>
              <w:ind w:left="177" w:hanging="142"/>
              <w:contextualSpacing/>
              <w:jc w:val="center"/>
              <w:rPr>
                <w:rFonts w:ascii="Georgia" w:eastAsia="Calibri" w:hAnsi="Georgia" w:cs="Arial"/>
                <w:bCs w:val="0"/>
                <w:color w:val="auto"/>
                <w:sz w:val="20"/>
                <w:szCs w:val="20"/>
                <w:lang w:val="lt-LT"/>
              </w:rPr>
            </w:pPr>
            <w:r w:rsidRPr="00C97275">
              <w:rPr>
                <w:rFonts w:ascii="Georgia" w:eastAsia="Calibri" w:hAnsi="Georgia" w:cs="Arial"/>
                <w:color w:val="auto"/>
                <w:sz w:val="20"/>
                <w:szCs w:val="20"/>
                <w:lang w:val="lt-LT"/>
              </w:rPr>
              <w:t>Mokesčiai ir rinkliavos</w:t>
            </w:r>
          </w:p>
        </w:tc>
      </w:tr>
      <w:tr w:rsidR="006977C2" w:rsidRPr="00C97275" w14:paraId="4B35A8BE"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FE9815C" w14:textId="77777777" w:rsidR="006977C2" w:rsidRPr="00C97275" w:rsidRDefault="006977C2" w:rsidP="006977C2">
            <w:pPr>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Mokesčiai</w:t>
            </w:r>
          </w:p>
        </w:tc>
        <w:tc>
          <w:tcPr>
            <w:tcW w:w="0" w:type="pct"/>
            <w:shd w:val="clear" w:color="auto" w:fill="FFECC0"/>
            <w:hideMark/>
          </w:tcPr>
          <w:p w14:paraId="4C148B6D"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tam tikrais atvejais reikalaujama mokesčių, susijusių su projekto vertinimu, teisinėmis paslaugomis, įsipareigojimu, nepanaudojimu ir pan.</w:t>
            </w:r>
          </w:p>
        </w:tc>
      </w:tr>
      <w:tr w:rsidR="006977C2" w:rsidRPr="00C97275" w14:paraId="1D6BC320"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64975A30" w14:textId="77777777" w:rsidR="006977C2" w:rsidRPr="00C97275" w:rsidRDefault="006977C2" w:rsidP="006977C2">
            <w:pPr>
              <w:ind w:left="177" w:hanging="142"/>
              <w:contextualSpacing/>
              <w:jc w:val="center"/>
              <w:rPr>
                <w:rFonts w:ascii="Georgia" w:eastAsia="Calibri" w:hAnsi="Georgia" w:cs="Arial"/>
                <w:bCs w:val="0"/>
                <w:color w:val="auto"/>
                <w:sz w:val="20"/>
                <w:szCs w:val="20"/>
                <w:lang w:val="lt-LT"/>
              </w:rPr>
            </w:pPr>
            <w:r w:rsidRPr="00C97275">
              <w:rPr>
                <w:rFonts w:ascii="Georgia" w:eastAsia="Calibri" w:hAnsi="Georgia" w:cs="Arial"/>
                <w:color w:val="auto"/>
                <w:sz w:val="20"/>
                <w:szCs w:val="20"/>
                <w:lang w:val="lt-LT"/>
              </w:rPr>
              <w:t>Kitos sąlygos</w:t>
            </w:r>
          </w:p>
        </w:tc>
      </w:tr>
      <w:tr w:rsidR="006977C2" w:rsidRPr="00C97275" w14:paraId="6BECD5CD"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tcPr>
          <w:p w14:paraId="4A295461" w14:textId="77777777" w:rsidR="006977C2" w:rsidRPr="00C97275" w:rsidRDefault="006977C2" w:rsidP="006977C2">
            <w:pPr>
              <w:rPr>
                <w:rFonts w:ascii="Georgia" w:eastAsia="Calibri" w:hAnsi="Georgia" w:cs="Arial"/>
                <w:b w:val="0"/>
                <w:bCs w:val="0"/>
                <w:color w:val="auto"/>
                <w:sz w:val="20"/>
                <w:szCs w:val="20"/>
                <w:lang w:val="lt-LT"/>
              </w:rPr>
            </w:pPr>
          </w:p>
        </w:tc>
        <w:tc>
          <w:tcPr>
            <w:tcW w:w="0" w:type="pct"/>
            <w:shd w:val="clear" w:color="auto" w:fill="FFECC0"/>
            <w:hideMark/>
          </w:tcPr>
          <w:p w14:paraId="2E96D818" w14:textId="77777777" w:rsidR="006977C2" w:rsidRPr="00C97275"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finansavimo sąlygos priklauso nuo investicijų tipo ir trečiųjų šalių pasiūlyto paskolos užtikrinimo (bankai ar bankų sindikatai, kitos finansų institucijos ar motininės įmonės).</w:t>
            </w:r>
          </w:p>
        </w:tc>
      </w:tr>
      <w:tr w:rsidR="006977C2" w:rsidRPr="00C97275" w14:paraId="7584B68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77D30571" w14:textId="77777777" w:rsidR="006977C2" w:rsidRPr="00C97275" w:rsidRDefault="006977C2" w:rsidP="006977C2">
            <w:pPr>
              <w:ind w:left="177" w:hanging="142"/>
              <w:contextualSpacing/>
              <w:jc w:val="center"/>
              <w:rPr>
                <w:rFonts w:ascii="Georgia" w:eastAsia="Calibri" w:hAnsi="Georgia" w:cs="Arial"/>
                <w:bCs w:val="0"/>
                <w:color w:val="auto"/>
                <w:sz w:val="20"/>
                <w:szCs w:val="20"/>
                <w:lang w:val="lt-LT"/>
              </w:rPr>
            </w:pPr>
            <w:r w:rsidRPr="00C97275">
              <w:rPr>
                <w:rFonts w:ascii="Georgia" w:eastAsia="Calibri" w:hAnsi="Georgia" w:cs="Arial"/>
                <w:color w:val="auto"/>
                <w:sz w:val="20"/>
                <w:szCs w:val="20"/>
                <w:lang w:val="lt-LT"/>
              </w:rPr>
              <w:t>Paskolos mokėjimas</w:t>
            </w:r>
          </w:p>
        </w:tc>
      </w:tr>
      <w:tr w:rsidR="006977C2" w:rsidRPr="00C97275" w14:paraId="1B135459"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tcPr>
          <w:p w14:paraId="7F5AA02B" w14:textId="77777777" w:rsidR="006977C2" w:rsidRPr="00C97275" w:rsidRDefault="006977C2" w:rsidP="006977C2">
            <w:pPr>
              <w:rPr>
                <w:rFonts w:ascii="Georgia" w:eastAsia="Calibri" w:hAnsi="Georgia" w:cs="Arial"/>
                <w:b w:val="0"/>
                <w:bCs w:val="0"/>
                <w:color w:val="auto"/>
                <w:sz w:val="20"/>
                <w:szCs w:val="20"/>
                <w:lang w:val="lt-LT"/>
              </w:rPr>
            </w:pPr>
          </w:p>
        </w:tc>
        <w:tc>
          <w:tcPr>
            <w:tcW w:w="0" w:type="pct"/>
            <w:shd w:val="clear" w:color="auto" w:fill="FFECC0"/>
            <w:hideMark/>
          </w:tcPr>
          <w:p w14:paraId="52BF9711" w14:textId="77777777" w:rsidR="006977C2" w:rsidRPr="00C97275" w:rsidRDefault="006977C2" w:rsidP="00162BF5">
            <w:pPr>
              <w:numPr>
                <w:ilvl w:val="0"/>
                <w:numId w:val="11"/>
              </w:numPr>
              <w:tabs>
                <w:tab w:val="left" w:pos="229"/>
              </w:tabs>
              <w:spacing w:after="160" w:line="256" w:lineRule="auto"/>
              <w:ind w:hanging="720"/>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paskolos grąžinamos mokant du arba vieną kartą per metus.</w:t>
            </w:r>
          </w:p>
        </w:tc>
      </w:tr>
    </w:tbl>
    <w:p w14:paraId="4F97A6C2" w14:textId="77777777" w:rsidR="006977C2" w:rsidRPr="00C97275" w:rsidRDefault="006977C2" w:rsidP="006977C2">
      <w:pPr>
        <w:keepNext/>
        <w:spacing w:line="240" w:lineRule="auto"/>
        <w:rPr>
          <w:rFonts w:ascii="Georgia" w:eastAsia="PMingLiU" w:hAnsi="Georgia" w:cs="Times New Roman"/>
          <w:bCs/>
          <w:i/>
          <w:sz w:val="20"/>
          <w:szCs w:val="18"/>
          <w:lang w:val="lt-LT"/>
        </w:rPr>
      </w:pPr>
      <w:r w:rsidRPr="00C97275">
        <w:rPr>
          <w:rFonts w:ascii="Georgia" w:eastAsia="PMingLiU" w:hAnsi="Georgia" w:cs="Times New Roman"/>
          <w:bCs/>
          <w:i/>
          <w:sz w:val="20"/>
          <w:szCs w:val="18"/>
          <w:lang w:val="lt-LT"/>
        </w:rPr>
        <w:t>Šaltinis:</w:t>
      </w:r>
      <w:r w:rsidRPr="00C97275">
        <w:rPr>
          <w:rFonts w:ascii="Georgia" w:eastAsia="PMingLiU" w:hAnsi="Georgia" w:cs="Arial"/>
          <w:bCs/>
          <w:i/>
          <w:sz w:val="20"/>
          <w:szCs w:val="18"/>
          <w:lang w:val="lt-LT"/>
        </w:rPr>
        <w:t xml:space="preserve"> EIB paskolos </w:t>
      </w:r>
      <w:r w:rsidRPr="00C97275">
        <w:rPr>
          <w:rFonts w:ascii="Georgia" w:eastAsia="PMingLiU" w:hAnsi="Georgia" w:cs="Arial"/>
          <w:bCs/>
          <w:i/>
          <w:sz w:val="20"/>
          <w:szCs w:val="18"/>
          <w:vertAlign w:val="superscript"/>
          <w:lang w:val="lt-LT"/>
        </w:rPr>
        <w:footnoteReference w:id="100"/>
      </w:r>
      <w:r w:rsidRPr="00C97275">
        <w:rPr>
          <w:rFonts w:ascii="Georgia" w:eastAsia="PMingLiU" w:hAnsi="Georgia" w:cs="Arial"/>
          <w:bCs/>
          <w:i/>
          <w:sz w:val="20"/>
          <w:szCs w:val="18"/>
          <w:lang w:val="lt-LT"/>
        </w:rPr>
        <w:t xml:space="preserve"> </w:t>
      </w:r>
    </w:p>
    <w:p w14:paraId="07E544CF" w14:textId="77777777"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EIB taip pat gali teikti papildomą paramą prioritetiniams projektams, naudodamas aukštesnės rizikos instrumentus nei įprastai. Per struktūrinę finansinę priemonę </w:t>
      </w:r>
      <w:r w:rsidRPr="00C97275">
        <w:rPr>
          <w:rFonts w:ascii="Georgia" w:eastAsia="Calibri" w:hAnsi="Georgia" w:cs="Arial"/>
          <w:sz w:val="20"/>
          <w:szCs w:val="20"/>
          <w:vertAlign w:val="superscript"/>
          <w:lang w:val="lt-LT"/>
        </w:rPr>
        <w:footnoteReference w:id="101"/>
      </w:r>
      <w:r w:rsidRPr="00C97275">
        <w:rPr>
          <w:rFonts w:ascii="Georgia" w:eastAsia="Calibri" w:hAnsi="Georgia" w:cs="Arial"/>
          <w:sz w:val="20"/>
          <w:szCs w:val="20"/>
          <w:lang w:val="lt-LT"/>
        </w:rPr>
        <w:t xml:space="preserve"> teikiama parama įtraukia tokias priemones kaip privilegijuotosios paskolos ir garantijos rizikoms, galinčioms pasireikšti iki projekto užbaigimo, taip pat ankstyvosios veiklos vykdymo rizikos, subordinuotos paskolos ir garantijos, reitinguojamos aukščiau už akcininkų subordinuotas skolas, „</w:t>
      </w:r>
      <w:r w:rsidRPr="00C97275">
        <w:rPr>
          <w:rFonts w:ascii="Georgia" w:eastAsia="Calibri" w:hAnsi="Georgia" w:cs="Arial"/>
          <w:i/>
          <w:sz w:val="20"/>
          <w:szCs w:val="20"/>
          <w:lang w:val="lt-LT"/>
        </w:rPr>
        <w:t>mezzanine</w:t>
      </w:r>
      <w:r w:rsidRPr="00C97275">
        <w:rPr>
          <w:rFonts w:ascii="Georgia" w:eastAsia="Calibri" w:hAnsi="Georgia" w:cs="Arial"/>
          <w:sz w:val="20"/>
          <w:szCs w:val="20"/>
          <w:lang w:val="lt-LT"/>
        </w:rPr>
        <w:t xml:space="preserve">“ finansavimas, su projektu susijusios išvestines finansinės priemonės </w:t>
      </w:r>
      <w:r w:rsidRPr="00C97275">
        <w:rPr>
          <w:rFonts w:ascii="Georgia" w:eastAsia="Calibri" w:hAnsi="Georgia" w:cs="Arial"/>
          <w:sz w:val="20"/>
          <w:szCs w:val="20"/>
          <w:vertAlign w:val="superscript"/>
          <w:lang w:val="lt-LT"/>
        </w:rPr>
        <w:footnoteReference w:id="102"/>
      </w:r>
      <w:r w:rsidRPr="00C97275">
        <w:rPr>
          <w:rFonts w:ascii="Georgia" w:eastAsia="Calibri" w:hAnsi="Georgia" w:cs="Arial"/>
          <w:sz w:val="20"/>
          <w:szCs w:val="20"/>
          <w:lang w:val="lt-LT"/>
        </w:rPr>
        <w:t xml:space="preserve">. </w:t>
      </w:r>
    </w:p>
    <w:p w14:paraId="018D74FF" w14:textId="77777777"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lastRenderedPageBreak/>
        <w:t xml:space="preserve">EIB gali suteikti garantijas dideliems ir mažiems projektams, kad jie taptų patrauklesni investuotojams, teikti garantijas privilegijuotoms ir subordinuotoms paskoloms standartine forma, arba finansinių įsipareigojimų </w:t>
      </w:r>
      <w:r w:rsidRPr="00C97275">
        <w:rPr>
          <w:rFonts w:ascii="Georgia" w:eastAsia="Calibri" w:hAnsi="Georgia" w:cs="Arial"/>
          <w:sz w:val="20"/>
          <w:szCs w:val="20"/>
          <w:vertAlign w:val="superscript"/>
          <w:lang w:val="lt-LT"/>
        </w:rPr>
        <w:footnoteReference w:id="103"/>
      </w:r>
      <w:r w:rsidRPr="00C97275">
        <w:rPr>
          <w:rFonts w:ascii="Georgia" w:eastAsia="Calibri" w:hAnsi="Georgia" w:cs="Arial"/>
          <w:sz w:val="20"/>
          <w:szCs w:val="20"/>
          <w:lang w:val="lt-LT"/>
        </w:rPr>
        <w:t xml:space="preserve"> garantijos forma </w:t>
      </w:r>
      <w:r w:rsidRPr="00C97275">
        <w:rPr>
          <w:rFonts w:ascii="Georgia" w:eastAsia="Calibri" w:hAnsi="Georgia" w:cs="Arial"/>
          <w:sz w:val="20"/>
          <w:szCs w:val="20"/>
          <w:vertAlign w:val="superscript"/>
          <w:lang w:val="lt-LT"/>
        </w:rPr>
        <w:footnoteReference w:id="104"/>
      </w:r>
      <w:r w:rsidRPr="00C97275">
        <w:rPr>
          <w:rFonts w:ascii="Georgia" w:eastAsia="Calibri" w:hAnsi="Georgia" w:cs="Arial"/>
          <w:sz w:val="20"/>
          <w:szCs w:val="20"/>
          <w:lang w:val="lt-LT"/>
        </w:rPr>
        <w:t>.</w:t>
      </w:r>
    </w:p>
    <w:p w14:paraId="2ACE0C2A" w14:textId="77777777"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Bankas taip pat investuoja į organizacijų/įmonių nuosavą kapitalą, į projektus arba fondus. Naudodama šį produktą EIB investuoja į infrastruktūrą, aplinkosaugą, energetinį efektyvumą ir atsinaujinančius energijos išteklius, miestų plėtrą </w:t>
      </w:r>
      <w:r w:rsidRPr="00C97275">
        <w:rPr>
          <w:rFonts w:ascii="Georgia" w:eastAsia="Calibri" w:hAnsi="Georgia" w:cs="Arial"/>
          <w:sz w:val="20"/>
          <w:szCs w:val="20"/>
          <w:vertAlign w:val="superscript"/>
          <w:lang w:val="lt-LT"/>
        </w:rPr>
        <w:footnoteReference w:id="105"/>
      </w:r>
      <w:r w:rsidRPr="00C97275">
        <w:rPr>
          <w:rFonts w:ascii="Georgia" w:eastAsia="Calibri" w:hAnsi="Georgia" w:cs="Arial"/>
          <w:sz w:val="20"/>
          <w:szCs w:val="20"/>
          <w:lang w:val="lt-LT"/>
        </w:rPr>
        <w:t>.</w:t>
      </w:r>
    </w:p>
    <w:p w14:paraId="3DB58392" w14:textId="77777777"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Taip pat sudaro sąlygas projekto įmonėms išleisti skolos kapitalo rinkų investuotojams patrauklias projekto obligacijas.</w:t>
      </w:r>
    </w:p>
    <w:p w14:paraId="778554FC" w14:textId="4940AC92" w:rsidR="006977C2" w:rsidRPr="00C97275"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32" w:name="_Toc25594673"/>
      <w:r w:rsidRPr="00C97275">
        <w:rPr>
          <w:rFonts w:ascii="Georgia" w:eastAsia="Times New Roman" w:hAnsi="Georgia" w:cs="Arial Unicode MS"/>
          <w:b/>
          <w:i/>
          <w:color w:val="821A1A"/>
          <w:sz w:val="32"/>
          <w:szCs w:val="26"/>
          <w:lang w:val="lt-LT"/>
        </w:rPr>
        <w:t>Europos Tarybos vystymo bankas</w:t>
      </w:r>
      <w:bookmarkEnd w:id="132"/>
    </w:p>
    <w:p w14:paraId="511A4114"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ETVB tikslas – įgyvendinti Europos Tarybos solidarumo politiką finansuojant projektus, skatinančius tvarų ir tolygų augimą. Bankas veiklą </w:t>
      </w:r>
      <w:r w:rsidRPr="00C97275">
        <w:rPr>
          <w:rFonts w:ascii="Georgia" w:eastAsia="Calibri" w:hAnsi="Georgia" w:cs="Arial"/>
          <w:color w:val="000000"/>
          <w:sz w:val="20"/>
          <w:szCs w:val="20"/>
          <w:lang w:val="lt-LT"/>
        </w:rPr>
        <w:t>vykdo trijose srityse</w:t>
      </w:r>
      <w:r w:rsidRPr="00C97275">
        <w:rPr>
          <w:rFonts w:ascii="Georgia" w:eastAsia="Calibri" w:hAnsi="Georgia" w:cs="Arial"/>
          <w:sz w:val="20"/>
          <w:szCs w:val="20"/>
          <w:lang w:val="lt-LT"/>
        </w:rPr>
        <w:t>: skatina socialinę integraciją, viešąją infrastruktūrą, turinčią socialinį elementą, ir aplinkos apsaugą.</w:t>
      </w:r>
    </w:p>
    <w:p w14:paraId="773F8E14"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Socialinės integracijos srityje bankas vykdo projektus, susijusius su pabėgėliais, migrantais ir tremtiniais, socialiniu būstu, darbo vietų kūrimu ir išsaugojimu bei gyvenimo sąlygų miestuose ir kaimo vietovėse gerinimu. Aplinkosaugos srityje ETVB nuolat reaguoja į stichines nelaimes ir ekologines katastrofas, skatina gamtos apsaugą, istorinio ir kultūrinio paveldo apsaugą. ETVB dirba su viešosios infrastruktūros projektais sveikatos apsaugos, švietimo ir mokslo, administracinių ir teisminės valdžios paslaugų srityse </w:t>
      </w:r>
      <w:r w:rsidRPr="00C97275">
        <w:rPr>
          <w:rFonts w:ascii="Georgia" w:eastAsia="Calibri" w:hAnsi="Georgia" w:cs="Arial"/>
          <w:sz w:val="20"/>
          <w:szCs w:val="20"/>
          <w:vertAlign w:val="superscript"/>
          <w:lang w:val="lt-LT"/>
        </w:rPr>
        <w:footnoteReference w:id="106"/>
      </w:r>
      <w:r w:rsidRPr="00C97275">
        <w:rPr>
          <w:rFonts w:ascii="Georgia" w:eastAsia="Calibri" w:hAnsi="Georgia" w:cs="Arial"/>
          <w:sz w:val="20"/>
          <w:szCs w:val="20"/>
          <w:lang w:val="lt-LT"/>
        </w:rPr>
        <w:t>.</w:t>
      </w:r>
    </w:p>
    <w:p w14:paraId="5C3A9218" w14:textId="77777777" w:rsidR="006977C2" w:rsidRPr="00C97275" w:rsidRDefault="006977C2" w:rsidP="006977C2">
      <w:pPr>
        <w:keepNext/>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Energetinio efektyvumo projektų finansavimas</w:t>
      </w:r>
    </w:p>
    <w:p w14:paraId="4E03943C" w14:textId="742CBB04" w:rsidR="006977C2" w:rsidRPr="00C97275" w:rsidRDefault="006977C2" w:rsidP="0063781D">
      <w:pPr>
        <w:keepNext/>
        <w:spacing w:after="240"/>
        <w:jc w:val="both"/>
        <w:rPr>
          <w:rFonts w:ascii="Georgia" w:eastAsia="PMingLiU" w:hAnsi="Georgia" w:cs="Times New Roman"/>
          <w:sz w:val="20"/>
          <w:szCs w:val="20"/>
          <w:lang w:val="lt-LT"/>
        </w:rPr>
      </w:pPr>
      <w:r w:rsidRPr="00C97275">
        <w:rPr>
          <w:rFonts w:ascii="Georgia" w:eastAsia="PMingLiU" w:hAnsi="Georgia" w:cs="Times New Roman"/>
          <w:sz w:val="20"/>
          <w:szCs w:val="20"/>
          <w:lang w:val="lt-LT"/>
        </w:rPr>
        <w:t>2016 m. patvirtintas 2017 – 2020 m. planas kartu su peržiūrėta aplinkos ir socialinės apsaugos priemonių politika užtikrins ETVB aktyvų dalyvavimą pasaulinėse pastangose kovojant su klimato kaita ir aplinkos apsaugojimu</w:t>
      </w:r>
      <w:r w:rsidRPr="00C97275">
        <w:rPr>
          <w:rFonts w:ascii="Georgia" w:eastAsia="PMingLiU" w:hAnsi="Georgia" w:cs="Times New Roman"/>
          <w:sz w:val="20"/>
          <w:szCs w:val="20"/>
          <w:vertAlign w:val="superscript"/>
          <w:lang w:val="lt-LT"/>
        </w:rPr>
        <w:footnoteReference w:id="107"/>
      </w:r>
      <w:r w:rsidRPr="00C97275">
        <w:rPr>
          <w:rFonts w:ascii="Georgia" w:eastAsia="PMingLiU" w:hAnsi="Georgia" w:cs="Times New Roman"/>
          <w:sz w:val="20"/>
          <w:szCs w:val="20"/>
          <w:lang w:val="lt-LT"/>
        </w:rPr>
        <w:t>.</w:t>
      </w:r>
    </w:p>
    <w:p w14:paraId="7A5AA2C0" w14:textId="730F7D43" w:rsidR="006977C2" w:rsidRPr="00C97275" w:rsidRDefault="006977C2" w:rsidP="0063781D">
      <w:pPr>
        <w:keepNext/>
        <w:spacing w:after="240"/>
        <w:jc w:val="both"/>
        <w:rPr>
          <w:rFonts w:ascii="Georgia" w:eastAsia="PMingLiU" w:hAnsi="Georgia" w:cs="Arial"/>
          <w:sz w:val="20"/>
          <w:szCs w:val="20"/>
          <w:lang w:val="lt-LT"/>
        </w:rPr>
      </w:pPr>
      <w:r w:rsidRPr="00C97275">
        <w:rPr>
          <w:rFonts w:ascii="Georgia" w:eastAsia="PMingLiU" w:hAnsi="Georgia" w:cs="Arial"/>
          <w:sz w:val="20"/>
          <w:szCs w:val="20"/>
          <w:lang w:val="lt-LT"/>
        </w:rPr>
        <w:t>2016 m. ETVB toliau investuoja į energetinio efektyvumo projektų finansavimą teikiant tiesiogines paskolas savivaldybėms ir regionams arba tarpiniams (bankams). 2016 m. ETVB su savo paskola ir subsidija iš Rytų Europos Energijos efektyvumo ir aplinkos partnerystės (“Energy Efficiency and Environment partnership (E5P)) suteikė 14 mln. eurų pagalbą Gruzijos valdžios inst</w:t>
      </w:r>
      <w:r w:rsidR="00D9139B" w:rsidRPr="00C97275">
        <w:rPr>
          <w:rFonts w:ascii="Georgia" w:eastAsia="PMingLiU" w:hAnsi="Georgia" w:cs="Arial"/>
          <w:sz w:val="20"/>
          <w:szCs w:val="20"/>
          <w:lang w:val="lt-LT"/>
        </w:rPr>
        <w:t>it</w:t>
      </w:r>
      <w:r w:rsidRPr="00C97275">
        <w:rPr>
          <w:rFonts w:ascii="Georgia" w:eastAsia="PMingLiU" w:hAnsi="Georgia" w:cs="Arial"/>
          <w:sz w:val="20"/>
          <w:szCs w:val="20"/>
          <w:lang w:val="lt-LT"/>
        </w:rPr>
        <w:t xml:space="preserve">ucijoms, siekiančioms įvesti energijos vartojimo efektyvumą socialinio sektoriaus infrastruktūroje nacionaliniu lygmeniu. Su ETVB pagalba bus renovuoti 25 valstybinių mokyklų pastatai. </w:t>
      </w:r>
    </w:p>
    <w:p w14:paraId="0222A19B" w14:textId="34457A70" w:rsidR="006977C2" w:rsidRPr="00C97275" w:rsidRDefault="006977C2" w:rsidP="006977C2">
      <w:pPr>
        <w:keepNext/>
        <w:spacing w:after="240"/>
        <w:rPr>
          <w:rFonts w:ascii="Georgia" w:eastAsia="PMingLiU" w:hAnsi="Georgia" w:cs="Arial"/>
          <w:i/>
          <w:sz w:val="20"/>
          <w:szCs w:val="20"/>
          <w:lang w:val="lt-LT"/>
        </w:rPr>
      </w:pPr>
      <w:r w:rsidRPr="00C97275">
        <w:rPr>
          <w:rFonts w:ascii="Georgia" w:eastAsia="PMingLiU" w:hAnsi="Georgia" w:cs="Arial"/>
          <w:sz w:val="20"/>
          <w:szCs w:val="20"/>
          <w:lang w:val="lt-LT"/>
        </w:rPr>
        <w:t>2012 - 2016 m. “Managing environment” projektams buvo skirta 1,357 mlrd. eurų arba 11%  proc. nuo visų paskolų vertės šiuo laikotarpiu</w:t>
      </w:r>
      <w:r w:rsidRPr="00C97275">
        <w:rPr>
          <w:rFonts w:ascii="Georgia" w:eastAsia="PMingLiU" w:hAnsi="Georgia" w:cs="Arial"/>
          <w:sz w:val="20"/>
          <w:szCs w:val="20"/>
          <w:vertAlign w:val="superscript"/>
          <w:lang w:val="lt-LT"/>
        </w:rPr>
        <w:footnoteReference w:id="108"/>
      </w:r>
      <w:r w:rsidRPr="00C97275">
        <w:rPr>
          <w:rFonts w:ascii="Georgia" w:eastAsia="PMingLiU" w:hAnsi="Georgia" w:cs="Arial"/>
          <w:sz w:val="20"/>
          <w:szCs w:val="20"/>
          <w:lang w:val="lt-LT"/>
        </w:rPr>
        <w:t>.</w:t>
      </w:r>
    </w:p>
    <w:p w14:paraId="059E628C" w14:textId="6876E158"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Kartu su Europos Komisija ir EIB ETVB dalyvauja JESSICA iniciatyvoje</w:t>
      </w:r>
      <w:r w:rsidRPr="00C97275">
        <w:rPr>
          <w:rFonts w:ascii="Georgia" w:eastAsia="Calibri" w:hAnsi="Georgia" w:cs="Arial"/>
          <w:sz w:val="20"/>
          <w:szCs w:val="20"/>
          <w:vertAlign w:val="superscript"/>
          <w:lang w:val="lt-LT"/>
        </w:rPr>
        <w:footnoteReference w:id="109"/>
      </w:r>
      <w:r w:rsidRPr="00C97275">
        <w:rPr>
          <w:rFonts w:ascii="Georgia" w:eastAsia="Calibri" w:hAnsi="Georgia" w:cs="Arial"/>
          <w:sz w:val="20"/>
          <w:szCs w:val="20"/>
          <w:lang w:val="lt-LT"/>
        </w:rPr>
        <w:t>.</w:t>
      </w:r>
    </w:p>
    <w:p w14:paraId="283740EC" w14:textId="33AFD1D3" w:rsidR="006977C2" w:rsidRPr="00C97275" w:rsidRDefault="006977C2" w:rsidP="006977C2">
      <w:pPr>
        <w:jc w:val="both"/>
        <w:rPr>
          <w:rFonts w:ascii="Georgia" w:eastAsia="Calibri" w:hAnsi="Georgia" w:cs="Arial"/>
          <w:sz w:val="20"/>
          <w:szCs w:val="20"/>
          <w:lang w:val="lt-LT"/>
        </w:rPr>
      </w:pPr>
      <w:r w:rsidRPr="00C97275">
        <w:rPr>
          <w:rFonts w:ascii="Georgia" w:eastAsia="Calibri" w:hAnsi="Georgia" w:cs="Arial"/>
          <w:sz w:val="20"/>
          <w:szCs w:val="20"/>
          <w:lang w:val="lt-LT"/>
        </w:rPr>
        <w:t>Taip pat bankas dalyvauja ELENA iniciatyvoje. Banko priemonė CEB-ELENA teikia subsidijas viešojo sektoriaus institucijoms, kurios nori įgyvendinti energetinio efektyvumo ir atsinaujinančių energijos išteklių projektus, tačiau neturi pakankamų institucinių gebėjimų</w:t>
      </w:r>
      <w:r w:rsidRPr="00C97275">
        <w:rPr>
          <w:rFonts w:ascii="Georgia" w:eastAsia="Calibri" w:hAnsi="Georgia" w:cs="Arial"/>
          <w:sz w:val="20"/>
          <w:szCs w:val="20"/>
          <w:vertAlign w:val="superscript"/>
          <w:lang w:val="lt-LT"/>
        </w:rPr>
        <w:footnoteReference w:id="110"/>
      </w:r>
      <w:r w:rsidRPr="00C97275">
        <w:rPr>
          <w:rFonts w:ascii="Georgia" w:eastAsia="Calibri" w:hAnsi="Georgia" w:cs="Arial"/>
          <w:sz w:val="20"/>
          <w:szCs w:val="20"/>
          <w:lang w:val="lt-LT"/>
        </w:rPr>
        <w:t>.</w:t>
      </w:r>
    </w:p>
    <w:p w14:paraId="6AC260B5" w14:textId="2C3E2D5C" w:rsidR="006977C2" w:rsidRPr="00C97275" w:rsidRDefault="002D46ED" w:rsidP="006977C2">
      <w:pPr>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B</w:t>
      </w:r>
      <w:r w:rsidR="006977C2" w:rsidRPr="00C97275">
        <w:rPr>
          <w:rFonts w:ascii="Georgia" w:eastAsia="PMingLiU" w:hAnsi="Georgia" w:cs="Times New Roman"/>
          <w:b/>
          <w:i/>
          <w:sz w:val="20"/>
          <w:szCs w:val="20"/>
          <w:lang w:val="lt-LT"/>
        </w:rPr>
        <w:t>anko veikla Lietuvoje</w:t>
      </w:r>
    </w:p>
    <w:p w14:paraId="3E04FF8B"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lastRenderedPageBreak/>
        <w:t xml:space="preserve">Lietuva ETVB nare tapo 1996 m. 2009-2016 m. Lietuvai buvo suteiktos dvi paskolos. </w:t>
      </w:r>
    </w:p>
    <w:p w14:paraId="60CC5C59" w14:textId="215CE374"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pacing w:val="2"/>
          <w:sz w:val="20"/>
          <w:szCs w:val="20"/>
          <w:shd w:val="clear" w:color="auto" w:fill="FFFFFF"/>
          <w:lang w:val="lt-LT"/>
        </w:rPr>
        <w:t xml:space="preserve">2009 m. ETVB Lietuvai suteikė 130 mln. </w:t>
      </w:r>
      <w:r w:rsidR="00660FB3" w:rsidRPr="00C97275">
        <w:rPr>
          <w:rFonts w:ascii="Georgia" w:eastAsia="Calibri" w:hAnsi="Georgia" w:cs="Arial"/>
          <w:spacing w:val="2"/>
          <w:sz w:val="20"/>
          <w:szCs w:val="20"/>
          <w:shd w:val="clear" w:color="auto" w:fill="FFFFFF"/>
          <w:lang w:val="lt-LT"/>
        </w:rPr>
        <w:t>e</w:t>
      </w:r>
      <w:r w:rsidRPr="00C97275">
        <w:rPr>
          <w:rFonts w:ascii="Georgia" w:eastAsia="Calibri" w:hAnsi="Georgia" w:cs="Arial"/>
          <w:spacing w:val="2"/>
          <w:sz w:val="20"/>
          <w:szCs w:val="20"/>
          <w:shd w:val="clear" w:color="auto" w:fill="FFFFFF"/>
          <w:lang w:val="lt-LT"/>
        </w:rPr>
        <w:t>ur</w:t>
      </w:r>
      <w:r w:rsidR="00660FB3" w:rsidRPr="00C97275">
        <w:rPr>
          <w:rFonts w:ascii="Georgia" w:eastAsia="Calibri" w:hAnsi="Georgia" w:cs="Arial"/>
          <w:spacing w:val="2"/>
          <w:sz w:val="20"/>
          <w:szCs w:val="20"/>
          <w:shd w:val="clear" w:color="auto" w:fill="FFFFFF"/>
          <w:lang w:val="lt-LT"/>
        </w:rPr>
        <w:t>ų</w:t>
      </w:r>
      <w:r w:rsidRPr="00C97275">
        <w:rPr>
          <w:rFonts w:ascii="Georgia" w:eastAsia="Calibri" w:hAnsi="Georgia" w:cs="Arial"/>
          <w:spacing w:val="2"/>
          <w:sz w:val="20"/>
          <w:szCs w:val="20"/>
          <w:shd w:val="clear" w:color="auto" w:fill="FFFFFF"/>
          <w:lang w:val="lt-LT"/>
        </w:rPr>
        <w:t xml:space="preserve"> paskolą, skirtą valstybės investicijoms į socialinės infrastruktūros plėtros projektus finansuoti, o 2015 m. Lietuvai buvo suteikta 100 mln. </w:t>
      </w:r>
      <w:r w:rsidR="00660FB3" w:rsidRPr="00C97275">
        <w:rPr>
          <w:rFonts w:ascii="Georgia" w:eastAsia="Calibri" w:hAnsi="Georgia" w:cs="Arial"/>
          <w:spacing w:val="2"/>
          <w:sz w:val="20"/>
          <w:szCs w:val="20"/>
          <w:shd w:val="clear" w:color="auto" w:fill="FFFFFF"/>
          <w:lang w:val="lt-LT"/>
        </w:rPr>
        <w:t xml:space="preserve">eurų </w:t>
      </w:r>
      <w:r w:rsidRPr="00C97275">
        <w:rPr>
          <w:rFonts w:ascii="Georgia" w:eastAsia="Calibri" w:hAnsi="Georgia" w:cs="Arial"/>
          <w:spacing w:val="2"/>
          <w:sz w:val="20"/>
          <w:szCs w:val="20"/>
          <w:shd w:val="clear" w:color="auto" w:fill="FFFFFF"/>
          <w:lang w:val="lt-LT"/>
        </w:rPr>
        <w:t xml:space="preserve">paskola, skirta kultūros, sveikatos apsaugos, švietimo, sporto įstaigų pastatų statybai ar renovavimui finansuoti </w:t>
      </w:r>
      <w:r w:rsidRPr="00C97275">
        <w:rPr>
          <w:rFonts w:ascii="Georgia" w:eastAsia="Calibri" w:hAnsi="Georgia" w:cs="Arial"/>
          <w:sz w:val="20"/>
          <w:szCs w:val="20"/>
          <w:vertAlign w:val="superscript"/>
          <w:lang w:val="lt-LT"/>
        </w:rPr>
        <w:footnoteReference w:id="111"/>
      </w:r>
      <w:r w:rsidRPr="00C97275">
        <w:rPr>
          <w:rFonts w:ascii="Georgia" w:eastAsia="Calibri" w:hAnsi="Georgia" w:cs="Arial"/>
          <w:sz w:val="20"/>
          <w:szCs w:val="20"/>
          <w:lang w:val="lt-LT"/>
        </w:rPr>
        <w:t>.</w:t>
      </w:r>
    </w:p>
    <w:p w14:paraId="1AFFAEE8" w14:textId="77777777" w:rsidR="006977C2" w:rsidRPr="00C97275" w:rsidRDefault="006977C2" w:rsidP="006977C2">
      <w:pPr>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Produktai</w:t>
      </w:r>
    </w:p>
    <w:p w14:paraId="5DE5B553" w14:textId="77777777" w:rsidR="006977C2" w:rsidRPr="00C97275" w:rsidRDefault="006977C2" w:rsidP="006977C2">
      <w:pPr>
        <w:autoSpaceDE w:val="0"/>
        <w:autoSpaceDN w:val="0"/>
        <w:adjustRightInd w:val="0"/>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 xml:space="preserve">Bankas savo klientams siūlo ilgalaikes paskolas ir garantijas, taip pat įnašus iš patikos sąskaitų, kuriais finansuoja projekto įgyvendinimą. </w:t>
      </w:r>
    </w:p>
    <w:p w14:paraId="0FF7FB28" w14:textId="77777777" w:rsidR="006977C2" w:rsidRPr="00C97275" w:rsidRDefault="006977C2" w:rsidP="006977C2">
      <w:pPr>
        <w:spacing w:after="240"/>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Paskolos</w:t>
      </w:r>
    </w:p>
    <w:p w14:paraId="376AD4DF" w14:textId="77777777" w:rsidR="006977C2" w:rsidRPr="00C97275" w:rsidRDefault="006977C2" w:rsidP="006977C2">
      <w:pPr>
        <w:autoSpaceDE w:val="0"/>
        <w:autoSpaceDN w:val="0"/>
        <w:adjustRightInd w:val="0"/>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Pagrindinė banko veikla yra paskolos. ETVB gali finansuoti individualius projektus arba paskolų programas, kurios gali apimti vieną arba keletą sektorių. Paskolos gali būti suteikiamos banko narėms, bet kokiam juridiniam asmeniui, patvirtintam konkrečios valstybės narės, kuri taip pat laiduoja už skolą, bet kokiam juridiniam asmeniui, patvirtintam banko narės, jei banko Administracinė taryba patvirtina, jog paskola turi tinkamas garantijas.</w:t>
      </w:r>
    </w:p>
    <w:p w14:paraId="62CCAF28" w14:textId="53C76ECE" w:rsidR="006977C2" w:rsidRPr="00C97275" w:rsidRDefault="006977C2" w:rsidP="006977C2">
      <w:pPr>
        <w:keepNext/>
        <w:spacing w:line="240" w:lineRule="auto"/>
        <w:rPr>
          <w:rFonts w:ascii="Georgia" w:eastAsia="PMingLiU" w:hAnsi="Georgia" w:cs="Arial"/>
          <w:b/>
          <w:bCs/>
          <w:color w:val="A32020"/>
          <w:sz w:val="20"/>
          <w:szCs w:val="20"/>
          <w:lang w:val="lt-LT"/>
        </w:rPr>
      </w:pPr>
      <w:bookmarkStart w:id="133" w:name="_Toc19105245"/>
      <w:r w:rsidRPr="00C97275">
        <w:rPr>
          <w:rFonts w:ascii="Georgia" w:eastAsia="PMingLiU" w:hAnsi="Georgia" w:cs="Times New Roman"/>
          <w:b/>
          <w:bCs/>
          <w:color w:val="A32020"/>
          <w:sz w:val="20"/>
          <w:szCs w:val="18"/>
          <w:lang w:val="lt-LT"/>
        </w:rPr>
        <w:t xml:space="preserve">Lentelė </w:t>
      </w:r>
      <w:r w:rsidRPr="00C97275">
        <w:rPr>
          <w:rFonts w:ascii="Georgia" w:eastAsia="PMingLiU" w:hAnsi="Georgia" w:cs="Times New Roman"/>
          <w:b/>
          <w:bCs/>
          <w:color w:val="A32020"/>
          <w:sz w:val="20"/>
          <w:szCs w:val="18"/>
          <w:lang w:val="lt-LT"/>
        </w:rPr>
        <w:fldChar w:fldCharType="begin"/>
      </w:r>
      <w:r w:rsidRPr="00C97275">
        <w:rPr>
          <w:rFonts w:ascii="Georgia" w:eastAsia="PMingLiU" w:hAnsi="Georgia" w:cs="Times New Roman"/>
          <w:b/>
          <w:bCs/>
          <w:color w:val="A32020"/>
          <w:sz w:val="20"/>
          <w:szCs w:val="18"/>
          <w:lang w:val="lt-LT"/>
        </w:rPr>
        <w:instrText xml:space="preserve"> SEQ Lentelė \* ARABIC </w:instrText>
      </w:r>
      <w:r w:rsidRPr="00C97275">
        <w:rPr>
          <w:rFonts w:ascii="Georgia" w:eastAsia="PMingLiU" w:hAnsi="Georgia" w:cs="Times New Roman"/>
          <w:b/>
          <w:bCs/>
          <w:color w:val="A32020"/>
          <w:sz w:val="20"/>
          <w:szCs w:val="18"/>
          <w:lang w:val="lt-LT"/>
        </w:rPr>
        <w:fldChar w:fldCharType="separate"/>
      </w:r>
      <w:r w:rsidR="001028BC" w:rsidRPr="00C97275">
        <w:rPr>
          <w:rFonts w:ascii="Georgia" w:eastAsia="PMingLiU" w:hAnsi="Georgia" w:cs="Times New Roman"/>
          <w:b/>
          <w:bCs/>
          <w:noProof/>
          <w:color w:val="A32020"/>
          <w:sz w:val="20"/>
          <w:szCs w:val="18"/>
          <w:lang w:val="lt-LT"/>
        </w:rPr>
        <w:t>32</w:t>
      </w:r>
      <w:r w:rsidRPr="00C97275">
        <w:rPr>
          <w:rFonts w:ascii="Georgia" w:eastAsia="PMingLiU" w:hAnsi="Georgia" w:cs="Times New Roman"/>
          <w:b/>
          <w:bCs/>
          <w:color w:val="A32020"/>
          <w:sz w:val="20"/>
          <w:szCs w:val="18"/>
          <w:lang w:val="lt-LT"/>
        </w:rPr>
        <w:fldChar w:fldCharType="end"/>
      </w:r>
      <w:r w:rsidRPr="00C97275">
        <w:rPr>
          <w:rFonts w:ascii="Georgia" w:eastAsia="PMingLiU" w:hAnsi="Georgia" w:cs="Times New Roman"/>
          <w:b/>
          <w:bCs/>
          <w:color w:val="A32020"/>
          <w:sz w:val="20"/>
          <w:szCs w:val="18"/>
          <w:lang w:val="lt-LT"/>
        </w:rPr>
        <w:t xml:space="preserve">. </w:t>
      </w:r>
      <w:r w:rsidRPr="00C97275">
        <w:rPr>
          <w:rFonts w:ascii="Georgia" w:eastAsia="PMingLiU" w:hAnsi="Georgia" w:cs="Arial"/>
          <w:b/>
          <w:bCs/>
          <w:color w:val="A32020"/>
          <w:sz w:val="20"/>
          <w:szCs w:val="20"/>
          <w:lang w:val="lt-LT"/>
        </w:rPr>
        <w:t>ETVB</w:t>
      </w:r>
      <w:r w:rsidRPr="00C97275">
        <w:rPr>
          <w:rFonts w:ascii="Georgia" w:eastAsia="PMingLiU" w:hAnsi="Georgia" w:cs="Times New Roman"/>
          <w:b/>
          <w:bCs/>
          <w:color w:val="A32020"/>
          <w:sz w:val="20"/>
          <w:szCs w:val="18"/>
          <w:lang w:val="lt-LT"/>
        </w:rPr>
        <w:t xml:space="preserve"> siūlomų finansinių produktų sąlygos.</w:t>
      </w:r>
      <w:bookmarkEnd w:id="133"/>
      <w:r w:rsidRPr="00C97275">
        <w:rPr>
          <w:rFonts w:ascii="Georgia" w:eastAsia="PMingLiU" w:hAnsi="Georgia" w:cs="Times New Roman"/>
          <w:b/>
          <w:bCs/>
          <w:color w:val="A32020"/>
          <w:sz w:val="20"/>
          <w:szCs w:val="18"/>
          <w:lang w:val="lt-LT"/>
        </w:rPr>
        <w:t xml:space="preserve"> </w:t>
      </w:r>
    </w:p>
    <w:tbl>
      <w:tblPr>
        <w:tblStyle w:val="3vidutinistinklelis2parykinimas"/>
        <w:tblW w:w="5000" w:type="pct"/>
        <w:tblLook w:val="04A0" w:firstRow="1" w:lastRow="0" w:firstColumn="1" w:lastColumn="0" w:noHBand="0" w:noVBand="1"/>
      </w:tblPr>
      <w:tblGrid>
        <w:gridCol w:w="4605"/>
        <w:gridCol w:w="4637"/>
      </w:tblGrid>
      <w:tr w:rsidR="006977C2" w:rsidRPr="00C97275" w14:paraId="7E95858D" w14:textId="77777777" w:rsidTr="005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hideMark/>
          </w:tcPr>
          <w:p w14:paraId="61686FCA" w14:textId="77777777" w:rsidR="006977C2" w:rsidRPr="00C97275" w:rsidRDefault="006977C2" w:rsidP="006977C2">
            <w:pPr>
              <w:keepNext/>
              <w:jc w:val="center"/>
              <w:rPr>
                <w:rFonts w:ascii="Georgia" w:eastAsia="Calibri" w:hAnsi="Georgia" w:cs="Arial"/>
                <w:bCs w:val="0"/>
                <w:color w:val="FFFFFF"/>
                <w:sz w:val="20"/>
                <w:szCs w:val="20"/>
                <w:lang w:val="lt-LT"/>
              </w:rPr>
            </w:pPr>
            <w:r w:rsidRPr="00C97275">
              <w:rPr>
                <w:rFonts w:ascii="Georgia" w:eastAsia="Calibri" w:hAnsi="Georgia" w:cs="Arial"/>
                <w:sz w:val="20"/>
                <w:szCs w:val="20"/>
                <w:lang w:val="lt-LT"/>
              </w:rPr>
              <w:t>Paskolos sąlygos</w:t>
            </w:r>
          </w:p>
        </w:tc>
      </w:tr>
      <w:tr w:rsidR="006977C2" w:rsidRPr="00C97275" w14:paraId="03048B70"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9316503" w14:textId="77777777" w:rsidR="006977C2" w:rsidRPr="00C97275" w:rsidRDefault="006977C2" w:rsidP="006977C2">
            <w:pPr>
              <w:keepNext/>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Tikslinė grupė</w:t>
            </w:r>
          </w:p>
        </w:tc>
        <w:tc>
          <w:tcPr>
            <w:tcW w:w="0" w:type="pct"/>
            <w:shd w:val="clear" w:color="auto" w:fill="FFECC0"/>
            <w:hideMark/>
          </w:tcPr>
          <w:p w14:paraId="06FD086C" w14:textId="77777777" w:rsidR="006977C2" w:rsidRPr="00C97275" w:rsidRDefault="006977C2" w:rsidP="00162BF5">
            <w:pPr>
              <w:keepNext/>
              <w:numPr>
                <w:ilvl w:val="0"/>
                <w:numId w:val="16"/>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vyriausybės, vietos ir regionų valdžios institucijos, privačios ar valstybinės finansų įstaigos;</w:t>
            </w:r>
          </w:p>
          <w:p w14:paraId="3438D307" w14:textId="77777777" w:rsidR="006977C2" w:rsidRPr="00C97275" w:rsidRDefault="006977C2" w:rsidP="00162BF5">
            <w:pPr>
              <w:keepNext/>
              <w:numPr>
                <w:ilvl w:val="0"/>
                <w:numId w:val="16"/>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bankas tiesiogiai nefinansuoja fizinių asmenų.</w:t>
            </w:r>
          </w:p>
        </w:tc>
      </w:tr>
      <w:tr w:rsidR="006977C2" w:rsidRPr="00C97275" w14:paraId="504AC268"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065FDA2"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Dydis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43C027AA" w14:textId="038E91F1" w:rsidR="006977C2" w:rsidRPr="00C97275" w:rsidRDefault="006977C2" w:rsidP="00162BF5">
            <w:pPr>
              <w:numPr>
                <w:ilvl w:val="0"/>
                <w:numId w:val="15"/>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paprastai </w:t>
            </w:r>
            <w:r w:rsidR="0011549E" w:rsidRPr="00C97275">
              <w:rPr>
                <w:rFonts w:ascii="Georgia" w:eastAsia="Calibri" w:hAnsi="Georgia" w:cs="Arial"/>
                <w:sz w:val="20"/>
                <w:szCs w:val="20"/>
                <w:lang w:val="lt-LT"/>
              </w:rPr>
              <w:t xml:space="preserve">ETVB </w:t>
            </w:r>
            <w:r w:rsidRPr="00C97275">
              <w:rPr>
                <w:rFonts w:ascii="Georgia" w:eastAsia="Calibri" w:hAnsi="Georgia" w:cs="Arial"/>
                <w:sz w:val="20"/>
                <w:szCs w:val="20"/>
                <w:lang w:val="lt-LT"/>
              </w:rPr>
              <w:t>finansavimas neviršija 50 proc. visų tinkamų projekto išlaidų;</w:t>
            </w:r>
          </w:p>
          <w:p w14:paraId="3DBE803F" w14:textId="77777777" w:rsidR="006977C2" w:rsidRPr="00C97275" w:rsidRDefault="006977C2" w:rsidP="00162BF5">
            <w:pPr>
              <w:numPr>
                <w:ilvl w:val="0"/>
                <w:numId w:val="15"/>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išskirtiniais atvejais finansavimas gali siekti iki 90 proc., ypač tikslinėse valstybėse.</w:t>
            </w:r>
          </w:p>
        </w:tc>
      </w:tr>
      <w:tr w:rsidR="006977C2" w:rsidRPr="00C97275" w14:paraId="747AA343"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5F110199"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Palūkanų norma</w:t>
            </w:r>
          </w:p>
        </w:tc>
        <w:tc>
          <w:tcPr>
            <w:tcW w:w="0" w:type="pct"/>
            <w:shd w:val="clear" w:color="auto" w:fill="FFECC0"/>
            <w:hideMark/>
          </w:tcPr>
          <w:p w14:paraId="2A77210D" w14:textId="0F8171E4" w:rsidR="006977C2" w:rsidRPr="00C97275" w:rsidRDefault="0011549E"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 xml:space="preserve">ETVB </w:t>
            </w:r>
            <w:r w:rsidR="006977C2" w:rsidRPr="00C97275">
              <w:rPr>
                <w:rFonts w:ascii="Georgia" w:eastAsia="Calibri" w:hAnsi="Georgia" w:cs="Arial"/>
                <w:sz w:val="20"/>
                <w:szCs w:val="20"/>
                <w:lang w:val="lt-LT"/>
              </w:rPr>
              <w:t>pritraukia lėšas geriausiomis sąlygomis, tuo metu esančiomis kapitalo rinkose. Šios sąlygos perduodamos skolininkams, taikant mažiausią galimą maržą, į kurią taip pat įeina banko veiklos išlaidos;</w:t>
            </w:r>
          </w:p>
          <w:p w14:paraId="373BBABA" w14:textId="77777777" w:rsidR="006977C2" w:rsidRPr="00C97275" w:rsidRDefault="006977C2"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bankas neteikia subsidijų;</w:t>
            </w:r>
          </w:p>
          <w:p w14:paraId="09774498" w14:textId="77777777" w:rsidR="006977C2" w:rsidRPr="00C97275" w:rsidRDefault="006977C2"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fiksuota arba kintanti palūkanų norma;</w:t>
            </w:r>
          </w:p>
          <w:p w14:paraId="3F8F3896" w14:textId="77777777" w:rsidR="006977C2" w:rsidRPr="00C97275" w:rsidRDefault="006977C2"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išskirtiniais atvejais paskola gali būti derinama su palūkanų normos subsidijomis.</w:t>
            </w:r>
          </w:p>
        </w:tc>
      </w:tr>
      <w:tr w:rsidR="006977C2" w:rsidRPr="00C97275" w14:paraId="6A34F898"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FD63A34"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78838FEA" w14:textId="77777777" w:rsidR="006977C2" w:rsidRPr="00C97275" w:rsidRDefault="006977C2" w:rsidP="00162BF5">
            <w:pPr>
              <w:numPr>
                <w:ilvl w:val="0"/>
                <w:numId w:val="14"/>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paprastai paskolos išduodamos eurais, tačiau, priklausomai nuo konkrečių aplinkybių, gali būti išduodamos ir kita valiuta.</w:t>
            </w:r>
          </w:p>
        </w:tc>
      </w:tr>
      <w:tr w:rsidR="006977C2" w:rsidRPr="00C97275" w14:paraId="55CDF13A"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D31D157" w14:textId="77777777" w:rsidR="006977C2" w:rsidRPr="00C97275" w:rsidRDefault="006977C2" w:rsidP="006977C2">
            <w:pPr>
              <w:autoSpaceDE w:val="0"/>
              <w:autoSpaceDN w:val="0"/>
              <w:adjustRightInd w:val="0"/>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Atidėjimo laikotarpis, mokėjimų pradžia</w:t>
            </w:r>
          </w:p>
        </w:tc>
        <w:tc>
          <w:tcPr>
            <w:tcW w:w="0" w:type="pct"/>
            <w:shd w:val="clear" w:color="auto" w:fill="FFECC0"/>
            <w:hideMark/>
          </w:tcPr>
          <w:p w14:paraId="4B389C38" w14:textId="77777777" w:rsidR="006977C2" w:rsidRPr="00C97275" w:rsidRDefault="006977C2" w:rsidP="00162BF5">
            <w:pPr>
              <w:numPr>
                <w:ilvl w:val="0"/>
                <w:numId w:val="14"/>
              </w:numPr>
              <w:autoSpaceDE w:val="0"/>
              <w:autoSpaceDN w:val="0"/>
              <w:adjustRightInd w:val="0"/>
              <w:ind w:left="175" w:hanging="175"/>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analizuojama konkretaus projekto atveju.</w:t>
            </w:r>
          </w:p>
        </w:tc>
      </w:tr>
      <w:tr w:rsidR="006977C2" w:rsidRPr="00C97275" w14:paraId="5C52007F" w14:textId="77777777" w:rsidTr="005B31C6">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58AC1297" w14:textId="77777777" w:rsidR="006977C2" w:rsidRPr="00C97275" w:rsidRDefault="006977C2" w:rsidP="006977C2">
            <w:pPr>
              <w:jc w:val="center"/>
              <w:rPr>
                <w:rFonts w:ascii="Georgia" w:eastAsia="Calibri" w:hAnsi="Georgia" w:cs="Arial"/>
                <w:bCs w:val="0"/>
                <w:color w:val="auto"/>
                <w:sz w:val="20"/>
                <w:szCs w:val="20"/>
                <w:lang w:val="lt-LT"/>
              </w:rPr>
            </w:pPr>
            <w:r w:rsidRPr="00C97275">
              <w:rPr>
                <w:rFonts w:ascii="Georgia" w:eastAsia="Calibri" w:hAnsi="Georgia" w:cs="Arial"/>
                <w:color w:val="auto"/>
                <w:sz w:val="20"/>
                <w:szCs w:val="20"/>
                <w:lang w:val="lt-LT"/>
              </w:rPr>
              <w:t>Kitos paskolos sąlygos</w:t>
            </w:r>
          </w:p>
        </w:tc>
      </w:tr>
      <w:tr w:rsidR="006977C2" w:rsidRPr="00C97275" w14:paraId="3576D7B9"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50E9F994"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Techninė parama</w:t>
            </w:r>
          </w:p>
        </w:tc>
        <w:tc>
          <w:tcPr>
            <w:tcW w:w="0" w:type="pct"/>
            <w:shd w:val="clear" w:color="auto" w:fill="FFECC0"/>
            <w:hideMark/>
          </w:tcPr>
          <w:p w14:paraId="3B187CC1" w14:textId="77777777" w:rsidR="006977C2" w:rsidRPr="00C97275" w:rsidRDefault="006977C2" w:rsidP="00162BF5">
            <w:pPr>
              <w:numPr>
                <w:ilvl w:val="0"/>
                <w:numId w:val="14"/>
              </w:numPr>
              <w:tabs>
                <w:tab w:val="left" w:pos="175"/>
              </w:tabs>
              <w:ind w:hanging="720"/>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projektui gali būti teikiama techninė parama.</w:t>
            </w:r>
          </w:p>
        </w:tc>
      </w:tr>
      <w:tr w:rsidR="006977C2" w:rsidRPr="00C97275" w14:paraId="2F9614FB"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2B3EA55B"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Rizikų vertinimas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1D5A6309" w14:textId="77777777" w:rsidR="006977C2" w:rsidRPr="00C97275" w:rsidRDefault="006977C2" w:rsidP="00162BF5">
            <w:pPr>
              <w:numPr>
                <w:ilvl w:val="0"/>
                <w:numId w:val="14"/>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esant poreikiui, bankas vertina ne tik skolininko, bet ir laiduotojo kreditingumą.</w:t>
            </w:r>
          </w:p>
        </w:tc>
      </w:tr>
      <w:tr w:rsidR="006977C2" w:rsidRPr="00C97275" w14:paraId="780594F7"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2BAFAA51"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Paskolos užtikrinimas</w:t>
            </w:r>
          </w:p>
        </w:tc>
        <w:tc>
          <w:tcPr>
            <w:tcW w:w="0" w:type="pct"/>
            <w:shd w:val="clear" w:color="auto" w:fill="FFECC0"/>
            <w:hideMark/>
          </w:tcPr>
          <w:p w14:paraId="0D25A3B2" w14:textId="77777777" w:rsidR="006977C2" w:rsidRPr="00C97275" w:rsidRDefault="006977C2" w:rsidP="00162BF5">
            <w:pPr>
              <w:numPr>
                <w:ilvl w:val="0"/>
                <w:numId w:val="13"/>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bankui pareikalavus, skolininko įsipareigojimai turi būtų užtikrinti trečiosios šalies. Laiduotoju gali būti valstybė narė, vyriausybės institucija, finansų įstaiga arba kitas viešasis arba privatus juridinis asmuo, patvirtintas CEB.</w:t>
            </w:r>
          </w:p>
        </w:tc>
      </w:tr>
      <w:tr w:rsidR="006977C2" w:rsidRPr="00C97275" w14:paraId="6F67194B"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0930B581" w14:textId="77777777" w:rsidR="006977C2" w:rsidRPr="00C97275" w:rsidRDefault="006977C2" w:rsidP="006977C2">
            <w:pPr>
              <w:jc w:val="both"/>
              <w:rPr>
                <w:rFonts w:ascii="Georgia" w:eastAsia="Calibri" w:hAnsi="Georgia" w:cs="Arial"/>
                <w:b w:val="0"/>
                <w:bCs w:val="0"/>
                <w:color w:val="auto"/>
                <w:sz w:val="20"/>
                <w:szCs w:val="20"/>
                <w:lang w:val="lt-LT"/>
              </w:rPr>
            </w:pPr>
            <w:r w:rsidRPr="00C97275">
              <w:rPr>
                <w:rFonts w:ascii="Georgia" w:eastAsia="Calibri" w:hAnsi="Georgia" w:cs="Arial"/>
                <w:color w:val="auto"/>
                <w:sz w:val="20"/>
                <w:szCs w:val="20"/>
                <w:lang w:val="lt-LT"/>
              </w:rPr>
              <w:t>Projekto priežiūra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2CAFCD63" w14:textId="77777777" w:rsidR="006977C2" w:rsidRPr="00C97275" w:rsidRDefault="006977C2" w:rsidP="00162BF5">
            <w:pPr>
              <w:numPr>
                <w:ilvl w:val="0"/>
                <w:numId w:val="13"/>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projektui prasidėjus bankas atlieka nuolatines priežiūros procedūras ir patikras vietoje.</w:t>
            </w:r>
          </w:p>
        </w:tc>
      </w:tr>
      <w:tr w:rsidR="006977C2" w:rsidRPr="00C97275" w14:paraId="43B60D53"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hideMark/>
          </w:tcPr>
          <w:p w14:paraId="61423347" w14:textId="77777777" w:rsidR="006977C2" w:rsidRPr="00C97275" w:rsidRDefault="006977C2" w:rsidP="006977C2">
            <w:pPr>
              <w:jc w:val="center"/>
              <w:rPr>
                <w:rFonts w:ascii="Georgia" w:eastAsia="Calibri" w:hAnsi="Georgia" w:cs="Arial"/>
                <w:bCs w:val="0"/>
                <w:color w:val="FFFFFF"/>
                <w:sz w:val="20"/>
                <w:szCs w:val="20"/>
                <w:lang w:val="lt-LT"/>
              </w:rPr>
            </w:pPr>
            <w:r w:rsidRPr="00C97275">
              <w:rPr>
                <w:rFonts w:ascii="Georgia" w:eastAsia="Calibri" w:hAnsi="Georgia" w:cs="Arial"/>
                <w:color w:val="auto"/>
                <w:sz w:val="20"/>
                <w:szCs w:val="20"/>
                <w:lang w:val="lt-LT"/>
              </w:rPr>
              <w:lastRenderedPageBreak/>
              <w:t>Paskolos mokėjimas</w:t>
            </w:r>
          </w:p>
        </w:tc>
      </w:tr>
      <w:tr w:rsidR="006977C2" w:rsidRPr="00C97275" w14:paraId="44743A49"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bottom w:val="single" w:sz="8" w:space="0" w:color="FFFFFF"/>
            </w:tcBorders>
            <w:shd w:val="clear" w:color="auto" w:fill="FFECC0"/>
          </w:tcPr>
          <w:p w14:paraId="3A29FD86" w14:textId="77777777" w:rsidR="006977C2" w:rsidRPr="00C97275" w:rsidRDefault="006977C2" w:rsidP="006977C2">
            <w:pPr>
              <w:jc w:val="both"/>
              <w:rPr>
                <w:rFonts w:ascii="Georgia" w:eastAsia="Calibri" w:hAnsi="Georgia" w:cs="Arial"/>
                <w:b w:val="0"/>
                <w:bCs w:val="0"/>
                <w:color w:val="FFFFFF"/>
                <w:sz w:val="20"/>
                <w:szCs w:val="20"/>
                <w:lang w:val="lt-LT"/>
              </w:rPr>
            </w:pPr>
          </w:p>
        </w:tc>
        <w:tc>
          <w:tcPr>
            <w:tcW w:w="0" w:type="pct"/>
            <w:tcBorders>
              <w:top w:val="single" w:sz="6" w:space="0" w:color="FFFFFF"/>
              <w:left w:val="single" w:sz="6" w:space="0" w:color="FFFFFF"/>
              <w:bottom w:val="single" w:sz="8" w:space="0" w:color="FFFFFF"/>
              <w:right w:val="single" w:sz="8" w:space="0" w:color="FFFFFF"/>
            </w:tcBorders>
            <w:shd w:val="clear" w:color="auto" w:fill="FFECC0"/>
            <w:hideMark/>
          </w:tcPr>
          <w:p w14:paraId="77EFC562" w14:textId="77777777" w:rsidR="006977C2" w:rsidRPr="00C97275" w:rsidRDefault="006977C2" w:rsidP="00162BF5">
            <w:pPr>
              <w:numPr>
                <w:ilvl w:val="0"/>
                <w:numId w:val="13"/>
              </w:numPr>
              <w:tabs>
                <w:tab w:val="left" w:pos="289"/>
              </w:tabs>
              <w:spacing w:after="160" w:line="256" w:lineRule="auto"/>
              <w:ind w:left="147" w:hanging="147"/>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C97275">
              <w:rPr>
                <w:rFonts w:ascii="Georgia" w:eastAsia="Calibri" w:hAnsi="Georgia" w:cs="Arial"/>
                <w:sz w:val="20"/>
                <w:szCs w:val="20"/>
                <w:lang w:val="lt-LT"/>
              </w:rPr>
              <w:t>paskolos išmokamos mažiausiai dviem dalimis, įvertinant a) esamą projekto situaciją / pažangą; b) projekto / skolininko lėšų įsisavinimo pajėgumus.</w:t>
            </w:r>
          </w:p>
        </w:tc>
      </w:tr>
    </w:tbl>
    <w:p w14:paraId="39ECDBC3" w14:textId="73FAF92A" w:rsidR="006977C2" w:rsidRPr="00C97275" w:rsidRDefault="006977C2" w:rsidP="006977C2">
      <w:pPr>
        <w:spacing w:after="0"/>
        <w:jc w:val="both"/>
        <w:rPr>
          <w:rFonts w:ascii="Georgia" w:eastAsia="Calibri" w:hAnsi="Georgia" w:cs="Arial"/>
          <w:i/>
          <w:sz w:val="20"/>
          <w:szCs w:val="20"/>
          <w:lang w:val="lt-LT"/>
        </w:rPr>
      </w:pPr>
      <w:r w:rsidRPr="00C97275">
        <w:rPr>
          <w:rFonts w:ascii="Georgia" w:eastAsia="PMingLiU" w:hAnsi="Georgia" w:cs="Times New Roman"/>
          <w:bCs/>
          <w:i/>
          <w:color w:val="A32020"/>
          <w:sz w:val="20"/>
          <w:szCs w:val="18"/>
          <w:lang w:val="lt-LT"/>
        </w:rPr>
        <w:t>Šaltinis: ETVB paskolų teikimo politika ir projektų rengimo metodika</w:t>
      </w:r>
      <w:r w:rsidRPr="00C97275">
        <w:rPr>
          <w:rFonts w:ascii="Georgia" w:eastAsia="Calibri" w:hAnsi="Georgia" w:cs="Arial"/>
          <w:i/>
          <w:sz w:val="20"/>
          <w:szCs w:val="20"/>
          <w:vertAlign w:val="superscript"/>
          <w:lang w:val="lt-LT"/>
        </w:rPr>
        <w:footnoteReference w:id="112"/>
      </w:r>
      <w:r w:rsidRPr="00C97275">
        <w:rPr>
          <w:rFonts w:ascii="Georgia" w:eastAsia="Calibri" w:hAnsi="Georgia" w:cs="Arial"/>
          <w:i/>
          <w:sz w:val="20"/>
          <w:szCs w:val="20"/>
          <w:lang w:val="lt-LT"/>
        </w:rPr>
        <w:t>.</w:t>
      </w:r>
    </w:p>
    <w:p w14:paraId="4EB78821" w14:textId="77777777" w:rsidR="006977C2" w:rsidRPr="00C97275" w:rsidRDefault="006977C2" w:rsidP="006977C2">
      <w:pPr>
        <w:spacing w:after="0" w:line="240" w:lineRule="auto"/>
        <w:rPr>
          <w:rFonts w:ascii="Georgia" w:eastAsia="Calibri" w:hAnsi="Georgia" w:cs="Arial"/>
          <w:i/>
          <w:sz w:val="20"/>
          <w:szCs w:val="20"/>
          <w:lang w:val="lt-LT"/>
        </w:rPr>
      </w:pPr>
    </w:p>
    <w:p w14:paraId="71EE2DFB" w14:textId="77777777" w:rsidR="006977C2" w:rsidRPr="00C97275" w:rsidRDefault="006977C2" w:rsidP="006977C2">
      <w:pPr>
        <w:spacing w:after="240" w:line="240" w:lineRule="atLeast"/>
        <w:rPr>
          <w:rFonts w:ascii="Georgia" w:eastAsia="PMingLiU" w:hAnsi="Georgia" w:cs="Times New Roman"/>
          <w:b/>
          <w:i/>
          <w:sz w:val="20"/>
          <w:szCs w:val="20"/>
          <w:lang w:val="lt-LT"/>
        </w:rPr>
      </w:pPr>
      <w:r w:rsidRPr="00C97275">
        <w:rPr>
          <w:rFonts w:ascii="Georgia" w:eastAsia="PMingLiU" w:hAnsi="Georgia" w:cs="Times New Roman"/>
          <w:b/>
          <w:i/>
          <w:sz w:val="20"/>
          <w:szCs w:val="20"/>
          <w:lang w:val="lt-LT"/>
        </w:rPr>
        <w:t>Garantijos</w:t>
      </w:r>
    </w:p>
    <w:p w14:paraId="5966E7C6" w14:textId="77777777" w:rsidR="006977C2" w:rsidRPr="00C97275" w:rsidRDefault="006977C2" w:rsidP="006977C2">
      <w:pPr>
        <w:spacing w:after="120"/>
        <w:jc w:val="both"/>
        <w:rPr>
          <w:rFonts w:ascii="Georgia" w:eastAsia="Calibri" w:hAnsi="Georgia" w:cs="Arial"/>
          <w:sz w:val="20"/>
          <w:szCs w:val="20"/>
          <w:lang w:val="lt-LT"/>
        </w:rPr>
      </w:pPr>
      <w:r w:rsidRPr="00C97275">
        <w:rPr>
          <w:rFonts w:ascii="Georgia" w:eastAsia="Calibri" w:hAnsi="Georgia" w:cs="Arial"/>
          <w:sz w:val="20"/>
          <w:szCs w:val="20"/>
          <w:lang w:val="lt-LT"/>
        </w:rPr>
        <w:t>Bankas teikia garantijas finansų įstaigoms (patvirtintoms banko narių), skirtas įgyvendinti banko tikslus. Kiekvienu atveju vertinama konkreti situacija.</w:t>
      </w:r>
    </w:p>
    <w:p w14:paraId="5BD67EDB" w14:textId="77777777" w:rsidR="006977C2" w:rsidRPr="00C97275" w:rsidRDefault="006977C2" w:rsidP="006977C2">
      <w:pPr>
        <w:keepNext/>
        <w:spacing w:after="240"/>
        <w:rPr>
          <w:rFonts w:ascii="Georgia" w:eastAsia="PMingLiU" w:hAnsi="Georgia" w:cs="Times New Roman"/>
          <w:i/>
          <w:sz w:val="20"/>
          <w:szCs w:val="20"/>
          <w:lang w:val="lt-LT"/>
        </w:rPr>
      </w:pPr>
      <w:r w:rsidRPr="00C97275">
        <w:rPr>
          <w:rFonts w:ascii="Georgia" w:eastAsia="PMingLiU" w:hAnsi="Georgia" w:cs="Times New Roman"/>
          <w:i/>
          <w:sz w:val="20"/>
          <w:szCs w:val="20"/>
          <w:lang w:val="lt-LT"/>
        </w:rPr>
        <w:t>Patikos sąskaitos</w:t>
      </w:r>
    </w:p>
    <w:p w14:paraId="4ECD6EED" w14:textId="77777777" w:rsidR="006977C2" w:rsidRPr="00C97275" w:rsidRDefault="006977C2" w:rsidP="006977C2">
      <w:pPr>
        <w:keepNext/>
        <w:jc w:val="both"/>
        <w:rPr>
          <w:rFonts w:ascii="Georgia" w:eastAsia="Calibri" w:hAnsi="Georgia" w:cs="Georgia"/>
          <w:sz w:val="20"/>
          <w:szCs w:val="20"/>
          <w:lang w:val="lt-LT"/>
        </w:rPr>
      </w:pPr>
      <w:r w:rsidRPr="00C97275">
        <w:rPr>
          <w:rFonts w:ascii="Georgia" w:eastAsia="Calibri" w:hAnsi="Georgia" w:cs="Arial"/>
          <w:sz w:val="20"/>
          <w:szCs w:val="20"/>
          <w:lang w:val="lt-LT"/>
        </w:rPr>
        <w:t>Bankas gali atidaryti ir naudoti patikos sąskaitas savo veikloje. Patikos sąskaitos gali būti naudojamos teikiant palūkanų subsidijas paskoloms, suteiktoms CEB, arba teikiant subsidijas investicijoms arba techninei paramai. Patikos sąskaitos ištekliai gali būti naudojami projektams, turintiems ženklų socialinį poveikį ir įgyvendinamiems nustatytose valstybėse.</w:t>
      </w:r>
    </w:p>
    <w:p w14:paraId="2E0E68DE" w14:textId="131EF670" w:rsidR="00984ACE" w:rsidRPr="00C97275" w:rsidRDefault="00984ACE" w:rsidP="00F55A2A">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34" w:name="_Toc25594674"/>
      <w:r w:rsidRPr="00C97275">
        <w:rPr>
          <w:rFonts w:ascii="Georgia" w:eastAsia="Times New Roman" w:hAnsi="Georgia" w:cs="Arial Unicode MS"/>
          <w:b/>
          <w:i/>
          <w:color w:val="821A1A"/>
          <w:sz w:val="32"/>
          <w:szCs w:val="26"/>
          <w:lang w:val="lt-LT"/>
        </w:rPr>
        <w:t>E</w:t>
      </w:r>
      <w:r w:rsidR="00A15BAF" w:rsidRPr="00C97275">
        <w:rPr>
          <w:rFonts w:ascii="Georgia" w:eastAsia="Times New Roman" w:hAnsi="Georgia" w:cs="Arial Unicode MS"/>
          <w:b/>
          <w:i/>
          <w:color w:val="821A1A"/>
          <w:sz w:val="32"/>
          <w:szCs w:val="26"/>
          <w:lang w:val="lt-LT"/>
        </w:rPr>
        <w:t>nergijos Taupymo Paslaug</w:t>
      </w:r>
      <w:r w:rsidR="000777A6" w:rsidRPr="00C97275">
        <w:rPr>
          <w:rFonts w:ascii="Georgia" w:eastAsia="Times New Roman" w:hAnsi="Georgia" w:cs="Arial Unicode MS"/>
          <w:b/>
          <w:i/>
          <w:color w:val="821A1A"/>
          <w:sz w:val="32"/>
          <w:szCs w:val="26"/>
          <w:lang w:val="lt-LT"/>
        </w:rPr>
        <w:t>ų Įmonės (ESCO</w:t>
      </w:r>
      <w:r w:rsidR="00A15BAF" w:rsidRPr="00C97275">
        <w:rPr>
          <w:rFonts w:ascii="Georgia" w:eastAsia="Times New Roman" w:hAnsi="Georgia" w:cs="Arial Unicode MS"/>
          <w:b/>
          <w:i/>
          <w:color w:val="821A1A"/>
          <w:sz w:val="32"/>
          <w:szCs w:val="26"/>
          <w:lang w:val="lt-LT"/>
        </w:rPr>
        <w:t>)</w:t>
      </w:r>
      <w:bookmarkEnd w:id="134"/>
    </w:p>
    <w:p w14:paraId="048F5D79" w14:textId="1D5B9995" w:rsidR="00A15BAF" w:rsidRPr="00C97275" w:rsidRDefault="000777A6" w:rsidP="0063781D">
      <w:pPr>
        <w:jc w:val="both"/>
        <w:rPr>
          <w:rFonts w:ascii="Georgia" w:hAnsi="Georgia"/>
          <w:sz w:val="20"/>
          <w:szCs w:val="20"/>
          <w:lang w:val="lt-LT"/>
        </w:rPr>
      </w:pPr>
      <w:r w:rsidRPr="00C97275">
        <w:rPr>
          <w:rFonts w:ascii="Georgia" w:hAnsi="Georgia"/>
          <w:sz w:val="20"/>
          <w:szCs w:val="20"/>
          <w:lang w:val="lt-LT"/>
        </w:rPr>
        <w:t>ESCO koncepcija buvo trumpai aptarta 2-</w:t>
      </w:r>
      <w:r w:rsidR="00660FB3" w:rsidRPr="00C97275">
        <w:rPr>
          <w:rFonts w:ascii="Georgia" w:hAnsi="Georgia"/>
          <w:sz w:val="20"/>
          <w:szCs w:val="20"/>
          <w:lang w:val="lt-LT"/>
        </w:rPr>
        <w:t>ajame skyriuje</w:t>
      </w:r>
      <w:r w:rsidRPr="00C97275">
        <w:rPr>
          <w:rFonts w:ascii="Georgia" w:hAnsi="Georgia"/>
          <w:sz w:val="20"/>
          <w:szCs w:val="20"/>
          <w:lang w:val="lt-LT"/>
        </w:rPr>
        <w:t>, kur buvo išdėstytos pagrindinės matomos rizikos</w:t>
      </w:r>
      <w:r w:rsidR="00BC3EA8" w:rsidRPr="00C97275">
        <w:rPr>
          <w:rFonts w:ascii="Georgia" w:hAnsi="Georgia"/>
          <w:sz w:val="20"/>
          <w:szCs w:val="20"/>
          <w:lang w:val="lt-LT"/>
        </w:rPr>
        <w:t xml:space="preserve"> finansuojant ESCO įmones ir jų vykdomus projektus</w:t>
      </w:r>
      <w:r w:rsidRPr="00C97275">
        <w:rPr>
          <w:rFonts w:ascii="Georgia" w:hAnsi="Georgia"/>
          <w:sz w:val="20"/>
          <w:szCs w:val="20"/>
          <w:lang w:val="lt-LT"/>
        </w:rPr>
        <w:t xml:space="preserve"> iš komercinių bankų perspektyvos. </w:t>
      </w:r>
      <w:r w:rsidR="00774024" w:rsidRPr="00C97275">
        <w:rPr>
          <w:rFonts w:ascii="Georgia" w:hAnsi="Georgia"/>
          <w:sz w:val="20"/>
          <w:szCs w:val="20"/>
          <w:lang w:val="lt-LT"/>
        </w:rPr>
        <w:t>Energijos taupymo paslaugų įmonės galėtų būti vienu iš realiausių privataus finansavimo šaltinių vykdant energetikos efektyvumo projektus, nes</w:t>
      </w:r>
      <w:r w:rsidR="00B16297" w:rsidRPr="00C97275">
        <w:rPr>
          <w:rFonts w:ascii="Georgia" w:hAnsi="Georgia"/>
          <w:sz w:val="20"/>
          <w:szCs w:val="20"/>
          <w:lang w:val="lt-LT"/>
        </w:rPr>
        <w:t xml:space="preserve"> paprastai</w:t>
      </w:r>
      <w:r w:rsidR="00774024" w:rsidRPr="00C97275">
        <w:rPr>
          <w:rFonts w:ascii="Georgia" w:hAnsi="Georgia"/>
          <w:sz w:val="20"/>
          <w:szCs w:val="20"/>
          <w:lang w:val="lt-LT"/>
        </w:rPr>
        <w:t xml:space="preserve"> jos turi labai aukštas technines kompetencijas, naudingos patirties atliekant daug tokio pačio tipo projektus ir geriau nei bet kas kitas gali įvertinti rizikas siekiant nustatytų energijos taupymo tikslų. Vienas pagrindinių ESCO modelio</w:t>
      </w:r>
      <w:r w:rsidR="00D9139B" w:rsidRPr="00C97275">
        <w:rPr>
          <w:rFonts w:ascii="Georgia" w:hAnsi="Georgia"/>
          <w:sz w:val="20"/>
          <w:szCs w:val="20"/>
          <w:lang w:val="lt-LT"/>
        </w:rPr>
        <w:t xml:space="preserve"> </w:t>
      </w:r>
      <w:r w:rsidR="00774024" w:rsidRPr="00C97275">
        <w:rPr>
          <w:rFonts w:ascii="Georgia" w:hAnsi="Georgia"/>
          <w:sz w:val="20"/>
          <w:szCs w:val="20"/>
          <w:lang w:val="lt-LT"/>
        </w:rPr>
        <w:t xml:space="preserve">pranašumų Lietuvoje yra </w:t>
      </w:r>
      <w:r w:rsidR="00B16297" w:rsidRPr="00C97275">
        <w:rPr>
          <w:rFonts w:ascii="Georgia" w:hAnsi="Georgia"/>
          <w:sz w:val="20"/>
          <w:szCs w:val="20"/>
          <w:lang w:val="lt-LT"/>
        </w:rPr>
        <w:t xml:space="preserve">tai, kad ESCO modelio įgyvendinimas sudarytų galimybę biudžetinėms įstaigoms skolintis investicijoms būtinas lėšas, kadangi šiuo metu </w:t>
      </w:r>
      <w:r w:rsidR="00774024" w:rsidRPr="00C97275">
        <w:rPr>
          <w:rFonts w:ascii="Georgia" w:hAnsi="Georgia"/>
          <w:sz w:val="20"/>
          <w:szCs w:val="20"/>
          <w:lang w:val="lt-LT"/>
        </w:rPr>
        <w:t xml:space="preserve">teisinė bazė draudžia biudžetinių </w:t>
      </w:r>
      <w:r w:rsidR="008E53D8" w:rsidRPr="00C97275">
        <w:rPr>
          <w:rFonts w:ascii="Georgia" w:hAnsi="Georgia"/>
          <w:sz w:val="20"/>
          <w:szCs w:val="20"/>
          <w:lang w:val="lt-LT"/>
        </w:rPr>
        <w:t>įstaigų</w:t>
      </w:r>
      <w:r w:rsidR="00774024" w:rsidRPr="00C97275">
        <w:rPr>
          <w:rFonts w:ascii="Georgia" w:hAnsi="Georgia"/>
          <w:sz w:val="20"/>
          <w:szCs w:val="20"/>
          <w:lang w:val="lt-LT"/>
        </w:rPr>
        <w:t xml:space="preserve"> skolinimosi galimybes, taip ribojant </w:t>
      </w:r>
      <w:r w:rsidR="00CC6008" w:rsidRPr="00C97275">
        <w:rPr>
          <w:rFonts w:ascii="Georgia" w:hAnsi="Georgia"/>
          <w:sz w:val="20"/>
          <w:szCs w:val="20"/>
          <w:lang w:val="lt-LT"/>
        </w:rPr>
        <w:t>rinkos dalyvių</w:t>
      </w:r>
      <w:r w:rsidR="00774024" w:rsidRPr="00C97275">
        <w:rPr>
          <w:rFonts w:ascii="Georgia" w:hAnsi="Georgia"/>
          <w:sz w:val="20"/>
          <w:szCs w:val="20"/>
          <w:lang w:val="lt-LT"/>
        </w:rPr>
        <w:t xml:space="preserve"> </w:t>
      </w:r>
      <w:r w:rsidR="00BC3EA8" w:rsidRPr="00C97275">
        <w:rPr>
          <w:rFonts w:ascii="Georgia" w:hAnsi="Georgia"/>
          <w:sz w:val="20"/>
          <w:szCs w:val="20"/>
          <w:lang w:val="lt-LT"/>
        </w:rPr>
        <w:t>viešųjų</w:t>
      </w:r>
      <w:r w:rsidR="00774024" w:rsidRPr="00C97275">
        <w:rPr>
          <w:rFonts w:ascii="Georgia" w:hAnsi="Georgia"/>
          <w:sz w:val="20"/>
          <w:szCs w:val="20"/>
          <w:lang w:val="lt-LT"/>
        </w:rPr>
        <w:t xml:space="preserve"> pastatų ir gatvių apšvietimo renovavimo finansavimo galimybes.  </w:t>
      </w:r>
      <w:r w:rsidRPr="00C97275">
        <w:rPr>
          <w:rFonts w:ascii="Georgia" w:hAnsi="Georgia"/>
          <w:sz w:val="20"/>
          <w:szCs w:val="20"/>
          <w:lang w:val="lt-LT"/>
        </w:rPr>
        <w:t xml:space="preserve"> </w:t>
      </w:r>
    </w:p>
    <w:p w14:paraId="164ABA39" w14:textId="77777777" w:rsidR="003B50ED" w:rsidRPr="00C97275" w:rsidRDefault="003B50ED" w:rsidP="0063781D">
      <w:pPr>
        <w:spacing w:after="160"/>
        <w:jc w:val="both"/>
        <w:rPr>
          <w:rFonts w:ascii="Georgia" w:eastAsia="Georgia" w:hAnsi="Georgia" w:cs="Times New Roman"/>
          <w:sz w:val="20"/>
          <w:szCs w:val="20"/>
          <w:lang w:val="lt-LT"/>
        </w:rPr>
      </w:pPr>
      <w:r w:rsidRPr="00C97275">
        <w:rPr>
          <w:rFonts w:ascii="Georgia" w:eastAsia="Georgia" w:hAnsi="Georgia" w:cs="Times New Roman"/>
          <w:sz w:val="20"/>
          <w:szCs w:val="20"/>
          <w:lang w:val="lt-LT"/>
        </w:rPr>
        <w:t>Tiek KPMG studijoje, tiek ir papildomų susitikimų su komerciniais bankais susitikimų metu buvo siekiama aptarti komercinių bankų galimybes ir norą dalyvauti finansuojant ESCO projektus. Dažnu atveju bankai atsakė, kad šis modelis jiems yra dar nepažįstamas, todėl atsakyti, ar būtų suinteresuoti finansuoti tokio pobūdžio projektus, galėjo labai abstrakčiai. Komerciniai bankai KPMG studijos autoriams nurodė, kokios pagrindinės ESCO modelio rizikos iš finansuotojo perspektyvos. Šių rizikų sąrašas ir aprašymas pateikiamas žemiau esančioje lentelėje.</w:t>
      </w:r>
    </w:p>
    <w:p w14:paraId="4BD6E35D" w14:textId="6D718005" w:rsidR="003B50ED" w:rsidRPr="00C97275" w:rsidRDefault="003B50ED" w:rsidP="003B50ED">
      <w:pPr>
        <w:spacing w:after="160" w:line="240" w:lineRule="auto"/>
        <w:jc w:val="both"/>
        <w:rPr>
          <w:rFonts w:ascii="Georgia" w:eastAsia="Georgia" w:hAnsi="Georgia" w:cs="Arial Unicode MS"/>
          <w:i/>
          <w:iCs/>
          <w:color w:val="821A1A"/>
          <w:sz w:val="20"/>
          <w:szCs w:val="18"/>
          <w:lang w:val="lt-LT"/>
        </w:rPr>
      </w:pPr>
      <w:bookmarkStart w:id="135" w:name="_Toc19105246"/>
      <w:r w:rsidRPr="00C97275">
        <w:rPr>
          <w:rFonts w:ascii="Georgia" w:eastAsia="Georgia" w:hAnsi="Georgia" w:cs="Arial Unicode MS"/>
          <w:i/>
          <w:iCs/>
          <w:color w:val="821A1A"/>
          <w:sz w:val="20"/>
          <w:szCs w:val="18"/>
          <w:lang w:val="lt-LT"/>
        </w:rPr>
        <w:t xml:space="preserve">Lentelė </w:t>
      </w:r>
      <w:r w:rsidRPr="00C97275">
        <w:rPr>
          <w:rFonts w:ascii="Georgia" w:eastAsia="Georgia" w:hAnsi="Georgia" w:cs="Arial Unicode MS"/>
          <w:i/>
          <w:iCs/>
          <w:color w:val="821A1A"/>
          <w:sz w:val="20"/>
          <w:szCs w:val="18"/>
          <w:lang w:val="lt-LT"/>
        </w:rPr>
        <w:fldChar w:fldCharType="begin"/>
      </w:r>
      <w:r w:rsidRPr="00C97275">
        <w:rPr>
          <w:rFonts w:ascii="Georgia" w:eastAsia="Georgia" w:hAnsi="Georgia" w:cs="Arial Unicode MS"/>
          <w:i/>
          <w:iCs/>
          <w:color w:val="821A1A"/>
          <w:sz w:val="20"/>
          <w:szCs w:val="18"/>
          <w:lang w:val="lt-LT"/>
        </w:rPr>
        <w:instrText xml:space="preserve"> SEQ Lentelė \* ARABIC </w:instrText>
      </w:r>
      <w:r w:rsidRPr="00C97275">
        <w:rPr>
          <w:rFonts w:ascii="Georgia" w:eastAsia="Georgia" w:hAnsi="Georgia" w:cs="Arial Unicode MS"/>
          <w:i/>
          <w:iCs/>
          <w:color w:val="821A1A"/>
          <w:sz w:val="20"/>
          <w:szCs w:val="18"/>
          <w:lang w:val="lt-LT"/>
        </w:rPr>
        <w:fldChar w:fldCharType="separate"/>
      </w:r>
      <w:r w:rsidR="001028BC" w:rsidRPr="00C97275">
        <w:rPr>
          <w:rFonts w:ascii="Georgia" w:eastAsia="Georgia" w:hAnsi="Georgia" w:cs="Arial Unicode MS"/>
          <w:i/>
          <w:iCs/>
          <w:noProof/>
          <w:color w:val="821A1A"/>
          <w:sz w:val="20"/>
          <w:szCs w:val="18"/>
          <w:lang w:val="lt-LT"/>
        </w:rPr>
        <w:t>33</w:t>
      </w:r>
      <w:r w:rsidRPr="00C97275">
        <w:rPr>
          <w:rFonts w:ascii="Georgia" w:eastAsia="Georgia" w:hAnsi="Georgia" w:cs="Arial Unicode MS"/>
          <w:i/>
          <w:iCs/>
          <w:color w:val="821A1A"/>
          <w:sz w:val="20"/>
          <w:szCs w:val="18"/>
          <w:lang w:val="lt-LT"/>
        </w:rPr>
        <w:fldChar w:fldCharType="end"/>
      </w:r>
      <w:r w:rsidRPr="00C97275">
        <w:rPr>
          <w:rFonts w:ascii="Georgia" w:eastAsia="Georgia" w:hAnsi="Georgia" w:cs="Arial Unicode MS"/>
          <w:i/>
          <w:iCs/>
          <w:color w:val="821A1A"/>
          <w:sz w:val="20"/>
          <w:szCs w:val="18"/>
          <w:lang w:val="lt-LT"/>
        </w:rPr>
        <w:t xml:space="preserve">. </w:t>
      </w:r>
      <w:r w:rsidRPr="00C97275">
        <w:rPr>
          <w:rFonts w:ascii="Georgia" w:eastAsia="Georgia" w:hAnsi="Georgia" w:cs="Arial Unicode MS"/>
          <w:i/>
          <w:iCs/>
          <w:color w:val="821A1A"/>
          <w:sz w:val="20"/>
          <w:szCs w:val="20"/>
          <w:lang w:val="lt-LT"/>
        </w:rPr>
        <w:t>ESCO modelio rizikos.</w:t>
      </w:r>
      <w:bookmarkEnd w:id="135"/>
    </w:p>
    <w:tbl>
      <w:tblPr>
        <w:tblStyle w:val="LightList-Accent21"/>
        <w:tblW w:w="5000" w:type="pct"/>
        <w:tblLook w:val="04A0" w:firstRow="1" w:lastRow="0" w:firstColumn="1" w:lastColumn="0" w:noHBand="0" w:noVBand="1"/>
      </w:tblPr>
      <w:tblGrid>
        <w:gridCol w:w="4513"/>
        <w:gridCol w:w="4729"/>
      </w:tblGrid>
      <w:tr w:rsidR="003B50ED" w:rsidRPr="00C97275" w14:paraId="3B11386D" w14:textId="77777777" w:rsidTr="005B31C6">
        <w:trPr>
          <w:cnfStyle w:val="100000000000" w:firstRow="1" w:lastRow="0" w:firstColumn="0" w:lastColumn="0" w:oddVBand="0" w:evenVBand="0" w:oddHBand="0" w:evenHBand="0" w:firstRowFirstColumn="0" w:firstRowLastColumn="0" w:lastRowFirstColumn="0" w:lastRowLastColumn="0"/>
          <w:cantSplit/>
          <w:trHeight w:val="75"/>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D62E1C"/>
              <w:left w:val="single" w:sz="8" w:space="0" w:color="D62E1C"/>
              <w:bottom w:val="nil"/>
              <w:right w:val="single" w:sz="8" w:space="0" w:color="D62E1C"/>
            </w:tcBorders>
            <w:hideMark/>
          </w:tcPr>
          <w:p w14:paraId="0DDD4BA4" w14:textId="77777777" w:rsidR="003B50ED" w:rsidRPr="00C97275" w:rsidRDefault="003B50ED" w:rsidP="00691E4D">
            <w:pPr>
              <w:keepNext/>
              <w:jc w:val="center"/>
              <w:rPr>
                <w:rFonts w:ascii="Georgia" w:eastAsia="Georgia" w:hAnsi="Georgia" w:cs="Times New Roman"/>
                <w:sz w:val="20"/>
                <w:szCs w:val="20"/>
              </w:rPr>
            </w:pPr>
            <w:r w:rsidRPr="00C97275">
              <w:rPr>
                <w:rFonts w:ascii="Georgia" w:eastAsia="Georgia" w:hAnsi="Georgia" w:cs="Times New Roman"/>
                <w:sz w:val="20"/>
                <w:szCs w:val="20"/>
              </w:rPr>
              <w:lastRenderedPageBreak/>
              <w:t>Rizika</w:t>
            </w:r>
          </w:p>
        </w:tc>
        <w:tc>
          <w:tcPr>
            <w:tcW w:w="0" w:type="pct"/>
            <w:tcBorders>
              <w:top w:val="single" w:sz="8" w:space="0" w:color="D62E1C"/>
              <w:left w:val="nil"/>
              <w:bottom w:val="nil"/>
              <w:right w:val="single" w:sz="8" w:space="0" w:color="D62E1C"/>
            </w:tcBorders>
            <w:hideMark/>
          </w:tcPr>
          <w:p w14:paraId="7DAB98C8" w14:textId="77777777" w:rsidR="003B50ED" w:rsidRPr="00C97275" w:rsidRDefault="003B50ED" w:rsidP="00691E4D">
            <w:pPr>
              <w:keepNext/>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Aprašymas</w:t>
            </w:r>
          </w:p>
        </w:tc>
      </w:tr>
      <w:tr w:rsidR="003B50ED" w:rsidRPr="00C97275" w14:paraId="4E1EB460" w14:textId="77777777" w:rsidTr="005B31C6">
        <w:trPr>
          <w:cnfStyle w:val="000000100000" w:firstRow="0" w:lastRow="0" w:firstColumn="0" w:lastColumn="0" w:oddVBand="0" w:evenVBand="0" w:oddHBand="1" w:evenHBand="0" w:firstRowFirstColumn="0" w:firstRowLastColumn="0" w:lastRowFirstColumn="0" w:lastRowLastColumn="0"/>
          <w:cantSplit/>
          <w:trHeight w:val="351"/>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1EAE8C89" w14:textId="77777777" w:rsidR="003B50ED" w:rsidRPr="00C97275" w:rsidRDefault="003B50ED" w:rsidP="00691E4D">
            <w:pPr>
              <w:keepNext/>
              <w:rPr>
                <w:rFonts w:ascii="Georgia" w:eastAsia="Georgia" w:hAnsi="Georgia" w:cs="Times New Roman"/>
                <w:sz w:val="20"/>
                <w:szCs w:val="20"/>
              </w:rPr>
            </w:pPr>
            <w:r w:rsidRPr="00C97275">
              <w:rPr>
                <w:rFonts w:ascii="Georgia" w:eastAsia="Georgia" w:hAnsi="Georgia" w:cs="Times New Roman"/>
                <w:sz w:val="20"/>
                <w:szCs w:val="20"/>
              </w:rPr>
              <w:t xml:space="preserve">Kredito rizika </w:t>
            </w:r>
          </w:p>
        </w:tc>
        <w:tc>
          <w:tcPr>
            <w:tcW w:w="0" w:type="pct"/>
            <w:tcBorders>
              <w:left w:val="nil"/>
            </w:tcBorders>
            <w:hideMark/>
          </w:tcPr>
          <w:p w14:paraId="29521C91" w14:textId="77777777" w:rsidR="003B50ED" w:rsidRPr="00C97275" w:rsidRDefault="003B50ED" w:rsidP="00691E4D">
            <w:pPr>
              <w:keepNext/>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 xml:space="preserve">Neapibrėžtumas, kuri iš šalių prisiims paskolos grąžinimo riziką tuo atveju, jei ESCO klientas nesugebės mokėti. Kadangi didžiąją dalį viešosios paskirties pastatų sąskaitų apmoka savivaldybės, komercinių bankų atstovai mato riziką, kad savivaldybių biudžetuose ESCO mokėjimams gali būti nepakankamai skirta pinigų. </w:t>
            </w:r>
          </w:p>
        </w:tc>
      </w:tr>
      <w:tr w:rsidR="003B50ED" w:rsidRPr="00C97275" w14:paraId="29AF5D55" w14:textId="77777777" w:rsidTr="005B31C6">
        <w:trPr>
          <w:cantSplit/>
          <w:trHeight w:val="351"/>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single" w:sz="8" w:space="0" w:color="D62E1C"/>
            </w:tcBorders>
            <w:hideMark/>
          </w:tcPr>
          <w:p w14:paraId="0AFAAE94" w14:textId="77777777" w:rsidR="003B50ED" w:rsidRPr="00C97275" w:rsidRDefault="003B50ED" w:rsidP="00691E4D">
            <w:pPr>
              <w:rPr>
                <w:rFonts w:ascii="Georgia" w:eastAsia="Georgia" w:hAnsi="Georgia" w:cs="Times New Roman"/>
                <w:sz w:val="20"/>
                <w:szCs w:val="20"/>
              </w:rPr>
            </w:pPr>
            <w:r w:rsidRPr="00C97275">
              <w:rPr>
                <w:rFonts w:ascii="Georgia" w:eastAsia="Georgia" w:hAnsi="Georgia" w:cs="Times New Roman"/>
                <w:sz w:val="20"/>
                <w:szCs w:val="20"/>
              </w:rPr>
              <w:t xml:space="preserve">Rizika, susijusi su ilgalaikiu turto naudojimu </w:t>
            </w:r>
          </w:p>
        </w:tc>
        <w:tc>
          <w:tcPr>
            <w:tcW w:w="0" w:type="pct"/>
            <w:tcBorders>
              <w:top w:val="nil"/>
              <w:left w:val="nil"/>
              <w:bottom w:val="nil"/>
              <w:right w:val="single" w:sz="8" w:space="0" w:color="D62E1C"/>
            </w:tcBorders>
            <w:hideMark/>
          </w:tcPr>
          <w:p w14:paraId="4E08263A" w14:textId="77777777" w:rsidR="003B50ED" w:rsidRPr="00C97275" w:rsidRDefault="003B50ED" w:rsidP="00691E4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 xml:space="preserve">ESCO projektų paskolų grąžinimai gali užtrukti ilgą laikotarpį. Egzistuoja rizika, kad per tą laiką pastatas bus uždarytas ar pakeistas kitu. Bankai nori garantijų, kad pastatai bus naudojami visą sutarties laiką, arba kad, tuo atveju, kai modernizuotas pastatas uždaromas, mokėjimai bus skiriami iš organizacijos biudžeto. </w:t>
            </w:r>
          </w:p>
        </w:tc>
      </w:tr>
      <w:tr w:rsidR="003B50ED" w:rsidRPr="00C97275" w14:paraId="1AB17C1E" w14:textId="77777777" w:rsidTr="005B31C6">
        <w:trPr>
          <w:cnfStyle w:val="000000100000" w:firstRow="0" w:lastRow="0" w:firstColumn="0" w:lastColumn="0" w:oddVBand="0" w:evenVBand="0" w:oddHBand="1" w:evenHBand="0" w:firstRowFirstColumn="0" w:firstRowLastColumn="0" w:lastRowFirstColumn="0" w:lastRowLastColumn="0"/>
          <w:cantSplit/>
          <w:trHeight w:val="260"/>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479C4CB0" w14:textId="77777777" w:rsidR="003B50ED" w:rsidRPr="00C97275" w:rsidRDefault="003B50ED" w:rsidP="00691E4D">
            <w:pPr>
              <w:rPr>
                <w:rFonts w:ascii="Georgia" w:eastAsia="Georgia" w:hAnsi="Georgia" w:cs="Times New Roman"/>
                <w:sz w:val="20"/>
                <w:szCs w:val="20"/>
              </w:rPr>
            </w:pPr>
            <w:r w:rsidRPr="00C97275">
              <w:rPr>
                <w:rFonts w:ascii="Georgia" w:eastAsia="Georgia" w:hAnsi="Georgia" w:cs="Times New Roman"/>
                <w:sz w:val="20"/>
                <w:szCs w:val="20"/>
              </w:rPr>
              <w:t xml:space="preserve">Politinė rizika </w:t>
            </w:r>
          </w:p>
        </w:tc>
        <w:tc>
          <w:tcPr>
            <w:tcW w:w="0" w:type="pct"/>
            <w:tcBorders>
              <w:left w:val="nil"/>
            </w:tcBorders>
            <w:hideMark/>
          </w:tcPr>
          <w:p w14:paraId="5236C85D" w14:textId="77777777" w:rsidR="003B50ED" w:rsidRPr="00C97275" w:rsidRDefault="003B50ED" w:rsidP="00691E4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ESCO koncepcija Lietuvoje yra naujas dalykas, todėl egzistuoja rizika, kad po kelių metų nauja vyriausybė gali pakeisti nuomonę. Bankai įžvelgia riziką, kad vyriausybė gali sustabdyti ESCO projektų finansavimą. Viena iš pagrindinių problemų, jog šiuo metu nėra sukurtos jokios teisinės bazės apibrėžiančios ESCO prielaidas bei veikimo būdus, tačiau politinė parama šiam modeliui yra.</w:t>
            </w:r>
          </w:p>
        </w:tc>
      </w:tr>
      <w:tr w:rsidR="003B50ED" w:rsidRPr="00C97275" w14:paraId="7105501C" w14:textId="77777777" w:rsidTr="005B31C6">
        <w:trPr>
          <w:cantSplit/>
          <w:trHeight w:val="259"/>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single" w:sz="8" w:space="0" w:color="D62E1C"/>
            </w:tcBorders>
            <w:hideMark/>
          </w:tcPr>
          <w:p w14:paraId="25F346B1" w14:textId="77777777" w:rsidR="003B50ED" w:rsidRPr="00C97275" w:rsidRDefault="003B50ED" w:rsidP="00691E4D">
            <w:pPr>
              <w:rPr>
                <w:rFonts w:ascii="Georgia" w:eastAsia="Georgia" w:hAnsi="Georgia" w:cs="Times New Roman"/>
                <w:sz w:val="20"/>
                <w:szCs w:val="20"/>
              </w:rPr>
            </w:pPr>
            <w:r w:rsidRPr="00C97275">
              <w:rPr>
                <w:rFonts w:ascii="Georgia" w:eastAsia="Georgia" w:hAnsi="Georgia" w:cs="Times New Roman"/>
                <w:sz w:val="20"/>
                <w:szCs w:val="20"/>
              </w:rPr>
              <w:t xml:space="preserve">Rizika, susijusi su ilgalaikiu finansavimu </w:t>
            </w:r>
          </w:p>
        </w:tc>
        <w:tc>
          <w:tcPr>
            <w:tcW w:w="0" w:type="pct"/>
            <w:tcBorders>
              <w:top w:val="nil"/>
              <w:left w:val="nil"/>
              <w:bottom w:val="nil"/>
              <w:right w:val="single" w:sz="8" w:space="0" w:color="D62E1C"/>
            </w:tcBorders>
            <w:hideMark/>
          </w:tcPr>
          <w:p w14:paraId="00EBCC32" w14:textId="77777777" w:rsidR="003B50ED" w:rsidRPr="00C97275" w:rsidRDefault="003B50ED" w:rsidP="00691E4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 xml:space="preserve">Komercinių bankų atstovai mano, kad ESCO projektų koncepcija yra sudėtinga. Ilgalaikis projektų finansavimas turi įvairių rizikų, todėl per fondus vykdomas refinansavimas būtų mažiau rizikinga alternatyva. </w:t>
            </w:r>
          </w:p>
        </w:tc>
      </w:tr>
      <w:tr w:rsidR="003B50ED" w:rsidRPr="00C97275" w14:paraId="4CAFC286" w14:textId="77777777" w:rsidTr="005B31C6">
        <w:trPr>
          <w:cnfStyle w:val="000000100000" w:firstRow="0" w:lastRow="0" w:firstColumn="0" w:lastColumn="0" w:oddVBand="0" w:evenVBand="0" w:oddHBand="1" w:evenHBand="0" w:firstRowFirstColumn="0" w:firstRowLastColumn="0" w:lastRowFirstColumn="0" w:lastRowLastColumn="0"/>
          <w:cantSplit/>
          <w:trHeight w:val="167"/>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73DF39FB" w14:textId="77777777" w:rsidR="003B50ED" w:rsidRPr="00C97275" w:rsidRDefault="003B50ED" w:rsidP="00691E4D">
            <w:pPr>
              <w:rPr>
                <w:rFonts w:ascii="Georgia" w:eastAsia="Georgia" w:hAnsi="Georgia" w:cs="Times New Roman"/>
                <w:sz w:val="20"/>
                <w:szCs w:val="20"/>
              </w:rPr>
            </w:pPr>
            <w:r w:rsidRPr="00C97275">
              <w:rPr>
                <w:rFonts w:ascii="Georgia" w:eastAsia="Georgia" w:hAnsi="Georgia" w:cs="Times New Roman"/>
                <w:sz w:val="20"/>
                <w:szCs w:val="20"/>
              </w:rPr>
              <w:t xml:space="preserve">Patikimumo rizika </w:t>
            </w:r>
          </w:p>
        </w:tc>
        <w:tc>
          <w:tcPr>
            <w:tcW w:w="0" w:type="pct"/>
            <w:tcBorders>
              <w:left w:val="nil"/>
            </w:tcBorders>
            <w:hideMark/>
          </w:tcPr>
          <w:p w14:paraId="55C048A5" w14:textId="77777777" w:rsidR="003B50ED" w:rsidRPr="00C97275" w:rsidRDefault="003B50ED" w:rsidP="00691E4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 xml:space="preserve">Komerciniai bankai įžvelgia riziką, susijusią su įmonės akcininkų patikimumu, kai sutartys sudaromas ilgam laikotarpiui. Bankams reikėtų atlikti potencialių ESCO vindikaciją. </w:t>
            </w:r>
          </w:p>
        </w:tc>
      </w:tr>
      <w:tr w:rsidR="003B50ED" w:rsidRPr="00C97275" w14:paraId="6EFC58C1" w14:textId="77777777" w:rsidTr="005B31C6">
        <w:trPr>
          <w:cantSplit/>
          <w:trHeight w:val="351"/>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single" w:sz="8" w:space="0" w:color="D62E1C"/>
            </w:tcBorders>
            <w:hideMark/>
          </w:tcPr>
          <w:p w14:paraId="0DC66DB1" w14:textId="77777777" w:rsidR="003B50ED" w:rsidRPr="00C97275" w:rsidRDefault="003B50ED" w:rsidP="00691E4D">
            <w:pPr>
              <w:rPr>
                <w:rFonts w:ascii="Georgia" w:eastAsia="Georgia" w:hAnsi="Georgia" w:cs="Times New Roman"/>
                <w:sz w:val="20"/>
                <w:szCs w:val="20"/>
              </w:rPr>
            </w:pPr>
            <w:r w:rsidRPr="00C97275">
              <w:rPr>
                <w:rFonts w:ascii="Georgia" w:eastAsia="Georgia" w:hAnsi="Georgia" w:cs="Times New Roman"/>
                <w:sz w:val="20"/>
                <w:szCs w:val="20"/>
              </w:rPr>
              <w:t xml:space="preserve">Sutarčių rizika </w:t>
            </w:r>
          </w:p>
        </w:tc>
        <w:tc>
          <w:tcPr>
            <w:tcW w:w="0" w:type="pct"/>
            <w:tcBorders>
              <w:top w:val="nil"/>
              <w:left w:val="nil"/>
              <w:bottom w:val="nil"/>
              <w:right w:val="single" w:sz="8" w:space="0" w:color="D62E1C"/>
            </w:tcBorders>
            <w:hideMark/>
          </w:tcPr>
          <w:p w14:paraId="106ADF11" w14:textId="77777777" w:rsidR="003B50ED" w:rsidRPr="00C97275" w:rsidRDefault="003B50ED" w:rsidP="00691E4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 xml:space="preserve">Kadangi šie projektai apima daug trumpalaikių ir ilgalaikių įsipareigojimų (sutaupomos energijos užtikrinimas, priežiūros užtikrinimas lėšų grąžinimo laikotarpiu ir kt.) bankai pripažįsta, egzistuojant didelę riziką, jog įmonė nesugebės vykdyti visų sutartyje numatytų įsipareigojimų. </w:t>
            </w:r>
          </w:p>
        </w:tc>
      </w:tr>
      <w:tr w:rsidR="003B50ED" w:rsidRPr="00C97275" w14:paraId="25C54C8D" w14:textId="77777777" w:rsidTr="005B31C6">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61E5CC30" w14:textId="77777777" w:rsidR="003B50ED" w:rsidRPr="00C97275" w:rsidRDefault="003B50ED" w:rsidP="00691E4D">
            <w:pPr>
              <w:rPr>
                <w:rFonts w:ascii="Georgia" w:eastAsia="Georgia" w:hAnsi="Georgia" w:cs="Times New Roman"/>
                <w:sz w:val="20"/>
                <w:szCs w:val="20"/>
              </w:rPr>
            </w:pPr>
            <w:r w:rsidRPr="00C97275">
              <w:rPr>
                <w:rFonts w:ascii="Georgia" w:eastAsia="Georgia" w:hAnsi="Georgia" w:cs="Times New Roman"/>
                <w:sz w:val="20"/>
                <w:szCs w:val="20"/>
              </w:rPr>
              <w:t xml:space="preserve">Rizika, susijusi su kvalifikacija </w:t>
            </w:r>
          </w:p>
        </w:tc>
        <w:tc>
          <w:tcPr>
            <w:tcW w:w="0" w:type="pct"/>
            <w:tcBorders>
              <w:left w:val="nil"/>
            </w:tcBorders>
            <w:hideMark/>
          </w:tcPr>
          <w:p w14:paraId="47D732D1" w14:textId="77777777" w:rsidR="003B50ED" w:rsidRPr="00C97275" w:rsidRDefault="003B50ED" w:rsidP="00691E4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C97275">
              <w:rPr>
                <w:rFonts w:ascii="Georgia" w:eastAsia="Georgia" w:hAnsi="Georgia" w:cs="Times New Roman"/>
                <w:sz w:val="20"/>
                <w:szCs w:val="20"/>
              </w:rPr>
              <w:t xml:space="preserve">Esamų bendrovių ribotos žinios, nes Lietuvoje ESCO projektų patirties beveik nėra. Bankai įžvelgia riziką, kad įmonės neturės pakankamai techninių žinių apie ESCO tipo projektus. </w:t>
            </w:r>
          </w:p>
        </w:tc>
      </w:tr>
    </w:tbl>
    <w:p w14:paraId="1D1681C9" w14:textId="77777777" w:rsidR="003B50ED" w:rsidRPr="00C97275" w:rsidRDefault="003B50ED" w:rsidP="003B50ED">
      <w:pPr>
        <w:spacing w:after="160" w:line="240" w:lineRule="auto"/>
        <w:jc w:val="both"/>
        <w:rPr>
          <w:rFonts w:ascii="Georgia" w:eastAsia="Georgia" w:hAnsi="Georgia" w:cs="Arial Unicode MS"/>
          <w:b/>
          <w:iCs/>
          <w:color w:val="821A1A"/>
          <w:sz w:val="20"/>
          <w:szCs w:val="18"/>
          <w:lang w:val="lt-LT"/>
        </w:rPr>
      </w:pPr>
      <w:r w:rsidRPr="00C97275">
        <w:rPr>
          <w:rFonts w:ascii="Georgia" w:eastAsia="Georgia" w:hAnsi="Georgia" w:cs="Arial Unicode MS"/>
          <w:i/>
          <w:iCs/>
          <w:color w:val="821A1A"/>
          <w:sz w:val="20"/>
          <w:szCs w:val="18"/>
          <w:lang w:val="lt-LT"/>
        </w:rPr>
        <w:t>Šaltinis: KPMG studija</w:t>
      </w:r>
    </w:p>
    <w:p w14:paraId="037DB738" w14:textId="77777777" w:rsidR="003B50ED" w:rsidRPr="00C97275" w:rsidRDefault="003B50ED" w:rsidP="003B50ED">
      <w:pPr>
        <w:spacing w:after="160" w:line="240" w:lineRule="auto"/>
        <w:jc w:val="both"/>
        <w:rPr>
          <w:rFonts w:ascii="Georgia" w:eastAsia="Georgia" w:hAnsi="Georgia" w:cs="Times New Roman"/>
          <w:sz w:val="20"/>
          <w:szCs w:val="20"/>
          <w:lang w:val="lt-LT"/>
        </w:rPr>
      </w:pPr>
      <w:r w:rsidRPr="00C97275">
        <w:rPr>
          <w:rFonts w:ascii="Georgia" w:eastAsia="Georgia" w:hAnsi="Georgia" w:cs="Times New Roman"/>
          <w:b/>
          <w:sz w:val="20"/>
          <w:szCs w:val="20"/>
          <w:lang w:val="lt-LT"/>
        </w:rPr>
        <w:t>Komerciniai bankai taip pat nurodė, kad tiesiogiai ESCO projekto vykdytojui teiktų tik trumpo – vidutinio laikotarpio paskolą, t.y. iki 7 metų.</w:t>
      </w:r>
      <w:r w:rsidRPr="00C97275">
        <w:rPr>
          <w:rFonts w:ascii="Georgia" w:eastAsia="Georgia" w:hAnsi="Georgia" w:cs="Times New Roman"/>
          <w:sz w:val="20"/>
          <w:szCs w:val="20"/>
          <w:lang w:val="lt-LT"/>
        </w:rPr>
        <w:t xml:space="preserve"> Ilgo laikotarpio finansavimas komerciniams bankams yra visiškai nepatrauklus. Dalyvavimas per sukurtą investicinį mechanizmą domintų visus bankus, todėl ši analizė bus pateikiama privačių išteklių pritraukimo ex-ante vertinimo dalyje. </w:t>
      </w:r>
    </w:p>
    <w:p w14:paraId="158D625D" w14:textId="5B9D1300" w:rsidR="00984ACE" w:rsidRPr="00C97275" w:rsidRDefault="00984ACE" w:rsidP="00984ACE">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36" w:name="_Toc25594675"/>
      <w:r w:rsidRPr="00C97275">
        <w:rPr>
          <w:rFonts w:ascii="Georgia" w:eastAsia="Times New Roman" w:hAnsi="Georgia" w:cs="Arial Unicode MS"/>
          <w:b/>
          <w:i/>
          <w:color w:val="821A1A"/>
          <w:sz w:val="32"/>
          <w:szCs w:val="26"/>
          <w:lang w:val="lt-LT"/>
        </w:rPr>
        <w:t>Infrastruktūriniai fondai</w:t>
      </w:r>
      <w:bookmarkEnd w:id="136"/>
    </w:p>
    <w:p w14:paraId="364DEF4B" w14:textId="6ED88C43" w:rsidR="00FE679C" w:rsidRPr="00C97275" w:rsidRDefault="00FE679C" w:rsidP="00583EB1">
      <w:pPr>
        <w:jc w:val="both"/>
        <w:rPr>
          <w:rFonts w:ascii="Georgia" w:hAnsi="Georgia"/>
          <w:sz w:val="20"/>
          <w:szCs w:val="20"/>
          <w:lang w:val="lt-LT"/>
        </w:rPr>
      </w:pPr>
      <w:r w:rsidRPr="00C97275">
        <w:rPr>
          <w:rFonts w:ascii="Georgia" w:hAnsi="Georgia"/>
          <w:sz w:val="20"/>
          <w:szCs w:val="20"/>
          <w:lang w:val="lt-LT"/>
        </w:rPr>
        <w:t xml:space="preserve">Šiuo metu Lietuvoje </w:t>
      </w:r>
      <w:r w:rsidR="00343824" w:rsidRPr="00C97275">
        <w:rPr>
          <w:rFonts w:ascii="Georgia" w:hAnsi="Georgia"/>
          <w:sz w:val="20"/>
          <w:szCs w:val="20"/>
          <w:lang w:val="lt-LT"/>
        </w:rPr>
        <w:t>įregistruoti</w:t>
      </w:r>
      <w:r w:rsidRPr="00C97275">
        <w:rPr>
          <w:rFonts w:ascii="Georgia" w:hAnsi="Georgia"/>
          <w:sz w:val="20"/>
          <w:szCs w:val="20"/>
          <w:lang w:val="lt-LT"/>
        </w:rPr>
        <w:t xml:space="preserve"> </w:t>
      </w:r>
      <w:r w:rsidR="00343824" w:rsidRPr="00C97275">
        <w:rPr>
          <w:rFonts w:ascii="Georgia" w:hAnsi="Georgia"/>
          <w:sz w:val="20"/>
          <w:szCs w:val="20"/>
          <w:lang w:val="lt-LT"/>
        </w:rPr>
        <w:t>trys</w:t>
      </w:r>
      <w:r w:rsidRPr="00C97275">
        <w:rPr>
          <w:rFonts w:ascii="Georgia" w:hAnsi="Georgia"/>
          <w:sz w:val="20"/>
          <w:szCs w:val="20"/>
          <w:lang w:val="lt-LT"/>
        </w:rPr>
        <w:t xml:space="preserve"> infrastruktūr</w:t>
      </w:r>
      <w:r w:rsidR="00181123" w:rsidRPr="00C97275">
        <w:rPr>
          <w:rFonts w:ascii="Georgia" w:hAnsi="Georgia"/>
          <w:sz w:val="20"/>
          <w:szCs w:val="20"/>
          <w:lang w:val="lt-LT"/>
        </w:rPr>
        <w:t>os</w:t>
      </w:r>
      <w:r w:rsidRPr="00C97275">
        <w:rPr>
          <w:rFonts w:ascii="Georgia" w:hAnsi="Georgia"/>
          <w:sz w:val="20"/>
          <w:szCs w:val="20"/>
          <w:lang w:val="lt-LT"/>
        </w:rPr>
        <w:t xml:space="preserve"> fondai, kurių strategijoje energetika nurodyta kaip viena iš prioritetinių sričių</w:t>
      </w:r>
      <w:r w:rsidR="00343824" w:rsidRPr="00C97275">
        <w:rPr>
          <w:rFonts w:ascii="Georgia" w:hAnsi="Georgia"/>
          <w:sz w:val="20"/>
          <w:szCs w:val="20"/>
          <w:lang w:val="lt-LT"/>
        </w:rPr>
        <w:t>, tačiau atlikus trumpą šių fondų analizę (žemiau), realus papildomų privačių lėšų šaltinis galėtų būti tik vienas – BaltCap Infrastruktūros Fondas.</w:t>
      </w:r>
      <w:r w:rsidRPr="00C97275">
        <w:rPr>
          <w:rFonts w:ascii="Georgia" w:hAnsi="Georgia"/>
          <w:sz w:val="20"/>
          <w:szCs w:val="20"/>
          <w:lang w:val="lt-LT"/>
        </w:rPr>
        <w:t xml:space="preserve"> </w:t>
      </w:r>
    </w:p>
    <w:p w14:paraId="78314175" w14:textId="749E9FAA" w:rsidR="00FE679C" w:rsidRPr="00C97275" w:rsidRDefault="00FE679C" w:rsidP="00FE679C">
      <w:pPr>
        <w:jc w:val="both"/>
        <w:rPr>
          <w:rFonts w:ascii="Georgia" w:hAnsi="Georgia"/>
          <w:b/>
          <w:sz w:val="20"/>
          <w:szCs w:val="20"/>
          <w:lang w:val="lt-LT"/>
        </w:rPr>
      </w:pPr>
      <w:r w:rsidRPr="00C97275">
        <w:rPr>
          <w:rFonts w:ascii="Georgia" w:hAnsi="Georgia"/>
          <w:b/>
          <w:sz w:val="20"/>
          <w:szCs w:val="20"/>
          <w:lang w:val="lt-LT"/>
        </w:rPr>
        <w:t xml:space="preserve">BaltCap </w:t>
      </w:r>
      <w:r w:rsidR="00D4264C" w:rsidRPr="00C97275">
        <w:rPr>
          <w:rFonts w:ascii="Georgia" w:hAnsi="Georgia"/>
          <w:b/>
          <w:sz w:val="20"/>
          <w:szCs w:val="20"/>
          <w:lang w:val="lt-LT"/>
        </w:rPr>
        <w:t>Infrastruktūros Fondas</w:t>
      </w:r>
      <w:r w:rsidRPr="00C97275">
        <w:rPr>
          <w:rFonts w:ascii="Georgia" w:hAnsi="Georgia"/>
          <w:b/>
          <w:sz w:val="20"/>
          <w:szCs w:val="20"/>
          <w:lang w:val="lt-LT"/>
        </w:rPr>
        <w:t xml:space="preserve"> (BInF)</w:t>
      </w:r>
    </w:p>
    <w:p w14:paraId="6C0EA0E1" w14:textId="01C9EE10" w:rsidR="00FE679C" w:rsidRPr="00C97275" w:rsidRDefault="00FE679C" w:rsidP="0063781D">
      <w:pPr>
        <w:jc w:val="both"/>
        <w:rPr>
          <w:rFonts w:ascii="Georgia" w:hAnsi="Georgia"/>
          <w:sz w:val="20"/>
          <w:szCs w:val="20"/>
          <w:lang w:val="lt-LT"/>
        </w:rPr>
      </w:pPr>
      <w:r w:rsidRPr="00C97275">
        <w:rPr>
          <w:rFonts w:ascii="Georgia" w:hAnsi="Georgia"/>
          <w:sz w:val="20"/>
          <w:szCs w:val="20"/>
          <w:lang w:val="lt-LT"/>
        </w:rPr>
        <w:lastRenderedPageBreak/>
        <w:t xml:space="preserve">2017 m. liepos </w:t>
      </w:r>
      <w:r w:rsidR="00D4264C" w:rsidRPr="00C97275">
        <w:rPr>
          <w:rFonts w:ascii="Georgia" w:hAnsi="Georgia"/>
          <w:sz w:val="20"/>
          <w:szCs w:val="20"/>
          <w:lang w:val="lt-LT"/>
        </w:rPr>
        <w:t xml:space="preserve">3 d. didžiausias Baltijos šalyse privataus ir rizikos kapitalo fondų valdytojas BaltCap įsteigė </w:t>
      </w:r>
      <w:r w:rsidR="00D22577" w:rsidRPr="00C97275">
        <w:rPr>
          <w:rFonts w:ascii="Georgia" w:hAnsi="Georgia"/>
          <w:sz w:val="20"/>
          <w:szCs w:val="20"/>
          <w:lang w:val="lt-LT"/>
        </w:rPr>
        <w:t xml:space="preserve">pirmąjį Baltijos šalyse infrastruktūros </w:t>
      </w:r>
      <w:r w:rsidR="00D4264C" w:rsidRPr="00C97275">
        <w:rPr>
          <w:rFonts w:ascii="Georgia" w:hAnsi="Georgia"/>
          <w:sz w:val="20"/>
          <w:szCs w:val="20"/>
          <w:lang w:val="lt-LT"/>
        </w:rPr>
        <w:t xml:space="preserve">fondą “BaltCap Infrastructure Fund”. </w:t>
      </w:r>
      <w:r w:rsidR="00D22577" w:rsidRPr="00C97275">
        <w:rPr>
          <w:rFonts w:ascii="Georgia" w:hAnsi="Georgia"/>
          <w:sz w:val="20"/>
          <w:szCs w:val="20"/>
          <w:lang w:val="lt-LT"/>
        </w:rPr>
        <w:t>Fondas skirs ypatingą dėmesį investicijoms transporto, energijos vartojimo efektyvumo didinimo, atsinaujinanči</w:t>
      </w:r>
      <w:r w:rsidR="00181123" w:rsidRPr="00C97275">
        <w:rPr>
          <w:rFonts w:ascii="Georgia" w:hAnsi="Georgia"/>
          <w:sz w:val="20"/>
          <w:szCs w:val="20"/>
          <w:lang w:val="lt-LT"/>
        </w:rPr>
        <w:t>os</w:t>
      </w:r>
      <w:r w:rsidR="00D22577" w:rsidRPr="00C97275">
        <w:rPr>
          <w:rFonts w:ascii="Georgia" w:hAnsi="Georgia"/>
          <w:sz w:val="20"/>
          <w:szCs w:val="20"/>
          <w:lang w:val="lt-LT"/>
        </w:rPr>
        <w:t xml:space="preserve"> energijos </w:t>
      </w:r>
      <w:r w:rsidR="00181123" w:rsidRPr="00C97275">
        <w:rPr>
          <w:rFonts w:ascii="Georgia" w:hAnsi="Georgia"/>
          <w:sz w:val="20"/>
          <w:szCs w:val="20"/>
          <w:lang w:val="lt-LT"/>
        </w:rPr>
        <w:t>gamybos</w:t>
      </w:r>
      <w:r w:rsidR="00D22577" w:rsidRPr="00C97275">
        <w:rPr>
          <w:rFonts w:ascii="Georgia" w:hAnsi="Georgia"/>
          <w:sz w:val="20"/>
          <w:szCs w:val="20"/>
          <w:lang w:val="lt-LT"/>
        </w:rPr>
        <w:t xml:space="preserve"> sektoriuose, kuriuose matomas didelis finansavimo trūkumas</w:t>
      </w:r>
      <w:r w:rsidR="00BB058D" w:rsidRPr="00C97275">
        <w:rPr>
          <w:rStyle w:val="Puslapioinaosnuoroda"/>
          <w:rFonts w:ascii="Georgia" w:hAnsi="Georgia"/>
          <w:sz w:val="20"/>
          <w:szCs w:val="20"/>
          <w:lang w:val="lt-LT"/>
        </w:rPr>
        <w:footnoteReference w:id="113"/>
      </w:r>
      <w:r w:rsidR="00D22577" w:rsidRPr="00C97275">
        <w:rPr>
          <w:rFonts w:ascii="Georgia" w:hAnsi="Georgia"/>
          <w:sz w:val="20"/>
          <w:szCs w:val="20"/>
          <w:lang w:val="lt-LT"/>
        </w:rPr>
        <w:t xml:space="preserve">. Fondo dydis – 100 mln. </w:t>
      </w:r>
      <w:r w:rsidR="00660FB3" w:rsidRPr="00C97275">
        <w:rPr>
          <w:rFonts w:ascii="Georgia" w:hAnsi="Georgia"/>
          <w:sz w:val="20"/>
          <w:szCs w:val="20"/>
          <w:lang w:val="lt-LT"/>
        </w:rPr>
        <w:t>eurų</w:t>
      </w:r>
      <w:r w:rsidR="00D22577" w:rsidRPr="00C97275">
        <w:rPr>
          <w:rFonts w:ascii="Georgia" w:hAnsi="Georgia"/>
          <w:sz w:val="20"/>
          <w:szCs w:val="20"/>
          <w:lang w:val="lt-LT"/>
        </w:rPr>
        <w:t>, iš kurių EIB įsipareig</w:t>
      </w:r>
      <w:r w:rsidR="00D9139B" w:rsidRPr="00C97275">
        <w:rPr>
          <w:rFonts w:ascii="Georgia" w:hAnsi="Georgia"/>
          <w:sz w:val="20"/>
          <w:szCs w:val="20"/>
          <w:lang w:val="lt-LT"/>
        </w:rPr>
        <w:t>oj</w:t>
      </w:r>
      <w:r w:rsidR="00BB058D" w:rsidRPr="00C97275">
        <w:rPr>
          <w:rFonts w:ascii="Georgia" w:hAnsi="Georgia"/>
          <w:sz w:val="20"/>
          <w:szCs w:val="20"/>
          <w:lang w:val="lt-LT"/>
        </w:rPr>
        <w:t>ęs</w:t>
      </w:r>
      <w:r w:rsidR="00D22577" w:rsidRPr="00C97275">
        <w:rPr>
          <w:rFonts w:ascii="Georgia" w:hAnsi="Georgia"/>
          <w:sz w:val="20"/>
          <w:szCs w:val="20"/>
          <w:lang w:val="lt-LT"/>
        </w:rPr>
        <w:t xml:space="preserve"> investuoti 20 mln. </w:t>
      </w:r>
      <w:r w:rsidR="00660FB3" w:rsidRPr="00C97275">
        <w:rPr>
          <w:rFonts w:ascii="Georgia" w:hAnsi="Georgia"/>
          <w:sz w:val="20"/>
          <w:szCs w:val="20"/>
          <w:lang w:val="lt-LT"/>
        </w:rPr>
        <w:t>eurų</w:t>
      </w:r>
      <w:r w:rsidR="00D22577" w:rsidRPr="00C97275">
        <w:rPr>
          <w:rFonts w:ascii="Georgia" w:hAnsi="Georgia"/>
          <w:sz w:val="20"/>
          <w:szCs w:val="20"/>
          <w:lang w:val="lt-LT"/>
        </w:rPr>
        <w:t>.</w:t>
      </w:r>
      <w:r w:rsidR="00181123" w:rsidRPr="00C97275">
        <w:rPr>
          <w:rFonts w:ascii="Georgia" w:hAnsi="Georgia"/>
          <w:sz w:val="20"/>
          <w:szCs w:val="20"/>
          <w:lang w:val="lt-LT"/>
        </w:rPr>
        <w:t xml:space="preserve"> pagal Europos Strateginių Investicijų Fondo (ESIF) programą</w:t>
      </w:r>
      <w:r w:rsidR="00D22577" w:rsidRPr="00C97275">
        <w:rPr>
          <w:rFonts w:ascii="Georgia" w:hAnsi="Georgia"/>
          <w:sz w:val="20"/>
          <w:szCs w:val="20"/>
          <w:lang w:val="lt-LT"/>
        </w:rPr>
        <w:t>, o likusią dalį</w:t>
      </w:r>
      <w:r w:rsidR="00181123" w:rsidRPr="00C97275">
        <w:rPr>
          <w:rFonts w:ascii="Georgia" w:hAnsi="Georgia"/>
          <w:sz w:val="20"/>
          <w:szCs w:val="20"/>
          <w:lang w:val="lt-LT"/>
        </w:rPr>
        <w:t xml:space="preserve"> </w:t>
      </w:r>
      <w:r w:rsidR="00D22577" w:rsidRPr="00C97275">
        <w:rPr>
          <w:rFonts w:ascii="Georgia" w:hAnsi="Georgia"/>
          <w:sz w:val="20"/>
          <w:szCs w:val="20"/>
          <w:lang w:val="lt-LT"/>
        </w:rPr>
        <w:t>padeng</w:t>
      </w:r>
      <w:r w:rsidR="00181123" w:rsidRPr="00C97275">
        <w:rPr>
          <w:rFonts w:ascii="Georgia" w:hAnsi="Georgia"/>
          <w:sz w:val="20"/>
          <w:szCs w:val="20"/>
          <w:lang w:val="lt-LT"/>
        </w:rPr>
        <w:t>s</w:t>
      </w:r>
      <w:r w:rsidR="00D22577" w:rsidRPr="00C97275">
        <w:rPr>
          <w:rFonts w:ascii="Georgia" w:hAnsi="Georgia"/>
          <w:sz w:val="20"/>
          <w:szCs w:val="20"/>
          <w:lang w:val="lt-LT"/>
        </w:rPr>
        <w:t xml:space="preserve"> pensijų fondai (Swedbank, SEB ir LHV)</w:t>
      </w:r>
      <w:r w:rsidR="00181123" w:rsidRPr="00C97275">
        <w:rPr>
          <w:rStyle w:val="Puslapioinaosnuoroda"/>
          <w:rFonts w:ascii="Georgia" w:hAnsi="Georgia"/>
          <w:sz w:val="20"/>
          <w:szCs w:val="20"/>
          <w:lang w:val="lt-LT"/>
        </w:rPr>
        <w:footnoteReference w:id="114"/>
      </w:r>
      <w:r w:rsidR="00D22577" w:rsidRPr="00C97275">
        <w:rPr>
          <w:rFonts w:ascii="Georgia" w:hAnsi="Georgia"/>
          <w:sz w:val="20"/>
          <w:szCs w:val="20"/>
          <w:lang w:val="lt-LT"/>
        </w:rPr>
        <w:t xml:space="preserve">. </w:t>
      </w:r>
      <w:r w:rsidR="00181123" w:rsidRPr="00C97275">
        <w:rPr>
          <w:rFonts w:ascii="Georgia" w:hAnsi="Georgia"/>
          <w:sz w:val="20"/>
          <w:szCs w:val="20"/>
          <w:lang w:val="lt-LT"/>
        </w:rPr>
        <w:t xml:space="preserve">Fondo investavimo strategijoje numatyta, jog fondo veiklos trukmė – 20 metų, o vienos investicijos dydis gali siekti nuo </w:t>
      </w:r>
      <w:r w:rsidR="00BB058D" w:rsidRPr="00C97275">
        <w:rPr>
          <w:rFonts w:ascii="Georgia" w:hAnsi="Georgia"/>
          <w:sz w:val="20"/>
          <w:szCs w:val="20"/>
          <w:lang w:val="lt-LT"/>
        </w:rPr>
        <w:t xml:space="preserve">3-12 mln. </w:t>
      </w:r>
      <w:r w:rsidR="00660FB3" w:rsidRPr="00C97275">
        <w:rPr>
          <w:rFonts w:ascii="Georgia" w:hAnsi="Georgia"/>
          <w:sz w:val="20"/>
          <w:szCs w:val="20"/>
          <w:lang w:val="lt-LT"/>
        </w:rPr>
        <w:t xml:space="preserve">eurų </w:t>
      </w:r>
      <w:r w:rsidR="00BB058D" w:rsidRPr="00C97275">
        <w:rPr>
          <w:rFonts w:ascii="Georgia" w:hAnsi="Georgia"/>
          <w:sz w:val="20"/>
          <w:szCs w:val="20"/>
          <w:lang w:val="lt-LT"/>
        </w:rPr>
        <w:t>vienai investicijai.</w:t>
      </w:r>
      <w:r w:rsidR="00D22577" w:rsidRPr="00C97275">
        <w:rPr>
          <w:rFonts w:ascii="Georgia" w:hAnsi="Georgia"/>
          <w:sz w:val="20"/>
          <w:szCs w:val="20"/>
          <w:lang w:val="lt-LT"/>
        </w:rPr>
        <w:t xml:space="preserve">    </w:t>
      </w:r>
      <w:r w:rsidR="00D4264C" w:rsidRPr="00C97275">
        <w:rPr>
          <w:rFonts w:ascii="Georgia" w:hAnsi="Georgia"/>
          <w:sz w:val="20"/>
          <w:szCs w:val="20"/>
          <w:lang w:val="lt-LT"/>
        </w:rPr>
        <w:t xml:space="preserve">   </w:t>
      </w:r>
      <w:r w:rsidR="00FD2539" w:rsidRPr="00C97275">
        <w:rPr>
          <w:rFonts w:ascii="Georgia" w:hAnsi="Georgia"/>
          <w:sz w:val="20"/>
          <w:szCs w:val="20"/>
          <w:lang w:val="lt-LT"/>
        </w:rPr>
        <w:t xml:space="preserve"> </w:t>
      </w:r>
    </w:p>
    <w:p w14:paraId="164C85B1" w14:textId="3C0775FF" w:rsidR="00FE679C" w:rsidRPr="00C97275" w:rsidRDefault="00BB058D" w:rsidP="00BB058D">
      <w:pPr>
        <w:jc w:val="both"/>
        <w:rPr>
          <w:rFonts w:ascii="Georgia" w:hAnsi="Georgia"/>
          <w:sz w:val="20"/>
          <w:szCs w:val="20"/>
          <w:lang w:val="lt-LT"/>
        </w:rPr>
      </w:pPr>
      <w:r w:rsidRPr="00C97275">
        <w:rPr>
          <w:rFonts w:ascii="Georgia" w:hAnsi="Georgia"/>
          <w:sz w:val="20"/>
          <w:szCs w:val="20"/>
          <w:lang w:val="lt-LT"/>
        </w:rPr>
        <w:t xml:space="preserve">Tikimasi, kad investicijoms į viešąją infrastruktūrą </w:t>
      </w:r>
      <w:r w:rsidR="00446BD3" w:rsidRPr="00C97275">
        <w:rPr>
          <w:rFonts w:ascii="Georgia" w:hAnsi="Georgia"/>
          <w:sz w:val="20"/>
          <w:szCs w:val="20"/>
          <w:lang w:val="lt-LT"/>
        </w:rPr>
        <w:t>fondas pritrauks papildomai</w:t>
      </w:r>
      <w:r w:rsidRPr="00C97275">
        <w:rPr>
          <w:rFonts w:ascii="Georgia" w:hAnsi="Georgia"/>
          <w:sz w:val="20"/>
          <w:szCs w:val="20"/>
          <w:lang w:val="lt-LT"/>
        </w:rPr>
        <w:t xml:space="preserve"> 480 mln. </w:t>
      </w:r>
      <w:r w:rsidR="00660FB3" w:rsidRPr="00C97275">
        <w:rPr>
          <w:rFonts w:ascii="Georgia" w:hAnsi="Georgia"/>
          <w:sz w:val="20"/>
          <w:szCs w:val="20"/>
          <w:lang w:val="lt-LT"/>
        </w:rPr>
        <w:t>eurų</w:t>
      </w:r>
      <w:r w:rsidRPr="00C97275">
        <w:rPr>
          <w:rFonts w:ascii="Georgia" w:hAnsi="Georgia"/>
          <w:sz w:val="20"/>
          <w:szCs w:val="20"/>
          <w:lang w:val="lt-LT"/>
        </w:rPr>
        <w:t>.</w:t>
      </w:r>
      <w:r w:rsidR="00446BD3" w:rsidRPr="00C97275">
        <w:rPr>
          <w:rStyle w:val="Puslapioinaosnuoroda"/>
          <w:rFonts w:ascii="Georgia" w:hAnsi="Georgia"/>
          <w:sz w:val="20"/>
          <w:szCs w:val="20"/>
          <w:lang w:val="lt-LT"/>
        </w:rPr>
        <w:footnoteReference w:id="115"/>
      </w:r>
    </w:p>
    <w:p w14:paraId="06DD423F" w14:textId="3B16FFA6" w:rsidR="00FD2539" w:rsidRPr="00C97275" w:rsidRDefault="00FD2539" w:rsidP="00583EB1">
      <w:pPr>
        <w:jc w:val="both"/>
        <w:rPr>
          <w:rFonts w:ascii="Georgia" w:hAnsi="Georgia"/>
          <w:b/>
          <w:sz w:val="20"/>
          <w:szCs w:val="20"/>
          <w:lang w:val="lt-LT"/>
        </w:rPr>
      </w:pPr>
      <w:r w:rsidRPr="00C97275">
        <w:rPr>
          <w:rFonts w:ascii="Georgia" w:hAnsi="Georgia"/>
          <w:b/>
          <w:sz w:val="20"/>
          <w:szCs w:val="20"/>
          <w:lang w:val="lt-LT"/>
        </w:rPr>
        <w:t>Energy and Infrastructure SME Fund</w:t>
      </w:r>
    </w:p>
    <w:p w14:paraId="7C5A6143" w14:textId="05469048" w:rsidR="00BB058D" w:rsidRPr="00C97275" w:rsidRDefault="00446BD3" w:rsidP="00583EB1">
      <w:pPr>
        <w:jc w:val="both"/>
        <w:rPr>
          <w:rFonts w:ascii="Georgia" w:hAnsi="Georgia"/>
          <w:sz w:val="20"/>
          <w:szCs w:val="20"/>
          <w:lang w:val="lt-LT"/>
        </w:rPr>
      </w:pPr>
      <w:r w:rsidRPr="00C97275">
        <w:rPr>
          <w:rFonts w:ascii="Georgia" w:hAnsi="Georgia"/>
          <w:sz w:val="20"/>
          <w:szCs w:val="20"/>
          <w:lang w:val="lt-LT"/>
        </w:rPr>
        <w:t xml:space="preserve">2016 m. liepos 5 d. Lords LB įsteigė Energetikos ir Infrastruktūros SME fondą, </w:t>
      </w:r>
      <w:r w:rsidR="00241FB9" w:rsidRPr="00C97275">
        <w:rPr>
          <w:rFonts w:ascii="Georgia" w:hAnsi="Georgia"/>
          <w:sz w:val="20"/>
          <w:szCs w:val="20"/>
          <w:lang w:val="lt-LT"/>
        </w:rPr>
        <w:t xml:space="preserve">kuris skirtas investicijoms į mažesnius jau įgyvendintus projektus. Siekiamas fondo dydis – 25 mln. </w:t>
      </w:r>
      <w:r w:rsidR="00660FB3" w:rsidRPr="00C97275">
        <w:rPr>
          <w:rFonts w:ascii="Georgia" w:hAnsi="Georgia"/>
          <w:sz w:val="20"/>
          <w:szCs w:val="20"/>
          <w:lang w:val="lt-LT"/>
        </w:rPr>
        <w:t>eurų</w:t>
      </w:r>
      <w:r w:rsidR="00241FB9" w:rsidRPr="00C97275">
        <w:rPr>
          <w:rFonts w:ascii="Georgia" w:hAnsi="Georgia"/>
          <w:sz w:val="20"/>
          <w:szCs w:val="20"/>
          <w:lang w:val="lt-LT"/>
        </w:rPr>
        <w:t>, fondo trukmė – iki 10 metų. Šiuo metu fondas yra investavęs į vieno infrastruktūros objekto –M.K.Čiurlionio tilto Kaune – koncesiją.</w:t>
      </w:r>
      <w:r w:rsidR="003617A8" w:rsidRPr="00C97275">
        <w:rPr>
          <w:rFonts w:ascii="Georgia" w:hAnsi="Georgia"/>
          <w:sz w:val="20"/>
          <w:szCs w:val="20"/>
          <w:lang w:val="lt-LT"/>
        </w:rPr>
        <w:t xml:space="preserve"> </w:t>
      </w:r>
      <w:r w:rsidR="00241FB9" w:rsidRPr="00C97275">
        <w:rPr>
          <w:rFonts w:ascii="Georgia" w:hAnsi="Georgia"/>
          <w:sz w:val="20"/>
          <w:szCs w:val="20"/>
          <w:lang w:val="lt-LT"/>
        </w:rPr>
        <w:t xml:space="preserve">   </w:t>
      </w:r>
    </w:p>
    <w:p w14:paraId="548C0273" w14:textId="7089C033" w:rsidR="00FD2539" w:rsidRPr="00C97275" w:rsidRDefault="00D4264C" w:rsidP="00583EB1">
      <w:pPr>
        <w:jc w:val="both"/>
        <w:rPr>
          <w:rFonts w:ascii="Georgia" w:hAnsi="Georgia"/>
          <w:b/>
          <w:sz w:val="20"/>
          <w:szCs w:val="20"/>
          <w:lang w:val="lt-LT"/>
        </w:rPr>
      </w:pPr>
      <w:r w:rsidRPr="00C97275">
        <w:rPr>
          <w:rFonts w:ascii="Georgia" w:hAnsi="Georgia"/>
          <w:b/>
          <w:sz w:val="20"/>
          <w:szCs w:val="20"/>
          <w:lang w:val="lt-LT"/>
        </w:rPr>
        <w:t>Baltijos energetikos ir infrastruktūros fondas (BEIF)</w:t>
      </w:r>
    </w:p>
    <w:p w14:paraId="4A78F7F1" w14:textId="7F19C90F" w:rsidR="00330295" w:rsidRPr="00C97275" w:rsidRDefault="003617A8" w:rsidP="003617A8">
      <w:pPr>
        <w:jc w:val="both"/>
        <w:rPr>
          <w:rFonts w:ascii="Georgia" w:hAnsi="Georgia"/>
          <w:sz w:val="20"/>
          <w:szCs w:val="20"/>
          <w:lang w:val="lt-LT"/>
        </w:rPr>
      </w:pPr>
      <w:r w:rsidRPr="00C97275">
        <w:rPr>
          <w:rFonts w:ascii="Georgia" w:hAnsi="Georgia"/>
          <w:sz w:val="20"/>
          <w:szCs w:val="20"/>
          <w:lang w:val="lt-LT"/>
        </w:rPr>
        <w:t xml:space="preserve">2016 m. sausio 5 d. Lords LB įsteigė Baltijos Energetikos ir Infrastruktūros fondą, kurio prioritetinės investavimo sritys - atsinaujinanti energetika ir energijos efektyvumo projektai. Planuojama, jog fondo dydis per tris metus nuo fondo įsteigimo pradžios pasieks 200 mln. Eur. </w:t>
      </w:r>
      <w:r w:rsidR="00343824" w:rsidRPr="00C97275">
        <w:rPr>
          <w:rFonts w:ascii="Georgia" w:hAnsi="Georgia"/>
          <w:sz w:val="20"/>
          <w:szCs w:val="20"/>
          <w:lang w:val="lt-LT"/>
        </w:rPr>
        <w:t>Tačiau</w:t>
      </w:r>
      <w:r w:rsidRPr="00C97275">
        <w:rPr>
          <w:rFonts w:ascii="Georgia" w:hAnsi="Georgia"/>
          <w:sz w:val="20"/>
          <w:szCs w:val="20"/>
          <w:lang w:val="lt-LT"/>
        </w:rPr>
        <w:t xml:space="preserve"> per pirmus d</w:t>
      </w:r>
      <w:r w:rsidR="00660FB3" w:rsidRPr="00C97275">
        <w:rPr>
          <w:rFonts w:ascii="Georgia" w:hAnsi="Georgia"/>
          <w:sz w:val="20"/>
          <w:szCs w:val="20"/>
          <w:lang w:val="lt-LT"/>
        </w:rPr>
        <w:t>vejus</w:t>
      </w:r>
      <w:r w:rsidRPr="00C97275">
        <w:rPr>
          <w:rFonts w:ascii="Georgia" w:hAnsi="Georgia"/>
          <w:sz w:val="20"/>
          <w:szCs w:val="20"/>
          <w:lang w:val="lt-LT"/>
        </w:rPr>
        <w:t xml:space="preserve"> metus dar nebuvo atlikta jokių investicijų, todėl tikėtina, jog fondas </w:t>
      </w:r>
      <w:r w:rsidR="00343824" w:rsidRPr="00C97275">
        <w:rPr>
          <w:rFonts w:ascii="Georgia" w:hAnsi="Georgia"/>
          <w:sz w:val="20"/>
          <w:szCs w:val="20"/>
          <w:lang w:val="lt-LT"/>
        </w:rPr>
        <w:t xml:space="preserve">arba nebesusikurs arba nepritrauks pakankamai lėšų investicijoms. </w:t>
      </w:r>
    </w:p>
    <w:p w14:paraId="683E1E58" w14:textId="77777777" w:rsidR="00583EB1" w:rsidRPr="00C97275" w:rsidRDefault="00583EB1" w:rsidP="00446BD3">
      <w:pPr>
        <w:pStyle w:val="Antrat2"/>
        <w:numPr>
          <w:ilvl w:val="1"/>
          <w:numId w:val="2"/>
        </w:numPr>
        <w:spacing w:after="120"/>
        <w:ind w:left="709" w:hanging="851"/>
        <w:rPr>
          <w:rFonts w:ascii="Georgia" w:hAnsi="Georgia"/>
          <w:lang w:val="lt-LT"/>
        </w:rPr>
      </w:pPr>
      <w:bookmarkStart w:id="137" w:name="_Toc25594676"/>
      <w:r w:rsidRPr="00C97275">
        <w:rPr>
          <w:rFonts w:ascii="Georgia" w:hAnsi="Georgia"/>
          <w:lang w:val="lt-LT"/>
        </w:rPr>
        <w:t>Lygio ir būdo privačių lėšų pritraukimui nustatymas</w:t>
      </w:r>
      <w:bookmarkEnd w:id="137"/>
    </w:p>
    <w:p w14:paraId="6A91AAF6" w14:textId="1B43396A" w:rsidR="00583EB1" w:rsidRPr="00C97275" w:rsidRDefault="00583EB1" w:rsidP="00583EB1">
      <w:pPr>
        <w:jc w:val="both"/>
        <w:rPr>
          <w:rFonts w:ascii="Georgia" w:hAnsi="Georgia"/>
          <w:sz w:val="20"/>
          <w:szCs w:val="20"/>
          <w:lang w:val="lt-LT"/>
        </w:rPr>
      </w:pPr>
      <w:r w:rsidRPr="00C97275">
        <w:rPr>
          <w:rFonts w:ascii="Georgia" w:hAnsi="Georgia" w:cs="Georgia"/>
          <w:sz w:val="20"/>
          <w:szCs w:val="20"/>
          <w:lang w:val="lt-LT"/>
        </w:rPr>
        <w:t>Kaip nurodo e</w:t>
      </w:r>
      <w:r w:rsidR="00300FF4" w:rsidRPr="00C97275">
        <w:rPr>
          <w:rFonts w:ascii="Georgia" w:hAnsi="Georgia" w:cs="Georgia"/>
          <w:sz w:val="20"/>
          <w:szCs w:val="20"/>
          <w:lang w:val="lt-LT"/>
        </w:rPr>
        <w:t>x-ante</w:t>
      </w:r>
      <w:r w:rsidRPr="00C97275">
        <w:rPr>
          <w:rFonts w:ascii="Georgia" w:hAnsi="Georgia" w:cs="Georgia"/>
          <w:sz w:val="20"/>
          <w:szCs w:val="20"/>
          <w:lang w:val="lt-LT"/>
        </w:rPr>
        <w:t xml:space="preserve"> vertinimo metodologija, remiantis Bendrųjų nuostatų reglamento </w:t>
      </w:r>
      <w:r w:rsidRPr="00C97275">
        <w:rPr>
          <w:rFonts w:ascii="Georgia" w:hAnsi="Georgia"/>
          <w:sz w:val="20"/>
          <w:szCs w:val="20"/>
          <w:lang w:val="lt-LT"/>
        </w:rPr>
        <w:t xml:space="preserve">38 straipsniu, nacionalinių viešųjų ar privačiųjų subjektų įnašai gali būti atliekami visais lygiais, taip pat ir galutinių gavėjų lygyje, išskyrus galutinių naudos gavėjų įnašus. </w:t>
      </w:r>
    </w:p>
    <w:p w14:paraId="71588544" w14:textId="77777777" w:rsidR="00583EB1" w:rsidRPr="00C97275" w:rsidRDefault="00583EB1" w:rsidP="00583EB1">
      <w:pPr>
        <w:jc w:val="both"/>
        <w:rPr>
          <w:rFonts w:ascii="Georgia" w:hAnsi="Georgia"/>
          <w:sz w:val="20"/>
          <w:szCs w:val="20"/>
          <w:lang w:val="lt-LT"/>
        </w:rPr>
      </w:pPr>
      <w:r w:rsidRPr="00C97275">
        <w:rPr>
          <w:rFonts w:ascii="Georgia" w:hAnsi="Georgia"/>
          <w:noProof/>
          <w:sz w:val="20"/>
          <w:szCs w:val="20"/>
          <w:lang w:val="lt-LT" w:eastAsia="lt-LT"/>
        </w:rPr>
        <w:lastRenderedPageBreak/>
        <mc:AlternateContent>
          <mc:Choice Requires="wpc">
            <w:drawing>
              <wp:inline distT="0" distB="0" distL="0" distR="0" wp14:anchorId="60E92F08" wp14:editId="1604A9C2">
                <wp:extent cx="5686425" cy="4095115"/>
                <wp:effectExtent l="0" t="0" r="0" b="19685"/>
                <wp:docPr id="4114" name="Drobė 4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9"/>
                        <wps:cNvSpPr>
                          <a:spLocks noChangeArrowheads="1"/>
                        </wps:cNvSpPr>
                        <wps:spPr bwMode="auto">
                          <a:xfrm>
                            <a:off x="3121541" y="35999"/>
                            <a:ext cx="1801324" cy="4059138"/>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 name="AutoShape 11"/>
                        <wps:cNvSpPr>
                          <a:spLocks noChangeArrowheads="1"/>
                        </wps:cNvSpPr>
                        <wps:spPr bwMode="auto">
                          <a:xfrm>
                            <a:off x="489006" y="206901"/>
                            <a:ext cx="2365831" cy="258802"/>
                          </a:xfrm>
                          <a:prstGeom prst="roundRect">
                            <a:avLst>
                              <a:gd name="adj" fmla="val 16667"/>
                            </a:avLst>
                          </a:prstGeom>
                          <a:solidFill>
                            <a:srgbClr val="E36C0A"/>
                          </a:solidFill>
                          <a:ln w="9525">
                            <a:solidFill>
                              <a:srgbClr val="974706"/>
                            </a:solidFill>
                            <a:round/>
                            <a:headEnd/>
                            <a:tailEnd/>
                          </a:ln>
                        </wps:spPr>
                        <wps:txbx>
                          <w:txbxContent>
                            <w:p w14:paraId="7584CD1D"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21" name="AutoShape 12"/>
                        <wps:cNvSpPr>
                          <a:spLocks noChangeArrowheads="1"/>
                        </wps:cNvSpPr>
                        <wps:spPr bwMode="auto">
                          <a:xfrm>
                            <a:off x="3296933" y="217601"/>
                            <a:ext cx="1423519" cy="241202"/>
                          </a:xfrm>
                          <a:prstGeom prst="roundRect">
                            <a:avLst>
                              <a:gd name="adj" fmla="val 16667"/>
                            </a:avLst>
                          </a:prstGeom>
                          <a:solidFill>
                            <a:srgbClr val="E36C0A"/>
                          </a:solidFill>
                          <a:ln w="9525">
                            <a:solidFill>
                              <a:srgbClr val="974706"/>
                            </a:solidFill>
                            <a:round/>
                            <a:headEnd/>
                            <a:tailEnd/>
                          </a:ln>
                        </wps:spPr>
                        <wps:txbx>
                          <w:txbxContent>
                            <w:p w14:paraId="4812A6BF" w14:textId="77777777" w:rsidR="00D1128E" w:rsidRDefault="00D1128E"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institucija</w:t>
                              </w:r>
                            </w:p>
                          </w:txbxContent>
                        </wps:txbx>
                        <wps:bodyPr rot="0" vert="horz" wrap="square" lIns="91440" tIns="45720" rIns="91440" bIns="45720" anchor="t" anchorCtr="0" upright="1">
                          <a:noAutofit/>
                        </wps:bodyPr>
                      </wps:wsp>
                      <wps:wsp>
                        <wps:cNvPr id="22" name="AutoShape 15"/>
                        <wps:cNvSpPr>
                          <a:spLocks noChangeArrowheads="1"/>
                        </wps:cNvSpPr>
                        <wps:spPr bwMode="auto">
                          <a:xfrm>
                            <a:off x="3295133" y="3385831"/>
                            <a:ext cx="1423519" cy="466204"/>
                          </a:xfrm>
                          <a:prstGeom prst="roundRect">
                            <a:avLst>
                              <a:gd name="adj" fmla="val 16667"/>
                            </a:avLst>
                          </a:prstGeom>
                          <a:solidFill>
                            <a:srgbClr val="E36C0A"/>
                          </a:solidFill>
                          <a:ln w="9525">
                            <a:solidFill>
                              <a:srgbClr val="974706"/>
                            </a:solidFill>
                            <a:round/>
                            <a:headEnd/>
                            <a:tailEnd/>
                          </a:ln>
                        </wps:spPr>
                        <wps:txbx>
                          <w:txbxContent>
                            <w:p w14:paraId="58CFE7E7"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paramos</w:t>
                              </w:r>
                            </w:p>
                            <w:p w14:paraId="3B008154"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14:paraId="1D6E4963" w14:textId="77777777" w:rsidR="00D1128E" w:rsidRDefault="00D1128E" w:rsidP="00583EB1">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3" name="AutoShape 17"/>
                        <wps:cNvSpPr>
                          <a:spLocks noChangeArrowheads="1"/>
                        </wps:cNvSpPr>
                        <wps:spPr bwMode="auto">
                          <a:xfrm>
                            <a:off x="3296933" y="2504242"/>
                            <a:ext cx="1424319" cy="242002"/>
                          </a:xfrm>
                          <a:prstGeom prst="roundRect">
                            <a:avLst>
                              <a:gd name="adj" fmla="val 16667"/>
                            </a:avLst>
                          </a:prstGeom>
                          <a:solidFill>
                            <a:srgbClr val="E36C0A"/>
                          </a:solidFill>
                          <a:ln w="9525">
                            <a:solidFill>
                              <a:srgbClr val="974706"/>
                            </a:solidFill>
                            <a:round/>
                            <a:headEnd/>
                            <a:tailEnd/>
                          </a:ln>
                        </wps:spPr>
                        <wps:txbx>
                          <w:txbxContent>
                            <w:p w14:paraId="09DC8C1F"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wps:txbx>
                        <wps:bodyPr rot="0" vert="horz" wrap="square" lIns="91440" tIns="45720" rIns="91440" bIns="45720" anchor="t" anchorCtr="0" upright="1">
                          <a:noAutofit/>
                        </wps:bodyPr>
                      </wps:wsp>
                      <wps:wsp>
                        <wps:cNvPr id="459" name="AutoShape 18"/>
                        <wps:cNvSpPr>
                          <a:spLocks noChangeArrowheads="1"/>
                        </wps:cNvSpPr>
                        <wps:spPr bwMode="auto">
                          <a:xfrm>
                            <a:off x="3296000" y="895370"/>
                            <a:ext cx="1423519" cy="242102"/>
                          </a:xfrm>
                          <a:prstGeom prst="roundRect">
                            <a:avLst>
                              <a:gd name="adj" fmla="val 16667"/>
                            </a:avLst>
                          </a:prstGeom>
                          <a:solidFill>
                            <a:srgbClr val="E36C0A"/>
                          </a:solidFill>
                          <a:ln w="9525">
                            <a:solidFill>
                              <a:srgbClr val="974706"/>
                            </a:solidFill>
                            <a:round/>
                            <a:headEnd/>
                            <a:tailEnd/>
                          </a:ln>
                        </wps:spPr>
                        <wps:txbx>
                          <w:txbxContent>
                            <w:p w14:paraId="0A147C70"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wps:txbx>
                        <wps:bodyPr rot="0" vert="horz" wrap="square" lIns="91440" tIns="45720" rIns="91440" bIns="45720" anchor="t" anchorCtr="0" upright="1">
                          <a:noAutofit/>
                        </wps:bodyPr>
                      </wps:wsp>
                      <wps:wsp>
                        <wps:cNvPr id="461" name="AutoShape 24"/>
                        <wps:cNvCnPr>
                          <a:cxnSpLocks noChangeShapeType="1"/>
                        </wps:cNvCnPr>
                        <wps:spPr bwMode="auto">
                          <a:xfrm>
                            <a:off x="2854837" y="336302"/>
                            <a:ext cx="445906" cy="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AutoShape 27"/>
                        <wps:cNvCnPr>
                          <a:cxnSpLocks noChangeShapeType="1"/>
                          <a:stCxn id="21" idx="2"/>
                          <a:endCxn id="459" idx="0"/>
                        </wps:cNvCnPr>
                        <wps:spPr bwMode="auto">
                          <a:xfrm flipH="1">
                            <a:off x="4007760" y="458803"/>
                            <a:ext cx="933" cy="436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28"/>
                        <wps:cNvCnPr>
                          <a:cxnSpLocks noChangeShapeType="1"/>
                          <a:stCxn id="218" idx="4"/>
                          <a:endCxn id="453" idx="0"/>
                        </wps:cNvCnPr>
                        <wps:spPr bwMode="auto">
                          <a:xfrm flipH="1">
                            <a:off x="4009093" y="2068732"/>
                            <a:ext cx="124" cy="43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9"/>
                        <wps:cNvCnPr>
                          <a:cxnSpLocks noChangeShapeType="1"/>
                          <a:stCxn id="453" idx="2"/>
                          <a:endCxn id="22" idx="0"/>
                        </wps:cNvCnPr>
                        <wps:spPr bwMode="auto">
                          <a:xfrm flipH="1">
                            <a:off x="4006893" y="2746244"/>
                            <a:ext cx="2200" cy="639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6" name="AutoShape 11"/>
                        <wps:cNvSpPr>
                          <a:spLocks noChangeArrowheads="1"/>
                        </wps:cNvSpPr>
                        <wps:spPr bwMode="auto">
                          <a:xfrm>
                            <a:off x="489006" y="890607"/>
                            <a:ext cx="2365431" cy="258502"/>
                          </a:xfrm>
                          <a:prstGeom prst="roundRect">
                            <a:avLst>
                              <a:gd name="adj" fmla="val 16667"/>
                            </a:avLst>
                          </a:prstGeom>
                          <a:solidFill>
                            <a:srgbClr val="E36C0A"/>
                          </a:solidFill>
                          <a:ln w="9525">
                            <a:solidFill>
                              <a:srgbClr val="974706"/>
                            </a:solidFill>
                            <a:round/>
                            <a:headEnd/>
                            <a:tailEnd/>
                          </a:ln>
                        </wps:spPr>
                        <wps:txbx>
                          <w:txbxContent>
                            <w:p w14:paraId="63737DB0"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ir/arprivačių lėšų pritraukimas </w:t>
                              </w:r>
                            </w:p>
                          </w:txbxContent>
                        </wps:txbx>
                        <wps:bodyPr rot="0" vert="horz" wrap="square" lIns="91440" tIns="45720" rIns="91440" bIns="45720" anchor="t" anchorCtr="0" upright="1">
                          <a:noAutofit/>
                        </wps:bodyPr>
                      </wps:wsp>
                      <wps:wsp>
                        <wps:cNvPr id="4097" name="AutoShape 24"/>
                        <wps:cNvCnPr>
                          <a:stCxn id="4096" idx="3"/>
                          <a:endCxn id="459" idx="1"/>
                        </wps:cNvCnPr>
                        <wps:spPr bwMode="auto">
                          <a:xfrm flipV="1">
                            <a:off x="2854437" y="1016421"/>
                            <a:ext cx="441563" cy="3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8" name="AutoShape 11"/>
                        <wps:cNvSpPr>
                          <a:spLocks noChangeArrowheads="1"/>
                        </wps:cNvSpPr>
                        <wps:spPr bwMode="auto">
                          <a:xfrm>
                            <a:off x="491306" y="3488332"/>
                            <a:ext cx="2364831" cy="257802"/>
                          </a:xfrm>
                          <a:prstGeom prst="roundRect">
                            <a:avLst>
                              <a:gd name="adj" fmla="val 16667"/>
                            </a:avLst>
                          </a:prstGeom>
                          <a:solidFill>
                            <a:srgbClr val="E36C0A"/>
                          </a:solidFill>
                          <a:ln w="9525">
                            <a:solidFill>
                              <a:srgbClr val="974706"/>
                            </a:solidFill>
                            <a:round/>
                            <a:headEnd/>
                            <a:tailEnd/>
                          </a:ln>
                        </wps:spPr>
                        <wps:txbx>
                          <w:txbxContent>
                            <w:p w14:paraId="66AE3FC6"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2" name="AutoShape 24"/>
                        <wps:cNvCnPr>
                          <a:stCxn id="4098" idx="3"/>
                          <a:endCxn id="22" idx="1"/>
                        </wps:cNvCnPr>
                        <wps:spPr bwMode="auto">
                          <a:xfrm>
                            <a:off x="2856137" y="3617233"/>
                            <a:ext cx="438996"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3" name="AutoShape 11"/>
                        <wps:cNvSpPr>
                          <a:spLocks noChangeArrowheads="1"/>
                        </wps:cNvSpPr>
                        <wps:spPr bwMode="auto">
                          <a:xfrm>
                            <a:off x="435906" y="2493022"/>
                            <a:ext cx="2364731" cy="257802"/>
                          </a:xfrm>
                          <a:prstGeom prst="roundRect">
                            <a:avLst>
                              <a:gd name="adj" fmla="val 16667"/>
                            </a:avLst>
                          </a:prstGeom>
                          <a:solidFill>
                            <a:srgbClr val="E36C0A"/>
                          </a:solidFill>
                          <a:ln w="9525">
                            <a:solidFill>
                              <a:srgbClr val="974706"/>
                            </a:solidFill>
                            <a:round/>
                            <a:headEnd/>
                            <a:tailEnd/>
                          </a:ln>
                        </wps:spPr>
                        <wps:txbx>
                          <w:txbxContent>
                            <w:p w14:paraId="10817EA7"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4" name="AutoShape 24"/>
                        <wps:cNvCnPr>
                          <a:endCxn id="453" idx="1"/>
                        </wps:cNvCnPr>
                        <wps:spPr bwMode="auto">
                          <a:xfrm>
                            <a:off x="2800637" y="2625243"/>
                            <a:ext cx="496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5" name="AutoShape 11"/>
                        <wps:cNvSpPr>
                          <a:spLocks noChangeArrowheads="1"/>
                        </wps:cNvSpPr>
                        <wps:spPr bwMode="auto">
                          <a:xfrm>
                            <a:off x="490106" y="1619914"/>
                            <a:ext cx="2364731" cy="257802"/>
                          </a:xfrm>
                          <a:prstGeom prst="roundRect">
                            <a:avLst>
                              <a:gd name="adj" fmla="val 16667"/>
                            </a:avLst>
                          </a:prstGeom>
                          <a:solidFill>
                            <a:srgbClr val="E36C0A"/>
                          </a:solidFill>
                          <a:ln w="9525">
                            <a:solidFill>
                              <a:srgbClr val="974706"/>
                            </a:solidFill>
                            <a:round/>
                            <a:headEnd/>
                            <a:tailEnd/>
                          </a:ln>
                        </wps:spPr>
                        <wps:txbx>
                          <w:txbxContent>
                            <w:p w14:paraId="229C228C"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6" name="AutoShape 24"/>
                        <wps:cNvCnPr>
                          <a:stCxn id="4105" idx="3"/>
                          <a:endCxn id="218" idx="2"/>
                        </wps:cNvCnPr>
                        <wps:spPr bwMode="auto">
                          <a:xfrm flipV="1">
                            <a:off x="2854837" y="1746470"/>
                            <a:ext cx="584467" cy="2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Oval 218"/>
                        <wps:cNvSpPr>
                          <a:spLocks noChangeArrowheads="1"/>
                        </wps:cNvSpPr>
                        <wps:spPr bwMode="auto">
                          <a:xfrm>
                            <a:off x="3439304" y="1424207"/>
                            <a:ext cx="1139825" cy="644525"/>
                          </a:xfrm>
                          <a:prstGeom prst="ellipse">
                            <a:avLst/>
                          </a:prstGeom>
                          <a:solidFill>
                            <a:srgbClr val="FFC000"/>
                          </a:solidFill>
                          <a:ln w="9525">
                            <a:solidFill>
                              <a:srgbClr val="974706"/>
                            </a:solidFill>
                            <a:round/>
                            <a:headEnd/>
                            <a:tailEnd/>
                          </a:ln>
                        </wps:spPr>
                        <wps:txbx>
                          <w:txbxContent>
                            <w:p w14:paraId="48BA7BCE" w14:textId="77777777" w:rsidR="00D1128E" w:rsidRDefault="00D1128E"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wps:txbx>
                        <wps:bodyPr rot="0" vert="horz" wrap="square" lIns="91440" tIns="45720" rIns="91440" bIns="45720" anchor="t" anchorCtr="0" upright="1">
                          <a:noAutofit/>
                        </wps:bodyPr>
                      </wps:wsp>
                      <wps:wsp>
                        <wps:cNvPr id="219" name="AutoShape 27"/>
                        <wps:cNvCnPr>
                          <a:cxnSpLocks noChangeShapeType="1"/>
                          <a:stCxn id="459" idx="2"/>
                          <a:endCxn id="218" idx="0"/>
                        </wps:cNvCnPr>
                        <wps:spPr bwMode="auto">
                          <a:xfrm>
                            <a:off x="4007760" y="1137472"/>
                            <a:ext cx="1457" cy="286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Drobė 4114" o:spid="_x0000_s1065" editas="canvas" style="width:447.75pt;height:322.45pt;mso-position-horizontal-relative:char;mso-position-vertical-relative:line" coordsize="56864,4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">
                <v:shape id="_x0000_s1066" type="#_x0000_t75" style="position:absolute;width:56864;height:40951;visibility:visible;mso-wrap-style:square">
                  <v:fill o:detectmouseclick="t"/>
                  <v:path o:connecttype="none"/>
                </v:shape>
                <v:rect id="_x0000_s1067" style="position:absolute;left:31215;top:359;width:18013;height:40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ipcMA&#10;AADaAAAADwAAAGRycy9kb3ducmV2LnhtbESPwWrDMBBE74X8g9hAb7XcFEpxLZtQCIT4kiaB0tvW&#10;2tgm1spIiu38fVQo9DjMzBsmL2fTi5Gc7ywreE5SEMS11R03Ck7HzdMbCB+QNfaWScGNPJTF4iHH&#10;TNuJP2k8hEZECPsMFbQhDJmUvm7JoE/sQBy9s3UGQ5SukdrhFOGml6s0fZUGO44LLQ700VJ9OVyN&#10;guF7R3oKWn7NR/ezddV6XzV7pR6X8/odRKA5/If/2lut4AV+r8Qb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XipcMAAADaAAAADwAAAAAAAAAAAAAAAACYAgAAZHJzL2Rv&#10;d25yZXYueG1sUEsFBgAAAAAEAAQA9QAAAIgDAAAAAA==&#10;" strokecolor="#e36c0a" strokeweight="1.5pt"/>
                <v:roundrect id="_x0000_s1068" style="position:absolute;left:4890;top:2069;width:23658;height:2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5MMEA&#10;AADaAAAADwAAAGRycy9kb3ducmV2LnhtbESPwWrDMBBE74X8g9hAb40cY0xxooRQUsitdRpyXqyN&#10;ZGqtjKXaTr++KhR6HGbmDbPdz64TIw2h9axgvcpAEDdet2wUXD5en55BhIissfNMCu4UYL9bPGyx&#10;0n7imsZzNCJBOFSowMbYV1KGxpLDsPI9cfJufnAYkxyM1ANOCe46mWdZKR22nBYs9vRiqfk8fzkF&#10;RttD/f5m6mNminCJZY7f01Wpx+V82ICINMf/8F/7pBUU8Hsl3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y+TDBAAAA2gAAAA8AAAAAAAAAAAAAAAAAmAIAAGRycy9kb3du&#10;cmV2LnhtbFBLBQYAAAAABAAEAPUAAACGAwAAAAA=&#10;" fillcolor="#e36c0a" strokecolor="#974706">
                  <v:textbox>
                    <w:txbxContent>
                      <w:p w14:paraId="7584CD1D"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v:textbox>
                </v:roundrect>
                <v:roundrect id="_x0000_s1069" style="position:absolute;left:32969;top:2176;width:14235;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qeMIA&#10;AADbAAAADwAAAGRycy9kb3ducmV2LnhtbESPQWvCQBSE7wX/w/IEb3VjEJHUTRCx0FsbFc+P7Otu&#10;MPs2ZFeT9td3C4Ueh5n5htlVk+vEg4bQelawWmYgiBuvWzYKLufX5y2IEJE1dp5JwRcFqMrZ0w4L&#10;7Ueu6XGKRiQIhwIV2Bj7QsrQWHIYlr4nTt6nHxzGJAcj9YBjgrtO5lm2kQ5bTgsWezpYam6nu1Ng&#10;tN3XH++mPmZmHS5xk+P3eFVqMZ/2LyAiTfE//Nd+0wryFf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yp4wgAAANsAAAAPAAAAAAAAAAAAAAAAAJgCAABkcnMvZG93&#10;bnJldi54bWxQSwUGAAAAAAQABAD1AAAAhwMAAAAA&#10;" fillcolor="#e36c0a" strokecolor="#974706">
                  <v:textbox>
                    <w:txbxContent>
                      <w:p w14:paraId="4812A6BF" w14:textId="77777777" w:rsidR="00D1128E" w:rsidRDefault="00D1128E"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institucija</w:t>
                        </w:r>
                      </w:p>
                    </w:txbxContent>
                  </v:textbox>
                </v:roundrect>
                <v:roundrect id="_x0000_s1070" style="position:absolute;left:32951;top:33858;width:14235;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0D8EA&#10;AADbAAAADwAAAGRycy9kb3ducmV2LnhtbESPQYvCMBSE74L/ITxhb5paFpGuUURc2JtWZc+P5pkU&#10;m5fSRFv312+EhT0OM/MNs9oMrhEP6kLtWcF8loEgrryu2Si4nD+nSxAhImtsPJOCJwXYrMejFRba&#10;91zS4xSNSBAOBSqwMbaFlKGy5DDMfEucvKvvHMYkOyN1h32Cu0bmWbaQDmtOCxZb2lmqbqe7U2C0&#10;3ZbHgyn3mXkPl7jI8af/VuptMmw/QEQa4n/4r/2lFeQ5vL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9tA/BAAAA2wAAAA8AAAAAAAAAAAAAAAAAmAIAAGRycy9kb3du&#10;cmV2LnhtbFBLBQYAAAAABAAEAPUAAACGAwAAAAA=&#10;" fillcolor="#e36c0a" strokecolor="#974706">
                  <v:textbox>
                    <w:txbxContent>
                      <w:p w14:paraId="58CFE7E7"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paramos</w:t>
                        </w:r>
                      </w:p>
                      <w:p w14:paraId="3B008154"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14:paraId="1D6E4963" w14:textId="77777777" w:rsidR="00D1128E" w:rsidRDefault="00D1128E" w:rsidP="00583EB1">
                        <w:pPr>
                          <w:spacing w:after="0" w:line="240" w:lineRule="auto"/>
                          <w:jc w:val="center"/>
                          <w:rPr>
                            <w:b/>
                            <w:color w:val="FFFFFF"/>
                            <w:sz w:val="16"/>
                            <w:szCs w:val="16"/>
                          </w:rPr>
                        </w:pPr>
                      </w:p>
                    </w:txbxContent>
                  </v:textbox>
                </v:roundrect>
                <v:roundrect id="_x0000_s1071" style="position:absolute;left:32969;top:25042;width:14243;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WqMMA&#10;AADcAAAADwAAAGRycy9kb3ducmV2LnhtbESPQWsCMRSE74X+h/AKvdVsrRVZjSKi0JuuiufH5pks&#10;3bwsm+hu/fVGEHocZuYbZrboXS2u1IbKs4LPQQaCuPS6YqPgeNh8TECEiKyx9kwK/ijAYv76MsNc&#10;+44Luu6jEQnCIUcFNsYmlzKUlhyGgW+Ik3f2rcOYZGukbrFLcFfLYZaNpcOK04LFhlaWyt/9xSkw&#10;2i6L3dYU68yMwjGOh3jrTkq9v/XLKYhIffwPP9s/WsHo+wse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WqMMAAADcAAAADwAAAAAAAAAAAAAAAACYAgAAZHJzL2Rv&#10;d25yZXYueG1sUEsFBgAAAAAEAAQA9QAAAIgDAAAAAA==&#10;" fillcolor="#e36c0a" strokecolor="#974706">
                  <v:textbox>
                    <w:txbxContent>
                      <w:p w14:paraId="09DC8C1F"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v:textbox>
                </v:roundrect>
                <v:roundrect id="_x0000_s1072" style="position:absolute;left:32960;top:8953;width:1423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hQsMA&#10;AADcAAAADwAAAGRycy9kb3ducmV2LnhtbESPQWsCMRSE7wX/Q3iF3mq2omK3RhGx0JuuiufH5pks&#10;bl6WTXS3/nojFHocZuYbZr7sXS1u1IbKs4KPYQaCuPS6YqPgePh+n4EIEVlj7ZkU/FKA5WLwMsdc&#10;+44Luu2jEQnCIUcFNsYmlzKUlhyGoW+Ik3f2rcOYZGukbrFLcFfLUZZNpcOK04LFhtaWysv+6hQY&#10;bVfFbmuKTWbG4RinI7x3J6XeXvvVF4hIffwP/7V/tILx5BOe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hQsMAAADcAAAADwAAAAAAAAAAAAAAAACYAgAAZHJzL2Rv&#10;d25yZXYueG1sUEsFBgAAAAAEAAQA9QAAAIgDAAAAAA==&#10;" fillcolor="#e36c0a" strokecolor="#974706">
                  <v:textbox>
                    <w:txbxContent>
                      <w:p w14:paraId="0A147C70" w14:textId="77777777" w:rsidR="00D1128E" w:rsidRDefault="00D1128E"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v:textbox>
                </v:roundrect>
                <v:shape id="AutoShape 24" o:spid="_x0000_s1073" type="#_x0000_t32" style="position:absolute;left:28548;top:3363;width:445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AutoShape 27" o:spid="_x0000_s1074" type="#_x0000_t32" style="position:absolute;left:40077;top:4588;width:9;height:4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YH8IAAADcAAAADwAAAGRycy9kb3ducmV2LnhtbESPQWsCMRSE70L/Q3gFb5qtqJTVKFYo&#10;iBdRC+3xsXnuBjcvyybdrP/eCILHYWa+YZbr3taio9Ybxwo+xhkI4sJpw6WCn/P36BOED8gaa8ek&#10;4EYe1qu3wRJz7SIfqTuFUiQI+xwVVCE0uZS+qMiiH7uGOHkX11oMSbal1C3GBLe1nGTZXFo0nBYq&#10;bGhbUXE9/VsFJh5M1+y28Wv/++d1JHObOaPU8L3fLEAE6sMr/GzvtILpf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EYH8IAAADcAAAADwAAAAAAAAAAAAAA&#10;AAChAgAAZHJzL2Rvd25yZXYueG1sUEsFBgAAAAAEAAQA+QAAAJADAAAAAA==&#10;">
                  <v:stroke endarrow="block"/>
                </v:shape>
                <v:shape id="AutoShape 28" o:spid="_x0000_s1075" type="#_x0000_t32" style="position:absolute;left:40090;top:20687;width:2;height:4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9hMMAAADcAAAADwAAAGRycy9kb3ducmV2LnhtbESPQWsCMRSE74X+h/AK3mq2akVWo7SC&#10;IF6kWqjHx+a5G7p5WTZxs/57Iwgeh5n5hlmseluLjlpvHCv4GGYgiAunDZcKfo+b9xkIH5A11o5J&#10;wZU8rJavLwvMtYv8Q90hlCJB2OeooAqhyaX0RUUW/dA1xMk7u9ZiSLItpW4xJrit5SjLptKi4bRQ&#10;YUPrior/w8UqMHFvuma7jt+7v5PXkcz10xmlBm/91xxEoD48w4/2ViuYTM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vYTDAAAA3AAAAA8AAAAAAAAAAAAA&#10;AAAAoQIAAGRycy9kb3ducmV2LnhtbFBLBQYAAAAABAAEAPkAAACRAwAAAAA=&#10;">
                  <v:stroke endarrow="block"/>
                </v:shape>
                <v:shape id="AutoShape 29" o:spid="_x0000_s1076" type="#_x0000_t32" style="position:absolute;left:40068;top:27462;width:22;height:63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roundrect id="_x0000_s1077" style="position:absolute;left:4890;top:8906;width:23654;height:2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bRcMA&#10;AADdAAAADwAAAGRycy9kb3ducmV2LnhtbESPQWsCMRSE74X+h/AKvdWkIotujSKlhd7qqvT82DyT&#10;xc3LskndbX+9EQSPw8x8wyzXo2/FmfrYBNbwOlEgiOtgGrYaDvvPlzmImJANtoFJwx9FWK8eH5ZY&#10;mjBwReddsiJDOJaowaXUlVLG2pHHOAkdcfaOofeYsuytND0OGe5bOVWqkB4bzgsOO3p3VJ92v16D&#10;NW5Tbb9t9aHsLB5SMcX/4Ufr56dx8wYi0Zju4Vv7y2iYqUUB1zf5Cc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bRcMAAADdAAAADwAAAAAAAAAAAAAAAACYAgAAZHJzL2Rv&#10;d25yZXYueG1sUEsFBgAAAAAEAAQA9QAAAIgDAAAAAA==&#10;" fillcolor="#e36c0a" strokecolor="#974706">
                  <v:textbox>
                    <w:txbxContent>
                      <w:p w14:paraId="63737DB0"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ir/arprivačių lėšų pritraukimas </w:t>
                        </w:r>
                      </w:p>
                    </w:txbxContent>
                  </v:textbox>
                </v:roundrect>
                <v:shape id="AutoShape 24" o:spid="_x0000_s1078" type="#_x0000_t32" style="position:absolute;left:28544;top:10164;width:4416;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PC8UAAADdAAAADwAAAGRycy9kb3ducmV2LnhtbESPT2sCMRTE7wW/Q3hCbzVrsVVXo1ih&#10;IL0U/4AeH5vnbnDzsmziZv32TaHQ4zAzv2GW697WoqPWG8cKxqMMBHHhtOFSwen4+TID4QOyxtox&#10;KXiQh/Vq8LTEXLvIe+oOoRQJwj5HBVUITS6lLyqy6EeuIU7e1bUWQ5JtKXWLMcFtLV+z7F1aNJwW&#10;KmxoW1FxO9ytAhO/TdfstvHj63zxOpJ5vDmj1POw3yxABOrDf/ivvdMKJtl8C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PC8UAAADdAAAADwAAAAAAAAAA&#10;AAAAAAChAgAAZHJzL2Rvd25yZXYueG1sUEsFBgAAAAAEAAQA+QAAAJMDAAAAAA==&#10;">
                  <v:stroke endarrow="block"/>
                </v:shape>
                <v:roundrect id="_x0000_s1079" style="position:absolute;left:4913;top:34883;width:23648;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qrMAA&#10;AADdAAAADwAAAGRycy9kb3ducmV2LnhtbERPTWsCMRC9C/6HMEJvmlRE2q1RRBR601XpedhMk6Wb&#10;ybKJ7ra/3hyEHh/ve7UZfCPu1MU6sIbXmQJBXAVTs9VwvRymbyBiQjbYBCYNvxRhsx6PVliY0HNJ&#10;93OyIodwLFCDS6ktpIyVI49xFlrizH2HzmPKsLPSdNjncN/IuVJL6bHm3OCwpZ2j6ud88xqscdvy&#10;dLTlXtlFvKblHP/6L61fJsP2A0SiIf2Ln+5Po2Gh3vPc/CY/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hqrMAAAADdAAAADwAAAAAAAAAAAAAAAACYAgAAZHJzL2Rvd25y&#10;ZXYueG1sUEsFBgAAAAAEAAQA9QAAAIUDAAAAAA==&#10;" fillcolor="#e36c0a" strokecolor="#974706">
                  <v:textbox>
                    <w:txbxContent>
                      <w:p w14:paraId="66AE3FC6"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0" type="#_x0000_t32" style="position:absolute;left:28561;top:36172;width:439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F48YAAADdAAAADwAAAGRycy9kb3ducmV2LnhtbESPQWvCQBSE74L/YXmCN91ERDS6SilU&#10;ROlBLaG9PbLPJDT7NuyuGvvruwWhx2FmvmFWm8404kbO15YVpOMEBHFhdc2lgo/z22gOwgdkjY1l&#10;UvAgD5t1v7fCTNs7H+l2CqWIEPYZKqhCaDMpfVGRQT+2LXH0LtYZDFG6UmqH9wg3jZwkyUwarDku&#10;VNjSa0XF9+lqFHweFtf8kb/TPk8X+y90xv+ct0oNB93LEkSgLvyHn+2dVjBNkw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xePGAAAA3QAAAA8AAAAAAAAA&#10;AAAAAAAAoQIAAGRycy9kb3ducmV2LnhtbFBLBQYAAAAABAAEAPkAAACUAwAAAAA=&#10;">
                  <v:stroke endarrow="block"/>
                </v:shape>
                <v:roundrect id="_x0000_s1081" style="position:absolute;left:4359;top:24930;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ix8QA&#10;AADdAAAADwAAAGRycy9kb3ducmV2LnhtbESPT2sCMRTE74V+h/AEbzXxD1K2RpFSwVtdlZ4fm9dk&#10;cfOybFJ320/fCILHYWZ+w6w2g2/ElbpYB9YwnSgQxFUwNVsN59Pu5RVETMgGm8Ck4ZcibNbPTyss&#10;TOi5pOsxWZEhHAvU4FJqCylj5chjnISWOHvfofOYsuysNB32Ge4bOVNqKT3WnBcctvTuqLocf7wG&#10;a9y2PHza8kPZRTyn5Qz/+i+tx6Nh+wYi0ZAe4Xt7bzQspmoOtzf5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YsfEAAAA3QAAAA8AAAAAAAAAAAAAAAAAmAIAAGRycy9k&#10;b3ducmV2LnhtbFBLBQYAAAAABAAEAPUAAACJAwAAAAA=&#10;" fillcolor="#e36c0a" strokecolor="#974706">
                  <v:textbox>
                    <w:txbxContent>
                      <w:p w14:paraId="10817EA7"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2" type="#_x0000_t32" style="position:absolute;left:28006;top:26252;width:4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4DMYAAADdAAAADwAAAGRycy9kb3ducmV2LnhtbESPQWvCQBSE7wX/w/IEb3WTIqLRVUqh&#10;RRQPagnt7ZF9JqHZt2F31eivdwWhx2FmvmHmy8404kzO15YVpMMEBHFhdc2lgu/D5+sEhA/IGhvL&#10;pOBKHpaL3sscM20vvKPzPpQiQthnqKAKoc2k9EVFBv3QtsTRO1pnMETpSqkdXiLcNPItScbSYM1x&#10;ocKWPioq/vYno+BnMz3l13xL6zydrn/RGX87fCk16HfvMxCBuvAffrZXWsEoTUb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1+AzGAAAA3QAAAA8AAAAAAAAA&#10;AAAAAAAAoQIAAGRycy9kb3ducmV2LnhtbFBLBQYAAAAABAAEAPkAAACUAwAAAAA=&#10;">
                  <v:stroke endarrow="block"/>
                </v:shape>
                <v:roundrect id="_x0000_s1083" style="position:absolute;left:4901;top:16199;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fKMQA&#10;AADdAAAADwAAAGRycy9kb3ducmV2LnhtbESPQWsCMRSE74X+h/CE3mqiqJStUaRY6K1dXXp+bF6T&#10;xc3Lsonutr++EQSPw8x8w6y3o2/FhfrYBNYwmyoQxHUwDVsN1fH9+QVETMgG28Ck4ZcibDePD2ss&#10;TBi4pMshWZEhHAvU4FLqCilj7chjnIaOOHs/ofeYsuytND0OGe5bOVdqJT02nBccdvTmqD4dzl6D&#10;NW5Xfn3acq/sIlZpNce/4Vvrp8m4ewWRaEz38K39YTQsZmoJ1zf5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XyjEAAAA3QAAAA8AAAAAAAAAAAAAAAAAmAIAAGRycy9k&#10;b3ducmV2LnhtbFBLBQYAAAAABAAEAPUAAACJAwAAAAA=&#10;" fillcolor="#e36c0a" strokecolor="#974706">
                  <v:textbox>
                    <w:txbxContent>
                      <w:p w14:paraId="229C228C" w14:textId="77777777" w:rsidR="00D1128E" w:rsidRDefault="00D1128E"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4" type="#_x0000_t32" style="position:absolute;left:28548;top:17464;width:5845;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wisMAAADdAAAADwAAAGRycy9kb3ducmV2LnhtbESPQWsCMRSE7wX/Q3hCbzWrtFJWo6gg&#10;iJeiFvT42Dx3g5uXZRM36783hYLHYWa+YebL3taio9YbxwrGowwEceG04VLB72n78Q3CB2SNtWNS&#10;8CAPy8XgbY65dpEP1B1DKRKEfY4KqhCaXEpfVGTRj1xDnLyray2GJNtS6hZjgttaTrJsKi0aTgsV&#10;NrSpqLgd71aBiT+ma3abuN6fL15HMo8vZ5R6H/arGYhAfXiF/9s7reBznE3h701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AMIrDAAAA3QAAAA8AAAAAAAAAAAAA&#10;AAAAoQIAAGRycy9kb3ducmV2LnhtbFBLBQYAAAAABAAEAPkAAACRAwAAAAA=&#10;">
                  <v:stroke endarrow="block"/>
                </v:shape>
                <v:oval id="Oval 218" o:spid="_x0000_s1085" style="position:absolute;left:34393;top:14242;width:11398;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xpcEA&#10;AADcAAAADwAAAGRycy9kb3ducmV2LnhtbERPS4vCMBC+C/sfwix401QRkWqUZdlFxYP4OOhtbMa2&#10;bDMpTVbrv3cOgseP7z1btK5SN2pC6dnAoJ+AIs68LTk3cDz89iagQkS2WHkmAw8KsJh/dGaYWn/n&#10;Hd32MVcSwiFFA0WMdap1yApyGPq+Jhbu6huHUWCTa9vgXcJdpYdJMtYOS5aGAmv6Lij72/87A8Pz&#10;9rKp16PlKY5CtdysE5ysfozpfrZfU1CR2vgWv9wrK76BrJUzcg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8aXBAAAA3AAAAA8AAAAAAAAAAAAAAAAAmAIAAGRycy9kb3du&#10;cmV2LnhtbFBLBQYAAAAABAAEAPUAAACGAwAAAAA=&#10;" fillcolor="#ffc000" strokecolor="#974706">
                  <v:textbox>
                    <w:txbxContent>
                      <w:p w14:paraId="48BA7BCE" w14:textId="77777777" w:rsidR="00D1128E" w:rsidRDefault="00D1128E"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v:textbox>
                </v:oval>
                <v:shape id="AutoShape 27" o:spid="_x0000_s1086" type="#_x0000_t32" style="position:absolute;left:40077;top:11374;width:15;height:2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w10:anchorlock/>
              </v:group>
            </w:pict>
          </mc:Fallback>
        </mc:AlternateContent>
      </w:r>
    </w:p>
    <w:p w14:paraId="6BFD831A" w14:textId="13B7DA3A" w:rsidR="00583EB1" w:rsidRPr="00C97275" w:rsidRDefault="00583EB1" w:rsidP="00583EB1">
      <w:pPr>
        <w:pStyle w:val="Antrat"/>
        <w:spacing w:line="276" w:lineRule="auto"/>
        <w:jc w:val="both"/>
        <w:rPr>
          <w:szCs w:val="20"/>
          <w:lang w:val="lt-LT"/>
        </w:rPr>
      </w:pPr>
      <w:bookmarkStart w:id="138" w:name="_Toc19105292"/>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8</w:t>
      </w:r>
      <w:r w:rsidRPr="00C97275">
        <w:rPr>
          <w:lang w:val="lt-LT"/>
        </w:rPr>
        <w:fldChar w:fldCharType="end"/>
      </w:r>
      <w:r w:rsidRPr="00C97275">
        <w:rPr>
          <w:lang w:val="lt-LT"/>
        </w:rPr>
        <w:t>. Finansinės priemonės lygiai, kuriuose galimas papildomų lėšų pritraukimas.</w:t>
      </w:r>
      <w:bookmarkEnd w:id="138"/>
      <w:r w:rsidRPr="00C97275">
        <w:rPr>
          <w:lang w:val="lt-LT"/>
        </w:rPr>
        <w:t xml:space="preserve"> </w:t>
      </w:r>
    </w:p>
    <w:p w14:paraId="779B70F5" w14:textId="4FA2257E" w:rsidR="00583EB1" w:rsidRPr="00C97275" w:rsidRDefault="00583EB1" w:rsidP="00583EB1">
      <w:pPr>
        <w:jc w:val="both"/>
        <w:rPr>
          <w:rFonts w:ascii="Georgia" w:hAnsi="Georgia"/>
          <w:sz w:val="20"/>
          <w:szCs w:val="20"/>
          <w:lang w:val="lt-LT"/>
        </w:rPr>
      </w:pPr>
      <w:r w:rsidRPr="00C97275">
        <w:rPr>
          <w:rFonts w:ascii="Georgia" w:hAnsi="Georgia"/>
          <w:sz w:val="20"/>
          <w:szCs w:val="20"/>
          <w:lang w:val="lt-LT"/>
        </w:rPr>
        <w:t xml:space="preserve">Pokalbių su potencialiais investuotojais metu buvo nustatyta, jog investuotojai būtų suinteresuoti investuoti į investicinį fondą (juridinio asmens statusą turintį fondą), kuriam galėtų teikti paskolas ar kitaip investuoti ir kurio pirmąją nuostolių dalį prisiimtų valstybė. </w:t>
      </w:r>
      <w:r w:rsidR="008F65CF" w:rsidRPr="00C97275">
        <w:rPr>
          <w:rFonts w:ascii="Georgia" w:hAnsi="Georgia"/>
          <w:sz w:val="20"/>
          <w:szCs w:val="20"/>
          <w:lang w:val="lt-LT"/>
        </w:rPr>
        <w:t>Susidomėjimą</w:t>
      </w:r>
      <w:r w:rsidRPr="00C97275">
        <w:rPr>
          <w:rFonts w:ascii="Georgia" w:hAnsi="Georgia"/>
          <w:sz w:val="20"/>
          <w:szCs w:val="20"/>
          <w:lang w:val="lt-LT"/>
        </w:rPr>
        <w:t xml:space="preserve"> </w:t>
      </w:r>
      <w:r w:rsidR="008F65CF" w:rsidRPr="00C97275">
        <w:rPr>
          <w:rFonts w:ascii="Georgia" w:hAnsi="Georgia"/>
          <w:sz w:val="20"/>
          <w:szCs w:val="20"/>
          <w:lang w:val="lt-LT"/>
        </w:rPr>
        <w:t>tokiu principiniu</w:t>
      </w:r>
      <w:r w:rsidRPr="00C97275">
        <w:rPr>
          <w:rFonts w:ascii="Georgia" w:hAnsi="Georgia"/>
          <w:sz w:val="20"/>
          <w:szCs w:val="20"/>
          <w:lang w:val="lt-LT"/>
        </w:rPr>
        <w:t xml:space="preserve"> modeliu išreiškė </w:t>
      </w:r>
      <w:r w:rsidR="002523D4" w:rsidRPr="00C97275">
        <w:rPr>
          <w:rFonts w:ascii="Georgia" w:hAnsi="Georgia"/>
          <w:sz w:val="20"/>
          <w:szCs w:val="20"/>
          <w:lang w:val="lt-LT"/>
        </w:rPr>
        <w:t>EIB</w:t>
      </w:r>
      <w:r w:rsidRPr="00C97275">
        <w:rPr>
          <w:rFonts w:ascii="Georgia" w:hAnsi="Georgia"/>
          <w:sz w:val="20"/>
          <w:szCs w:val="20"/>
          <w:lang w:val="lt-LT"/>
        </w:rPr>
        <w:t>, ERPB, komerciniai bankai ir pensijų fondai.</w:t>
      </w:r>
    </w:p>
    <w:p w14:paraId="2149523A" w14:textId="7CFE5FCF" w:rsidR="00583EB1" w:rsidRPr="00C97275" w:rsidRDefault="00583EB1" w:rsidP="00583EB1">
      <w:pPr>
        <w:jc w:val="both"/>
        <w:rPr>
          <w:rFonts w:ascii="Georgia" w:hAnsi="Georgia"/>
          <w:sz w:val="20"/>
          <w:szCs w:val="20"/>
          <w:lang w:val="lt-LT"/>
        </w:rPr>
      </w:pPr>
      <w:r w:rsidRPr="00C97275">
        <w:rPr>
          <w:rFonts w:ascii="Georgia" w:hAnsi="Georgia"/>
          <w:sz w:val="20"/>
          <w:szCs w:val="20"/>
          <w:lang w:val="lt-LT"/>
        </w:rPr>
        <w:t>Šio e</w:t>
      </w:r>
      <w:r w:rsidR="00300FF4" w:rsidRPr="00C97275">
        <w:rPr>
          <w:rFonts w:ascii="Georgia" w:hAnsi="Georgia"/>
          <w:sz w:val="20"/>
          <w:szCs w:val="20"/>
          <w:lang w:val="lt-LT"/>
        </w:rPr>
        <w:t>x-ante</w:t>
      </w:r>
      <w:r w:rsidRPr="00C97275">
        <w:rPr>
          <w:rFonts w:ascii="Georgia" w:hAnsi="Georgia"/>
          <w:sz w:val="20"/>
          <w:szCs w:val="20"/>
          <w:lang w:val="lt-LT"/>
        </w:rPr>
        <w:t xml:space="preserve"> vertinimo 4 dalyje </w:t>
      </w:r>
      <w:r w:rsidR="008F65CF" w:rsidRPr="00C97275">
        <w:rPr>
          <w:rFonts w:ascii="Georgia" w:hAnsi="Georgia"/>
          <w:sz w:val="20"/>
          <w:szCs w:val="20"/>
          <w:lang w:val="lt-LT"/>
        </w:rPr>
        <w:t>nagrinėjamuose</w:t>
      </w:r>
      <w:r w:rsidRPr="00C97275">
        <w:rPr>
          <w:rFonts w:ascii="Georgia" w:hAnsi="Georgia"/>
          <w:sz w:val="20"/>
          <w:szCs w:val="20"/>
          <w:lang w:val="lt-LT"/>
        </w:rPr>
        <w:t xml:space="preserve"> įgyvendinimo modeliuose ir finansavimo scenarijuose privačios lėšos </w:t>
      </w:r>
      <w:r w:rsidR="008F65CF" w:rsidRPr="00C97275">
        <w:rPr>
          <w:rFonts w:ascii="Georgia" w:hAnsi="Georgia"/>
          <w:sz w:val="20"/>
          <w:szCs w:val="20"/>
          <w:lang w:val="lt-LT"/>
        </w:rPr>
        <w:t xml:space="preserve">gali būti </w:t>
      </w:r>
      <w:r w:rsidRPr="00C97275">
        <w:rPr>
          <w:rFonts w:ascii="Georgia" w:hAnsi="Georgia"/>
          <w:sz w:val="20"/>
          <w:szCs w:val="20"/>
          <w:lang w:val="lt-LT"/>
        </w:rPr>
        <w:t>pritraukiamos įvairiuose lygiuose. Galimuose įgyvendinimo modeliuose lėšos pritraukiamos į fondų fondo lygmenį, o scenarijuose aprašytos situacijos kai lėšos pritraukiamos įgyvendinant finansines priemones.</w:t>
      </w:r>
    </w:p>
    <w:p w14:paraId="14E45237" w14:textId="78091D92" w:rsidR="00583EB1" w:rsidRPr="00C97275" w:rsidRDefault="00583EB1" w:rsidP="00583EB1">
      <w:pPr>
        <w:pStyle w:val="Antrat"/>
        <w:rPr>
          <w:szCs w:val="20"/>
          <w:lang w:val="lt-LT"/>
        </w:rPr>
      </w:pPr>
      <w:bookmarkStart w:id="139" w:name="_Toc19105247"/>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34</w:t>
      </w:r>
      <w:r w:rsidRPr="00C97275">
        <w:rPr>
          <w:lang w:val="lt-LT"/>
        </w:rPr>
        <w:fldChar w:fldCharType="end"/>
      </w:r>
      <w:r w:rsidRPr="00C97275">
        <w:rPr>
          <w:lang w:val="lt-LT"/>
        </w:rPr>
        <w:t xml:space="preserve">. </w:t>
      </w:r>
      <w:r w:rsidRPr="00C97275">
        <w:rPr>
          <w:szCs w:val="20"/>
          <w:lang w:val="lt-LT"/>
        </w:rPr>
        <w:t>Privačių investuotojų lėšų pritraukimas į fondų fondo lygmenį.</w:t>
      </w:r>
      <w:bookmarkEnd w:id="139"/>
    </w:p>
    <w:tbl>
      <w:tblPr>
        <w:tblStyle w:val="LightList-Accent21"/>
        <w:tblW w:w="5000" w:type="pct"/>
        <w:tblLook w:val="04A0" w:firstRow="1" w:lastRow="0" w:firstColumn="1" w:lastColumn="0" w:noHBand="0" w:noVBand="1"/>
      </w:tblPr>
      <w:tblGrid>
        <w:gridCol w:w="4548"/>
        <w:gridCol w:w="4694"/>
      </w:tblGrid>
      <w:tr w:rsidR="00583EB1" w:rsidRPr="00C97275" w14:paraId="1248A4DB" w14:textId="77777777" w:rsidTr="005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1632C4FA" w14:textId="77777777" w:rsidR="00583EB1" w:rsidRPr="00C97275" w:rsidRDefault="00583EB1" w:rsidP="00583EB1">
            <w:pPr>
              <w:keepNext/>
              <w:autoSpaceDE w:val="0"/>
              <w:autoSpaceDN w:val="0"/>
              <w:adjustRightInd w:val="0"/>
              <w:jc w:val="center"/>
              <w:rPr>
                <w:rFonts w:ascii="Georgia" w:hAnsi="Georgia" w:cs="Georgia"/>
                <w:sz w:val="20"/>
                <w:szCs w:val="20"/>
              </w:rPr>
            </w:pPr>
            <w:r w:rsidRPr="00C97275">
              <w:rPr>
                <w:rFonts w:ascii="Georgia" w:hAnsi="Georgia" w:cs="Georgia"/>
                <w:sz w:val="20"/>
                <w:szCs w:val="20"/>
              </w:rPr>
              <w:t>Modelis</w:t>
            </w:r>
          </w:p>
        </w:tc>
        <w:tc>
          <w:tcPr>
            <w:tcW w:w="0" w:type="pct"/>
            <w:hideMark/>
          </w:tcPr>
          <w:p w14:paraId="34BB58C1" w14:textId="77777777" w:rsidR="00583EB1" w:rsidRPr="00C97275" w:rsidRDefault="00583EB1" w:rsidP="00583EB1">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Privačių lėšų pritraukimo galimybės</w:t>
            </w:r>
          </w:p>
        </w:tc>
      </w:tr>
      <w:tr w:rsidR="00583EB1" w:rsidRPr="00C97275" w14:paraId="353E9D71"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07E916A4" w14:textId="7CAC744E" w:rsidR="00583EB1" w:rsidRPr="00C97275" w:rsidRDefault="00583EB1">
            <w:pPr>
              <w:autoSpaceDE w:val="0"/>
              <w:autoSpaceDN w:val="0"/>
              <w:adjustRightInd w:val="0"/>
              <w:rPr>
                <w:rFonts w:ascii="Georgia" w:hAnsi="Georgia" w:cs="Georgia"/>
                <w:sz w:val="20"/>
                <w:szCs w:val="20"/>
              </w:rPr>
            </w:pPr>
            <w:r w:rsidRPr="00C97275">
              <w:rPr>
                <w:rFonts w:ascii="Georgia" w:hAnsi="Georgia" w:cs="Georgia"/>
                <w:sz w:val="20"/>
                <w:szCs w:val="20"/>
              </w:rPr>
              <w:t xml:space="preserve">Fondų fondo veiklos vykdymas </w:t>
            </w:r>
          </w:p>
        </w:tc>
        <w:tc>
          <w:tcPr>
            <w:tcW w:w="0" w:type="pct"/>
            <w:hideMark/>
          </w:tcPr>
          <w:p w14:paraId="14164415" w14:textId="45AE9344" w:rsidR="00583EB1" w:rsidRPr="00C97275" w:rsidRDefault="00583EB1" w:rsidP="006378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Šiame modelyje nėra pritraukiama papildomų lėšų į fondų fondo lygmenį, todėl multiplikatorius yra sukuriamas tik iš finansinio produkto. Plačiau modelis aprašytas 4</w:t>
            </w:r>
            <w:r w:rsidR="00660FB3" w:rsidRPr="00C97275">
              <w:rPr>
                <w:rFonts w:ascii="Georgia" w:hAnsi="Georgia" w:cs="Georgia"/>
                <w:sz w:val="20"/>
                <w:szCs w:val="20"/>
              </w:rPr>
              <w:t>-ajame</w:t>
            </w:r>
            <w:r w:rsidRPr="00C97275">
              <w:rPr>
                <w:rFonts w:ascii="Georgia" w:hAnsi="Georgia" w:cs="Georgia"/>
                <w:sz w:val="20"/>
                <w:szCs w:val="20"/>
              </w:rPr>
              <w:t xml:space="preserve"> e</w:t>
            </w:r>
            <w:r w:rsidR="00300FF4" w:rsidRPr="00C97275">
              <w:rPr>
                <w:rFonts w:ascii="Georgia" w:hAnsi="Georgia" w:cs="Georgia"/>
                <w:sz w:val="20"/>
                <w:szCs w:val="20"/>
              </w:rPr>
              <w:t>x-ante</w:t>
            </w:r>
            <w:r w:rsidRPr="00C97275">
              <w:rPr>
                <w:rFonts w:ascii="Georgia" w:hAnsi="Georgia" w:cs="Georgia"/>
                <w:sz w:val="20"/>
                <w:szCs w:val="20"/>
              </w:rPr>
              <w:t xml:space="preserve"> </w:t>
            </w:r>
            <w:r w:rsidR="00C02C72" w:rsidRPr="00C97275">
              <w:rPr>
                <w:rFonts w:ascii="Georgia" w:hAnsi="Georgia" w:cs="Georgia"/>
                <w:sz w:val="20"/>
                <w:szCs w:val="20"/>
              </w:rPr>
              <w:t xml:space="preserve">skyriuje. </w:t>
            </w:r>
          </w:p>
        </w:tc>
      </w:tr>
      <w:tr w:rsidR="00583EB1" w:rsidRPr="00C97275" w14:paraId="1EE06155" w14:textId="77777777" w:rsidTr="005B31C6">
        <w:tc>
          <w:tcPr>
            <w:cnfStyle w:val="001000000000" w:firstRow="0" w:lastRow="0" w:firstColumn="1" w:lastColumn="0" w:oddVBand="0" w:evenVBand="0" w:oddHBand="0" w:evenHBand="0" w:firstRowFirstColumn="0" w:firstRowLastColumn="0" w:lastRowFirstColumn="0" w:lastRowLastColumn="0"/>
            <w:tcW w:w="0" w:type="pct"/>
            <w:hideMark/>
          </w:tcPr>
          <w:p w14:paraId="3E2ABA4A" w14:textId="7EF6E146" w:rsidR="00583EB1" w:rsidRPr="00C97275" w:rsidRDefault="008E53D8" w:rsidP="007B254D">
            <w:pPr>
              <w:autoSpaceDE w:val="0"/>
              <w:autoSpaceDN w:val="0"/>
              <w:adjustRightInd w:val="0"/>
              <w:rPr>
                <w:rFonts w:ascii="Georgia" w:hAnsi="Georgia" w:cs="Georgia"/>
                <w:sz w:val="20"/>
                <w:szCs w:val="20"/>
              </w:rPr>
            </w:pPr>
            <w:r w:rsidRPr="00C97275">
              <w:rPr>
                <w:rFonts w:ascii="Georgia" w:hAnsi="Georgia" w:cs="Georgia"/>
                <w:sz w:val="20"/>
                <w:szCs w:val="20"/>
              </w:rPr>
              <w:t>Asimetrinio rizikos pasidalijimo fondas</w:t>
            </w:r>
            <w:r w:rsidR="00583EB1" w:rsidRPr="00C97275">
              <w:rPr>
                <w:rFonts w:ascii="Georgia" w:hAnsi="Georgia" w:cs="Georgia"/>
                <w:sz w:val="20"/>
                <w:szCs w:val="20"/>
              </w:rPr>
              <w:t xml:space="preserve"> </w:t>
            </w:r>
          </w:p>
        </w:tc>
        <w:tc>
          <w:tcPr>
            <w:tcW w:w="0" w:type="pct"/>
            <w:hideMark/>
          </w:tcPr>
          <w:p w14:paraId="0839723E" w14:textId="2C44CB04" w:rsidR="00583EB1" w:rsidRPr="00C97275" w:rsidRDefault="00583EB1" w:rsidP="006378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Šiame modelyje privačios lėšos pritraukiamos į fondų fondo lygmenį investuo</w:t>
            </w:r>
            <w:r w:rsidR="00D91A49" w:rsidRPr="00C97275">
              <w:rPr>
                <w:rFonts w:ascii="Georgia" w:hAnsi="Georgia" w:cs="Georgia"/>
                <w:sz w:val="20"/>
                <w:szCs w:val="20"/>
              </w:rPr>
              <w:t>tomis viešosiomis lėšomis prisiimant pirmojo praradimo riziką</w:t>
            </w:r>
            <w:r w:rsidRPr="00C97275">
              <w:rPr>
                <w:rFonts w:ascii="Georgia" w:hAnsi="Georgia" w:cs="Georgia"/>
                <w:sz w:val="20"/>
                <w:szCs w:val="20"/>
              </w:rPr>
              <w:t>. Plačiau modelis aprašytas 4</w:t>
            </w:r>
            <w:r w:rsidR="00660FB3" w:rsidRPr="00C97275">
              <w:rPr>
                <w:rFonts w:ascii="Georgia" w:hAnsi="Georgia" w:cs="Georgia"/>
                <w:sz w:val="20"/>
                <w:szCs w:val="20"/>
              </w:rPr>
              <w:t>-ajame</w:t>
            </w:r>
            <w:r w:rsidRPr="00C97275">
              <w:rPr>
                <w:rFonts w:ascii="Georgia" w:hAnsi="Georgia" w:cs="Georgia"/>
                <w:sz w:val="20"/>
                <w:szCs w:val="20"/>
              </w:rPr>
              <w:t xml:space="preserve"> e</w:t>
            </w:r>
            <w:r w:rsidR="00300FF4" w:rsidRPr="00C97275">
              <w:rPr>
                <w:rFonts w:ascii="Georgia" w:hAnsi="Georgia" w:cs="Georgia"/>
                <w:sz w:val="20"/>
                <w:szCs w:val="20"/>
              </w:rPr>
              <w:t>x-ante</w:t>
            </w:r>
            <w:r w:rsidRPr="00C97275">
              <w:rPr>
                <w:rFonts w:ascii="Georgia" w:hAnsi="Georgia" w:cs="Georgia"/>
                <w:sz w:val="20"/>
                <w:szCs w:val="20"/>
              </w:rPr>
              <w:t xml:space="preserve"> </w:t>
            </w:r>
            <w:r w:rsidR="00C02C72" w:rsidRPr="00C97275">
              <w:rPr>
                <w:rFonts w:ascii="Georgia" w:hAnsi="Georgia" w:cs="Georgia"/>
                <w:sz w:val="20"/>
                <w:szCs w:val="20"/>
              </w:rPr>
              <w:t xml:space="preserve">skyriuje. </w:t>
            </w:r>
          </w:p>
        </w:tc>
      </w:tr>
      <w:tr w:rsidR="00583EB1" w:rsidRPr="00C97275" w14:paraId="5447618E"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2102C52F" w14:textId="0D217E21" w:rsidR="00583EB1" w:rsidRPr="00C97275" w:rsidRDefault="00583EB1">
            <w:pPr>
              <w:autoSpaceDE w:val="0"/>
              <w:autoSpaceDN w:val="0"/>
              <w:adjustRightInd w:val="0"/>
              <w:rPr>
                <w:rFonts w:ascii="Georgia" w:hAnsi="Georgia" w:cs="Georgia"/>
                <w:sz w:val="20"/>
                <w:szCs w:val="20"/>
              </w:rPr>
            </w:pPr>
            <w:r w:rsidRPr="00C97275">
              <w:rPr>
                <w:rFonts w:ascii="Georgia" w:hAnsi="Georgia" w:cs="Georgia"/>
                <w:sz w:val="20"/>
                <w:szCs w:val="20"/>
              </w:rPr>
              <w:t xml:space="preserve">Fondų fondo ir investicinio fondo  steigimas </w:t>
            </w:r>
          </w:p>
        </w:tc>
        <w:tc>
          <w:tcPr>
            <w:tcW w:w="0" w:type="pct"/>
            <w:hideMark/>
          </w:tcPr>
          <w:p w14:paraId="0253649C" w14:textId="662D184A" w:rsidR="00583EB1" w:rsidRPr="00C97275" w:rsidRDefault="00583EB1" w:rsidP="006378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Sukuriamas fondų fondas, kuris įgyvendina finansines priemones, o atskirai privačių investuotojų sukurtas investicinis fondas</w:t>
            </w:r>
            <w:r w:rsidR="00D91A49" w:rsidRPr="00C97275">
              <w:rPr>
                <w:rFonts w:ascii="Georgia" w:hAnsi="Georgia" w:cs="Georgia"/>
                <w:sz w:val="20"/>
                <w:szCs w:val="20"/>
              </w:rPr>
              <w:t xml:space="preserve"> ar kita institucija</w:t>
            </w:r>
            <w:r w:rsidRPr="00C97275">
              <w:rPr>
                <w:rFonts w:ascii="Georgia" w:hAnsi="Georgia" w:cs="Georgia"/>
                <w:sz w:val="20"/>
                <w:szCs w:val="20"/>
              </w:rPr>
              <w:t xml:space="preserve"> išperka sėkmingų projektų ateities finansinius srautus iš fondų fondo. </w:t>
            </w:r>
            <w:r w:rsidR="00966F54" w:rsidRPr="00C97275">
              <w:rPr>
                <w:rFonts w:ascii="Georgia" w:hAnsi="Georgia" w:cs="Georgia"/>
                <w:sz w:val="20"/>
                <w:szCs w:val="20"/>
              </w:rPr>
              <w:t>Toks fondas</w:t>
            </w:r>
            <w:r w:rsidR="00D91A49" w:rsidRPr="00C97275">
              <w:rPr>
                <w:rFonts w:ascii="Georgia" w:hAnsi="Georgia" w:cs="Georgia"/>
                <w:sz w:val="20"/>
                <w:szCs w:val="20"/>
              </w:rPr>
              <w:t xml:space="preserve"> </w:t>
            </w:r>
            <w:r w:rsidR="00D91A49" w:rsidRPr="00C97275">
              <w:rPr>
                <w:rFonts w:ascii="Georgia" w:hAnsi="Georgia" w:cs="Georgia"/>
                <w:sz w:val="20"/>
                <w:szCs w:val="20"/>
              </w:rPr>
              <w:lastRenderedPageBreak/>
              <w:t>gali atsirasti tik tada kai</w:t>
            </w:r>
            <w:r w:rsidR="00966F54" w:rsidRPr="00C97275">
              <w:rPr>
                <w:rFonts w:ascii="Georgia" w:hAnsi="Georgia" w:cs="Georgia"/>
                <w:sz w:val="20"/>
                <w:szCs w:val="20"/>
              </w:rPr>
              <w:t xml:space="preserve"> atsiranda projektų srautas</w:t>
            </w:r>
            <w:r w:rsidR="00D91A49" w:rsidRPr="00C97275">
              <w:rPr>
                <w:rFonts w:ascii="Georgia" w:hAnsi="Georgia" w:cs="Georgia"/>
                <w:sz w:val="20"/>
                <w:szCs w:val="20"/>
              </w:rPr>
              <w:t>. Tokiu atveju</w:t>
            </w:r>
            <w:r w:rsidR="00966F54" w:rsidRPr="00C97275">
              <w:rPr>
                <w:rFonts w:ascii="Georgia" w:hAnsi="Georgia" w:cs="Georgia"/>
                <w:sz w:val="20"/>
                <w:szCs w:val="20"/>
              </w:rPr>
              <w:t xml:space="preserve"> už </w:t>
            </w:r>
            <w:r w:rsidRPr="00C97275">
              <w:rPr>
                <w:rFonts w:ascii="Georgia" w:hAnsi="Georgia" w:cs="Georgia"/>
                <w:sz w:val="20"/>
                <w:szCs w:val="20"/>
              </w:rPr>
              <w:t>parduotus ateities pinigų srautus gautos lėšos pakartotinai panaudojamos naujų finansinių priemonių įgyvendinimui (paskolų, garantijų teikimui). Plačiau modelis aprašytas 4</w:t>
            </w:r>
            <w:r w:rsidR="00660FB3" w:rsidRPr="00C97275">
              <w:rPr>
                <w:rFonts w:ascii="Georgia" w:hAnsi="Georgia" w:cs="Georgia"/>
                <w:sz w:val="20"/>
                <w:szCs w:val="20"/>
              </w:rPr>
              <w:t>-ajame</w:t>
            </w:r>
            <w:r w:rsidRPr="00C97275">
              <w:rPr>
                <w:rFonts w:ascii="Georgia" w:hAnsi="Georgia" w:cs="Georgia"/>
                <w:sz w:val="20"/>
                <w:szCs w:val="20"/>
              </w:rPr>
              <w:t xml:space="preserve"> e</w:t>
            </w:r>
            <w:r w:rsidR="00300FF4" w:rsidRPr="00C97275">
              <w:rPr>
                <w:rFonts w:ascii="Georgia" w:hAnsi="Georgia" w:cs="Georgia"/>
                <w:sz w:val="20"/>
                <w:szCs w:val="20"/>
              </w:rPr>
              <w:t>x-ante</w:t>
            </w:r>
            <w:r w:rsidRPr="00C97275">
              <w:rPr>
                <w:rFonts w:ascii="Georgia" w:hAnsi="Georgia" w:cs="Georgia"/>
                <w:sz w:val="20"/>
                <w:szCs w:val="20"/>
              </w:rPr>
              <w:t xml:space="preserve"> </w:t>
            </w:r>
            <w:r w:rsidR="00C02C72" w:rsidRPr="00C97275">
              <w:rPr>
                <w:rFonts w:ascii="Georgia" w:hAnsi="Georgia" w:cs="Georgia"/>
                <w:sz w:val="20"/>
                <w:szCs w:val="20"/>
              </w:rPr>
              <w:t xml:space="preserve">skyriuje. </w:t>
            </w:r>
          </w:p>
        </w:tc>
      </w:tr>
    </w:tbl>
    <w:p w14:paraId="517656DC" w14:textId="77777777" w:rsidR="00583EB1" w:rsidRPr="00C97275" w:rsidRDefault="00583EB1" w:rsidP="00583EB1">
      <w:pPr>
        <w:autoSpaceDE w:val="0"/>
        <w:autoSpaceDN w:val="0"/>
        <w:adjustRightInd w:val="0"/>
        <w:spacing w:after="0" w:line="240" w:lineRule="auto"/>
        <w:jc w:val="both"/>
        <w:rPr>
          <w:rFonts w:ascii="Georgia" w:hAnsi="Georgia" w:cs="Georgia"/>
          <w:sz w:val="20"/>
          <w:szCs w:val="20"/>
          <w:lang w:val="lt-LT"/>
        </w:rPr>
      </w:pPr>
    </w:p>
    <w:p w14:paraId="43EF1156" w14:textId="77777777" w:rsidR="0005008F" w:rsidRPr="00C97275" w:rsidRDefault="0005008F" w:rsidP="00583EB1">
      <w:pPr>
        <w:pStyle w:val="Antrat"/>
        <w:jc w:val="both"/>
        <w:rPr>
          <w:lang w:val="lt-LT"/>
        </w:rPr>
      </w:pPr>
    </w:p>
    <w:p w14:paraId="4578DACC" w14:textId="37BF11BA" w:rsidR="00583EB1" w:rsidRPr="00C97275" w:rsidRDefault="00583EB1" w:rsidP="00583EB1">
      <w:pPr>
        <w:pStyle w:val="Antrat"/>
        <w:jc w:val="both"/>
        <w:rPr>
          <w:szCs w:val="20"/>
          <w:lang w:val="lt-LT"/>
        </w:rPr>
      </w:pPr>
      <w:bookmarkStart w:id="140" w:name="_Toc19105248"/>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35</w:t>
      </w:r>
      <w:r w:rsidRPr="00C97275">
        <w:rPr>
          <w:lang w:val="lt-LT"/>
        </w:rPr>
        <w:fldChar w:fldCharType="end"/>
      </w:r>
      <w:r w:rsidRPr="00C97275">
        <w:rPr>
          <w:lang w:val="lt-LT"/>
        </w:rPr>
        <w:t xml:space="preserve">. </w:t>
      </w:r>
      <w:r w:rsidRPr="00C97275">
        <w:rPr>
          <w:szCs w:val="20"/>
          <w:lang w:val="lt-LT"/>
        </w:rPr>
        <w:t>Privačių investuotojų lėšų pritraukimas į finansinės priemonės lygmenį</w:t>
      </w:r>
      <w:bookmarkEnd w:id="140"/>
      <w:r w:rsidRPr="00C97275">
        <w:rPr>
          <w:szCs w:val="20"/>
          <w:lang w:val="lt-LT"/>
        </w:rPr>
        <w:t xml:space="preserve"> </w:t>
      </w:r>
    </w:p>
    <w:tbl>
      <w:tblPr>
        <w:tblStyle w:val="LightList-Accent21"/>
        <w:tblW w:w="0" w:type="auto"/>
        <w:tblLook w:val="04A0" w:firstRow="1" w:lastRow="0" w:firstColumn="1" w:lastColumn="0" w:noHBand="0" w:noVBand="1"/>
      </w:tblPr>
      <w:tblGrid>
        <w:gridCol w:w="2660"/>
        <w:gridCol w:w="6582"/>
      </w:tblGrid>
      <w:tr w:rsidR="00583EB1" w:rsidRPr="00C97275" w14:paraId="72E94CA5" w14:textId="77777777" w:rsidTr="00D91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486E93AF" w14:textId="77777777" w:rsidR="00583EB1" w:rsidRPr="00C97275" w:rsidRDefault="00583EB1" w:rsidP="0005008F">
            <w:pPr>
              <w:autoSpaceDE w:val="0"/>
              <w:autoSpaceDN w:val="0"/>
              <w:adjustRightInd w:val="0"/>
              <w:jc w:val="center"/>
              <w:rPr>
                <w:rFonts w:ascii="Georgia" w:hAnsi="Georgia" w:cs="Georgia"/>
                <w:sz w:val="20"/>
                <w:szCs w:val="20"/>
              </w:rPr>
            </w:pPr>
            <w:r w:rsidRPr="00C97275">
              <w:rPr>
                <w:rFonts w:ascii="Georgia" w:hAnsi="Georgia" w:cs="Georgia"/>
                <w:sz w:val="20"/>
                <w:szCs w:val="20"/>
              </w:rPr>
              <w:t>Finansinės priemonės</w:t>
            </w:r>
          </w:p>
        </w:tc>
        <w:tc>
          <w:tcPr>
            <w:tcW w:w="6582" w:type="dxa"/>
            <w:hideMark/>
          </w:tcPr>
          <w:p w14:paraId="552476AA" w14:textId="77777777" w:rsidR="00583EB1" w:rsidRPr="00C97275" w:rsidRDefault="00583EB1" w:rsidP="0005008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Privačių lėšų pritraukimo galimybės</w:t>
            </w:r>
          </w:p>
        </w:tc>
      </w:tr>
      <w:tr w:rsidR="00583EB1" w:rsidRPr="00C97275" w14:paraId="7735B4BB" w14:textId="77777777" w:rsidTr="00D9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7B2E3D90" w14:textId="77777777" w:rsidR="00583EB1" w:rsidRPr="00C97275" w:rsidRDefault="00583EB1" w:rsidP="00583EB1">
            <w:pPr>
              <w:autoSpaceDE w:val="0"/>
              <w:autoSpaceDN w:val="0"/>
              <w:adjustRightInd w:val="0"/>
              <w:jc w:val="both"/>
              <w:rPr>
                <w:rFonts w:ascii="Georgia" w:hAnsi="Georgia" w:cs="Georgia"/>
                <w:sz w:val="20"/>
                <w:szCs w:val="20"/>
              </w:rPr>
            </w:pPr>
            <w:r w:rsidRPr="00C97275">
              <w:rPr>
                <w:rFonts w:ascii="Georgia" w:hAnsi="Georgia" w:cs="Georgia"/>
                <w:sz w:val="20"/>
                <w:szCs w:val="20"/>
              </w:rPr>
              <w:t>Lengvatinės paskolos</w:t>
            </w:r>
          </w:p>
        </w:tc>
        <w:tc>
          <w:tcPr>
            <w:tcW w:w="6582" w:type="dxa"/>
            <w:hideMark/>
          </w:tcPr>
          <w:p w14:paraId="37FCC59C" w14:textId="6B09C5CB" w:rsidR="00583EB1" w:rsidRPr="00C97275" w:rsidRDefault="00583EB1" w:rsidP="00962A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Lengvatinių paskolų modelyje gali būti rekomenduojama arba privaloma įgyvendinant finansinę priemonę finansiniams tarpininkams prisidėti savomis lėšomis bei prisiimti riziką. Pradiniame etape šis reikalavimas turėtų būti rekomendacinio pobūdžio, o rinkai vystantis (atsiradus gerajai praktikai ir projektų įgyvendinimo istorijai) atsirastų privalomojo pobūdžio reikalavimas, kuris galėtų būti įgyvendinamas per finansinių tarpininkų atrankos kriterijus. Plačiau lengvatinių paskol</w:t>
            </w:r>
            <w:r w:rsidR="00C02C72" w:rsidRPr="00C97275">
              <w:rPr>
                <w:rFonts w:ascii="Georgia" w:hAnsi="Georgia" w:cs="Georgia"/>
                <w:sz w:val="20"/>
                <w:szCs w:val="20"/>
              </w:rPr>
              <w:t>ų veikimo principai aprašyti 4 skyriuje</w:t>
            </w:r>
            <w:r w:rsidRPr="00C97275">
              <w:rPr>
                <w:rFonts w:ascii="Georgia" w:hAnsi="Georgia" w:cs="Georgia"/>
                <w:sz w:val="20"/>
                <w:szCs w:val="20"/>
              </w:rPr>
              <w:t xml:space="preserve">. </w:t>
            </w:r>
          </w:p>
        </w:tc>
      </w:tr>
      <w:tr w:rsidR="00583EB1" w:rsidRPr="00C97275" w14:paraId="27980F43" w14:textId="77777777" w:rsidTr="00D91A49">
        <w:tc>
          <w:tcPr>
            <w:cnfStyle w:val="001000000000" w:firstRow="0" w:lastRow="0" w:firstColumn="1" w:lastColumn="0" w:oddVBand="0" w:evenVBand="0" w:oddHBand="0" w:evenHBand="0" w:firstRowFirstColumn="0" w:firstRowLastColumn="0" w:lastRowFirstColumn="0" w:lastRowLastColumn="0"/>
            <w:tcW w:w="2660" w:type="dxa"/>
            <w:hideMark/>
          </w:tcPr>
          <w:p w14:paraId="62635993" w14:textId="77777777" w:rsidR="00583EB1" w:rsidRPr="00C97275" w:rsidRDefault="00583EB1" w:rsidP="00583EB1">
            <w:pPr>
              <w:autoSpaceDE w:val="0"/>
              <w:autoSpaceDN w:val="0"/>
              <w:adjustRightInd w:val="0"/>
              <w:jc w:val="both"/>
              <w:rPr>
                <w:rFonts w:ascii="Georgia" w:hAnsi="Georgia" w:cs="Georgia"/>
                <w:sz w:val="20"/>
                <w:szCs w:val="20"/>
              </w:rPr>
            </w:pPr>
            <w:r w:rsidRPr="00C97275">
              <w:rPr>
                <w:rFonts w:ascii="Georgia" w:hAnsi="Georgia" w:cs="Georgia"/>
                <w:sz w:val="20"/>
                <w:szCs w:val="20"/>
              </w:rPr>
              <w:t>Garantijos</w:t>
            </w:r>
          </w:p>
        </w:tc>
        <w:tc>
          <w:tcPr>
            <w:tcW w:w="6582" w:type="dxa"/>
            <w:hideMark/>
          </w:tcPr>
          <w:p w14:paraId="18704F1F" w14:textId="23BA18B5" w:rsidR="00583EB1" w:rsidRPr="00C97275" w:rsidRDefault="00583EB1" w:rsidP="007B25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C97275">
              <w:rPr>
                <w:rFonts w:ascii="Georgia" w:hAnsi="Georgia" w:cs="Georgia"/>
                <w:sz w:val="20"/>
                <w:szCs w:val="20"/>
              </w:rPr>
              <w:t>Garantijų priemonės atveju komerciniai bankai ir kitos finansų įstaigos dalyvauja priemonės įgyvendinime savo lėšomis, lėšų praradimo rizikai sumažinti ir dalyvavimui paskatinti teikiamos individualios arba portfelinės garantijos. Plačiau garanti</w:t>
            </w:r>
            <w:r w:rsidR="00C02C72" w:rsidRPr="00C97275">
              <w:rPr>
                <w:rFonts w:ascii="Georgia" w:hAnsi="Georgia" w:cs="Georgia"/>
                <w:sz w:val="20"/>
                <w:szCs w:val="20"/>
              </w:rPr>
              <w:t>jų teikimo principai aprašyti 4</w:t>
            </w:r>
            <w:r w:rsidRPr="00C97275">
              <w:rPr>
                <w:rFonts w:ascii="Georgia" w:hAnsi="Georgia" w:cs="Georgia"/>
                <w:sz w:val="20"/>
                <w:szCs w:val="20"/>
              </w:rPr>
              <w:t xml:space="preserve"> e</w:t>
            </w:r>
            <w:r w:rsidR="00300FF4" w:rsidRPr="00C97275">
              <w:rPr>
                <w:rFonts w:ascii="Georgia" w:hAnsi="Georgia" w:cs="Georgia"/>
                <w:sz w:val="20"/>
                <w:szCs w:val="20"/>
              </w:rPr>
              <w:t>x-ante</w:t>
            </w:r>
            <w:r w:rsidRPr="00C97275">
              <w:rPr>
                <w:rFonts w:ascii="Georgia" w:hAnsi="Georgia" w:cs="Georgia"/>
                <w:sz w:val="20"/>
                <w:szCs w:val="20"/>
              </w:rPr>
              <w:t xml:space="preserve"> vertinimo </w:t>
            </w:r>
            <w:r w:rsidR="00C02C72" w:rsidRPr="00C97275">
              <w:rPr>
                <w:rFonts w:ascii="Georgia" w:hAnsi="Georgia" w:cs="Georgia"/>
                <w:sz w:val="20"/>
                <w:szCs w:val="20"/>
              </w:rPr>
              <w:t>skyriuje</w:t>
            </w:r>
            <w:r w:rsidRPr="00C97275">
              <w:rPr>
                <w:rFonts w:ascii="Georgia" w:hAnsi="Georgia" w:cs="Georgia"/>
                <w:sz w:val="20"/>
                <w:szCs w:val="20"/>
              </w:rPr>
              <w:t>.</w:t>
            </w:r>
          </w:p>
        </w:tc>
      </w:tr>
    </w:tbl>
    <w:p w14:paraId="0F8E3D42" w14:textId="77777777" w:rsidR="00583EB1" w:rsidRPr="00C97275" w:rsidRDefault="00583EB1" w:rsidP="00583EB1">
      <w:pPr>
        <w:jc w:val="both"/>
        <w:rPr>
          <w:rFonts w:ascii="Georgia" w:hAnsi="Georgia"/>
          <w:sz w:val="20"/>
          <w:szCs w:val="20"/>
          <w:lang w:val="lt-LT"/>
        </w:rPr>
      </w:pPr>
    </w:p>
    <w:p w14:paraId="5ED0BE21" w14:textId="16250124" w:rsidR="00583EB1" w:rsidRPr="00C97275" w:rsidRDefault="00583EB1" w:rsidP="007B254D">
      <w:pPr>
        <w:pStyle w:val="Antrat2"/>
        <w:numPr>
          <w:ilvl w:val="1"/>
          <w:numId w:val="2"/>
        </w:numPr>
        <w:ind w:left="709"/>
        <w:rPr>
          <w:rFonts w:ascii="Georgia" w:hAnsi="Georgia"/>
          <w:lang w:val="lt-LT"/>
        </w:rPr>
      </w:pPr>
      <w:bookmarkStart w:id="141" w:name="_Toc25594677"/>
      <w:r w:rsidRPr="00C97275">
        <w:rPr>
          <w:rFonts w:ascii="Georgia" w:hAnsi="Georgia"/>
          <w:lang w:val="lt-LT"/>
        </w:rPr>
        <w:t>Skatinamųjų elementų  įvertinimas</w:t>
      </w:r>
      <w:bookmarkEnd w:id="141"/>
    </w:p>
    <w:p w14:paraId="091AD7D3"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65D67957" w14:textId="35529DF6" w:rsidR="00583EB1" w:rsidRPr="00C97275" w:rsidRDefault="00C02C72"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Vadovaujantis Bendrų</w:t>
      </w:r>
      <w:r w:rsidR="00583EB1" w:rsidRPr="00C97275">
        <w:rPr>
          <w:rFonts w:ascii="Georgia" w:hAnsi="Georgia" w:cs="Georgia"/>
          <w:sz w:val="20"/>
          <w:szCs w:val="20"/>
          <w:lang w:val="lt-LT"/>
        </w:rPr>
        <w:t>j</w:t>
      </w:r>
      <w:r w:rsidRPr="00C97275">
        <w:rPr>
          <w:rFonts w:ascii="Georgia" w:hAnsi="Georgia" w:cs="Georgia"/>
          <w:sz w:val="20"/>
          <w:szCs w:val="20"/>
          <w:lang w:val="lt-LT"/>
        </w:rPr>
        <w:t>ų nuostatų</w:t>
      </w:r>
      <w:r w:rsidR="00583EB1" w:rsidRPr="00C97275">
        <w:rPr>
          <w:rFonts w:ascii="Georgia" w:hAnsi="Georgia" w:cs="Georgia"/>
          <w:sz w:val="20"/>
          <w:szCs w:val="20"/>
          <w:lang w:val="lt-LT"/>
        </w:rPr>
        <w:t xml:space="preserve"> reglamento nuostatomis, įgyvendinant finansines priemones panaudojant ESI fondų lėšas turi būti siekiama pritraukti privačių investuotojų </w:t>
      </w:r>
      <w:r w:rsidRPr="00C97275">
        <w:rPr>
          <w:rFonts w:ascii="Georgia" w:hAnsi="Georgia" w:cs="Georgia"/>
          <w:sz w:val="20"/>
          <w:szCs w:val="20"/>
          <w:lang w:val="lt-LT"/>
        </w:rPr>
        <w:t>lėšas</w:t>
      </w:r>
      <w:r w:rsidR="00583EB1" w:rsidRPr="00C97275">
        <w:rPr>
          <w:rFonts w:ascii="Georgia" w:hAnsi="Georgia" w:cs="Georgia"/>
          <w:sz w:val="20"/>
          <w:szCs w:val="20"/>
          <w:lang w:val="lt-LT"/>
        </w:rPr>
        <w:t xml:space="preserve">. </w:t>
      </w:r>
      <w:r w:rsidR="00B12A56" w:rsidRPr="00C97275">
        <w:rPr>
          <w:rFonts w:ascii="Georgia" w:hAnsi="Georgia" w:cs="Georgia"/>
          <w:sz w:val="20"/>
          <w:szCs w:val="20"/>
          <w:lang w:val="lt-LT"/>
        </w:rPr>
        <w:t xml:space="preserve">Komercinių bankų, tarptautinių finansų institucijų, pensijų fondų apklausų metu buvo išsakytas susidomėjimas investuoti į energijos efektyvumo didinimo srities projektus. </w:t>
      </w:r>
      <w:r w:rsidR="00F70886" w:rsidRPr="00C97275">
        <w:rPr>
          <w:rFonts w:ascii="Georgia" w:hAnsi="Georgia" w:cs="Georgia"/>
          <w:sz w:val="20"/>
          <w:szCs w:val="20"/>
          <w:lang w:val="lt-LT"/>
        </w:rPr>
        <w:t xml:space="preserve">Nors </w:t>
      </w:r>
      <w:r w:rsidR="00B12A56" w:rsidRPr="00C97275">
        <w:rPr>
          <w:rFonts w:ascii="Georgia" w:hAnsi="Georgia" w:cs="Georgia"/>
          <w:sz w:val="20"/>
          <w:szCs w:val="20"/>
          <w:lang w:val="lt-LT"/>
        </w:rPr>
        <w:t>šie</w:t>
      </w:r>
      <w:r w:rsidR="00F70886" w:rsidRPr="00C97275">
        <w:rPr>
          <w:rFonts w:ascii="Georgia" w:hAnsi="Georgia" w:cs="Georgia"/>
          <w:sz w:val="20"/>
          <w:szCs w:val="20"/>
          <w:lang w:val="lt-LT"/>
        </w:rPr>
        <w:t xml:space="preserve"> investuotojai </w:t>
      </w:r>
      <w:r w:rsidR="00B12A56" w:rsidRPr="00C97275">
        <w:rPr>
          <w:rFonts w:ascii="Georgia" w:hAnsi="Georgia" w:cs="Georgia"/>
          <w:sz w:val="20"/>
          <w:szCs w:val="20"/>
          <w:lang w:val="lt-LT"/>
        </w:rPr>
        <w:t>jau dabar</w:t>
      </w:r>
      <w:r w:rsidR="00F70886" w:rsidRPr="00C97275">
        <w:rPr>
          <w:rFonts w:ascii="Georgia" w:hAnsi="Georgia" w:cs="Georgia"/>
          <w:sz w:val="20"/>
          <w:szCs w:val="20"/>
          <w:lang w:val="lt-LT"/>
        </w:rPr>
        <w:t xml:space="preserve"> prisideda prie </w:t>
      </w:r>
      <w:r w:rsidR="00253CB3" w:rsidRPr="00C97275">
        <w:rPr>
          <w:rFonts w:ascii="Georgia" w:hAnsi="Georgia" w:cs="Georgia"/>
          <w:sz w:val="20"/>
          <w:szCs w:val="20"/>
          <w:lang w:val="lt-LT"/>
        </w:rPr>
        <w:t>pastatų</w:t>
      </w:r>
      <w:r w:rsidR="00F70886" w:rsidRPr="00C97275">
        <w:rPr>
          <w:rFonts w:ascii="Georgia" w:hAnsi="Georgia" w:cs="Georgia"/>
          <w:sz w:val="20"/>
          <w:szCs w:val="20"/>
          <w:lang w:val="lt-LT"/>
        </w:rPr>
        <w:t xml:space="preserve"> </w:t>
      </w:r>
      <w:r w:rsidR="00253CB3" w:rsidRPr="00C97275">
        <w:rPr>
          <w:rFonts w:ascii="Georgia" w:hAnsi="Georgia" w:cs="Georgia"/>
          <w:sz w:val="20"/>
          <w:szCs w:val="20"/>
          <w:lang w:val="lt-LT"/>
        </w:rPr>
        <w:t xml:space="preserve">energinio efektyvumo </w:t>
      </w:r>
      <w:r w:rsidR="00F70886" w:rsidRPr="00C97275">
        <w:rPr>
          <w:rFonts w:ascii="Georgia" w:hAnsi="Georgia" w:cs="Georgia"/>
          <w:sz w:val="20"/>
          <w:szCs w:val="20"/>
          <w:lang w:val="lt-LT"/>
        </w:rPr>
        <w:t xml:space="preserve">modernizavimo </w:t>
      </w:r>
      <w:r w:rsidR="00253CB3" w:rsidRPr="00C97275">
        <w:rPr>
          <w:rFonts w:ascii="Georgia" w:hAnsi="Georgia" w:cs="Georgia"/>
          <w:sz w:val="20"/>
          <w:szCs w:val="20"/>
          <w:lang w:val="lt-LT"/>
        </w:rPr>
        <w:t xml:space="preserve">projektų (Šiaulių Bankas – Jessica II, </w:t>
      </w:r>
      <w:r w:rsidR="0011549E" w:rsidRPr="00C97275">
        <w:rPr>
          <w:rFonts w:ascii="Georgia" w:hAnsi="Georgia" w:cs="Arial"/>
          <w:sz w:val="20"/>
          <w:szCs w:val="20"/>
          <w:lang w:val="lt-LT"/>
        </w:rPr>
        <w:t>ERPB</w:t>
      </w:r>
      <w:r w:rsidR="00253CB3" w:rsidRPr="00C97275">
        <w:rPr>
          <w:rFonts w:ascii="Georgia" w:hAnsi="Georgia" w:cs="Georgia"/>
          <w:sz w:val="20"/>
          <w:szCs w:val="20"/>
          <w:lang w:val="lt-LT"/>
        </w:rPr>
        <w:t xml:space="preserve"> - DNMF),</w:t>
      </w:r>
      <w:r w:rsidR="00F70886" w:rsidRPr="00C97275">
        <w:rPr>
          <w:rFonts w:ascii="Georgia" w:hAnsi="Georgia" w:cs="Georgia"/>
          <w:sz w:val="20"/>
          <w:szCs w:val="20"/>
          <w:lang w:val="lt-LT"/>
        </w:rPr>
        <w:t xml:space="preserve"> </w:t>
      </w:r>
      <w:r w:rsidR="00253CB3" w:rsidRPr="00C97275">
        <w:rPr>
          <w:rFonts w:ascii="Georgia" w:hAnsi="Georgia" w:cs="Georgia"/>
          <w:sz w:val="20"/>
          <w:szCs w:val="20"/>
          <w:lang w:val="lt-LT"/>
        </w:rPr>
        <w:t xml:space="preserve">vis </w:t>
      </w:r>
      <w:r w:rsidR="00583EB1" w:rsidRPr="00C97275">
        <w:rPr>
          <w:rFonts w:ascii="Georgia" w:hAnsi="Georgia" w:cs="Georgia"/>
          <w:sz w:val="20"/>
          <w:szCs w:val="20"/>
          <w:lang w:val="lt-LT"/>
        </w:rPr>
        <w:t>dėl</w:t>
      </w:r>
      <w:r w:rsidR="00253CB3" w:rsidRPr="00C97275">
        <w:rPr>
          <w:rFonts w:ascii="Georgia" w:hAnsi="Georgia" w:cs="Georgia"/>
          <w:sz w:val="20"/>
          <w:szCs w:val="20"/>
          <w:lang w:val="lt-LT"/>
        </w:rPr>
        <w:t>to</w:t>
      </w:r>
      <w:r w:rsidR="00583EB1" w:rsidRPr="00C97275">
        <w:rPr>
          <w:rFonts w:ascii="Georgia" w:hAnsi="Georgia" w:cs="Georgia"/>
          <w:sz w:val="20"/>
          <w:szCs w:val="20"/>
          <w:lang w:val="lt-LT"/>
        </w:rPr>
        <w:t xml:space="preserve"> </w:t>
      </w:r>
      <w:r w:rsidR="00253CB3" w:rsidRPr="00C97275">
        <w:rPr>
          <w:rFonts w:ascii="Georgia" w:hAnsi="Georgia" w:cs="Georgia"/>
          <w:sz w:val="20"/>
          <w:szCs w:val="20"/>
          <w:lang w:val="lt-LT"/>
        </w:rPr>
        <w:t xml:space="preserve">tai daugiausiai vyksta daugiabučių namų sektoriuje, kuriame </w:t>
      </w:r>
      <w:r w:rsidR="00B12A56" w:rsidRPr="00C97275">
        <w:rPr>
          <w:rFonts w:ascii="Georgia" w:hAnsi="Georgia" w:cs="Georgia"/>
          <w:sz w:val="20"/>
          <w:szCs w:val="20"/>
          <w:lang w:val="lt-LT"/>
        </w:rPr>
        <w:t>jau yra susidaręs pakankamas projektų srautas, yra prieinama šių projektų kredito istorija, galima gana tiksliai įvertinti tokių projektų finansavimo rizikas.</w:t>
      </w:r>
      <w:r w:rsidR="00583EB1" w:rsidRPr="00C97275">
        <w:rPr>
          <w:rFonts w:ascii="Georgia" w:hAnsi="Georgia" w:cs="Georgia"/>
          <w:sz w:val="20"/>
          <w:szCs w:val="20"/>
          <w:lang w:val="lt-LT"/>
        </w:rPr>
        <w:t xml:space="preserve"> </w:t>
      </w:r>
      <w:r w:rsidR="0066232C" w:rsidRPr="00C97275">
        <w:rPr>
          <w:rFonts w:ascii="Georgia" w:hAnsi="Georgia" w:cs="Georgia"/>
          <w:sz w:val="20"/>
          <w:szCs w:val="20"/>
          <w:lang w:val="lt-LT"/>
        </w:rPr>
        <w:t xml:space="preserve">Kaip jau buvo aprašyta 2.2.4 skyriuje, privačių investicijų stygius </w:t>
      </w:r>
      <w:r w:rsidR="00583EB1" w:rsidRPr="00C97275">
        <w:rPr>
          <w:rFonts w:ascii="Georgia" w:hAnsi="Georgia" w:cs="Georgia"/>
          <w:sz w:val="20"/>
          <w:szCs w:val="20"/>
          <w:lang w:val="lt-LT"/>
        </w:rPr>
        <w:t xml:space="preserve">yra </w:t>
      </w:r>
      <w:r w:rsidR="0066232C" w:rsidRPr="00C97275">
        <w:rPr>
          <w:rFonts w:ascii="Georgia" w:hAnsi="Georgia" w:cs="Georgia"/>
          <w:sz w:val="20"/>
          <w:szCs w:val="20"/>
          <w:lang w:val="lt-LT"/>
        </w:rPr>
        <w:t xml:space="preserve">taip pat </w:t>
      </w:r>
      <w:r w:rsidR="00583EB1" w:rsidRPr="00C97275">
        <w:rPr>
          <w:rFonts w:ascii="Georgia" w:hAnsi="Georgia" w:cs="Georgia"/>
          <w:sz w:val="20"/>
          <w:szCs w:val="20"/>
          <w:lang w:val="lt-LT"/>
        </w:rPr>
        <w:t>sąlygota</w:t>
      </w:r>
      <w:r w:rsidR="0066232C" w:rsidRPr="00C97275">
        <w:rPr>
          <w:rFonts w:ascii="Georgia" w:hAnsi="Georgia" w:cs="Georgia"/>
          <w:sz w:val="20"/>
          <w:szCs w:val="20"/>
          <w:lang w:val="lt-LT"/>
        </w:rPr>
        <w:t>s</w:t>
      </w:r>
      <w:r w:rsidR="00583EB1" w:rsidRPr="00C97275">
        <w:rPr>
          <w:rFonts w:ascii="Georgia" w:hAnsi="Georgia" w:cs="Georgia"/>
          <w:sz w:val="20"/>
          <w:szCs w:val="20"/>
          <w:lang w:val="lt-LT"/>
        </w:rPr>
        <w:t xml:space="preserve"> tokių veiksnių kaip investicijų grąžos istorijos trūkumas, informacijos asimetrija, gerosios praktikos pavyzdžių trūkumas, reguliavimo apribojimai, maža projektų vertė ir kiekis ir kita. </w:t>
      </w:r>
    </w:p>
    <w:p w14:paraId="6FF9E794"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613604F6"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Siekiant, kad į energijos efektyvumo didinimo sritis investuotų privatūs subjektai, reikalinga paskatinti jų dalyvavimą, užtikrinti jų pasitikėjimą. Įvairios institucijos, su kuriomis buvo diskutuota apie jų potencialias investicijas energijos efektyvumo srityje, potencialių rizikų mažinimą įvardijo kaip vieną iš pagrindinių kriterijų, lemiančių teigiamo sprendimo priėmimą. </w:t>
      </w:r>
    </w:p>
    <w:p w14:paraId="7069364B"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0F54CECA"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Skatinimo priemonės gali būti taikomos keliuose lygmenyse, kaip tai buvo aprašyta 3.2 skyriuje. Atsižvelgiant į Bendrųjų nuostatų reglamento reikalavimus visi skatinimo elementai turi būti prienami visiems pageidaujantiems ir atitinkantiems nustatytus reikalavimus, finansin</w:t>
      </w:r>
      <w:r w:rsidR="00C02C72" w:rsidRPr="00C97275">
        <w:rPr>
          <w:rFonts w:ascii="Georgia" w:hAnsi="Georgia" w:cs="Georgia"/>
          <w:sz w:val="20"/>
          <w:szCs w:val="20"/>
          <w:lang w:val="lt-LT"/>
        </w:rPr>
        <w:t>e</w:t>
      </w:r>
      <w:r w:rsidRPr="00C97275">
        <w:rPr>
          <w:rFonts w:ascii="Georgia" w:hAnsi="Georgia" w:cs="Georgia"/>
          <w:sz w:val="20"/>
          <w:szCs w:val="20"/>
          <w:lang w:val="lt-LT"/>
        </w:rPr>
        <w:t>s priemon</w:t>
      </w:r>
      <w:r w:rsidR="00C02C72" w:rsidRPr="00C97275">
        <w:rPr>
          <w:rFonts w:ascii="Georgia" w:hAnsi="Georgia" w:cs="Georgia"/>
          <w:sz w:val="20"/>
          <w:szCs w:val="20"/>
          <w:lang w:val="lt-LT"/>
        </w:rPr>
        <w:t>e</w:t>
      </w:r>
      <w:r w:rsidRPr="00C97275">
        <w:rPr>
          <w:rFonts w:ascii="Georgia" w:hAnsi="Georgia" w:cs="Georgia"/>
          <w:sz w:val="20"/>
          <w:szCs w:val="20"/>
          <w:lang w:val="lt-LT"/>
        </w:rPr>
        <w:t xml:space="preserve">s įgyvendinantys tarpininkai parenkami skaidriai, o skatinimo </w:t>
      </w:r>
      <w:r w:rsidR="00C02C72" w:rsidRPr="00C97275">
        <w:rPr>
          <w:rFonts w:ascii="Georgia" w:hAnsi="Georgia" w:cs="Georgia"/>
          <w:sz w:val="20"/>
          <w:szCs w:val="20"/>
          <w:lang w:val="lt-LT"/>
        </w:rPr>
        <w:t>elementai nediskriminuojanty</w:t>
      </w:r>
      <w:r w:rsidRPr="00C97275">
        <w:rPr>
          <w:rFonts w:ascii="Georgia" w:hAnsi="Georgia" w:cs="Georgia"/>
          <w:sz w:val="20"/>
          <w:szCs w:val="20"/>
          <w:lang w:val="lt-LT"/>
        </w:rPr>
        <w:t>s.</w:t>
      </w:r>
    </w:p>
    <w:p w14:paraId="438DD275"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32CF9963"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Toliau šiame skyriuje yra nurodytos įvairios potencialių investuotojų skatinimo priemonės, kurios galėtų padėti pritraukti privačias investicijas bei kartu su ESI fondų lėšomis sukurti didesnį sverto efektą</w:t>
      </w:r>
      <w:r w:rsidR="00C02C72" w:rsidRPr="00C97275">
        <w:rPr>
          <w:rFonts w:ascii="Georgia" w:hAnsi="Georgia" w:cs="Georgia"/>
          <w:sz w:val="20"/>
          <w:szCs w:val="20"/>
          <w:lang w:val="lt-LT"/>
        </w:rPr>
        <w:t>,</w:t>
      </w:r>
      <w:r w:rsidRPr="00C97275">
        <w:rPr>
          <w:rFonts w:ascii="Georgia" w:hAnsi="Georgia" w:cs="Georgia"/>
          <w:sz w:val="20"/>
          <w:szCs w:val="20"/>
          <w:lang w:val="lt-LT"/>
        </w:rPr>
        <w:t xml:space="preserve"> tuo pačiu ir projektų multiplikatorių. Skatinimo priemonės yra sugrupuotos pagal tai, į kokį lygmenį būtų siekiama pritraukti privačias lėšas. </w:t>
      </w:r>
    </w:p>
    <w:p w14:paraId="613C3E5C"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5F312FA1" w14:textId="77777777" w:rsidR="00583EB1" w:rsidRPr="00C97275" w:rsidRDefault="00583EB1" w:rsidP="00583EB1">
      <w:pPr>
        <w:autoSpaceDE w:val="0"/>
        <w:autoSpaceDN w:val="0"/>
        <w:adjustRightInd w:val="0"/>
        <w:spacing w:after="0"/>
        <w:jc w:val="both"/>
        <w:rPr>
          <w:rFonts w:ascii="Georgia" w:hAnsi="Georgia" w:cs="Georgia"/>
          <w:b/>
          <w:sz w:val="20"/>
          <w:szCs w:val="20"/>
          <w:lang w:val="lt-LT"/>
        </w:rPr>
      </w:pPr>
      <w:r w:rsidRPr="00C97275">
        <w:rPr>
          <w:rFonts w:ascii="Georgia" w:hAnsi="Georgia" w:cs="Georgia"/>
          <w:b/>
          <w:sz w:val="20"/>
          <w:szCs w:val="20"/>
          <w:lang w:val="lt-LT"/>
        </w:rPr>
        <w:t>Skatinimo priemonės fondų fondo lygyje</w:t>
      </w:r>
    </w:p>
    <w:p w14:paraId="7CFD1604"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14429230"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Skatinimo priemonės fondų fondo lygyje yra siejamos su didesnio masto investicijų pritraukimu, investuotojų pasitikėjimo užtikrinimu. Tokių skatinimo priemonių pavyzdžiai galėtų būti:</w:t>
      </w:r>
    </w:p>
    <w:p w14:paraId="58EF034B"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asimetrinis rizikos prisiėmimas; </w:t>
      </w:r>
    </w:p>
    <w:p w14:paraId="645E3580"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asimetrinis pelno pasidalijimas;</w:t>
      </w:r>
    </w:p>
    <w:p w14:paraId="0D3766DD"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ateities pinigų srautų perpardavimas su diskonto norma;</w:t>
      </w:r>
    </w:p>
    <w:p w14:paraId="2171ED53"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suteikiama galimybė išpirkti geriausius rezultatus pasiekusių projektų ateities pinigų srautus;</w:t>
      </w:r>
    </w:p>
    <w:p w14:paraId="2AAA561B"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išperkamų ateities piniginių srautų garantijos;</w:t>
      </w:r>
    </w:p>
    <w:p w14:paraId="63B61230"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mokestinės priemonių mažinimo taikymas;</w:t>
      </w:r>
    </w:p>
    <w:p w14:paraId="10EBB7B0" w14:textId="6791DF12"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įvairus šių variantų derinys.</w:t>
      </w:r>
    </w:p>
    <w:p w14:paraId="3DF29E99" w14:textId="77777777" w:rsidR="00583EB1" w:rsidRPr="00C97275" w:rsidRDefault="00583EB1" w:rsidP="00583EB1">
      <w:pPr>
        <w:autoSpaceDE w:val="0"/>
        <w:autoSpaceDN w:val="0"/>
        <w:adjustRightInd w:val="0"/>
        <w:spacing w:after="0"/>
        <w:jc w:val="both"/>
        <w:rPr>
          <w:rFonts w:ascii="Georgia" w:hAnsi="Georgia" w:cs="Georgia"/>
          <w:i/>
          <w:sz w:val="20"/>
          <w:szCs w:val="20"/>
          <w:lang w:val="lt-LT"/>
        </w:rPr>
      </w:pPr>
    </w:p>
    <w:p w14:paraId="1FBB2E3F" w14:textId="77777777" w:rsidR="00583EB1" w:rsidRPr="00C97275" w:rsidRDefault="00583EB1" w:rsidP="00583EB1">
      <w:pPr>
        <w:autoSpaceDE w:val="0"/>
        <w:autoSpaceDN w:val="0"/>
        <w:adjustRightInd w:val="0"/>
        <w:spacing w:after="0"/>
        <w:jc w:val="both"/>
        <w:rPr>
          <w:rFonts w:ascii="Georgia" w:hAnsi="Georgia" w:cs="Georgia"/>
          <w:b/>
          <w:sz w:val="20"/>
          <w:szCs w:val="20"/>
          <w:lang w:val="lt-LT"/>
        </w:rPr>
      </w:pPr>
      <w:r w:rsidRPr="00C97275">
        <w:rPr>
          <w:rFonts w:ascii="Georgia" w:hAnsi="Georgia" w:cs="Georgia"/>
          <w:b/>
          <w:sz w:val="20"/>
          <w:szCs w:val="20"/>
          <w:lang w:val="lt-LT"/>
        </w:rPr>
        <w:t>Skatinimo priemonės finansinės priemonės (finansinio tarpininko) lygyje</w:t>
      </w:r>
    </w:p>
    <w:p w14:paraId="6AE9F87B"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2CEE7F78"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Siekiant pritraukti lėšas finansinės priemonės lygyje, galima panaudoti šiuos skatinimo elementus:</w:t>
      </w:r>
    </w:p>
    <w:p w14:paraId="549CF0F0"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garantijų teikimas (individualių ir portfelinių);</w:t>
      </w:r>
    </w:p>
    <w:p w14:paraId="23D418EE"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paskolų palūkanų kompensavimas;</w:t>
      </w:r>
    </w:p>
    <w:p w14:paraId="1ACD31F6"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techninės pagalbos teikimas;</w:t>
      </w:r>
    </w:p>
    <w:p w14:paraId="4D02797E"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administravimo mokesčio mokėjimas;</w:t>
      </w:r>
    </w:p>
    <w:p w14:paraId="72FBA96B"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paskolos dalies suteikimas iš ESI fondų lėšų, dalies – iš finansinę priemonę įgyvendinančios institucijos lėšų;</w:t>
      </w:r>
    </w:p>
    <w:p w14:paraId="3B9F551F"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asimetrinis rizikos prisiėmimas, kai finansiniai tarpininkai dalyvauja ir savo lėšomis;</w:t>
      </w:r>
    </w:p>
    <w:p w14:paraId="6A916BCA"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šių priemonių derinys.</w:t>
      </w:r>
    </w:p>
    <w:p w14:paraId="67E102F1"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6E074BBD" w14:textId="4FCA97F7" w:rsidR="00583EB1"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Po kelerių metų susikūrus energijos efektyvumo projektų patirčiai ir istorijai, vietoje dabartinio rekomenduojamo finansinių tarpininkų dalyvavimo savo lėšomis galima būtų įvesti privalomą reikalavimą dalyvauti savomis lėšomis. Tokio reikalavimo sąlygos ir atrankos kriterijai būtų kuriami pagal iki tol sukauptą patirt</w:t>
      </w:r>
      <w:r w:rsidR="007D2D58" w:rsidRPr="00C97275">
        <w:rPr>
          <w:rFonts w:ascii="Georgia" w:hAnsi="Georgia" w:cs="Georgia"/>
          <w:sz w:val="20"/>
          <w:szCs w:val="20"/>
          <w:lang w:val="lt-LT"/>
        </w:rPr>
        <w:t>į ir egzistuojančia situaciją.</w:t>
      </w:r>
    </w:p>
    <w:p w14:paraId="28F1777D" w14:textId="77777777" w:rsidR="00583EB1" w:rsidRPr="00C97275" w:rsidRDefault="00583EB1" w:rsidP="00583EB1">
      <w:pPr>
        <w:autoSpaceDE w:val="0"/>
        <w:autoSpaceDN w:val="0"/>
        <w:adjustRightInd w:val="0"/>
        <w:spacing w:after="0"/>
        <w:jc w:val="both"/>
        <w:rPr>
          <w:rFonts w:ascii="Georgia" w:hAnsi="Georgia" w:cs="Georgia"/>
          <w:i/>
          <w:sz w:val="20"/>
          <w:szCs w:val="20"/>
          <w:lang w:val="lt-LT"/>
        </w:rPr>
      </w:pPr>
    </w:p>
    <w:p w14:paraId="5281CA8E" w14:textId="77777777" w:rsidR="00583EB1" w:rsidRPr="00C97275" w:rsidRDefault="00583EB1" w:rsidP="00583EB1">
      <w:pPr>
        <w:autoSpaceDE w:val="0"/>
        <w:autoSpaceDN w:val="0"/>
        <w:adjustRightInd w:val="0"/>
        <w:spacing w:after="0"/>
        <w:jc w:val="both"/>
        <w:rPr>
          <w:rFonts w:ascii="Georgia" w:hAnsi="Georgia" w:cs="Georgia"/>
          <w:b/>
          <w:sz w:val="20"/>
          <w:szCs w:val="20"/>
          <w:lang w:val="lt-LT"/>
        </w:rPr>
      </w:pPr>
      <w:r w:rsidRPr="00C97275">
        <w:rPr>
          <w:rFonts w:ascii="Georgia" w:hAnsi="Georgia" w:cs="Georgia"/>
          <w:b/>
          <w:sz w:val="20"/>
          <w:szCs w:val="20"/>
          <w:lang w:val="lt-LT"/>
        </w:rPr>
        <w:t>Skatinimo priemonės galutinio naudos gavėjo lygmenyje</w:t>
      </w:r>
    </w:p>
    <w:p w14:paraId="4CBB00C8" w14:textId="77777777" w:rsidR="007D2D58" w:rsidRPr="00C97275" w:rsidRDefault="007D2D58" w:rsidP="00583EB1">
      <w:pPr>
        <w:autoSpaceDE w:val="0"/>
        <w:autoSpaceDN w:val="0"/>
        <w:adjustRightInd w:val="0"/>
        <w:spacing w:after="0"/>
        <w:jc w:val="both"/>
        <w:rPr>
          <w:rFonts w:ascii="Georgia" w:hAnsi="Georgia" w:cs="Georgia"/>
          <w:sz w:val="20"/>
          <w:szCs w:val="20"/>
          <w:lang w:val="lt-LT"/>
        </w:rPr>
      </w:pPr>
    </w:p>
    <w:p w14:paraId="5758DF6F" w14:textId="2273BA33" w:rsidR="00583EB1"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Galutinio naudos gavėjo lygmeniu gali būti taikomi šie elementai:</w:t>
      </w:r>
    </w:p>
    <w:p w14:paraId="07807D72"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žemesnių negu rinkos, fiksuotų palūkanų taikymas; </w:t>
      </w:r>
    </w:p>
    <w:p w14:paraId="675922E7"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subsidijų teikimas projekto dalies finansavimui;</w:t>
      </w:r>
    </w:p>
    <w:p w14:paraId="619CE35D"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palūkanų kompensavimas galutiniams naudos gavėjams (galutiniams naudos gavėjams suteikiant galimybę naudotis geresnėmis sąlygomis, t.y. palūkanomis ir terminais);</w:t>
      </w:r>
    </w:p>
    <w:p w14:paraId="5ACB52C1"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ilgesnio negu rinkoje esančio termino paskoloms taikymas;</w:t>
      </w:r>
    </w:p>
    <w:p w14:paraId="4532AC80"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užstato nereikalavimas;</w:t>
      </w:r>
    </w:p>
    <w:p w14:paraId="4410840A"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papildoma parama renovacijos dokumentų parengimui ir įgyvendinimo administravimui;</w:t>
      </w:r>
    </w:p>
    <w:p w14:paraId="48A64FCB" w14:textId="77777777" w:rsidR="00583EB1" w:rsidRPr="00C97275"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įvairus šių variantų derinys.</w:t>
      </w:r>
    </w:p>
    <w:p w14:paraId="2F50089F"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2C67887D" w14:textId="77777777" w:rsidR="00583EB1" w:rsidRPr="00C97275" w:rsidRDefault="00583EB1" w:rsidP="00583EB1">
      <w:pPr>
        <w:autoSpaceDE w:val="0"/>
        <w:autoSpaceDN w:val="0"/>
        <w:adjustRightInd w:val="0"/>
        <w:spacing w:after="0"/>
        <w:jc w:val="both"/>
        <w:rPr>
          <w:rFonts w:ascii="Georgia" w:hAnsi="Georgia" w:cs="Georgia"/>
          <w:i/>
          <w:sz w:val="20"/>
          <w:szCs w:val="20"/>
          <w:lang w:val="lt-LT"/>
        </w:rPr>
      </w:pPr>
      <w:r w:rsidRPr="00C97275">
        <w:rPr>
          <w:rFonts w:ascii="Georgia" w:hAnsi="Georgia" w:cs="Georgia"/>
          <w:i/>
          <w:sz w:val="20"/>
          <w:szCs w:val="20"/>
          <w:lang w:val="lt-LT"/>
        </w:rPr>
        <w:t>Valdymo mokestis finansiniams tarpininkams ir fondo valdytojams</w:t>
      </w:r>
    </w:p>
    <w:p w14:paraId="1AEBFD40" w14:textId="77777777" w:rsidR="00583EB1" w:rsidRPr="00C97275" w:rsidRDefault="00583EB1" w:rsidP="00583EB1">
      <w:pPr>
        <w:autoSpaceDE w:val="0"/>
        <w:autoSpaceDN w:val="0"/>
        <w:adjustRightInd w:val="0"/>
        <w:spacing w:after="0"/>
        <w:jc w:val="both"/>
        <w:rPr>
          <w:rFonts w:ascii="Georgia" w:hAnsi="Georgia" w:cs="Georgia"/>
          <w:sz w:val="20"/>
          <w:szCs w:val="20"/>
          <w:lang w:val="lt-LT"/>
        </w:rPr>
      </w:pPr>
    </w:p>
    <w:p w14:paraId="6A5F51EB" w14:textId="17E491EF" w:rsidR="00021F53" w:rsidRPr="00C97275" w:rsidRDefault="00583EB1" w:rsidP="00583EB1">
      <w:pPr>
        <w:autoSpaceDE w:val="0"/>
        <w:autoSpaceDN w:val="0"/>
        <w:adjustRightInd w:val="0"/>
        <w:spacing w:after="0"/>
        <w:jc w:val="both"/>
        <w:rPr>
          <w:rFonts w:ascii="Georgia" w:hAnsi="Georgia" w:cs="Georgia"/>
          <w:sz w:val="20"/>
          <w:szCs w:val="20"/>
          <w:lang w:val="lt-LT"/>
        </w:rPr>
      </w:pPr>
      <w:r w:rsidRPr="00C97275">
        <w:rPr>
          <w:rFonts w:ascii="Georgia" w:hAnsi="Georgia" w:cs="Georgia"/>
          <w:sz w:val="20"/>
          <w:szCs w:val="20"/>
          <w:lang w:val="lt-LT"/>
        </w:rPr>
        <w:t xml:space="preserve">Už finansinių priemonių įgyvendinimą fondų fondo valdytojui ir finansiniams tarpininkams gali būti mokamas valdymo mokestis. Šio valdymo mokesčio mokėjimo principai ir dydžiai apibrėžti Deleguoto reglamento 12 ir 13 straipsniuose. Valdymo mokestis susideda iš dviejų dalių: bazinio valdymo mokesčio ir nuo veiklos rezultatų priklausančio valdymo mokesčio. </w:t>
      </w:r>
    </w:p>
    <w:p w14:paraId="7B5D529F" w14:textId="77777777" w:rsidR="00021F53" w:rsidRPr="00C97275" w:rsidRDefault="00021F53">
      <w:pPr>
        <w:rPr>
          <w:rFonts w:ascii="Georgia" w:hAnsi="Georgia" w:cs="Georgia"/>
          <w:sz w:val="20"/>
          <w:szCs w:val="20"/>
          <w:lang w:val="lt-LT"/>
        </w:rPr>
      </w:pPr>
      <w:r w:rsidRPr="00C97275">
        <w:rPr>
          <w:rFonts w:ascii="Georgia" w:hAnsi="Georgia" w:cs="Georgia"/>
          <w:sz w:val="20"/>
          <w:szCs w:val="20"/>
          <w:lang w:val="lt-LT"/>
        </w:rPr>
        <w:br w:type="page"/>
      </w:r>
    </w:p>
    <w:p w14:paraId="79506954" w14:textId="77777777" w:rsidR="00280058" w:rsidRPr="00C97275" w:rsidRDefault="00280058" w:rsidP="00FF5654">
      <w:pPr>
        <w:pStyle w:val="Antrat1"/>
        <w:numPr>
          <w:ilvl w:val="0"/>
          <w:numId w:val="2"/>
        </w:numPr>
        <w:ind w:left="567" w:hanging="567"/>
        <w:rPr>
          <w:lang w:val="lt-LT"/>
        </w:rPr>
      </w:pPr>
      <w:bookmarkStart w:id="142" w:name="_Toc402352622"/>
      <w:bookmarkStart w:id="143" w:name="_Toc25594678"/>
      <w:r w:rsidRPr="00C97275">
        <w:rPr>
          <w:lang w:val="lt-LT"/>
        </w:rPr>
        <w:lastRenderedPageBreak/>
        <w:t>Finansinės priemonės pridėtinė vertė ir suderinamumas su kitomis viešųjų intervencijų formomis</w:t>
      </w:r>
      <w:bookmarkEnd w:id="142"/>
      <w:bookmarkEnd w:id="143"/>
    </w:p>
    <w:p w14:paraId="1CE5A35E" w14:textId="77777777" w:rsidR="00280058" w:rsidRPr="00C97275" w:rsidRDefault="00280058" w:rsidP="00280058">
      <w:pPr>
        <w:jc w:val="both"/>
        <w:rPr>
          <w:rFonts w:ascii="Georgia" w:hAnsi="Georgia"/>
          <w:sz w:val="20"/>
          <w:lang w:val="lt-LT"/>
        </w:rPr>
      </w:pPr>
    </w:p>
    <w:p w14:paraId="07EB58F6" w14:textId="77777777" w:rsidR="00280058" w:rsidRPr="00C97275" w:rsidRDefault="00280058" w:rsidP="00C15C81">
      <w:pPr>
        <w:pStyle w:val="Antrat2"/>
        <w:numPr>
          <w:ilvl w:val="1"/>
          <w:numId w:val="2"/>
        </w:numPr>
        <w:ind w:left="709"/>
        <w:rPr>
          <w:rFonts w:ascii="Georgia" w:hAnsi="Georgia"/>
          <w:lang w:val="lt-LT"/>
        </w:rPr>
      </w:pPr>
      <w:bookmarkStart w:id="144" w:name="_Toc402352623"/>
      <w:bookmarkStart w:id="145" w:name="_Toc25594679"/>
      <w:r w:rsidRPr="00C97275">
        <w:rPr>
          <w:rFonts w:ascii="Georgia" w:hAnsi="Georgia"/>
          <w:lang w:val="lt-LT"/>
        </w:rPr>
        <w:t>Kiekybinis pridėtinės vertės vertinimas - jautrumo analizė ir alternatyvų palyginimas</w:t>
      </w:r>
      <w:bookmarkEnd w:id="144"/>
      <w:bookmarkEnd w:id="145"/>
    </w:p>
    <w:p w14:paraId="2C13C8A8" w14:textId="0F6C874E" w:rsidR="00C15C81" w:rsidRPr="00C97275" w:rsidRDefault="00C15C81" w:rsidP="00C15C81">
      <w:pPr>
        <w:pStyle w:val="Antrat2"/>
        <w:numPr>
          <w:ilvl w:val="2"/>
          <w:numId w:val="2"/>
        </w:numPr>
        <w:spacing w:after="120"/>
        <w:ind w:left="1077"/>
        <w:rPr>
          <w:rFonts w:ascii="Georgia" w:hAnsi="Georgia"/>
          <w:lang w:val="lt-LT"/>
        </w:rPr>
      </w:pPr>
      <w:bookmarkStart w:id="146" w:name="_Toc402352624"/>
      <w:bookmarkStart w:id="147" w:name="_Toc25594680"/>
      <w:r w:rsidRPr="00C97275">
        <w:rPr>
          <w:rFonts w:ascii="Georgia" w:hAnsi="Georgia"/>
          <w:lang w:val="lt-LT"/>
        </w:rPr>
        <w:t>Šilumos kainos prognozės Lietuvoje</w:t>
      </w:r>
      <w:bookmarkEnd w:id="147"/>
    </w:p>
    <w:p w14:paraId="04F26D9D" w14:textId="73A985FC" w:rsidR="003C0878" w:rsidRPr="00C97275" w:rsidRDefault="00660FB3" w:rsidP="0063781D">
      <w:pPr>
        <w:jc w:val="both"/>
        <w:rPr>
          <w:rFonts w:ascii="Georgia" w:hAnsi="Georgia"/>
          <w:sz w:val="20"/>
          <w:lang w:val="lt-LT"/>
        </w:rPr>
      </w:pPr>
      <w:r w:rsidRPr="00C97275">
        <w:rPr>
          <w:rFonts w:ascii="Georgia" w:hAnsi="Georgia"/>
          <w:sz w:val="20"/>
          <w:lang w:val="lt-LT"/>
        </w:rPr>
        <w:t>VKKEK</w:t>
      </w:r>
      <w:r w:rsidR="00C15C81" w:rsidRPr="00C97275">
        <w:rPr>
          <w:rFonts w:ascii="Georgia" w:hAnsi="Georgia"/>
          <w:sz w:val="20"/>
          <w:lang w:val="lt-LT"/>
        </w:rPr>
        <w:t xml:space="preserve"> duomenimis vidutinė šilumos kaina</w:t>
      </w:r>
      <w:r w:rsidR="00325FB1" w:rsidRPr="00C97275">
        <w:rPr>
          <w:rFonts w:ascii="Georgia" w:hAnsi="Georgia"/>
          <w:sz w:val="20"/>
          <w:lang w:val="lt-LT"/>
        </w:rPr>
        <w:t xml:space="preserve"> 2012 metais</w:t>
      </w:r>
      <w:r w:rsidR="00C15C81" w:rsidRPr="00C97275">
        <w:rPr>
          <w:rFonts w:ascii="Georgia" w:hAnsi="Georgia"/>
          <w:sz w:val="20"/>
          <w:lang w:val="lt-LT"/>
        </w:rPr>
        <w:t xml:space="preserve"> pasiekus</w:t>
      </w:r>
      <w:r w:rsidR="00325FB1" w:rsidRPr="00C97275">
        <w:rPr>
          <w:rFonts w:ascii="Georgia" w:hAnsi="Georgia"/>
          <w:sz w:val="20"/>
          <w:lang w:val="lt-LT"/>
        </w:rPr>
        <w:t>i</w:t>
      </w:r>
      <w:r w:rsidR="00C15C81" w:rsidRPr="00C97275">
        <w:rPr>
          <w:rFonts w:ascii="Georgia" w:hAnsi="Georgia"/>
          <w:sz w:val="20"/>
          <w:lang w:val="lt-LT"/>
        </w:rPr>
        <w:t xml:space="preserve"> 7</w:t>
      </w:r>
      <w:r w:rsidRPr="00C97275">
        <w:rPr>
          <w:rFonts w:ascii="Georgia" w:hAnsi="Georgia"/>
          <w:sz w:val="20"/>
          <w:lang w:val="lt-LT"/>
        </w:rPr>
        <w:t>,</w:t>
      </w:r>
      <w:r w:rsidR="00C15C81" w:rsidRPr="00C97275">
        <w:rPr>
          <w:rFonts w:ascii="Georgia" w:hAnsi="Georgia"/>
          <w:sz w:val="20"/>
          <w:lang w:val="lt-LT"/>
        </w:rPr>
        <w:t xml:space="preserve">66 ct/kWh </w:t>
      </w:r>
      <w:r w:rsidR="00325FB1" w:rsidRPr="00C97275">
        <w:rPr>
          <w:rFonts w:ascii="Georgia" w:hAnsi="Georgia"/>
          <w:sz w:val="20"/>
          <w:lang w:val="lt-LT"/>
        </w:rPr>
        <w:t xml:space="preserve">vėliau </w:t>
      </w:r>
      <w:r w:rsidR="00C15C81" w:rsidRPr="00C97275">
        <w:rPr>
          <w:rFonts w:ascii="Georgia" w:hAnsi="Georgia"/>
          <w:sz w:val="20"/>
          <w:lang w:val="lt-LT"/>
        </w:rPr>
        <w:t>nuosekliai mažėjo iki 201</w:t>
      </w:r>
      <w:r w:rsidRPr="00C97275">
        <w:rPr>
          <w:rFonts w:ascii="Georgia" w:hAnsi="Georgia"/>
          <w:sz w:val="20"/>
          <w:lang w:val="lt-LT"/>
        </w:rPr>
        <w:t xml:space="preserve">7 m. lapkričio mėn. </w:t>
      </w:r>
      <w:r w:rsidR="00C15C81" w:rsidRPr="00C97275">
        <w:rPr>
          <w:rFonts w:ascii="Georgia" w:hAnsi="Georgia"/>
          <w:sz w:val="20"/>
          <w:lang w:val="lt-LT"/>
        </w:rPr>
        <w:t xml:space="preserve">ir pasiekė </w:t>
      </w:r>
      <w:r w:rsidRPr="00C97275">
        <w:rPr>
          <w:rFonts w:ascii="Georgia" w:hAnsi="Georgia"/>
          <w:sz w:val="20"/>
          <w:lang w:val="lt-LT"/>
        </w:rPr>
        <w:t>4,99</w:t>
      </w:r>
      <w:r w:rsidR="00C15C81" w:rsidRPr="00C97275">
        <w:rPr>
          <w:rFonts w:ascii="Georgia" w:hAnsi="Georgia"/>
          <w:sz w:val="20"/>
          <w:lang w:val="lt-LT"/>
        </w:rPr>
        <w:t xml:space="preserve"> ct/kWh (3</w:t>
      </w:r>
      <w:r w:rsidRPr="00C97275">
        <w:rPr>
          <w:rFonts w:ascii="Georgia" w:hAnsi="Georgia"/>
          <w:sz w:val="20"/>
          <w:lang w:val="lt-LT"/>
        </w:rPr>
        <w:t>5</w:t>
      </w:r>
      <w:r w:rsidR="00C15C81" w:rsidRPr="00C97275">
        <w:rPr>
          <w:rFonts w:ascii="Georgia" w:hAnsi="Georgia"/>
          <w:sz w:val="20"/>
          <w:lang w:val="lt-LT"/>
        </w:rPr>
        <w:t>% sumažėjimas)</w:t>
      </w:r>
      <w:r w:rsidR="00C15C81" w:rsidRPr="00C97275">
        <w:rPr>
          <w:rStyle w:val="Puslapioinaosnuoroda"/>
          <w:rFonts w:ascii="Georgia" w:hAnsi="Georgia"/>
          <w:sz w:val="20"/>
          <w:lang w:val="lt-LT"/>
        </w:rPr>
        <w:footnoteReference w:id="116"/>
      </w:r>
      <w:r w:rsidR="00C15C81" w:rsidRPr="00C97275">
        <w:rPr>
          <w:rFonts w:ascii="Georgia" w:hAnsi="Georgia"/>
          <w:sz w:val="20"/>
          <w:lang w:val="lt-LT"/>
        </w:rPr>
        <w:t>.</w:t>
      </w:r>
      <w:r w:rsidR="003C0878" w:rsidRPr="00C97275">
        <w:rPr>
          <w:rFonts w:ascii="Georgia" w:hAnsi="Georgia"/>
          <w:sz w:val="20"/>
          <w:lang w:val="lt-LT"/>
        </w:rPr>
        <w:t xml:space="preserve"> 2017 m. sausio – spalio mėn. vidutinė mėnesinė šilumos kaina (įskaitant PVM, kadangi gyventojai negali šio mokesčio susigrąžinti) buvo 5,328 ct/kWh. Ši vidutinė kaina naudojama jautrumo analizėje.</w:t>
      </w:r>
    </w:p>
    <w:p w14:paraId="0EC391EF" w14:textId="6DC4518F" w:rsidR="00C15C81" w:rsidRPr="00C97275" w:rsidRDefault="00C15C81" w:rsidP="0063781D">
      <w:pPr>
        <w:jc w:val="both"/>
        <w:rPr>
          <w:rFonts w:ascii="Georgia" w:hAnsi="Georgia"/>
          <w:sz w:val="20"/>
          <w:lang w:val="lt-LT"/>
        </w:rPr>
      </w:pPr>
      <w:r w:rsidRPr="00C97275">
        <w:rPr>
          <w:rFonts w:ascii="Georgia" w:hAnsi="Georgia"/>
          <w:sz w:val="20"/>
          <w:lang w:val="lt-LT"/>
        </w:rPr>
        <w:t>Viena iš pagrindinių</w:t>
      </w:r>
      <w:r w:rsidR="006146D8" w:rsidRPr="00C97275">
        <w:rPr>
          <w:rFonts w:ascii="Georgia" w:hAnsi="Georgia"/>
          <w:sz w:val="20"/>
          <w:lang w:val="lt-LT"/>
        </w:rPr>
        <w:t xml:space="preserve"> šilumos kainų mažėjimo</w:t>
      </w:r>
      <w:r w:rsidRPr="00C97275">
        <w:rPr>
          <w:rFonts w:ascii="Georgia" w:hAnsi="Georgia"/>
          <w:sz w:val="20"/>
          <w:lang w:val="lt-LT"/>
        </w:rPr>
        <w:t xml:space="preserve"> priežasčių – biokuro panaudojimas šilumos gamyboje, kuris išaugo iki 64%. Tuo pačiu metu buvo priimti reikalavimai visą biokurą pirkti per </w:t>
      </w:r>
      <w:r w:rsidR="00255903" w:rsidRPr="00C97275">
        <w:rPr>
          <w:rFonts w:ascii="Georgia" w:hAnsi="Georgia"/>
          <w:sz w:val="20"/>
          <w:lang w:val="lt-LT"/>
        </w:rPr>
        <w:t xml:space="preserve">biržą, kas lėmė intensyvesnę konkurenciją ir atitinkamai biokuro kainos mažėjimą. </w:t>
      </w:r>
      <w:r w:rsidRPr="00C97275">
        <w:rPr>
          <w:rFonts w:ascii="Georgia" w:hAnsi="Georgia"/>
          <w:sz w:val="20"/>
          <w:lang w:val="lt-LT"/>
        </w:rPr>
        <w:t xml:space="preserve">Papildomos reikšmės turėjo ir dujų iš “Gazprom” tiekimo kainos, kurios smarkiai sumažėjo pastačius SGD terminalą Klaipėdoje. Ateityje, </w:t>
      </w:r>
      <w:r w:rsidR="000D71A1" w:rsidRPr="00C97275">
        <w:rPr>
          <w:rFonts w:ascii="Georgia" w:hAnsi="Georgia"/>
          <w:sz w:val="20"/>
          <w:lang w:val="lt-LT"/>
        </w:rPr>
        <w:t xml:space="preserve">galutinei </w:t>
      </w:r>
      <w:r w:rsidRPr="00C97275">
        <w:rPr>
          <w:rFonts w:ascii="Georgia" w:hAnsi="Georgia"/>
          <w:sz w:val="20"/>
          <w:lang w:val="lt-LT"/>
        </w:rPr>
        <w:t xml:space="preserve">šilumos kainai Lietuvoje didelės reikšmės gali turėti šie veiksniai: </w:t>
      </w:r>
    </w:p>
    <w:p w14:paraId="791D8F9E" w14:textId="22C4EC1A" w:rsidR="00255903" w:rsidRPr="00C97275" w:rsidRDefault="00985A07" w:rsidP="0063781D">
      <w:pPr>
        <w:pStyle w:val="Sraopastraipa"/>
        <w:numPr>
          <w:ilvl w:val="0"/>
          <w:numId w:val="77"/>
        </w:numPr>
        <w:jc w:val="both"/>
        <w:rPr>
          <w:rFonts w:ascii="Georgia" w:hAnsi="Georgia"/>
          <w:sz w:val="20"/>
          <w:lang w:val="lt-LT"/>
        </w:rPr>
      </w:pPr>
      <w:r w:rsidRPr="00C97275">
        <w:rPr>
          <w:rFonts w:ascii="Georgia" w:hAnsi="Georgia"/>
          <w:sz w:val="20"/>
          <w:lang w:val="lt-LT"/>
        </w:rPr>
        <w:t xml:space="preserve">Kogeneracinės elektrinės </w:t>
      </w:r>
      <w:r w:rsidR="00C15C81" w:rsidRPr="00C97275">
        <w:rPr>
          <w:rFonts w:ascii="Georgia" w:hAnsi="Georgia"/>
          <w:sz w:val="20"/>
          <w:lang w:val="lt-LT"/>
        </w:rPr>
        <w:t>statyba Vilniuje</w:t>
      </w:r>
      <w:r w:rsidR="00255903" w:rsidRPr="00C97275">
        <w:rPr>
          <w:rFonts w:ascii="Georgia" w:hAnsi="Georgia"/>
          <w:sz w:val="20"/>
          <w:lang w:val="lt-LT"/>
        </w:rPr>
        <w:t>.</w:t>
      </w:r>
      <w:r w:rsidR="00C15C81" w:rsidRPr="00C97275">
        <w:rPr>
          <w:rFonts w:ascii="Georgia" w:hAnsi="Georgia"/>
          <w:sz w:val="20"/>
          <w:lang w:val="lt-LT"/>
        </w:rPr>
        <w:t xml:space="preserve"> </w:t>
      </w:r>
      <w:r w:rsidR="00255903" w:rsidRPr="00C97275">
        <w:rPr>
          <w:rFonts w:ascii="Georgia" w:hAnsi="Georgia"/>
          <w:sz w:val="20"/>
          <w:lang w:val="lt-LT"/>
        </w:rPr>
        <w:t xml:space="preserve">Neabejotinai </w:t>
      </w:r>
      <w:r w:rsidRPr="00C97275">
        <w:rPr>
          <w:rFonts w:ascii="Georgia" w:hAnsi="Georgia"/>
          <w:sz w:val="20"/>
          <w:lang w:val="lt-LT"/>
        </w:rPr>
        <w:t xml:space="preserve">šios elektrinės </w:t>
      </w:r>
      <w:r w:rsidR="00255903" w:rsidRPr="00C97275">
        <w:rPr>
          <w:rFonts w:ascii="Georgia" w:hAnsi="Georgia"/>
          <w:sz w:val="20"/>
          <w:lang w:val="lt-LT"/>
        </w:rPr>
        <w:t xml:space="preserve">statyba, dalinai finansuojama ES lėšomis, dar labiau mažins šilumos kainas Vilniuje. Skaičiuojama, jog </w:t>
      </w:r>
      <w:r w:rsidRPr="00C97275">
        <w:rPr>
          <w:rFonts w:ascii="Georgia" w:hAnsi="Georgia"/>
          <w:sz w:val="20"/>
          <w:lang w:val="lt-LT"/>
        </w:rPr>
        <w:t xml:space="preserve">įgyvendintas projektas </w:t>
      </w:r>
      <w:r w:rsidR="00255903" w:rsidRPr="00C97275">
        <w:rPr>
          <w:rFonts w:ascii="Georgia" w:hAnsi="Georgia"/>
          <w:sz w:val="20"/>
          <w:lang w:val="lt-LT"/>
        </w:rPr>
        <w:t xml:space="preserve">galėtų sutaupyti iki 20 proc. šilumos kainos </w:t>
      </w:r>
      <w:r w:rsidRPr="00C97275">
        <w:rPr>
          <w:rFonts w:ascii="Georgia" w:hAnsi="Georgia"/>
          <w:sz w:val="20"/>
          <w:lang w:val="lt-LT"/>
        </w:rPr>
        <w:t xml:space="preserve">sostinės </w:t>
      </w:r>
      <w:r w:rsidR="00255903" w:rsidRPr="00C97275">
        <w:rPr>
          <w:rFonts w:ascii="Georgia" w:hAnsi="Georgia"/>
          <w:sz w:val="20"/>
          <w:lang w:val="lt-LT"/>
        </w:rPr>
        <w:t>gyventojams ir įmonėms.</w:t>
      </w:r>
      <w:r w:rsidR="00255903" w:rsidRPr="00C97275">
        <w:rPr>
          <w:rStyle w:val="Puslapioinaosnuoroda"/>
          <w:rFonts w:ascii="Georgia" w:hAnsi="Georgia"/>
          <w:sz w:val="20"/>
          <w:lang w:val="lt-LT"/>
        </w:rPr>
        <w:footnoteReference w:id="117"/>
      </w:r>
      <w:r w:rsidR="00255903" w:rsidRPr="00C97275">
        <w:rPr>
          <w:rFonts w:ascii="Georgia" w:hAnsi="Georgia"/>
          <w:sz w:val="20"/>
          <w:lang w:val="lt-LT"/>
        </w:rPr>
        <w:t xml:space="preserve">  </w:t>
      </w:r>
    </w:p>
    <w:p w14:paraId="33E61CDC" w14:textId="5C2EBCEE" w:rsidR="00C15C81" w:rsidRPr="00C97275" w:rsidRDefault="00C15C81" w:rsidP="0063781D">
      <w:pPr>
        <w:pStyle w:val="Sraopastraipa"/>
        <w:numPr>
          <w:ilvl w:val="0"/>
          <w:numId w:val="77"/>
        </w:numPr>
        <w:jc w:val="both"/>
        <w:rPr>
          <w:rFonts w:ascii="Georgia" w:hAnsi="Georgia"/>
          <w:sz w:val="20"/>
          <w:lang w:val="lt-LT"/>
        </w:rPr>
      </w:pPr>
      <w:r w:rsidRPr="00C97275">
        <w:rPr>
          <w:rFonts w:ascii="Georgia" w:hAnsi="Georgia"/>
          <w:sz w:val="20"/>
          <w:lang w:val="lt-LT"/>
        </w:rPr>
        <w:t xml:space="preserve">Kuro balanso sudėties pokyčiai. </w:t>
      </w:r>
      <w:r w:rsidR="00637559" w:rsidRPr="00C97275">
        <w:rPr>
          <w:rFonts w:ascii="Georgia" w:hAnsi="Georgia"/>
          <w:sz w:val="20"/>
          <w:lang w:val="lt-LT"/>
        </w:rPr>
        <w:t>Iki 2025 metų</w:t>
      </w:r>
      <w:r w:rsidR="00256C31" w:rsidRPr="00C97275">
        <w:rPr>
          <w:rFonts w:ascii="Georgia" w:hAnsi="Georgia"/>
          <w:sz w:val="20"/>
          <w:lang w:val="lt-LT"/>
        </w:rPr>
        <w:t xml:space="preserve"> prognozuojama, jog biokuras sudarys apie 7</w:t>
      </w:r>
      <w:r w:rsidR="00637559" w:rsidRPr="00C97275">
        <w:rPr>
          <w:rFonts w:ascii="Georgia" w:hAnsi="Georgia"/>
          <w:sz w:val="20"/>
          <w:lang w:val="lt-LT"/>
        </w:rPr>
        <w:t>5</w:t>
      </w:r>
      <w:r w:rsidR="00325FB1" w:rsidRPr="00C97275">
        <w:rPr>
          <w:rFonts w:ascii="Georgia" w:hAnsi="Georgia"/>
          <w:sz w:val="20"/>
          <w:lang w:val="lt-LT"/>
        </w:rPr>
        <w:t>-80</w:t>
      </w:r>
      <w:r w:rsidR="00256C31" w:rsidRPr="00C97275">
        <w:rPr>
          <w:rFonts w:ascii="Georgia" w:hAnsi="Georgia"/>
          <w:sz w:val="20"/>
          <w:lang w:val="lt-LT"/>
        </w:rPr>
        <w:t>% viso centralizuotos šilumos gamyboje</w:t>
      </w:r>
      <w:r w:rsidR="00637559" w:rsidRPr="00C97275">
        <w:rPr>
          <w:rFonts w:ascii="Georgia" w:hAnsi="Georgia"/>
          <w:sz w:val="20"/>
          <w:lang w:val="lt-LT"/>
        </w:rPr>
        <w:t>,</w:t>
      </w:r>
      <w:r w:rsidR="00256C31" w:rsidRPr="00C97275">
        <w:rPr>
          <w:rFonts w:ascii="Georgia" w:hAnsi="Georgia"/>
          <w:sz w:val="20"/>
          <w:lang w:val="lt-LT"/>
        </w:rPr>
        <w:t xml:space="preserve"> dar labiau sustiprinant šilumos kainų priklausomybė nuo biokuro</w:t>
      </w:r>
      <w:r w:rsidR="00637559" w:rsidRPr="00C97275">
        <w:rPr>
          <w:rStyle w:val="Puslapioinaosnuoroda"/>
          <w:rFonts w:ascii="Georgia" w:hAnsi="Georgia"/>
          <w:sz w:val="20"/>
          <w:lang w:val="lt-LT"/>
        </w:rPr>
        <w:footnoteReference w:id="118"/>
      </w:r>
      <w:r w:rsidR="00256C31" w:rsidRPr="00C97275">
        <w:rPr>
          <w:rFonts w:ascii="Georgia" w:hAnsi="Georgia"/>
          <w:sz w:val="20"/>
          <w:lang w:val="lt-LT"/>
        </w:rPr>
        <w:t xml:space="preserve">. </w:t>
      </w:r>
    </w:p>
    <w:p w14:paraId="533351F3" w14:textId="5A95851F" w:rsidR="0021497C" w:rsidRPr="00C97275" w:rsidRDefault="0021497C" w:rsidP="0063781D">
      <w:pPr>
        <w:pStyle w:val="Sraopastraipa"/>
        <w:numPr>
          <w:ilvl w:val="0"/>
          <w:numId w:val="77"/>
        </w:numPr>
        <w:jc w:val="both"/>
        <w:rPr>
          <w:rFonts w:ascii="Georgia" w:hAnsi="Georgia"/>
          <w:sz w:val="20"/>
          <w:lang w:val="lt-LT"/>
        </w:rPr>
      </w:pPr>
      <w:r w:rsidRPr="00C97275">
        <w:rPr>
          <w:rFonts w:ascii="Georgia" w:hAnsi="Georgia"/>
          <w:sz w:val="20"/>
          <w:lang w:val="lt-LT"/>
        </w:rPr>
        <w:t>Biokuro, gamtinių ir SGD kainų svyravimai Lietuvoje ir pasaulyje.</w:t>
      </w:r>
      <w:r w:rsidR="00256C31" w:rsidRPr="00C97275">
        <w:rPr>
          <w:rFonts w:ascii="Georgia" w:hAnsi="Georgia"/>
          <w:sz w:val="20"/>
          <w:lang w:val="lt-LT"/>
        </w:rPr>
        <w:t xml:space="preserve"> </w:t>
      </w:r>
      <w:r w:rsidR="00637559" w:rsidRPr="00C97275">
        <w:rPr>
          <w:rFonts w:ascii="Georgia" w:hAnsi="Georgia"/>
          <w:sz w:val="20"/>
          <w:lang w:val="lt-LT"/>
        </w:rPr>
        <w:t>Remiantis Pasaulinio Banko gamtinių dujų prognoze 2017-2023 m. laikotarpiu, numatomas 3,1% kasmetinis gamtinių dujų kainos augimas ir 2,1%  - SGD kainos augimas</w:t>
      </w:r>
      <w:r w:rsidR="00B34B72" w:rsidRPr="00C97275">
        <w:rPr>
          <w:rStyle w:val="Puslapioinaosnuoroda"/>
          <w:rFonts w:ascii="Georgia" w:hAnsi="Georgia"/>
          <w:sz w:val="20"/>
          <w:lang w:val="lt-LT"/>
        </w:rPr>
        <w:footnoteReference w:id="119"/>
      </w:r>
      <w:r w:rsidR="00637559" w:rsidRPr="00C97275">
        <w:rPr>
          <w:rFonts w:ascii="Georgia" w:hAnsi="Georgia"/>
          <w:sz w:val="20"/>
          <w:lang w:val="lt-LT"/>
        </w:rPr>
        <w:t xml:space="preserve">. Tuo tarpu pagal 2013 metais atliktą biokuro potencialo studiją Lietuvoje, numatoma jog medienos skiedrų kaina 2025 metais pagal prognozuojamą paklausą ir pasiūlą turėtų siekti bent 220 eurus/tne, arba 3,2% kasmetinį augimą nuo esamos Baltpool biokuro kainos lapkričio mėn. </w:t>
      </w:r>
      <w:r w:rsidR="00B34B72" w:rsidRPr="00C97275">
        <w:rPr>
          <w:rStyle w:val="Puslapioinaosnuoroda"/>
          <w:rFonts w:ascii="Georgia" w:hAnsi="Georgia"/>
          <w:sz w:val="20"/>
          <w:lang w:val="lt-LT"/>
        </w:rPr>
        <w:footnoteReference w:id="120"/>
      </w:r>
      <w:r w:rsidR="00637559" w:rsidRPr="00C97275">
        <w:rPr>
          <w:rFonts w:ascii="Georgia" w:hAnsi="Georgia"/>
          <w:sz w:val="20"/>
          <w:lang w:val="lt-LT"/>
        </w:rPr>
        <w:t xml:space="preserve"> </w:t>
      </w:r>
      <w:r w:rsidRPr="00C97275">
        <w:rPr>
          <w:rFonts w:ascii="Georgia" w:hAnsi="Georgia"/>
          <w:sz w:val="20"/>
          <w:lang w:val="lt-LT"/>
        </w:rPr>
        <w:t xml:space="preserve"> </w:t>
      </w:r>
    </w:p>
    <w:p w14:paraId="4ED4DD85" w14:textId="35D45292" w:rsidR="000D71A1" w:rsidRPr="00C97275" w:rsidRDefault="0061566A" w:rsidP="0063781D">
      <w:pPr>
        <w:pStyle w:val="Sraopastraipa"/>
        <w:numPr>
          <w:ilvl w:val="0"/>
          <w:numId w:val="77"/>
        </w:numPr>
        <w:jc w:val="both"/>
        <w:rPr>
          <w:rFonts w:ascii="Georgia" w:hAnsi="Georgia"/>
          <w:sz w:val="20"/>
          <w:lang w:val="lt-LT"/>
        </w:rPr>
      </w:pPr>
      <w:r w:rsidRPr="00C97275">
        <w:rPr>
          <w:rFonts w:ascii="Georgia" w:hAnsi="Georgia"/>
          <w:sz w:val="20"/>
          <w:lang w:val="lt-LT"/>
        </w:rPr>
        <w:t>JAV d</w:t>
      </w:r>
      <w:r w:rsidR="00C15C81" w:rsidRPr="00C97275">
        <w:rPr>
          <w:rFonts w:ascii="Georgia" w:hAnsi="Georgia"/>
          <w:sz w:val="20"/>
          <w:lang w:val="lt-LT"/>
        </w:rPr>
        <w:t xml:space="preserve">olerio kurso pokytis euro atžvilgiu. </w:t>
      </w:r>
      <w:r w:rsidR="0021497C" w:rsidRPr="00C97275">
        <w:rPr>
          <w:rFonts w:ascii="Georgia" w:hAnsi="Georgia"/>
          <w:sz w:val="20"/>
          <w:lang w:val="lt-LT"/>
        </w:rPr>
        <w:t xml:space="preserve">Tikėtina, jog </w:t>
      </w:r>
      <w:r w:rsidRPr="00C97275">
        <w:rPr>
          <w:rFonts w:ascii="Georgia" w:hAnsi="Georgia"/>
          <w:sz w:val="20"/>
          <w:lang w:val="lt-LT"/>
        </w:rPr>
        <w:t xml:space="preserve">JAV </w:t>
      </w:r>
      <w:r w:rsidR="0021497C" w:rsidRPr="00C97275">
        <w:rPr>
          <w:rFonts w:ascii="Georgia" w:hAnsi="Georgia"/>
          <w:sz w:val="20"/>
          <w:lang w:val="lt-LT"/>
        </w:rPr>
        <w:t xml:space="preserve">dolerio ir euro santykis artimiausiu metu išliks panašus, tačiau ilgesniu laikotarpiu blogesnės ekonominės ar politinės naujienos vienoje ar kitoje pusėje gali šį santykį smarkiai pakoreguoti. </w:t>
      </w:r>
      <w:r w:rsidRPr="00C97275">
        <w:rPr>
          <w:rFonts w:ascii="Georgia" w:hAnsi="Georgia"/>
          <w:sz w:val="20"/>
          <w:lang w:val="lt-LT"/>
        </w:rPr>
        <w:t>JAV d</w:t>
      </w:r>
      <w:r w:rsidR="0021497C" w:rsidRPr="00C97275">
        <w:rPr>
          <w:rFonts w:ascii="Georgia" w:hAnsi="Georgia"/>
          <w:sz w:val="20"/>
          <w:lang w:val="lt-LT"/>
        </w:rPr>
        <w:t>oleriui sustiprėjus, kiltų naftos, gamtinių dujų ir SGD kaina Lietuvoje.</w:t>
      </w:r>
      <w:r w:rsidR="00C15C81" w:rsidRPr="00C97275">
        <w:rPr>
          <w:rFonts w:ascii="Georgia" w:hAnsi="Georgia"/>
          <w:sz w:val="20"/>
          <w:lang w:val="lt-LT"/>
        </w:rPr>
        <w:t xml:space="preserve"> </w:t>
      </w:r>
      <w:r w:rsidR="00D704C4" w:rsidRPr="00C97275">
        <w:rPr>
          <w:rFonts w:ascii="Georgia" w:hAnsi="Georgia"/>
          <w:sz w:val="20"/>
          <w:lang w:val="lt-LT"/>
        </w:rPr>
        <w:t>Darom</w:t>
      </w:r>
      <w:r w:rsidRPr="00C97275">
        <w:rPr>
          <w:rFonts w:ascii="Georgia" w:hAnsi="Georgia"/>
          <w:sz w:val="20"/>
          <w:lang w:val="lt-LT"/>
        </w:rPr>
        <w:t>e</w:t>
      </w:r>
      <w:r w:rsidR="00D704C4" w:rsidRPr="00C97275">
        <w:rPr>
          <w:rFonts w:ascii="Georgia" w:hAnsi="Georgia"/>
          <w:sz w:val="20"/>
          <w:lang w:val="lt-LT"/>
        </w:rPr>
        <w:t xml:space="preserve"> prielaida, jog valiutų kursai išsilaikys esamame lygyje.</w:t>
      </w:r>
    </w:p>
    <w:p w14:paraId="20FEBCCC" w14:textId="6EADE865" w:rsidR="000D71A1" w:rsidRPr="00C97275" w:rsidRDefault="000D71A1" w:rsidP="0063781D">
      <w:pPr>
        <w:pStyle w:val="Sraopastraipa"/>
        <w:numPr>
          <w:ilvl w:val="0"/>
          <w:numId w:val="77"/>
        </w:numPr>
        <w:jc w:val="both"/>
        <w:rPr>
          <w:rFonts w:ascii="Georgia" w:hAnsi="Georgia"/>
          <w:sz w:val="20"/>
          <w:lang w:val="lt-LT"/>
        </w:rPr>
      </w:pPr>
      <w:r w:rsidRPr="00C97275">
        <w:rPr>
          <w:rFonts w:ascii="Georgia" w:hAnsi="Georgia"/>
          <w:sz w:val="20"/>
          <w:lang w:val="lt-LT"/>
        </w:rPr>
        <w:t xml:space="preserve">PVM tarifas. Taip pat svarbu paminėti, jog nuo </w:t>
      </w:r>
      <w:r w:rsidR="0061566A" w:rsidRPr="00C97275">
        <w:rPr>
          <w:rFonts w:ascii="Georgia" w:hAnsi="Georgia"/>
          <w:sz w:val="20"/>
          <w:lang w:val="lt-LT"/>
        </w:rPr>
        <w:t xml:space="preserve">2017 m. </w:t>
      </w:r>
      <w:r w:rsidRPr="00C97275">
        <w:rPr>
          <w:rFonts w:ascii="Georgia" w:hAnsi="Georgia"/>
          <w:sz w:val="20"/>
          <w:lang w:val="lt-LT"/>
        </w:rPr>
        <w:t>spalio 1 d. galutiniams šilumos vartotojams buvo</w:t>
      </w:r>
      <w:r w:rsidR="00ED4ADE" w:rsidRPr="00C97275">
        <w:rPr>
          <w:rFonts w:ascii="Georgia" w:hAnsi="Georgia"/>
          <w:sz w:val="20"/>
          <w:lang w:val="lt-LT"/>
        </w:rPr>
        <w:t xml:space="preserve"> vėl pradėtas taikyti lengvatinis 9 proc. </w:t>
      </w:r>
      <w:r w:rsidRPr="00C97275">
        <w:rPr>
          <w:rFonts w:ascii="Georgia" w:hAnsi="Georgia"/>
          <w:sz w:val="20"/>
          <w:lang w:val="lt-LT"/>
        </w:rPr>
        <w:t xml:space="preserve">PVM tarifas. </w:t>
      </w:r>
      <w:r w:rsidR="00587A9E" w:rsidRPr="00C97275">
        <w:rPr>
          <w:rFonts w:ascii="Georgia" w:hAnsi="Georgia"/>
          <w:sz w:val="20"/>
          <w:lang w:val="lt-LT"/>
        </w:rPr>
        <w:t xml:space="preserve">Pagal </w:t>
      </w:r>
      <w:r w:rsidR="00D721F3" w:rsidRPr="00C97275">
        <w:rPr>
          <w:rFonts w:ascii="Georgia" w:hAnsi="Georgia"/>
          <w:sz w:val="20"/>
          <w:lang w:val="lt-LT"/>
        </w:rPr>
        <w:t xml:space="preserve">2017 m. lapkričio 20 d. </w:t>
      </w:r>
      <w:r w:rsidR="00587A9E" w:rsidRPr="00C97275">
        <w:rPr>
          <w:rFonts w:ascii="Georgia" w:hAnsi="Georgia"/>
          <w:sz w:val="20"/>
          <w:lang w:val="lt-LT"/>
        </w:rPr>
        <w:t>PVM įstatymo Nr.IX-751</w:t>
      </w:r>
      <w:r w:rsidR="00712190" w:rsidRPr="00C97275">
        <w:rPr>
          <w:rFonts w:ascii="Georgia" w:hAnsi="Georgia"/>
          <w:sz w:val="20"/>
          <w:lang w:val="lt-LT"/>
        </w:rPr>
        <w:t xml:space="preserve"> pakeitimą</w:t>
      </w:r>
      <w:r w:rsidR="00D721F3" w:rsidRPr="00C97275">
        <w:rPr>
          <w:rFonts w:ascii="Georgia" w:hAnsi="Georgia"/>
          <w:sz w:val="20"/>
          <w:lang w:val="lt-LT"/>
        </w:rPr>
        <w:t>,</w:t>
      </w:r>
      <w:r w:rsidR="00587A9E" w:rsidRPr="00C97275">
        <w:rPr>
          <w:rFonts w:ascii="Georgia" w:hAnsi="Georgia"/>
          <w:sz w:val="20"/>
          <w:lang w:val="lt-LT"/>
        </w:rPr>
        <w:t xml:space="preserve"> </w:t>
      </w:r>
      <w:r w:rsidR="004B21E6" w:rsidRPr="00C97275">
        <w:rPr>
          <w:rFonts w:ascii="Georgia" w:hAnsi="Georgia"/>
          <w:sz w:val="20"/>
          <w:lang w:val="lt-LT"/>
        </w:rPr>
        <w:t>n</w:t>
      </w:r>
      <w:r w:rsidRPr="00C97275">
        <w:rPr>
          <w:rFonts w:ascii="Georgia" w:hAnsi="Georgia"/>
          <w:sz w:val="20"/>
          <w:lang w:val="lt-LT"/>
        </w:rPr>
        <w:t>uo 2018 m. sausio 1 d. šis PVM tarifas</w:t>
      </w:r>
      <w:r w:rsidR="00191963" w:rsidRPr="00C97275">
        <w:rPr>
          <w:rFonts w:ascii="Georgia" w:hAnsi="Georgia"/>
          <w:sz w:val="20"/>
          <w:lang w:val="lt-LT"/>
        </w:rPr>
        <w:t xml:space="preserve"> </w:t>
      </w:r>
      <w:r w:rsidR="00587A9E" w:rsidRPr="00C97275">
        <w:rPr>
          <w:rFonts w:ascii="Georgia" w:hAnsi="Georgia"/>
          <w:sz w:val="20"/>
          <w:lang w:val="lt-LT"/>
        </w:rPr>
        <w:t xml:space="preserve">išliks </w:t>
      </w:r>
      <w:r w:rsidR="004B21E6" w:rsidRPr="00C97275">
        <w:rPr>
          <w:rFonts w:ascii="Georgia" w:hAnsi="Georgia"/>
          <w:sz w:val="20"/>
          <w:lang w:val="lt-LT"/>
        </w:rPr>
        <w:t xml:space="preserve">ties 9 </w:t>
      </w:r>
      <w:r w:rsidR="004B21E6" w:rsidRPr="00C97275">
        <w:rPr>
          <w:rFonts w:ascii="Georgia" w:hAnsi="Georgia"/>
          <w:sz w:val="20"/>
          <w:lang w:val="lt-LT"/>
        </w:rPr>
        <w:lastRenderedPageBreak/>
        <w:t>proc. neri</w:t>
      </w:r>
      <w:r w:rsidR="00A532C8" w:rsidRPr="00C97275">
        <w:rPr>
          <w:rFonts w:ascii="Georgia" w:hAnsi="Georgia"/>
          <w:sz w:val="20"/>
          <w:lang w:val="lt-LT"/>
        </w:rPr>
        <w:t>botam laikui, todėl</w:t>
      </w:r>
      <w:r w:rsidRPr="00C97275">
        <w:rPr>
          <w:rFonts w:ascii="Georgia" w:hAnsi="Georgia"/>
          <w:sz w:val="20"/>
          <w:lang w:val="lt-LT"/>
        </w:rPr>
        <w:t xml:space="preserve"> </w:t>
      </w:r>
      <w:r w:rsidR="00A532C8" w:rsidRPr="00C97275">
        <w:rPr>
          <w:rFonts w:ascii="Georgia" w:hAnsi="Georgia"/>
          <w:sz w:val="20"/>
          <w:lang w:val="lt-LT"/>
        </w:rPr>
        <w:t xml:space="preserve">skaičiavimuose </w:t>
      </w:r>
      <w:r w:rsidRPr="00C97275">
        <w:rPr>
          <w:rFonts w:ascii="Georgia" w:hAnsi="Georgia"/>
          <w:sz w:val="20"/>
          <w:lang w:val="lt-LT"/>
        </w:rPr>
        <w:t xml:space="preserve">daroma prielaida, jog šis PVM tarifas </w:t>
      </w:r>
      <w:r w:rsidR="00D721F3" w:rsidRPr="00C97275">
        <w:rPr>
          <w:rFonts w:ascii="Georgia" w:hAnsi="Georgia"/>
          <w:sz w:val="20"/>
          <w:lang w:val="lt-LT"/>
        </w:rPr>
        <w:t xml:space="preserve">nesikeis </w:t>
      </w:r>
      <w:r w:rsidRPr="00C97275">
        <w:rPr>
          <w:rFonts w:ascii="Georgia" w:hAnsi="Georgia"/>
          <w:sz w:val="20"/>
          <w:lang w:val="lt-LT"/>
        </w:rPr>
        <w:t>iki 2023 metų galo.</w:t>
      </w:r>
    </w:p>
    <w:p w14:paraId="6DA0542A" w14:textId="168BB980" w:rsidR="00C15C81" w:rsidRPr="00C97275" w:rsidRDefault="000D71A1" w:rsidP="00C15C81">
      <w:pPr>
        <w:rPr>
          <w:rFonts w:ascii="Georgia" w:hAnsi="Georgia"/>
          <w:sz w:val="20"/>
          <w:lang w:val="lt-LT"/>
        </w:rPr>
      </w:pPr>
      <w:r w:rsidRPr="00C97275">
        <w:rPr>
          <w:rFonts w:ascii="Georgia" w:hAnsi="Georgia"/>
          <w:sz w:val="20"/>
          <w:lang w:val="lt-LT"/>
        </w:rPr>
        <w:t>Galima daryti prielaidą, jog</w:t>
      </w:r>
      <w:r w:rsidR="00C15C81" w:rsidRPr="00C97275">
        <w:rPr>
          <w:rFonts w:ascii="Georgia" w:hAnsi="Georgia"/>
          <w:sz w:val="20"/>
          <w:lang w:val="lt-LT"/>
        </w:rPr>
        <w:t xml:space="preserve"> kintamoji šilumos kainos dedamoji (biokuro ir SGD kainos) ir pastovioji dedamoji (investicinė grąža, veiklos sąnaudos ir kt.) iki 2023 metų augs apie </w:t>
      </w:r>
      <w:r w:rsidRPr="00C97275">
        <w:rPr>
          <w:rFonts w:ascii="Georgia" w:hAnsi="Georgia"/>
          <w:sz w:val="20"/>
          <w:lang w:val="lt-LT"/>
        </w:rPr>
        <w:t>1</w:t>
      </w:r>
      <w:r w:rsidR="00C15C81" w:rsidRPr="00C97275">
        <w:rPr>
          <w:rFonts w:ascii="Georgia" w:hAnsi="Georgia"/>
          <w:sz w:val="20"/>
          <w:lang w:val="lt-LT"/>
        </w:rPr>
        <w:t>-3%</w:t>
      </w:r>
      <w:r w:rsidRPr="00C97275">
        <w:rPr>
          <w:rFonts w:ascii="Georgia" w:hAnsi="Georgia"/>
          <w:sz w:val="20"/>
          <w:lang w:val="lt-LT"/>
        </w:rPr>
        <w:t>, priklausomai nuo aukščiau išvardintų prognozuojamų veiksnių poveikio</w:t>
      </w:r>
      <w:r w:rsidR="00C15C81" w:rsidRPr="00C97275">
        <w:rPr>
          <w:rFonts w:ascii="Georgia" w:hAnsi="Georgia"/>
          <w:sz w:val="20"/>
          <w:lang w:val="lt-LT"/>
        </w:rPr>
        <w:t xml:space="preserve">. </w:t>
      </w:r>
      <w:r w:rsidRPr="00C97275">
        <w:rPr>
          <w:rFonts w:ascii="Georgia" w:hAnsi="Georgia"/>
          <w:sz w:val="20"/>
          <w:lang w:val="lt-LT"/>
        </w:rPr>
        <w:t>Ska</w:t>
      </w:r>
      <w:r w:rsidR="00660FB3" w:rsidRPr="00C97275">
        <w:rPr>
          <w:rFonts w:ascii="Georgia" w:hAnsi="Georgia"/>
          <w:sz w:val="20"/>
          <w:lang w:val="lt-LT"/>
        </w:rPr>
        <w:t>i</w:t>
      </w:r>
      <w:r w:rsidRPr="00C97275">
        <w:rPr>
          <w:rFonts w:ascii="Georgia" w:hAnsi="Georgia"/>
          <w:sz w:val="20"/>
          <w:lang w:val="lt-LT"/>
        </w:rPr>
        <w:t xml:space="preserve">čiavimuose žemiau </w:t>
      </w:r>
      <w:r w:rsidR="00FE5176" w:rsidRPr="00C97275">
        <w:rPr>
          <w:rFonts w:ascii="Georgia" w:hAnsi="Georgia"/>
          <w:sz w:val="20"/>
          <w:lang w:val="lt-LT"/>
        </w:rPr>
        <w:t xml:space="preserve">naudojamas </w:t>
      </w:r>
      <w:r w:rsidRPr="00C97275">
        <w:rPr>
          <w:rFonts w:ascii="Georgia" w:hAnsi="Georgia"/>
          <w:sz w:val="20"/>
          <w:lang w:val="lt-LT"/>
        </w:rPr>
        <w:t xml:space="preserve">2 proc. </w:t>
      </w:r>
      <w:r w:rsidR="00FE5176" w:rsidRPr="00C97275">
        <w:rPr>
          <w:rFonts w:ascii="Georgia" w:hAnsi="Georgia"/>
          <w:sz w:val="20"/>
          <w:lang w:val="lt-LT"/>
        </w:rPr>
        <w:t xml:space="preserve">vidutinis </w:t>
      </w:r>
      <w:r w:rsidRPr="00C97275">
        <w:rPr>
          <w:rFonts w:ascii="Georgia" w:hAnsi="Georgia"/>
          <w:sz w:val="20"/>
          <w:lang w:val="lt-LT"/>
        </w:rPr>
        <w:t xml:space="preserve">šilumos kainos augimo </w:t>
      </w:r>
      <w:r w:rsidR="00FE5176" w:rsidRPr="00C97275">
        <w:rPr>
          <w:rFonts w:ascii="Georgia" w:hAnsi="Georgia"/>
          <w:sz w:val="20"/>
          <w:lang w:val="lt-LT"/>
        </w:rPr>
        <w:t xml:space="preserve">tempas </w:t>
      </w:r>
      <w:r w:rsidRPr="00C97275">
        <w:rPr>
          <w:rFonts w:ascii="Georgia" w:hAnsi="Georgia"/>
          <w:sz w:val="20"/>
          <w:lang w:val="lt-LT"/>
        </w:rPr>
        <w:t>2017 – 2023 metų laikotarpiu.</w:t>
      </w:r>
    </w:p>
    <w:tbl>
      <w:tblPr>
        <w:tblStyle w:val="Lentelstinklelis"/>
        <w:tblW w:w="0" w:type="auto"/>
        <w:shd w:val="clear" w:color="auto" w:fill="FDE9D9" w:themeFill="accent6" w:themeFillTint="33"/>
        <w:tblLook w:val="04A0" w:firstRow="1" w:lastRow="0" w:firstColumn="1" w:lastColumn="0" w:noHBand="0" w:noVBand="1"/>
      </w:tblPr>
      <w:tblGrid>
        <w:gridCol w:w="9242"/>
      </w:tblGrid>
      <w:tr w:rsidR="004456F5" w:rsidRPr="00C97275" w14:paraId="37F3A02D" w14:textId="77777777" w:rsidTr="005B31C6">
        <w:tc>
          <w:tcPr>
            <w:tcW w:w="9242" w:type="dxa"/>
            <w:shd w:val="clear" w:color="auto" w:fill="FDE9D9" w:themeFill="accent6" w:themeFillTint="33"/>
          </w:tcPr>
          <w:p w14:paraId="523AE1C2" w14:textId="5F452F8A" w:rsidR="004456F5" w:rsidRPr="00C97275" w:rsidRDefault="004456F5" w:rsidP="0063781D">
            <w:pPr>
              <w:jc w:val="both"/>
              <w:rPr>
                <w:rFonts w:ascii="Georgia" w:hAnsi="Georgia"/>
                <w:sz w:val="20"/>
                <w:lang w:val="lt-LT"/>
              </w:rPr>
            </w:pPr>
            <w:r w:rsidRPr="00C97275">
              <w:rPr>
                <w:rFonts w:ascii="Georgia" w:hAnsi="Georgia"/>
                <w:sz w:val="20"/>
                <w:lang w:val="lt-LT"/>
              </w:rPr>
              <w:t>Remiantis galiojančia šilumos kainų nustatymo metodika</w:t>
            </w:r>
            <w:r w:rsidRPr="00C97275">
              <w:rPr>
                <w:rStyle w:val="Puslapioinaosnuoroda"/>
                <w:rFonts w:ascii="Georgia" w:hAnsi="Georgia"/>
                <w:sz w:val="20"/>
                <w:lang w:val="lt-LT"/>
              </w:rPr>
              <w:footnoteReference w:id="121"/>
            </w:r>
            <w:r w:rsidRPr="00C97275">
              <w:rPr>
                <w:rFonts w:ascii="Georgia" w:hAnsi="Georgia"/>
                <w:sz w:val="20"/>
                <w:lang w:val="lt-LT"/>
              </w:rPr>
              <w:t>, ilgalaikio turto vertės dalį, sukurtą už ES struktūrinių fondų lėšas, dotacijas ir subsidijas yra draudžiama įtraukti į šilumos kainų tarifus, todėl investicijų sąnaudos statant naujas biokurą naudojančias elektrines, kurios nemaža dalimi subsidijuojamos ES paramos ir dotacijų lėšomis neatsispindi šilumos kainose. Per 2012-2016 metų laikotarpį ES lėšos ir kitos dotacijos, subsidijos sudarė apie 26% (arba 71 mln. eurų) visų šilumos energijos įmonių investicijų. Planuojamo Vilniaus kogeneracinės projekto statybos kaštų dalis, finansuojama ES lėšomis gali sudaryti apie 40%, todėl tikėtina kad tai dar labiau mažins šilumos kain</w:t>
            </w:r>
            <w:r w:rsidR="00FE5176" w:rsidRPr="00C97275">
              <w:rPr>
                <w:rFonts w:ascii="Georgia" w:hAnsi="Georgia"/>
                <w:sz w:val="20"/>
                <w:lang w:val="lt-LT"/>
              </w:rPr>
              <w:t>ą</w:t>
            </w:r>
            <w:r w:rsidRPr="00C97275">
              <w:rPr>
                <w:rFonts w:ascii="Georgia" w:hAnsi="Georgia"/>
                <w:sz w:val="20"/>
                <w:lang w:val="lt-LT"/>
              </w:rPr>
              <w:t xml:space="preserve"> artimuoju laikotarpiu. Vis dėlto ilgesnėje perspektyvoje sumažėjus ES paramai, tikėtina, jog investicijos bus vykdomos įmonių nuosavomis ar skolintomis lėšomis ir atsispindės šilumos kainoje. Taip pat vertėtų apsvarstyti uždavinių veiksmų programoje suderinamumą, siekiant skatinti energinį efektyvumą ir didinti alternatyvių energijos išteklių panaudojimą, nes šilumos kainos subsidijavimas per biokuro projektus mažina daugiabučių, viešųjų pastatų ir gatvių apšvietimo renovacijos projektų patrauklumą.</w:t>
            </w:r>
          </w:p>
        </w:tc>
      </w:tr>
    </w:tbl>
    <w:p w14:paraId="2B712950" w14:textId="5255BB5B" w:rsidR="004456F5" w:rsidRPr="00C97275" w:rsidRDefault="004456F5" w:rsidP="00C15C81">
      <w:pPr>
        <w:rPr>
          <w:rFonts w:ascii="Georgia" w:hAnsi="Georgia"/>
          <w:sz w:val="20"/>
          <w:lang w:val="lt-LT"/>
        </w:rPr>
      </w:pPr>
    </w:p>
    <w:p w14:paraId="7DC61A93" w14:textId="77777777" w:rsidR="0032111C" w:rsidRPr="00C97275" w:rsidRDefault="0032111C" w:rsidP="0032111C">
      <w:pPr>
        <w:pStyle w:val="Antrat2"/>
        <w:numPr>
          <w:ilvl w:val="2"/>
          <w:numId w:val="2"/>
        </w:numPr>
        <w:rPr>
          <w:rFonts w:ascii="Georgia" w:hAnsi="Georgia"/>
          <w:lang w:val="lt-LT"/>
        </w:rPr>
      </w:pPr>
      <w:bookmarkStart w:id="148" w:name="_Toc25594681"/>
      <w:r w:rsidRPr="00C97275">
        <w:rPr>
          <w:rFonts w:ascii="Georgia" w:hAnsi="Georgia"/>
          <w:lang w:val="lt-LT"/>
        </w:rPr>
        <w:t>Daugiabučių modernizavimo jautrumo analizė</w:t>
      </w:r>
      <w:bookmarkEnd w:id="148"/>
    </w:p>
    <w:p w14:paraId="33F686DE" w14:textId="77777777" w:rsidR="0032111C" w:rsidRPr="00C97275" w:rsidRDefault="0032111C" w:rsidP="0032111C">
      <w:pPr>
        <w:jc w:val="both"/>
        <w:rPr>
          <w:rFonts w:ascii="Georgia" w:hAnsi="Georgia"/>
          <w:sz w:val="20"/>
          <w:lang w:val="lt-LT"/>
        </w:rPr>
      </w:pPr>
    </w:p>
    <w:p w14:paraId="13A0CA18" w14:textId="45171611" w:rsidR="0032111C" w:rsidRPr="00C97275" w:rsidRDefault="0032111C" w:rsidP="0032111C">
      <w:pPr>
        <w:jc w:val="both"/>
        <w:rPr>
          <w:rFonts w:ascii="Georgia" w:hAnsi="Georgia"/>
          <w:sz w:val="20"/>
          <w:lang w:val="lt-LT"/>
        </w:rPr>
      </w:pPr>
      <w:r w:rsidRPr="00C97275">
        <w:rPr>
          <w:rFonts w:ascii="Georgia" w:hAnsi="Georgia"/>
          <w:sz w:val="20"/>
          <w:lang w:val="lt-LT"/>
        </w:rPr>
        <w:t xml:space="preserve">Siekiant išsiaiškinti, ar daugiabučių </w:t>
      </w:r>
      <w:r w:rsidR="00A136CD" w:rsidRPr="00C97275">
        <w:rPr>
          <w:rFonts w:ascii="Georgia" w:hAnsi="Georgia"/>
          <w:sz w:val="20"/>
          <w:lang w:val="lt-LT"/>
        </w:rPr>
        <w:t>namų</w:t>
      </w:r>
      <w:r w:rsidRPr="00C97275">
        <w:rPr>
          <w:rFonts w:ascii="Georgia" w:hAnsi="Georgia"/>
          <w:sz w:val="20"/>
          <w:lang w:val="lt-LT"/>
        </w:rPr>
        <w:t xml:space="preserve"> renovacijos finansavimui, teikiant lengvatines paskolas, yra reikalinga subsidija tam, kad investicijos pastato renovacijai atsipirktų per paskolos laikotarpį, buvo atlikta jautrumo analizė.</w:t>
      </w:r>
    </w:p>
    <w:p w14:paraId="1A75AD39" w14:textId="77777777" w:rsidR="0032111C" w:rsidRPr="00C97275" w:rsidRDefault="0032111C" w:rsidP="0032111C">
      <w:pPr>
        <w:jc w:val="both"/>
        <w:rPr>
          <w:rFonts w:ascii="Georgia" w:hAnsi="Georgia"/>
          <w:sz w:val="20"/>
          <w:lang w:val="lt-LT"/>
        </w:rPr>
      </w:pPr>
      <w:r w:rsidRPr="00C97275">
        <w:rPr>
          <w:rFonts w:ascii="Georgia" w:hAnsi="Georgia"/>
          <w:sz w:val="20"/>
          <w:lang w:val="lt-LT"/>
        </w:rPr>
        <w:t>Atskiri Lietuvos regionai pagal vartojamos energijos rūšį ar mokamą šilumos kainą nėra išskiriami, kadangi nėra planuojama taikyti atskirų subsidijavimo schemų. Visgi reiktų paminėti, kad pagal VKEKK skelbiamus duomenis šilumos didžiausia ir mažiausia šilumos kaina skirtinguose Lietuvos miestuose skiriasi daugiau nei du kartus (pvz., 2017 m. lapkričio mėn. mažiausia kaina buvo Utenoje – 4,24 ct/kWh su PVM, o tuo pačiu metu Biržuose šilumos energija kainavo – 9,21 ct/kWh su PVM).</w:t>
      </w:r>
      <w:r w:rsidRPr="00C97275">
        <w:rPr>
          <w:rStyle w:val="Puslapioinaosnuoroda"/>
          <w:rFonts w:ascii="Georgia" w:hAnsi="Georgia"/>
          <w:sz w:val="20"/>
          <w:lang w:val="lt-LT"/>
        </w:rPr>
        <w:footnoteReference w:id="122"/>
      </w:r>
    </w:p>
    <w:p w14:paraId="2F832785" w14:textId="447569C4" w:rsidR="0032111C" w:rsidRPr="00C97275" w:rsidRDefault="0032111C" w:rsidP="0032111C">
      <w:pPr>
        <w:jc w:val="both"/>
        <w:rPr>
          <w:rFonts w:ascii="Georgia" w:hAnsi="Georgia"/>
          <w:sz w:val="20"/>
          <w:lang w:val="lt-LT"/>
        </w:rPr>
      </w:pPr>
      <w:r w:rsidRPr="00C97275">
        <w:rPr>
          <w:rFonts w:ascii="Georgia" w:hAnsi="Georgia"/>
          <w:sz w:val="20"/>
          <w:lang w:val="lt-LT"/>
        </w:rPr>
        <w:t>Taip pat labai svarbu atkreipti dėmesį į prielaidą dėl šilumos energijos sutaupymo įgyvendinus projektą, kadangi, vadovaujantis galiojančiais teisės aktais, siekiant gauti valstybės paramą po renovacijos</w:t>
      </w:r>
      <w:r w:rsidR="00A136CD" w:rsidRPr="00C97275">
        <w:rPr>
          <w:rFonts w:ascii="Georgia" w:hAnsi="Georgia"/>
          <w:sz w:val="20"/>
          <w:lang w:val="lt-LT"/>
        </w:rPr>
        <w:t>,</w:t>
      </w:r>
      <w:r w:rsidRPr="00C97275">
        <w:rPr>
          <w:rFonts w:ascii="Georgia" w:hAnsi="Georgia"/>
          <w:sz w:val="20"/>
          <w:lang w:val="lt-LT"/>
        </w:rPr>
        <w:t xml:space="preserve"> namo suvartojamos šilumos energijos sąnaudos turi būti sumažintos ne mažiau kaip 40 proc. Remiantis 2017 m. BETA atlikto energinio audito duomenimis (audito apimtis -  574 daugiabučiai namai, atnaujinti 2015 metais), daugiau kaip pusėje vertintų atnaujintų daugiabučių namų po renovacijos sutaupoma nuo 50 iki 70 proc. šilumos energijos, ir net 11 proc. namų sutaupymai siekia nuo 70 proc. iki 87 proc</w:t>
      </w:r>
      <w:r w:rsidRPr="00C97275">
        <w:rPr>
          <w:rStyle w:val="Puslapioinaosnuoroda"/>
          <w:rFonts w:ascii="Georgia" w:hAnsi="Georgia"/>
          <w:sz w:val="20"/>
          <w:lang w:val="lt-LT"/>
        </w:rPr>
        <w:footnoteReference w:id="123"/>
      </w:r>
      <w:r w:rsidRPr="00C97275">
        <w:rPr>
          <w:rFonts w:ascii="Georgia" w:hAnsi="Georgia"/>
          <w:sz w:val="20"/>
          <w:lang w:val="lt-LT"/>
        </w:rPr>
        <w:t xml:space="preserve">.  </w:t>
      </w:r>
      <w:r w:rsidR="00A136CD" w:rsidRPr="00C97275">
        <w:rPr>
          <w:rFonts w:ascii="Georgia" w:hAnsi="Georgia"/>
          <w:sz w:val="20"/>
          <w:lang w:val="lt-LT"/>
        </w:rPr>
        <w:t>Taigi v</w:t>
      </w:r>
      <w:r w:rsidRPr="00C97275">
        <w:rPr>
          <w:rFonts w:ascii="Georgia" w:hAnsi="Georgia"/>
          <w:sz w:val="20"/>
          <w:lang w:val="lt-LT"/>
        </w:rPr>
        <w:t>idutiniškai</w:t>
      </w:r>
      <w:r w:rsidR="00302F74" w:rsidRPr="00C97275">
        <w:rPr>
          <w:rFonts w:ascii="Georgia" w:hAnsi="Georgia"/>
          <w:sz w:val="20"/>
          <w:lang w:val="lt-LT"/>
        </w:rPr>
        <w:t>,</w:t>
      </w:r>
      <w:r w:rsidRPr="00C97275">
        <w:rPr>
          <w:rFonts w:ascii="Georgia" w:hAnsi="Georgia"/>
          <w:sz w:val="20"/>
          <w:lang w:val="lt-LT"/>
        </w:rPr>
        <w:t xml:space="preserve"> BETA duomenimis</w:t>
      </w:r>
      <w:r w:rsidR="00302F74" w:rsidRPr="00C97275">
        <w:rPr>
          <w:rFonts w:ascii="Georgia" w:hAnsi="Georgia"/>
          <w:sz w:val="20"/>
          <w:lang w:val="lt-LT"/>
        </w:rPr>
        <w:t>,</w:t>
      </w:r>
      <w:r w:rsidRPr="00C97275">
        <w:rPr>
          <w:rFonts w:ascii="Georgia" w:hAnsi="Georgia"/>
          <w:sz w:val="20"/>
          <w:lang w:val="lt-LT"/>
        </w:rPr>
        <w:t xml:space="preserve"> daugiabutis </w:t>
      </w:r>
      <w:r w:rsidR="00302F74" w:rsidRPr="00C97275">
        <w:rPr>
          <w:rFonts w:ascii="Georgia" w:hAnsi="Georgia"/>
          <w:sz w:val="20"/>
          <w:lang w:val="lt-LT"/>
        </w:rPr>
        <w:t xml:space="preserve">namas </w:t>
      </w:r>
      <w:r w:rsidRPr="00C97275">
        <w:rPr>
          <w:rFonts w:ascii="Georgia" w:hAnsi="Georgia"/>
          <w:sz w:val="20"/>
          <w:lang w:val="lt-LT"/>
        </w:rPr>
        <w:t xml:space="preserve">po renovacijos sutaupo </w:t>
      </w:r>
      <w:r w:rsidR="00302F74" w:rsidRPr="00C97275">
        <w:rPr>
          <w:rFonts w:ascii="Georgia" w:hAnsi="Georgia"/>
          <w:sz w:val="20"/>
          <w:lang w:val="lt-LT"/>
        </w:rPr>
        <w:t>apie 60</w:t>
      </w:r>
      <w:r w:rsidRPr="00C97275">
        <w:rPr>
          <w:rFonts w:ascii="Georgia" w:hAnsi="Georgia"/>
          <w:sz w:val="20"/>
          <w:lang w:val="lt-LT"/>
        </w:rPr>
        <w:t xml:space="preserve"> proc. šilumos energijos. </w:t>
      </w:r>
    </w:p>
    <w:p w14:paraId="558FDB8D" w14:textId="5A21C9D0" w:rsidR="0032111C" w:rsidRPr="00C97275" w:rsidRDefault="0032111C" w:rsidP="0032111C">
      <w:pPr>
        <w:jc w:val="both"/>
        <w:rPr>
          <w:rFonts w:ascii="Georgia" w:hAnsi="Georgia"/>
          <w:sz w:val="20"/>
          <w:lang w:val="lt-LT"/>
        </w:rPr>
      </w:pPr>
      <w:r w:rsidRPr="00C97275">
        <w:rPr>
          <w:rFonts w:ascii="Georgia" w:hAnsi="Georgia"/>
          <w:sz w:val="20"/>
          <w:lang w:val="lt-LT"/>
        </w:rPr>
        <w:t>Kita prielaida, daranti ženklią įtaką, yra daugiabučių modernizavimo projektų atsiperkamumo rodiklis – investicijų</w:t>
      </w:r>
      <w:r w:rsidR="00D95009" w:rsidRPr="00C97275">
        <w:rPr>
          <w:rFonts w:ascii="Georgia" w:hAnsi="Georgia"/>
          <w:sz w:val="20"/>
          <w:lang w:val="lt-LT"/>
        </w:rPr>
        <w:t>(</w:t>
      </w:r>
      <w:r w:rsidRPr="00C97275">
        <w:rPr>
          <w:rFonts w:ascii="Georgia" w:hAnsi="Georgia"/>
          <w:sz w:val="20"/>
          <w:lang w:val="lt-LT"/>
        </w:rPr>
        <w:t>statybos darbų</w:t>
      </w:r>
      <w:r w:rsidR="00D95009" w:rsidRPr="00C97275">
        <w:rPr>
          <w:rFonts w:ascii="Georgia" w:hAnsi="Georgia"/>
          <w:sz w:val="20"/>
          <w:lang w:val="lt-LT"/>
        </w:rPr>
        <w:t>)</w:t>
      </w:r>
      <w:r w:rsidRPr="00C97275">
        <w:rPr>
          <w:rFonts w:ascii="Georgia" w:hAnsi="Georgia"/>
          <w:sz w:val="20"/>
          <w:lang w:val="lt-LT"/>
        </w:rPr>
        <w:t xml:space="preserve"> kainos. Šiuo metu reikia apie 195 eurų investicijų </w:t>
      </w:r>
      <w:r w:rsidR="00A136CD" w:rsidRPr="00C97275">
        <w:rPr>
          <w:rFonts w:ascii="Georgia" w:hAnsi="Georgia"/>
          <w:sz w:val="20"/>
          <w:lang w:val="lt-LT"/>
        </w:rPr>
        <w:t xml:space="preserve">siekiant </w:t>
      </w:r>
      <w:r w:rsidRPr="00C97275">
        <w:rPr>
          <w:rFonts w:ascii="Georgia" w:hAnsi="Georgia"/>
          <w:sz w:val="20"/>
          <w:lang w:val="lt-LT"/>
        </w:rPr>
        <w:t>renovuoti vieną kvadratinį metrą vidutiniame daugiabutyje. BETA duomenimis</w:t>
      </w:r>
      <w:r w:rsidR="00A136CD" w:rsidRPr="00C97275">
        <w:rPr>
          <w:rFonts w:ascii="Georgia" w:hAnsi="Georgia"/>
          <w:sz w:val="20"/>
          <w:lang w:val="lt-LT"/>
        </w:rPr>
        <w:t>,</w:t>
      </w:r>
      <w:r w:rsidRPr="00C97275">
        <w:rPr>
          <w:rFonts w:ascii="Georgia" w:hAnsi="Georgia"/>
          <w:sz w:val="20"/>
          <w:lang w:val="lt-LT"/>
        </w:rPr>
        <w:t xml:space="preserve"> pastaraisiais metais statybos darbų kainos stabilizavosi (pvz. 2016 m. investicijos siekė 191 eurą/</w:t>
      </w:r>
      <w:r w:rsidRPr="00C97275">
        <w:rPr>
          <w:rFonts w:ascii="Georgia" w:eastAsia="Times New Roman" w:hAnsi="Georgia" w:cs="Arial"/>
          <w:sz w:val="20"/>
          <w:szCs w:val="20"/>
          <w:lang w:val="lt-LT"/>
        </w:rPr>
        <w:t>m</w:t>
      </w:r>
      <w:r w:rsidRPr="00C97275">
        <w:rPr>
          <w:rFonts w:ascii="Georgia" w:eastAsia="Times New Roman" w:hAnsi="Georgia" w:cs="Arial"/>
          <w:sz w:val="20"/>
          <w:szCs w:val="20"/>
          <w:vertAlign w:val="superscript"/>
          <w:lang w:val="lt-LT"/>
        </w:rPr>
        <w:t>2</w:t>
      </w:r>
      <w:r w:rsidRPr="00C97275">
        <w:rPr>
          <w:rFonts w:ascii="Georgia" w:hAnsi="Georgia"/>
          <w:sz w:val="20"/>
          <w:lang w:val="lt-LT"/>
        </w:rPr>
        <w:t xml:space="preserve">, taigi lyginant su praėjusiu </w:t>
      </w:r>
      <w:r w:rsidRPr="00C97275">
        <w:rPr>
          <w:rFonts w:ascii="Georgia" w:hAnsi="Georgia"/>
          <w:sz w:val="20"/>
          <w:lang w:val="lt-LT"/>
        </w:rPr>
        <w:lastRenderedPageBreak/>
        <w:t>laikotarpiu kaina ūgtelėjo 2 proc.)</w:t>
      </w:r>
      <w:r w:rsidRPr="00C97275">
        <w:rPr>
          <w:rStyle w:val="Puslapioinaosnuoroda"/>
          <w:rFonts w:ascii="Georgia" w:hAnsi="Georgia"/>
          <w:sz w:val="20"/>
          <w:lang w:val="lt-LT"/>
        </w:rPr>
        <w:footnoteReference w:id="124"/>
      </w:r>
      <w:r w:rsidRPr="00C97275">
        <w:rPr>
          <w:rFonts w:ascii="Georgia" w:hAnsi="Georgia"/>
          <w:sz w:val="20"/>
          <w:lang w:val="lt-LT"/>
        </w:rPr>
        <w:t>.  Visgi lyginant su skaičiavimais ankstesnėje Energijos efektyvumo išankstinio (ex-ante) vertinimo ataskaitoje kaina augo nuo 145 euro/</w:t>
      </w:r>
      <w:r w:rsidRPr="00C97275">
        <w:rPr>
          <w:rFonts w:ascii="Georgia" w:eastAsia="Times New Roman" w:hAnsi="Georgia" w:cs="Arial"/>
          <w:sz w:val="20"/>
          <w:szCs w:val="20"/>
          <w:lang w:val="lt-LT"/>
        </w:rPr>
        <w:t>m</w:t>
      </w:r>
      <w:r w:rsidRPr="00C97275">
        <w:rPr>
          <w:rFonts w:ascii="Georgia" w:eastAsia="Times New Roman" w:hAnsi="Georgia" w:cs="Arial"/>
          <w:sz w:val="20"/>
          <w:szCs w:val="20"/>
          <w:vertAlign w:val="superscript"/>
          <w:lang w:val="lt-LT"/>
        </w:rPr>
        <w:t>2</w:t>
      </w:r>
      <w:r w:rsidRPr="00C97275">
        <w:rPr>
          <w:rFonts w:ascii="Georgia" w:hAnsi="Georgia"/>
          <w:sz w:val="20"/>
          <w:lang w:val="lt-LT"/>
        </w:rPr>
        <w:t xml:space="preserve"> iki 195 euro/</w:t>
      </w:r>
      <w:r w:rsidRPr="00C97275">
        <w:rPr>
          <w:rFonts w:ascii="Georgia" w:eastAsia="Times New Roman" w:hAnsi="Georgia" w:cs="Arial"/>
          <w:sz w:val="20"/>
          <w:szCs w:val="20"/>
          <w:lang w:val="lt-LT"/>
        </w:rPr>
        <w:t>m</w:t>
      </w:r>
      <w:r w:rsidRPr="00C97275">
        <w:rPr>
          <w:rFonts w:ascii="Georgia" w:eastAsia="Times New Roman" w:hAnsi="Georgia" w:cs="Arial"/>
          <w:sz w:val="20"/>
          <w:szCs w:val="20"/>
          <w:vertAlign w:val="superscript"/>
          <w:lang w:val="lt-LT"/>
        </w:rPr>
        <w:t>2</w:t>
      </w:r>
      <w:r w:rsidRPr="00C97275">
        <w:rPr>
          <w:rFonts w:ascii="Georgia" w:hAnsi="Georgia"/>
          <w:sz w:val="20"/>
          <w:lang w:val="lt-LT"/>
        </w:rPr>
        <w:t xml:space="preserve"> arba daugiau nei 34 proc. </w:t>
      </w:r>
    </w:p>
    <w:p w14:paraId="730BF06E" w14:textId="01666DDD" w:rsidR="00AC59CC" w:rsidRPr="00C97275" w:rsidRDefault="00AC695C" w:rsidP="0032111C">
      <w:pPr>
        <w:jc w:val="both"/>
        <w:rPr>
          <w:rFonts w:ascii="Georgia" w:hAnsi="Georgia"/>
          <w:sz w:val="20"/>
          <w:lang w:val="lt-LT"/>
        </w:rPr>
      </w:pPr>
      <w:r w:rsidRPr="00C97275">
        <w:rPr>
          <w:rFonts w:ascii="Georgia" w:hAnsi="Georgia"/>
          <w:sz w:val="20"/>
          <w:lang w:val="lt-LT"/>
        </w:rPr>
        <w:t>Dar viena svarbi prielaida, įtakojanti daugiabučių namų renovacijos projektų atsipekamumą</w:t>
      </w:r>
      <w:r w:rsidR="00D95009" w:rsidRPr="00C97275">
        <w:rPr>
          <w:rFonts w:ascii="Georgia" w:hAnsi="Georgia"/>
          <w:sz w:val="20"/>
          <w:lang w:val="lt-LT"/>
        </w:rPr>
        <w:t>,</w:t>
      </w:r>
      <w:r w:rsidRPr="00C97275">
        <w:rPr>
          <w:rFonts w:ascii="Georgia" w:hAnsi="Georgia"/>
          <w:sz w:val="20"/>
          <w:lang w:val="lt-LT"/>
        </w:rPr>
        <w:t xml:space="preserve"> yra pastato šilumos energijos suvartojimas prieš renovaciją </w:t>
      </w:r>
      <w:r w:rsidRPr="00C97275">
        <w:rPr>
          <w:rFonts w:ascii="Georgia" w:eastAsia="Times New Roman" w:hAnsi="Georgia" w:cs="Times New Roman"/>
          <w:color w:val="000000"/>
          <w:sz w:val="20"/>
          <w:szCs w:val="20"/>
          <w:lang w:val="lt-LT" w:eastAsia="lt-LT"/>
        </w:rPr>
        <w:t xml:space="preserve">Pagal Lietuvos šilumos tiekėjų asociacijos </w:t>
      </w:r>
      <w:r w:rsidR="00D95009" w:rsidRPr="00C97275">
        <w:rPr>
          <w:rFonts w:ascii="Georgia" w:eastAsia="Times New Roman" w:hAnsi="Georgia" w:cs="Times New Roman"/>
          <w:color w:val="000000"/>
          <w:sz w:val="20"/>
          <w:szCs w:val="20"/>
          <w:lang w:val="lt-LT" w:eastAsia="lt-LT"/>
        </w:rPr>
        <w:t xml:space="preserve">pateikiamus </w:t>
      </w:r>
      <w:r w:rsidRPr="00C97275">
        <w:rPr>
          <w:rFonts w:ascii="Georgia" w:eastAsia="Times New Roman" w:hAnsi="Georgia" w:cs="Times New Roman"/>
          <w:color w:val="000000"/>
          <w:sz w:val="20"/>
          <w:szCs w:val="20"/>
          <w:lang w:val="lt-LT" w:eastAsia="lt-LT"/>
        </w:rPr>
        <w:t>2016-2017 m. šild</w:t>
      </w:r>
      <w:r w:rsidR="00D95009" w:rsidRPr="00C97275">
        <w:rPr>
          <w:rFonts w:ascii="Georgia" w:eastAsia="Times New Roman" w:hAnsi="Georgia" w:cs="Times New Roman"/>
          <w:color w:val="000000"/>
          <w:sz w:val="20"/>
          <w:szCs w:val="20"/>
          <w:lang w:val="lt-LT" w:eastAsia="lt-LT"/>
        </w:rPr>
        <w:t>ymo sezono duomenis daugiabutis</w:t>
      </w:r>
      <w:r w:rsidRPr="00C97275">
        <w:rPr>
          <w:rFonts w:ascii="Georgia" w:eastAsia="Times New Roman" w:hAnsi="Georgia" w:cs="Times New Roman"/>
          <w:color w:val="000000"/>
          <w:sz w:val="20"/>
          <w:szCs w:val="20"/>
          <w:lang w:val="lt-LT" w:eastAsia="lt-LT"/>
        </w:rPr>
        <w:t xml:space="preserve"> suvartoja apie 175</w:t>
      </w:r>
      <w:r w:rsidR="00AC59CC" w:rsidRPr="00C97275">
        <w:rPr>
          <w:rFonts w:ascii="Georgia" w:eastAsia="Times New Roman" w:hAnsi="Georgia" w:cs="Times New Roman"/>
          <w:color w:val="000000"/>
          <w:sz w:val="20"/>
          <w:szCs w:val="20"/>
          <w:lang w:val="lt-LT" w:eastAsia="lt-LT"/>
        </w:rPr>
        <w:t xml:space="preserve"> kWh </w:t>
      </w:r>
      <w:r w:rsidR="00AC59CC" w:rsidRPr="00C97275">
        <w:rPr>
          <w:rFonts w:ascii="Georgia" w:eastAsia="Times New Roman" w:hAnsi="Georgia" w:cs="Arial"/>
          <w:sz w:val="20"/>
          <w:szCs w:val="20"/>
          <w:lang w:val="lt-LT"/>
        </w:rPr>
        <w:t>m</w:t>
      </w:r>
      <w:r w:rsidR="00AC59CC" w:rsidRPr="00C97275">
        <w:rPr>
          <w:rFonts w:ascii="Georgia" w:eastAsia="Times New Roman" w:hAnsi="Georgia" w:cs="Arial"/>
          <w:sz w:val="20"/>
          <w:szCs w:val="20"/>
          <w:vertAlign w:val="superscript"/>
          <w:lang w:val="lt-LT"/>
        </w:rPr>
        <w:t xml:space="preserve">2 </w:t>
      </w:r>
      <w:r w:rsidR="00AC59CC" w:rsidRPr="00C97275">
        <w:rPr>
          <w:rFonts w:ascii="Georgia" w:eastAsia="Times New Roman" w:hAnsi="Georgia" w:cs="Arial"/>
          <w:sz w:val="20"/>
          <w:szCs w:val="20"/>
          <w:lang w:val="lt-LT"/>
        </w:rPr>
        <w:t xml:space="preserve">per metus. Kadangi, renovacijoje aktyviausiai dalyvaus energetiškai itin neefektyvių daugiabučių segmentas, daroma prielaida, kad šių pastatų metinis šilumos suvartojimas </w:t>
      </w:r>
      <w:r w:rsidR="00D95009" w:rsidRPr="00C97275">
        <w:rPr>
          <w:rFonts w:ascii="Georgia" w:eastAsia="Times New Roman" w:hAnsi="Georgia" w:cs="Arial"/>
          <w:sz w:val="20"/>
          <w:szCs w:val="20"/>
          <w:lang w:val="lt-LT"/>
        </w:rPr>
        <w:t xml:space="preserve">prieš renovaciją </w:t>
      </w:r>
      <w:r w:rsidR="00AC59CC" w:rsidRPr="00C97275">
        <w:rPr>
          <w:rFonts w:ascii="Georgia" w:eastAsia="Times New Roman" w:hAnsi="Georgia" w:cs="Arial"/>
          <w:sz w:val="20"/>
          <w:szCs w:val="20"/>
          <w:lang w:val="lt-LT"/>
        </w:rPr>
        <w:t xml:space="preserve">yra 20 kWh </w:t>
      </w:r>
      <w:r w:rsidR="00D95009" w:rsidRPr="00C97275">
        <w:rPr>
          <w:rFonts w:ascii="Georgia" w:eastAsia="Times New Roman" w:hAnsi="Georgia" w:cs="Arial"/>
          <w:sz w:val="20"/>
          <w:szCs w:val="20"/>
          <w:lang w:val="lt-LT"/>
        </w:rPr>
        <w:t xml:space="preserve">arba </w:t>
      </w:r>
      <w:r w:rsidR="00AC59CC" w:rsidRPr="00C97275">
        <w:rPr>
          <w:rFonts w:ascii="Georgia" w:eastAsia="Times New Roman" w:hAnsi="Georgia" w:cs="Arial"/>
          <w:sz w:val="20"/>
          <w:szCs w:val="20"/>
          <w:lang w:val="lt-LT"/>
        </w:rPr>
        <w:t xml:space="preserve">kiek daugiau nei 10 proc. didesnis. </w:t>
      </w:r>
    </w:p>
    <w:p w14:paraId="0AE69FF2" w14:textId="73E9BC54" w:rsidR="0032111C" w:rsidRPr="00C97275" w:rsidRDefault="0032111C" w:rsidP="0032111C">
      <w:pPr>
        <w:pStyle w:val="Antrat"/>
        <w:jc w:val="both"/>
        <w:rPr>
          <w:lang w:val="lt-LT"/>
        </w:rPr>
      </w:pPr>
      <w:bookmarkStart w:id="149" w:name="_Toc19105249"/>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36</w:t>
      </w:r>
      <w:r w:rsidRPr="00C97275">
        <w:rPr>
          <w:lang w:val="lt-LT"/>
        </w:rPr>
        <w:fldChar w:fldCharType="end"/>
      </w:r>
      <w:r w:rsidRPr="00C97275">
        <w:rPr>
          <w:lang w:val="lt-LT"/>
        </w:rPr>
        <w:t>. Daugiabučių namų renovacijos jautrumo analizės prielaidos</w:t>
      </w:r>
      <w:bookmarkEnd w:id="149"/>
    </w:p>
    <w:tbl>
      <w:tblPr>
        <w:tblStyle w:val="LightList-Accent21"/>
        <w:tblW w:w="5000" w:type="pct"/>
        <w:tblLook w:val="04A0" w:firstRow="1" w:lastRow="0" w:firstColumn="1" w:lastColumn="0" w:noHBand="0" w:noVBand="1"/>
      </w:tblPr>
      <w:tblGrid>
        <w:gridCol w:w="6408"/>
        <w:gridCol w:w="2834"/>
      </w:tblGrid>
      <w:tr w:rsidR="0032111C" w:rsidRPr="00C97275" w14:paraId="76C5E91E" w14:textId="77777777" w:rsidTr="00321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4C92B3B9" w14:textId="77777777" w:rsidR="0032111C" w:rsidRPr="00C97275" w:rsidRDefault="0032111C" w:rsidP="0032111C">
            <w:pPr>
              <w:rPr>
                <w:rFonts w:ascii="Georgia" w:eastAsia="Times New Roman" w:hAnsi="Georgia" w:cs="Arial"/>
                <w:b w:val="0"/>
                <w:sz w:val="20"/>
                <w:szCs w:val="18"/>
              </w:rPr>
            </w:pPr>
            <w:r w:rsidRPr="00C97275">
              <w:rPr>
                <w:rFonts w:ascii="Georgia" w:eastAsia="Times New Roman" w:hAnsi="Georgia" w:cs="Arial"/>
                <w:sz w:val="20"/>
                <w:szCs w:val="18"/>
              </w:rPr>
              <w:t>Prielaida</w:t>
            </w:r>
          </w:p>
        </w:tc>
        <w:tc>
          <w:tcPr>
            <w:tcW w:w="1533" w:type="pct"/>
            <w:noWrap/>
            <w:hideMark/>
          </w:tcPr>
          <w:p w14:paraId="33058B83" w14:textId="77777777" w:rsidR="0032111C" w:rsidRPr="00C97275" w:rsidRDefault="0032111C" w:rsidP="0032111C">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C97275">
              <w:rPr>
                <w:rFonts w:ascii="Georgia" w:eastAsia="Times New Roman" w:hAnsi="Georgia" w:cs="Arial"/>
                <w:sz w:val="20"/>
                <w:szCs w:val="18"/>
              </w:rPr>
              <w:t> Reikšmė</w:t>
            </w:r>
          </w:p>
        </w:tc>
      </w:tr>
      <w:tr w:rsidR="0032111C" w:rsidRPr="00C97275" w14:paraId="6A8190C7"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218D1D82"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Tipinio daugiabučio bendras pastato plotas, m</w:t>
            </w:r>
            <w:r w:rsidRPr="00C97275">
              <w:rPr>
                <w:rFonts w:ascii="Georgia" w:eastAsia="Times New Roman" w:hAnsi="Georgia" w:cs="Arial"/>
                <w:sz w:val="20"/>
                <w:szCs w:val="20"/>
                <w:vertAlign w:val="superscript"/>
              </w:rPr>
              <w:t>2</w:t>
            </w:r>
          </w:p>
        </w:tc>
        <w:tc>
          <w:tcPr>
            <w:tcW w:w="1533" w:type="pct"/>
            <w:noWrap/>
            <w:hideMark/>
          </w:tcPr>
          <w:p w14:paraId="3DB1D693" w14:textId="77777777" w:rsidR="0032111C" w:rsidRPr="00C97275"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rPr>
              <w:t>1,287</w:t>
            </w:r>
          </w:p>
        </w:tc>
      </w:tr>
      <w:tr w:rsidR="0032111C" w:rsidRPr="00C97275" w14:paraId="5AAF50AD"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079C1829"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Investicijos, eurais/m</w:t>
            </w:r>
            <w:r w:rsidRPr="00C97275">
              <w:rPr>
                <w:rFonts w:ascii="Georgia" w:eastAsia="Times New Roman" w:hAnsi="Georgia" w:cs="Arial"/>
                <w:sz w:val="20"/>
                <w:szCs w:val="20"/>
                <w:vertAlign w:val="superscript"/>
              </w:rPr>
              <w:t>2</w:t>
            </w:r>
          </w:p>
        </w:tc>
        <w:tc>
          <w:tcPr>
            <w:tcW w:w="1533" w:type="pct"/>
            <w:noWrap/>
            <w:hideMark/>
          </w:tcPr>
          <w:p w14:paraId="0A5785A9" w14:textId="77777777" w:rsidR="0032111C" w:rsidRPr="00C97275"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rPr>
              <w:t>195</w:t>
            </w:r>
          </w:p>
        </w:tc>
      </w:tr>
      <w:tr w:rsidR="0032111C" w:rsidRPr="00C97275" w14:paraId="3C6F177E"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12B6E41A"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Investicijos projektui, eurais</w:t>
            </w:r>
          </w:p>
        </w:tc>
        <w:tc>
          <w:tcPr>
            <w:tcW w:w="1533" w:type="pct"/>
            <w:noWrap/>
            <w:hideMark/>
          </w:tcPr>
          <w:p w14:paraId="0D597877" w14:textId="77777777" w:rsidR="0032111C" w:rsidRPr="00C97275"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rPr>
              <w:t>250 965</w:t>
            </w:r>
          </w:p>
        </w:tc>
      </w:tr>
      <w:tr w:rsidR="0032111C" w:rsidRPr="00C97275" w14:paraId="316ABE32"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0CE50156"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Dabartinis suvartojimas kWh/m</w:t>
            </w:r>
            <w:r w:rsidRPr="00C97275">
              <w:rPr>
                <w:rFonts w:ascii="Georgia" w:eastAsia="Times New Roman" w:hAnsi="Georgia" w:cs="Arial"/>
                <w:sz w:val="20"/>
                <w:szCs w:val="20"/>
                <w:vertAlign w:val="superscript"/>
              </w:rPr>
              <w:t xml:space="preserve">2 </w:t>
            </w:r>
            <w:r w:rsidRPr="00C97275">
              <w:rPr>
                <w:rFonts w:ascii="Georgia" w:eastAsia="Times New Roman" w:hAnsi="Georgia" w:cs="Arial"/>
                <w:sz w:val="20"/>
                <w:szCs w:val="20"/>
              </w:rPr>
              <w:t xml:space="preserve">per metus </w:t>
            </w:r>
          </w:p>
        </w:tc>
        <w:tc>
          <w:tcPr>
            <w:tcW w:w="1533" w:type="pct"/>
            <w:noWrap/>
            <w:hideMark/>
          </w:tcPr>
          <w:p w14:paraId="4870FB6F" w14:textId="43F13E10" w:rsidR="0032111C" w:rsidRPr="00C97275"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rPr>
              <w:t>1</w:t>
            </w:r>
            <w:r w:rsidR="006C01FB" w:rsidRPr="00C97275">
              <w:rPr>
                <w:rFonts w:ascii="Georgia" w:eastAsia="Times New Roman" w:hAnsi="Georgia" w:cs="Arial"/>
                <w:sz w:val="20"/>
                <w:szCs w:val="20"/>
              </w:rPr>
              <w:t>9</w:t>
            </w:r>
            <w:r w:rsidRPr="00C97275">
              <w:rPr>
                <w:rFonts w:ascii="Georgia" w:eastAsia="Times New Roman" w:hAnsi="Georgia" w:cs="Arial"/>
                <w:sz w:val="20"/>
                <w:szCs w:val="20"/>
              </w:rPr>
              <w:t>5</w:t>
            </w:r>
          </w:p>
        </w:tc>
      </w:tr>
      <w:tr w:rsidR="0032111C" w:rsidRPr="00C97275" w14:paraId="7450F6EC"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670F5B14"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 xml:space="preserve">Dabartinis pastato suvartojimas per metus, kWh </w:t>
            </w:r>
          </w:p>
        </w:tc>
        <w:tc>
          <w:tcPr>
            <w:tcW w:w="1533" w:type="pct"/>
            <w:noWrap/>
            <w:hideMark/>
          </w:tcPr>
          <w:p w14:paraId="53260314" w14:textId="77777777" w:rsidR="0032111C" w:rsidRPr="00C97275"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rPr>
              <w:t>225 225</w:t>
            </w:r>
          </w:p>
        </w:tc>
      </w:tr>
      <w:tr w:rsidR="0032111C" w:rsidRPr="00C97275" w14:paraId="2DBB6674"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611DA1B6"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Šilumos energijos kaina eurais/kWh</w:t>
            </w:r>
            <w:r w:rsidRPr="00C97275">
              <w:rPr>
                <w:rFonts w:ascii="Georgia" w:eastAsia="Times New Roman" w:hAnsi="Georgia" w:cs="Arial"/>
                <w:sz w:val="20"/>
                <w:szCs w:val="20"/>
                <w:vertAlign w:val="superscript"/>
              </w:rPr>
              <w:t xml:space="preserve"> </w:t>
            </w:r>
          </w:p>
        </w:tc>
        <w:tc>
          <w:tcPr>
            <w:tcW w:w="1533" w:type="pct"/>
            <w:noWrap/>
            <w:hideMark/>
          </w:tcPr>
          <w:p w14:paraId="48D1A533" w14:textId="77777777" w:rsidR="0032111C" w:rsidRPr="00C97275"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C97275">
              <w:rPr>
                <w:rFonts w:ascii="Georgia" w:hAnsi="Georgia"/>
                <w:sz w:val="20"/>
              </w:rPr>
              <w:t>0,053</w:t>
            </w:r>
          </w:p>
        </w:tc>
      </w:tr>
      <w:tr w:rsidR="0032111C" w:rsidRPr="00C97275" w14:paraId="53D8904E"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09562A37"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 xml:space="preserve">Šilumos kainos augimas kas metus </w:t>
            </w:r>
          </w:p>
        </w:tc>
        <w:tc>
          <w:tcPr>
            <w:tcW w:w="1533" w:type="pct"/>
            <w:noWrap/>
            <w:hideMark/>
          </w:tcPr>
          <w:p w14:paraId="499E2AB0" w14:textId="77777777" w:rsidR="0032111C" w:rsidRPr="00C97275"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rPr>
              <w:t>2%</w:t>
            </w:r>
          </w:p>
        </w:tc>
      </w:tr>
      <w:tr w:rsidR="0032111C" w:rsidRPr="00C97275" w14:paraId="7ACDF60B"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3624EF88"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Šilumos energijos sutaupymas įgyvendinus projektą</w:t>
            </w:r>
          </w:p>
        </w:tc>
        <w:tc>
          <w:tcPr>
            <w:tcW w:w="1533" w:type="pct"/>
            <w:noWrap/>
            <w:hideMark/>
          </w:tcPr>
          <w:p w14:paraId="4205FD29" w14:textId="77777777" w:rsidR="0032111C" w:rsidRPr="00C97275"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lang w:val="en-US"/>
              </w:rPr>
              <w:t>60</w:t>
            </w:r>
            <w:r w:rsidRPr="00C97275">
              <w:rPr>
                <w:rFonts w:ascii="Georgia" w:eastAsia="Times New Roman" w:hAnsi="Georgia" w:cs="Arial"/>
                <w:sz w:val="20"/>
                <w:szCs w:val="20"/>
              </w:rPr>
              <w:t>%</w:t>
            </w:r>
          </w:p>
        </w:tc>
      </w:tr>
      <w:tr w:rsidR="0032111C" w:rsidRPr="00C97275" w14:paraId="05FF9E7B"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10723C8E" w14:textId="77777777" w:rsidR="0032111C" w:rsidRPr="00C97275" w:rsidRDefault="0032111C" w:rsidP="0032111C">
            <w:pPr>
              <w:rPr>
                <w:rFonts w:ascii="Georgia" w:eastAsia="Times New Roman" w:hAnsi="Georgia" w:cs="Arial"/>
                <w:b w:val="0"/>
                <w:sz w:val="20"/>
                <w:szCs w:val="20"/>
              </w:rPr>
            </w:pPr>
            <w:r w:rsidRPr="00C97275">
              <w:rPr>
                <w:rFonts w:ascii="Georgia" w:eastAsia="Times New Roman" w:hAnsi="Georgia" w:cs="Arial"/>
                <w:sz w:val="20"/>
                <w:szCs w:val="20"/>
              </w:rPr>
              <w:t>Paskolos terminas, metais</w:t>
            </w:r>
          </w:p>
        </w:tc>
        <w:tc>
          <w:tcPr>
            <w:tcW w:w="1533" w:type="pct"/>
            <w:noWrap/>
            <w:hideMark/>
          </w:tcPr>
          <w:p w14:paraId="0989C963" w14:textId="77777777" w:rsidR="0032111C" w:rsidRPr="00C97275"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C97275">
              <w:rPr>
                <w:rFonts w:ascii="Georgia" w:eastAsia="Times New Roman" w:hAnsi="Georgia" w:cs="Arial"/>
                <w:sz w:val="20"/>
                <w:szCs w:val="20"/>
              </w:rPr>
              <w:t>20</w:t>
            </w:r>
          </w:p>
        </w:tc>
      </w:tr>
    </w:tbl>
    <w:p w14:paraId="1FFA5A5F" w14:textId="77777777" w:rsidR="00A136CD" w:rsidRPr="00C97275" w:rsidRDefault="00A136CD" w:rsidP="0032111C">
      <w:pPr>
        <w:jc w:val="both"/>
        <w:rPr>
          <w:rFonts w:ascii="Georgia" w:hAnsi="Georgia"/>
          <w:sz w:val="20"/>
          <w:lang w:val="lt-LT"/>
        </w:rPr>
      </w:pPr>
    </w:p>
    <w:p w14:paraId="3A6F7B0C" w14:textId="1E7FFD36" w:rsidR="0032111C" w:rsidRPr="00C97275" w:rsidRDefault="0032111C" w:rsidP="0032111C">
      <w:pPr>
        <w:jc w:val="both"/>
        <w:rPr>
          <w:rFonts w:ascii="Georgia" w:hAnsi="Georgia"/>
          <w:sz w:val="20"/>
          <w:lang w:val="lt-LT"/>
        </w:rPr>
      </w:pPr>
      <w:r w:rsidRPr="00C97275">
        <w:rPr>
          <w:rFonts w:ascii="Georgia" w:hAnsi="Georgia"/>
          <w:sz w:val="20"/>
          <w:lang w:val="lt-LT"/>
        </w:rPr>
        <w:t>Atsižvelgiant į aukščiau esančioje lentelėje išvardintas prielaidas, žemiau esančioje lentelėje pateikiama sutaupytos energijos ir subsidijos poreikio jautrumo analizė.</w:t>
      </w:r>
    </w:p>
    <w:p w14:paraId="10615734" w14:textId="130886F5" w:rsidR="0032111C" w:rsidRPr="00C97275" w:rsidRDefault="0032111C" w:rsidP="007935A3">
      <w:pPr>
        <w:pStyle w:val="Antrat"/>
        <w:jc w:val="both"/>
        <w:rPr>
          <w:lang w:val="lt-LT"/>
        </w:rPr>
      </w:pPr>
      <w:bookmarkStart w:id="150" w:name="_Toc19105250"/>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37</w:t>
      </w:r>
      <w:r w:rsidRPr="00C97275">
        <w:rPr>
          <w:lang w:val="lt-LT"/>
        </w:rPr>
        <w:fldChar w:fldCharType="end"/>
      </w:r>
      <w:r w:rsidRPr="00C97275">
        <w:rPr>
          <w:lang w:val="lt-LT"/>
        </w:rPr>
        <w:t>. Sutaupytos energijos ir subsidijos poreikio santykio jautrumo analizė</w:t>
      </w:r>
      <w:bookmarkEnd w:id="150"/>
    </w:p>
    <w:p w14:paraId="3C178726" w14:textId="77777777" w:rsidR="00020E0D" w:rsidRPr="00C97275" w:rsidRDefault="00020E0D" w:rsidP="0032111C">
      <w:pPr>
        <w:rPr>
          <w:rFonts w:ascii="Georgia" w:hAnsi="Georgia"/>
        </w:rPr>
      </w:pPr>
    </w:p>
    <w:p w14:paraId="33E04E68" w14:textId="0F3695A5" w:rsidR="006C01FB" w:rsidRPr="00C97275" w:rsidRDefault="00B0018A" w:rsidP="0032111C">
      <w:pPr>
        <w:rPr>
          <w:rFonts w:ascii="Georgia" w:hAnsi="Georgia"/>
          <w:lang w:val="lt-LT"/>
        </w:rPr>
      </w:pPr>
      <w:r w:rsidRPr="00C97275">
        <w:rPr>
          <w:rFonts w:ascii="Georgia" w:hAnsi="Georgia"/>
          <w:noProof/>
          <w:lang w:val="lt-LT" w:eastAsia="lt-LT"/>
        </w:rPr>
        <w:drawing>
          <wp:inline distT="0" distB="0" distL="0" distR="0" wp14:anchorId="3164E6D9" wp14:editId="140AAC4A">
            <wp:extent cx="5731510" cy="17792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779270"/>
                    </a:xfrm>
                    <a:prstGeom prst="rect">
                      <a:avLst/>
                    </a:prstGeom>
                  </pic:spPr>
                </pic:pic>
              </a:graphicData>
            </a:graphic>
          </wp:inline>
        </w:drawing>
      </w:r>
    </w:p>
    <w:p w14:paraId="015B18EC" w14:textId="5C6BA517" w:rsidR="0032111C" w:rsidRPr="00C97275" w:rsidRDefault="0032111C" w:rsidP="0032111C">
      <w:pPr>
        <w:jc w:val="both"/>
        <w:rPr>
          <w:rFonts w:ascii="Georgia" w:hAnsi="Georgia"/>
          <w:sz w:val="20"/>
          <w:lang w:val="lt-LT"/>
        </w:rPr>
      </w:pPr>
      <w:r w:rsidRPr="00C97275">
        <w:rPr>
          <w:rFonts w:ascii="Georgia" w:hAnsi="Georgia"/>
          <w:sz w:val="20"/>
          <w:lang w:val="lt-LT"/>
        </w:rPr>
        <w:t>Pagal lentelėje pateiktus duomenis matyti, kad jei pasitvirtintų visos anksčiau išvardintos prielaidos su 30 proc. subsidija daugiabučio mode</w:t>
      </w:r>
      <w:r w:rsidR="00A136CD" w:rsidRPr="00C97275">
        <w:rPr>
          <w:rFonts w:ascii="Georgia" w:hAnsi="Georgia"/>
          <w:sz w:val="20"/>
          <w:lang w:val="lt-LT"/>
        </w:rPr>
        <w:t xml:space="preserve">rnizavimo projektas atsipirktų per apytiksliai 20 metų jeigu </w:t>
      </w:r>
      <w:r w:rsidRPr="00C97275">
        <w:rPr>
          <w:rFonts w:ascii="Georgia" w:hAnsi="Georgia"/>
          <w:sz w:val="20"/>
          <w:lang w:val="lt-LT"/>
        </w:rPr>
        <w:t>š</w:t>
      </w:r>
      <w:r w:rsidR="00A136CD" w:rsidRPr="00C97275">
        <w:rPr>
          <w:rFonts w:ascii="Georgia" w:hAnsi="Georgia"/>
          <w:sz w:val="20"/>
          <w:lang w:val="lt-LT"/>
        </w:rPr>
        <w:t xml:space="preserve">ilumos energijos sutaupymai </w:t>
      </w:r>
      <w:r w:rsidR="00C31CD5" w:rsidRPr="00C97275">
        <w:rPr>
          <w:rFonts w:ascii="Georgia" w:hAnsi="Georgia"/>
          <w:sz w:val="20"/>
          <w:lang w:val="lt-LT"/>
        </w:rPr>
        <w:t>siektų</w:t>
      </w:r>
      <w:r w:rsidR="00A136CD" w:rsidRPr="00C97275">
        <w:rPr>
          <w:rFonts w:ascii="Georgia" w:hAnsi="Georgia"/>
          <w:sz w:val="20"/>
          <w:lang w:val="lt-LT"/>
        </w:rPr>
        <w:t xml:space="preserve"> </w:t>
      </w:r>
      <w:r w:rsidR="006C01FB" w:rsidRPr="00C97275">
        <w:rPr>
          <w:rFonts w:ascii="Georgia" w:hAnsi="Georgia"/>
          <w:sz w:val="20"/>
          <w:lang w:val="lt-LT"/>
        </w:rPr>
        <w:t>a</w:t>
      </w:r>
      <w:r w:rsidR="00B0018A" w:rsidRPr="00C97275">
        <w:rPr>
          <w:rFonts w:ascii="Georgia" w:hAnsi="Georgia"/>
          <w:sz w:val="20"/>
          <w:lang w:val="lt-LT"/>
        </w:rPr>
        <w:t>pie 70-75</w:t>
      </w:r>
      <w:r w:rsidR="006C01FB" w:rsidRPr="00C97275">
        <w:rPr>
          <w:rFonts w:ascii="Georgia" w:hAnsi="Georgia"/>
          <w:sz w:val="20"/>
          <w:lang w:val="lt-LT"/>
        </w:rPr>
        <w:t xml:space="preserve"> proc.</w:t>
      </w:r>
      <w:r w:rsidR="00C31CD5" w:rsidRPr="00C97275">
        <w:rPr>
          <w:rFonts w:ascii="Georgia" w:hAnsi="Georgia"/>
          <w:sz w:val="20"/>
          <w:lang w:val="lt-LT"/>
        </w:rPr>
        <w:t xml:space="preserve"> </w:t>
      </w:r>
      <w:r w:rsidR="006C01FB" w:rsidRPr="00C97275">
        <w:rPr>
          <w:rFonts w:ascii="Georgia" w:hAnsi="Georgia"/>
          <w:sz w:val="20"/>
          <w:lang w:val="lt-LT"/>
        </w:rPr>
        <w:t xml:space="preserve">Aukščiau </w:t>
      </w:r>
      <w:r w:rsidRPr="00C97275">
        <w:rPr>
          <w:rFonts w:ascii="Georgia" w:hAnsi="Georgia"/>
          <w:sz w:val="20"/>
          <w:lang w:val="lt-LT"/>
        </w:rPr>
        <w:t>minėtas BETA renovuotų daugiabučių tyrimas rodo, kad</w:t>
      </w:r>
      <w:r w:rsidR="00B0018A" w:rsidRPr="00C97275">
        <w:rPr>
          <w:rFonts w:ascii="Georgia" w:hAnsi="Georgia"/>
          <w:sz w:val="20"/>
          <w:lang w:val="lt-LT"/>
        </w:rPr>
        <w:t>,</w:t>
      </w:r>
      <w:r w:rsidRPr="00C97275">
        <w:rPr>
          <w:rFonts w:ascii="Georgia" w:hAnsi="Georgia"/>
          <w:sz w:val="20"/>
          <w:lang w:val="lt-LT"/>
        </w:rPr>
        <w:t xml:space="preserve"> nemaža dalis moder</w:t>
      </w:r>
      <w:r w:rsidR="00C31CD5" w:rsidRPr="00C97275">
        <w:rPr>
          <w:rFonts w:ascii="Georgia" w:hAnsi="Georgia"/>
          <w:sz w:val="20"/>
          <w:lang w:val="lt-LT"/>
        </w:rPr>
        <w:t>nizuotų daugiabučių pasiekia</w:t>
      </w:r>
      <w:r w:rsidRPr="00C97275">
        <w:rPr>
          <w:rFonts w:ascii="Georgia" w:hAnsi="Georgia"/>
          <w:sz w:val="20"/>
          <w:lang w:val="lt-LT"/>
        </w:rPr>
        <w:t xml:space="preserve"> šilumos energijos sutaupymus gerokai viršijančius 60 proc.</w:t>
      </w:r>
      <w:r w:rsidR="00B0018A" w:rsidRPr="00C97275">
        <w:rPr>
          <w:rFonts w:ascii="Georgia" w:hAnsi="Georgia"/>
          <w:sz w:val="20"/>
          <w:lang w:val="lt-LT"/>
        </w:rPr>
        <w:t xml:space="preserve"> (ar 64 proc.</w:t>
      </w:r>
      <w:r w:rsidR="00020E0D" w:rsidRPr="00C97275">
        <w:rPr>
          <w:rFonts w:ascii="Georgia" w:hAnsi="Georgia"/>
          <w:sz w:val="20"/>
          <w:lang w:val="lt-LT"/>
        </w:rPr>
        <w:t>,</w:t>
      </w:r>
      <w:r w:rsidR="00B0018A" w:rsidRPr="00C97275">
        <w:rPr>
          <w:rFonts w:ascii="Georgia" w:hAnsi="Georgia"/>
          <w:sz w:val="20"/>
          <w:lang w:val="lt-LT"/>
        </w:rPr>
        <w:t xml:space="preserve"> jei </w:t>
      </w:r>
      <w:r w:rsidR="00020E0D" w:rsidRPr="00C97275">
        <w:rPr>
          <w:rFonts w:ascii="Georgia" w:hAnsi="Georgia"/>
          <w:sz w:val="20"/>
          <w:lang w:val="lt-LT"/>
        </w:rPr>
        <w:t xml:space="preserve">skaičiavimuose </w:t>
      </w:r>
      <w:r w:rsidR="00B0018A" w:rsidRPr="00C97275">
        <w:rPr>
          <w:rFonts w:ascii="Georgia" w:hAnsi="Georgia"/>
          <w:sz w:val="20"/>
          <w:lang w:val="lt-LT"/>
        </w:rPr>
        <w:t>būtų naudojamas nesuapvalintas sutaupymų lygis)</w:t>
      </w:r>
      <w:r w:rsidRPr="00C97275">
        <w:rPr>
          <w:rFonts w:ascii="Georgia" w:hAnsi="Georgia"/>
          <w:sz w:val="20"/>
          <w:lang w:val="lt-LT"/>
        </w:rPr>
        <w:t xml:space="preserve"> </w:t>
      </w:r>
      <w:r w:rsidR="00C31CD5" w:rsidRPr="00C97275">
        <w:rPr>
          <w:rFonts w:ascii="Georgia" w:hAnsi="Georgia"/>
          <w:sz w:val="20"/>
          <w:lang w:val="lt-LT"/>
        </w:rPr>
        <w:t xml:space="preserve">ir ligšiolinė teigiama </w:t>
      </w:r>
      <w:r w:rsidR="00020E0D" w:rsidRPr="00C97275">
        <w:rPr>
          <w:rFonts w:ascii="Georgia" w:hAnsi="Georgia"/>
          <w:sz w:val="20"/>
          <w:lang w:val="lt-LT"/>
        </w:rPr>
        <w:t xml:space="preserve">šios finansinės priemonės </w:t>
      </w:r>
      <w:r w:rsidR="00C31CD5" w:rsidRPr="00C97275">
        <w:rPr>
          <w:rFonts w:ascii="Georgia" w:hAnsi="Georgia"/>
          <w:sz w:val="20"/>
          <w:lang w:val="lt-LT"/>
        </w:rPr>
        <w:t>įgyvendinimo patirtis leidžia daryti išvadą, kad 30 proc. subsidija yra pakankama.</w:t>
      </w:r>
    </w:p>
    <w:p w14:paraId="1ED7BD99" w14:textId="77777777" w:rsidR="0032111C" w:rsidRPr="00C97275" w:rsidRDefault="0032111C" w:rsidP="0032111C">
      <w:pPr>
        <w:jc w:val="both"/>
        <w:rPr>
          <w:rFonts w:ascii="Georgia" w:hAnsi="Georgia"/>
          <w:lang w:val="lt-LT"/>
        </w:rPr>
      </w:pPr>
      <w:r w:rsidRPr="00C97275">
        <w:rPr>
          <w:rFonts w:ascii="Georgia" w:hAnsi="Georgia"/>
          <w:sz w:val="20"/>
          <w:lang w:val="lt-LT"/>
        </w:rPr>
        <w:lastRenderedPageBreak/>
        <w:t>Toliau lentelėje pateikiami projektų atsiperkamumo jautrumo analizės rezultatai vertinant investicijas (statybos darbų kainas) ir subsidijos elementą.</w:t>
      </w:r>
    </w:p>
    <w:p w14:paraId="55916256" w14:textId="7C40811D" w:rsidR="0032111C" w:rsidRPr="00C97275" w:rsidRDefault="0032111C" w:rsidP="0032111C">
      <w:pPr>
        <w:pStyle w:val="Antrat"/>
        <w:jc w:val="both"/>
        <w:rPr>
          <w:lang w:val="lt-LT"/>
        </w:rPr>
      </w:pPr>
      <w:bookmarkStart w:id="151" w:name="_Toc19105251"/>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38</w:t>
      </w:r>
      <w:r w:rsidRPr="00C97275">
        <w:rPr>
          <w:lang w:val="lt-LT"/>
        </w:rPr>
        <w:fldChar w:fldCharType="end"/>
      </w:r>
      <w:r w:rsidRPr="00C97275">
        <w:rPr>
          <w:lang w:val="lt-LT"/>
        </w:rPr>
        <w:t>. Investicijų ir subsidijos poreikio santykio jautrumo analizė</w:t>
      </w:r>
      <w:bookmarkEnd w:id="151"/>
    </w:p>
    <w:p w14:paraId="457654B9" w14:textId="28A95A58" w:rsidR="0032111C" w:rsidRPr="00C97275" w:rsidRDefault="0032111C" w:rsidP="0032111C">
      <w:pPr>
        <w:jc w:val="both"/>
        <w:rPr>
          <w:rFonts w:ascii="Georgia" w:hAnsi="Georgia"/>
          <w:sz w:val="16"/>
          <w:szCs w:val="16"/>
          <w:lang w:val="lt-LT"/>
        </w:rPr>
      </w:pPr>
    </w:p>
    <w:p w14:paraId="15493241" w14:textId="3E1CD717" w:rsidR="006C01FB" w:rsidRPr="00C97275" w:rsidRDefault="00B0018A" w:rsidP="0032111C">
      <w:pPr>
        <w:jc w:val="both"/>
        <w:rPr>
          <w:rFonts w:ascii="Georgia" w:hAnsi="Georgia"/>
          <w:sz w:val="16"/>
          <w:szCs w:val="16"/>
          <w:lang w:val="lt-LT"/>
        </w:rPr>
      </w:pPr>
      <w:r w:rsidRPr="00C97275">
        <w:rPr>
          <w:rFonts w:ascii="Georgia" w:hAnsi="Georgia"/>
          <w:noProof/>
          <w:lang w:val="lt-LT" w:eastAsia="lt-LT"/>
        </w:rPr>
        <w:drawing>
          <wp:inline distT="0" distB="0" distL="0" distR="0" wp14:anchorId="737460BF" wp14:editId="2D1952C9">
            <wp:extent cx="5731510" cy="19354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935480"/>
                    </a:xfrm>
                    <a:prstGeom prst="rect">
                      <a:avLst/>
                    </a:prstGeom>
                  </pic:spPr>
                </pic:pic>
              </a:graphicData>
            </a:graphic>
          </wp:inline>
        </w:drawing>
      </w:r>
    </w:p>
    <w:p w14:paraId="679D0656" w14:textId="13894378" w:rsidR="0032111C" w:rsidRPr="00C97275" w:rsidRDefault="0032111C" w:rsidP="0032111C">
      <w:pPr>
        <w:jc w:val="both"/>
        <w:rPr>
          <w:rFonts w:ascii="Georgia" w:hAnsi="Georgia"/>
          <w:sz w:val="20"/>
          <w:lang w:val="lt-LT"/>
        </w:rPr>
      </w:pPr>
      <w:r w:rsidRPr="00C97275">
        <w:rPr>
          <w:rFonts w:ascii="Georgia" w:hAnsi="Georgia"/>
          <w:sz w:val="20"/>
          <w:lang w:val="lt-LT"/>
        </w:rPr>
        <w:t>Daugiabučių investicijų vienam kvadratiniam metrui rodiklis gali ženkliai svyruoti dėl pirkim</w:t>
      </w:r>
      <w:r w:rsidR="00325FB1" w:rsidRPr="00C97275">
        <w:rPr>
          <w:rFonts w:ascii="Georgia" w:hAnsi="Georgia"/>
          <w:sz w:val="20"/>
          <w:lang w:val="lt-LT"/>
        </w:rPr>
        <w:t>ų</w:t>
      </w:r>
      <w:r w:rsidRPr="00C97275">
        <w:rPr>
          <w:rFonts w:ascii="Georgia" w:hAnsi="Georgia"/>
          <w:sz w:val="20"/>
          <w:lang w:val="lt-LT"/>
        </w:rPr>
        <w:t xml:space="preserve"> procedūrų, pastato dydžio, jo aukštingumo, miesto, kuriame vykdomas projektas,</w:t>
      </w:r>
      <w:r w:rsidR="00C31CD5" w:rsidRPr="00C97275">
        <w:rPr>
          <w:rFonts w:ascii="Georgia" w:hAnsi="Georgia"/>
          <w:sz w:val="20"/>
          <w:lang w:val="lt-LT"/>
        </w:rPr>
        <w:t xml:space="preserve"> ir daugelio kitų veiksnių. Remiantis šiomis prielaidomis, matome, kad j</w:t>
      </w:r>
      <w:r w:rsidRPr="00C97275">
        <w:rPr>
          <w:rFonts w:ascii="Georgia" w:hAnsi="Georgia"/>
          <w:sz w:val="20"/>
          <w:lang w:val="lt-LT"/>
        </w:rPr>
        <w:t>ei investicijos vienam kvadratiniam metrui būtų</w:t>
      </w:r>
      <w:r w:rsidR="006C01FB" w:rsidRPr="00C97275">
        <w:rPr>
          <w:rFonts w:ascii="Georgia" w:hAnsi="Georgia"/>
          <w:sz w:val="20"/>
          <w:lang w:val="lt-LT"/>
        </w:rPr>
        <w:t xml:space="preserve"> apie</w:t>
      </w:r>
      <w:r w:rsidRPr="00C97275">
        <w:rPr>
          <w:rFonts w:ascii="Georgia" w:hAnsi="Georgia"/>
          <w:sz w:val="20"/>
          <w:lang w:val="lt-LT"/>
        </w:rPr>
        <w:t xml:space="preserve"> 20 proc.</w:t>
      </w:r>
      <w:r w:rsidR="00C31CD5" w:rsidRPr="00C97275">
        <w:rPr>
          <w:rFonts w:ascii="Georgia" w:hAnsi="Georgia"/>
          <w:sz w:val="20"/>
          <w:lang w:val="lt-LT"/>
        </w:rPr>
        <w:t xml:space="preserve"> mažesnės</w:t>
      </w:r>
      <w:r w:rsidR="006C01FB" w:rsidRPr="00C97275">
        <w:rPr>
          <w:rFonts w:ascii="Georgia" w:hAnsi="Georgia"/>
          <w:sz w:val="20"/>
          <w:lang w:val="lt-LT"/>
        </w:rPr>
        <w:t xml:space="preserve"> (t.y. 155 eurai/m</w:t>
      </w:r>
      <w:r w:rsidR="006C01FB" w:rsidRPr="00C97275">
        <w:rPr>
          <w:rFonts w:ascii="Georgia" w:hAnsi="Georgia"/>
          <w:sz w:val="20"/>
          <w:vertAlign w:val="superscript"/>
          <w:lang w:val="lt-LT"/>
        </w:rPr>
        <w:t>2</w:t>
      </w:r>
      <w:r w:rsidR="006C01FB" w:rsidRPr="00C97275">
        <w:rPr>
          <w:rFonts w:ascii="Georgia" w:hAnsi="Georgia"/>
          <w:sz w:val="20"/>
          <w:lang w:val="lt-LT"/>
        </w:rPr>
        <w:t xml:space="preserve">) </w:t>
      </w:r>
      <w:r w:rsidRPr="00C97275">
        <w:rPr>
          <w:rFonts w:ascii="Georgia" w:hAnsi="Georgia"/>
          <w:sz w:val="20"/>
          <w:lang w:val="lt-LT"/>
        </w:rPr>
        <w:t xml:space="preserve">lyginant su vidutiniu dydžiu, projektui suteikus 30 proc. subsidiją jis </w:t>
      </w:r>
      <w:r w:rsidR="00C31CD5" w:rsidRPr="00C97275">
        <w:rPr>
          <w:rFonts w:ascii="Georgia" w:hAnsi="Georgia"/>
          <w:sz w:val="20"/>
          <w:lang w:val="lt-LT"/>
        </w:rPr>
        <w:t xml:space="preserve">pilnai atsipirktų per </w:t>
      </w:r>
      <w:r w:rsidR="006C01FB" w:rsidRPr="00C97275">
        <w:rPr>
          <w:rFonts w:ascii="Georgia" w:hAnsi="Georgia"/>
          <w:sz w:val="20"/>
          <w:lang w:val="lt-LT"/>
        </w:rPr>
        <w:t xml:space="preserve">19 </w:t>
      </w:r>
      <w:r w:rsidR="00C31CD5" w:rsidRPr="00C97275">
        <w:rPr>
          <w:rFonts w:ascii="Georgia" w:hAnsi="Georgia"/>
          <w:sz w:val="20"/>
          <w:lang w:val="lt-LT"/>
        </w:rPr>
        <w:t>met</w:t>
      </w:r>
      <w:r w:rsidR="006C01FB" w:rsidRPr="00C97275">
        <w:rPr>
          <w:rFonts w:ascii="Georgia" w:hAnsi="Georgia"/>
          <w:sz w:val="20"/>
          <w:lang w:val="lt-LT"/>
        </w:rPr>
        <w:t>ų</w:t>
      </w:r>
      <w:r w:rsidR="00C31CD5" w:rsidRPr="00C97275">
        <w:rPr>
          <w:rFonts w:ascii="Georgia" w:hAnsi="Georgia"/>
          <w:sz w:val="20"/>
          <w:lang w:val="lt-LT"/>
        </w:rPr>
        <w:t>. Atsižvelgiant į tai, kad prielaidos nėra svyruojančios, darytina išvada, jog šis</w:t>
      </w:r>
      <w:r w:rsidRPr="00C97275">
        <w:rPr>
          <w:rFonts w:ascii="Georgia" w:hAnsi="Georgia"/>
          <w:sz w:val="20"/>
          <w:lang w:val="lt-LT"/>
        </w:rPr>
        <w:t xml:space="preserve"> rodiklis </w:t>
      </w:r>
      <w:r w:rsidR="00C31CD5" w:rsidRPr="00C97275">
        <w:rPr>
          <w:rFonts w:ascii="Georgia" w:hAnsi="Georgia"/>
          <w:sz w:val="20"/>
          <w:lang w:val="lt-LT"/>
        </w:rPr>
        <w:t xml:space="preserve">yra </w:t>
      </w:r>
      <w:r w:rsidR="006C01FB" w:rsidRPr="00C97275">
        <w:rPr>
          <w:rFonts w:ascii="Georgia" w:hAnsi="Georgia"/>
          <w:sz w:val="20"/>
          <w:lang w:val="lt-LT"/>
        </w:rPr>
        <w:t>atitinka</w:t>
      </w:r>
      <w:r w:rsidR="00C31CD5" w:rsidRPr="00C97275">
        <w:rPr>
          <w:rFonts w:ascii="Georgia" w:hAnsi="Georgia"/>
          <w:sz w:val="20"/>
          <w:lang w:val="lt-LT"/>
        </w:rPr>
        <w:t xml:space="preserve"> siektin</w:t>
      </w:r>
      <w:r w:rsidR="006C01FB" w:rsidRPr="00C97275">
        <w:rPr>
          <w:rFonts w:ascii="Georgia" w:hAnsi="Georgia"/>
          <w:sz w:val="20"/>
          <w:lang w:val="lt-LT"/>
        </w:rPr>
        <w:t>ą</w:t>
      </w:r>
      <w:r w:rsidR="00C31CD5" w:rsidRPr="00C97275">
        <w:rPr>
          <w:rFonts w:ascii="Georgia" w:hAnsi="Georgia"/>
          <w:sz w:val="20"/>
          <w:lang w:val="lt-LT"/>
        </w:rPr>
        <w:t xml:space="preserve"> </w:t>
      </w:r>
      <w:r w:rsidRPr="00C97275">
        <w:rPr>
          <w:rFonts w:ascii="Georgia" w:hAnsi="Georgia"/>
          <w:sz w:val="20"/>
          <w:lang w:val="lt-LT"/>
        </w:rPr>
        <w:t xml:space="preserve">paskolos </w:t>
      </w:r>
      <w:r w:rsidR="00C31CD5" w:rsidRPr="00C97275">
        <w:rPr>
          <w:rFonts w:ascii="Georgia" w:hAnsi="Georgia"/>
          <w:sz w:val="20"/>
          <w:lang w:val="lt-LT"/>
        </w:rPr>
        <w:t xml:space="preserve">atsipirkimo </w:t>
      </w:r>
      <w:r w:rsidRPr="00C97275">
        <w:rPr>
          <w:rFonts w:ascii="Georgia" w:hAnsi="Georgia"/>
          <w:sz w:val="20"/>
          <w:lang w:val="lt-LT"/>
        </w:rPr>
        <w:t>laikotarp</w:t>
      </w:r>
      <w:r w:rsidR="006C01FB" w:rsidRPr="00C97275">
        <w:rPr>
          <w:rFonts w:ascii="Georgia" w:hAnsi="Georgia"/>
          <w:sz w:val="20"/>
          <w:lang w:val="lt-LT"/>
        </w:rPr>
        <w:t>į</w:t>
      </w:r>
      <w:r w:rsidRPr="00C97275">
        <w:rPr>
          <w:rFonts w:ascii="Georgia" w:hAnsi="Georgia"/>
          <w:sz w:val="20"/>
          <w:lang w:val="lt-LT"/>
        </w:rPr>
        <w:t xml:space="preserve"> (20 metų)</w:t>
      </w:r>
      <w:r w:rsidR="00C31CD5" w:rsidRPr="00C97275">
        <w:rPr>
          <w:rFonts w:ascii="Georgia" w:hAnsi="Georgia"/>
          <w:sz w:val="20"/>
          <w:lang w:val="lt-LT"/>
        </w:rPr>
        <w:t xml:space="preserve"> bei teigiama praktinė fondų įgyvendinimo patirtis leidžia daryti išvadą, kad 30 proc. subsidija yra optimali.</w:t>
      </w:r>
    </w:p>
    <w:p w14:paraId="0E08F5E0" w14:textId="77777777" w:rsidR="0032111C" w:rsidRPr="00C97275" w:rsidRDefault="0032111C" w:rsidP="0032111C">
      <w:pPr>
        <w:jc w:val="both"/>
        <w:rPr>
          <w:rFonts w:ascii="Georgia" w:hAnsi="Georgia"/>
          <w:lang w:val="lt-LT"/>
        </w:rPr>
      </w:pPr>
      <w:r w:rsidRPr="00C97275">
        <w:rPr>
          <w:rFonts w:ascii="Georgia" w:hAnsi="Georgia"/>
          <w:sz w:val="20"/>
          <w:lang w:val="lt-LT"/>
        </w:rPr>
        <w:t>Projektų atsiperkamumo jautrumo analizės rezultatai vertinant šilumos kainos ir galimo sutaupymo pokyčius (esant 30 proc. subsidijos elementui ir nekeičiant kitų prielaidų) pateikti lentelėje.</w:t>
      </w:r>
    </w:p>
    <w:p w14:paraId="08CD43AE" w14:textId="6E978DF9" w:rsidR="0032111C" w:rsidRPr="00C97275" w:rsidRDefault="0032111C" w:rsidP="0032111C">
      <w:pPr>
        <w:pStyle w:val="Antrat"/>
        <w:jc w:val="both"/>
        <w:rPr>
          <w:lang w:val="lt-LT"/>
        </w:rPr>
      </w:pPr>
      <w:bookmarkStart w:id="152" w:name="_Toc19105252"/>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39</w:t>
      </w:r>
      <w:r w:rsidRPr="00C97275">
        <w:rPr>
          <w:lang w:val="lt-LT"/>
        </w:rPr>
        <w:fldChar w:fldCharType="end"/>
      </w:r>
      <w:r w:rsidRPr="00C97275">
        <w:rPr>
          <w:lang w:val="lt-LT"/>
        </w:rPr>
        <w:t>. Šilumos kainos ir galimo sutaupymo santykio jautrumo analizės rezultatai (su subsidija)</w:t>
      </w:r>
      <w:bookmarkEnd w:id="152"/>
    </w:p>
    <w:p w14:paraId="7070566E" w14:textId="77777777" w:rsidR="00020E0D" w:rsidRPr="00C97275" w:rsidRDefault="00020E0D" w:rsidP="007935A3">
      <w:pPr>
        <w:rPr>
          <w:rFonts w:ascii="Georgia" w:hAnsi="Georgia"/>
          <w:lang w:val="lt-LT"/>
        </w:rPr>
      </w:pPr>
    </w:p>
    <w:p w14:paraId="31164549" w14:textId="2E06EB3B" w:rsidR="006C01FB" w:rsidRPr="00C97275" w:rsidRDefault="00B0018A" w:rsidP="0032111C">
      <w:pPr>
        <w:rPr>
          <w:rFonts w:ascii="Georgia" w:hAnsi="Georgia"/>
          <w:noProof/>
        </w:rPr>
      </w:pPr>
      <w:r w:rsidRPr="00C97275">
        <w:rPr>
          <w:rFonts w:ascii="Georgia" w:hAnsi="Georgia"/>
          <w:noProof/>
          <w:lang w:val="lt-LT" w:eastAsia="lt-LT"/>
        </w:rPr>
        <w:drawing>
          <wp:inline distT="0" distB="0" distL="0" distR="0" wp14:anchorId="620C6855" wp14:editId="24F51A28">
            <wp:extent cx="5731510" cy="18484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848485"/>
                    </a:xfrm>
                    <a:prstGeom prst="rect">
                      <a:avLst/>
                    </a:prstGeom>
                  </pic:spPr>
                </pic:pic>
              </a:graphicData>
            </a:graphic>
          </wp:inline>
        </w:drawing>
      </w:r>
    </w:p>
    <w:p w14:paraId="2D3E5836" w14:textId="70871834" w:rsidR="0032111C" w:rsidRPr="00C97275" w:rsidRDefault="0032111C" w:rsidP="0032111C">
      <w:pPr>
        <w:rPr>
          <w:rFonts w:ascii="Georgia" w:hAnsi="Georgia"/>
          <w:lang w:val="lt-LT"/>
        </w:rPr>
      </w:pPr>
      <w:r w:rsidRPr="00C97275">
        <w:rPr>
          <w:rFonts w:ascii="Georgia" w:hAnsi="Georgia"/>
          <w:sz w:val="16"/>
          <w:szCs w:val="16"/>
          <w:lang w:val="lt-LT"/>
        </w:rPr>
        <w:t xml:space="preserve">Pastaba: Čia ir kitose lentelėse šioje ataskaitos dalyse #NUM! reiškia, kad reikšmės apskaičiuoti neįmanoma </w:t>
      </w:r>
    </w:p>
    <w:p w14:paraId="4BCAD2FA" w14:textId="0B45EF53" w:rsidR="0032111C" w:rsidRPr="00C97275" w:rsidRDefault="0032111C" w:rsidP="0032111C">
      <w:pPr>
        <w:jc w:val="both"/>
        <w:rPr>
          <w:rFonts w:ascii="Georgia" w:hAnsi="Georgia"/>
          <w:lang w:val="lt-LT"/>
        </w:rPr>
      </w:pPr>
      <w:r w:rsidRPr="00C97275">
        <w:rPr>
          <w:rFonts w:ascii="Georgia" w:hAnsi="Georgia"/>
          <w:sz w:val="20"/>
          <w:lang w:val="lt-LT"/>
        </w:rPr>
        <w:t>Iš anksčiau pateiktos lentelės duomenų galima daryti išvadą, kad renovacijos projektas s</w:t>
      </w:r>
      <w:r w:rsidR="00C31CD5" w:rsidRPr="00C97275">
        <w:rPr>
          <w:rFonts w:ascii="Georgia" w:hAnsi="Georgia"/>
          <w:sz w:val="20"/>
          <w:lang w:val="lt-LT"/>
        </w:rPr>
        <w:t xml:space="preserve">u 30 proc. subsidija atsipirktų, </w:t>
      </w:r>
      <w:r w:rsidRPr="00C97275">
        <w:rPr>
          <w:rFonts w:ascii="Georgia" w:hAnsi="Georgia"/>
          <w:sz w:val="20"/>
          <w:lang w:val="lt-LT"/>
        </w:rPr>
        <w:t xml:space="preserve">jei būtų pasiekti </w:t>
      </w:r>
      <w:r w:rsidR="00B0018A" w:rsidRPr="00C97275">
        <w:rPr>
          <w:rFonts w:ascii="Georgia" w:hAnsi="Georgia"/>
          <w:sz w:val="20"/>
          <w:lang w:val="lt-LT"/>
        </w:rPr>
        <w:t>50-55</w:t>
      </w:r>
      <w:r w:rsidRPr="00C97275">
        <w:rPr>
          <w:rFonts w:ascii="Georgia" w:hAnsi="Georgia"/>
          <w:sz w:val="20"/>
          <w:lang w:val="lt-LT"/>
        </w:rPr>
        <w:t xml:space="preserve"> proc. šilumos sutaupymai, o šilumos kaina būtų 0,073 euro/kWh. Pagal VKEKK skelbiamus duomenis, 2017 m. lapkričio mėn. dešimties iš penkiasdešimt šilumos tiekimo bendrovių kaina buvo didesnė nei 0,073 euro/kWh. Tiesa, galima pastebėti </w:t>
      </w:r>
      <w:r w:rsidR="00C31CD5" w:rsidRPr="00C97275">
        <w:rPr>
          <w:rFonts w:ascii="Georgia" w:hAnsi="Georgia"/>
          <w:sz w:val="20"/>
          <w:lang w:val="lt-LT"/>
        </w:rPr>
        <w:t>tendenciją</w:t>
      </w:r>
      <w:r w:rsidRPr="00C97275">
        <w:rPr>
          <w:rFonts w:ascii="Georgia" w:hAnsi="Georgia"/>
          <w:sz w:val="20"/>
          <w:lang w:val="lt-LT"/>
        </w:rPr>
        <w:t>, kad tai mažesnių miestų ir miestelių bendrovės.</w:t>
      </w:r>
    </w:p>
    <w:p w14:paraId="3F0CA5F9" w14:textId="1766B4FA" w:rsidR="0032111C" w:rsidRPr="00C97275" w:rsidRDefault="0032111C" w:rsidP="0032111C">
      <w:pPr>
        <w:pStyle w:val="Antrat"/>
        <w:jc w:val="both"/>
        <w:rPr>
          <w:lang w:val="lt-LT"/>
        </w:rPr>
      </w:pPr>
      <w:bookmarkStart w:id="153" w:name="_Toc19105253"/>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40</w:t>
      </w:r>
      <w:r w:rsidRPr="00C97275">
        <w:rPr>
          <w:lang w:val="lt-LT"/>
        </w:rPr>
        <w:fldChar w:fldCharType="end"/>
      </w:r>
      <w:r w:rsidRPr="00C97275">
        <w:rPr>
          <w:lang w:val="lt-LT"/>
        </w:rPr>
        <w:t>. Šilumos kainos ir galimo sutaupymo santykio jautrumo analizės rezultatai (be subsidijos)</w:t>
      </w:r>
      <w:bookmarkEnd w:id="153"/>
    </w:p>
    <w:p w14:paraId="63482389" w14:textId="14FAE89F" w:rsidR="0032111C" w:rsidRPr="00C97275" w:rsidRDefault="0032111C" w:rsidP="0032111C">
      <w:pPr>
        <w:rPr>
          <w:rFonts w:ascii="Georgia" w:hAnsi="Georgia"/>
          <w:lang w:val="lt-LT"/>
        </w:rPr>
      </w:pPr>
    </w:p>
    <w:p w14:paraId="478E6CAF" w14:textId="1EE571EA" w:rsidR="00B0018A" w:rsidRPr="00C97275" w:rsidRDefault="00B0018A" w:rsidP="0032111C">
      <w:pPr>
        <w:jc w:val="both"/>
        <w:rPr>
          <w:rFonts w:ascii="Georgia" w:hAnsi="Georgia"/>
          <w:sz w:val="20"/>
          <w:lang w:val="lt-LT"/>
        </w:rPr>
      </w:pPr>
      <w:r w:rsidRPr="00C97275">
        <w:rPr>
          <w:rFonts w:ascii="Georgia" w:hAnsi="Georgia"/>
          <w:noProof/>
          <w:lang w:val="lt-LT" w:eastAsia="lt-LT"/>
        </w:rPr>
        <w:drawing>
          <wp:inline distT="0" distB="0" distL="0" distR="0" wp14:anchorId="634FEC15" wp14:editId="1051E0EE">
            <wp:extent cx="5731510" cy="17602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760220"/>
                    </a:xfrm>
                    <a:prstGeom prst="rect">
                      <a:avLst/>
                    </a:prstGeom>
                  </pic:spPr>
                </pic:pic>
              </a:graphicData>
            </a:graphic>
          </wp:inline>
        </w:drawing>
      </w:r>
    </w:p>
    <w:p w14:paraId="6188360E" w14:textId="78BAC857" w:rsidR="0032111C" w:rsidRPr="00C97275" w:rsidRDefault="0032111C" w:rsidP="0032111C">
      <w:pPr>
        <w:jc w:val="both"/>
        <w:rPr>
          <w:rFonts w:ascii="Georgia" w:hAnsi="Georgia"/>
          <w:lang w:val="lt-LT"/>
        </w:rPr>
      </w:pPr>
      <w:r w:rsidRPr="00C97275">
        <w:rPr>
          <w:rFonts w:ascii="Georgia" w:hAnsi="Georgia"/>
          <w:sz w:val="20"/>
          <w:lang w:val="lt-LT"/>
        </w:rPr>
        <w:t xml:space="preserve">Iš lentelėje pateiktų duomenų matyti, kad jei subsidija </w:t>
      </w:r>
      <w:r w:rsidR="00C31CD5" w:rsidRPr="00C97275">
        <w:rPr>
          <w:rFonts w:ascii="Georgia" w:hAnsi="Georgia"/>
          <w:sz w:val="20"/>
          <w:lang w:val="lt-LT"/>
        </w:rPr>
        <w:t xml:space="preserve">apskritai </w:t>
      </w:r>
      <w:r w:rsidRPr="00C97275">
        <w:rPr>
          <w:rFonts w:ascii="Georgia" w:hAnsi="Georgia"/>
          <w:sz w:val="20"/>
          <w:lang w:val="lt-LT"/>
        </w:rPr>
        <w:t>nebūtų taikoma, renovacijos projektas atsipirktų per paskolos laikotarpį</w:t>
      </w:r>
      <w:r w:rsidR="00020E0D" w:rsidRPr="00C97275">
        <w:rPr>
          <w:rFonts w:ascii="Georgia" w:hAnsi="Georgia"/>
          <w:sz w:val="20"/>
          <w:lang w:val="lt-LT"/>
        </w:rPr>
        <w:t>,</w:t>
      </w:r>
      <w:r w:rsidRPr="00C97275">
        <w:rPr>
          <w:rFonts w:ascii="Georgia" w:hAnsi="Georgia"/>
          <w:sz w:val="20"/>
          <w:lang w:val="lt-LT"/>
        </w:rPr>
        <w:t xml:space="preserve"> jei šilumos kaina išaugtų </w:t>
      </w:r>
      <w:r w:rsidR="00B0018A" w:rsidRPr="00C97275">
        <w:rPr>
          <w:rFonts w:ascii="Georgia" w:hAnsi="Georgia"/>
          <w:sz w:val="20"/>
          <w:lang w:val="lt-LT"/>
        </w:rPr>
        <w:t>beveik</w:t>
      </w:r>
      <w:r w:rsidRPr="00C97275">
        <w:rPr>
          <w:rFonts w:ascii="Georgia" w:hAnsi="Georgia"/>
          <w:sz w:val="20"/>
          <w:lang w:val="lt-LT"/>
        </w:rPr>
        <w:t xml:space="preserve"> dvigubai lyginant su skaičiavimuose naudotu lygiu ir projektas sutaupytų 60 proc. šilumos energijos.</w:t>
      </w:r>
    </w:p>
    <w:p w14:paraId="418E9785" w14:textId="71C0E406" w:rsidR="0032111C" w:rsidRPr="00C97275" w:rsidRDefault="0032111C" w:rsidP="0032111C">
      <w:pPr>
        <w:pStyle w:val="Antrat"/>
        <w:jc w:val="both"/>
        <w:rPr>
          <w:lang w:val="lt-LT"/>
        </w:rPr>
      </w:pPr>
      <w:bookmarkStart w:id="154" w:name="_Toc19105254"/>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41</w:t>
      </w:r>
      <w:r w:rsidRPr="00C97275">
        <w:rPr>
          <w:lang w:val="lt-LT"/>
        </w:rPr>
        <w:fldChar w:fldCharType="end"/>
      </w:r>
      <w:r w:rsidRPr="00C97275">
        <w:rPr>
          <w:lang w:val="lt-LT"/>
        </w:rPr>
        <w:t>. Energijos kainos ir subsidijos elemento santykio analizė</w:t>
      </w:r>
      <w:bookmarkEnd w:id="154"/>
    </w:p>
    <w:p w14:paraId="16579A64" w14:textId="30A4B4BB" w:rsidR="0032111C" w:rsidRPr="00C97275" w:rsidRDefault="0032111C" w:rsidP="0032111C">
      <w:pPr>
        <w:rPr>
          <w:rFonts w:ascii="Georgia" w:hAnsi="Georgia"/>
          <w:noProof/>
        </w:rPr>
      </w:pPr>
      <w:r w:rsidRPr="00C97275">
        <w:rPr>
          <w:rFonts w:ascii="Georgia" w:hAnsi="Georgia"/>
          <w:noProof/>
        </w:rPr>
        <w:t xml:space="preserve"> </w:t>
      </w:r>
    </w:p>
    <w:p w14:paraId="31EEF450" w14:textId="691D1B30" w:rsidR="00096FB5" w:rsidRPr="00C97275" w:rsidRDefault="00096FB5" w:rsidP="0032111C">
      <w:pPr>
        <w:rPr>
          <w:rFonts w:ascii="Georgia" w:hAnsi="Georgia"/>
          <w:lang w:val="lt-LT"/>
        </w:rPr>
      </w:pPr>
      <w:r w:rsidRPr="00C97275">
        <w:rPr>
          <w:rFonts w:ascii="Georgia" w:hAnsi="Georgia"/>
          <w:noProof/>
          <w:lang w:val="lt-LT" w:eastAsia="lt-LT"/>
        </w:rPr>
        <w:drawing>
          <wp:inline distT="0" distB="0" distL="0" distR="0" wp14:anchorId="1CA8EEA9" wp14:editId="1545E808">
            <wp:extent cx="5731510" cy="174879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48790"/>
                    </a:xfrm>
                    <a:prstGeom prst="rect">
                      <a:avLst/>
                    </a:prstGeom>
                  </pic:spPr>
                </pic:pic>
              </a:graphicData>
            </a:graphic>
          </wp:inline>
        </w:drawing>
      </w:r>
    </w:p>
    <w:p w14:paraId="39CAB656" w14:textId="39B63ED4" w:rsidR="0032111C" w:rsidRPr="00C97275" w:rsidRDefault="0032111C" w:rsidP="0032111C">
      <w:pPr>
        <w:jc w:val="both"/>
        <w:rPr>
          <w:rFonts w:ascii="Georgia" w:hAnsi="Georgia"/>
          <w:lang w:val="lt-LT"/>
        </w:rPr>
      </w:pPr>
      <w:r w:rsidRPr="00C97275">
        <w:rPr>
          <w:rFonts w:ascii="Georgia" w:hAnsi="Georgia"/>
          <w:sz w:val="20"/>
          <w:lang w:val="lt-LT"/>
        </w:rPr>
        <w:t>Šioje lentelėje pateikti duomenys dar kartą parodo, kad miestuose ir gyvenvietėse, kuriose šiuo metu šilumos kaina yra apie 0,073 Eur/kWh, daugiabučių modernizavimo projektai</w:t>
      </w:r>
      <w:r w:rsidR="00C31CD5" w:rsidRPr="00C97275">
        <w:rPr>
          <w:rFonts w:ascii="Georgia" w:hAnsi="Georgia"/>
          <w:sz w:val="20"/>
          <w:lang w:val="lt-LT"/>
        </w:rPr>
        <w:t>,</w:t>
      </w:r>
      <w:r w:rsidRPr="00C97275">
        <w:rPr>
          <w:rFonts w:ascii="Georgia" w:hAnsi="Georgia"/>
          <w:sz w:val="20"/>
          <w:lang w:val="lt-LT"/>
        </w:rPr>
        <w:t xml:space="preserve"> gaudami 30 proc. subsidiją</w:t>
      </w:r>
      <w:r w:rsidR="00C31CD5" w:rsidRPr="00C97275">
        <w:rPr>
          <w:rFonts w:ascii="Georgia" w:hAnsi="Georgia"/>
          <w:sz w:val="20"/>
          <w:lang w:val="lt-LT"/>
        </w:rPr>
        <w:t>,</w:t>
      </w:r>
      <w:r w:rsidRPr="00C97275">
        <w:rPr>
          <w:rFonts w:ascii="Georgia" w:hAnsi="Georgia"/>
          <w:sz w:val="20"/>
          <w:lang w:val="lt-LT"/>
        </w:rPr>
        <w:t xml:space="preserve"> atsiperka per </w:t>
      </w:r>
      <w:r w:rsidR="00096FB5" w:rsidRPr="00C97275">
        <w:rPr>
          <w:rFonts w:ascii="Georgia" w:hAnsi="Georgia"/>
          <w:sz w:val="20"/>
          <w:lang w:val="lt-LT"/>
        </w:rPr>
        <w:t>kiek</w:t>
      </w:r>
      <w:r w:rsidRPr="00C97275">
        <w:rPr>
          <w:rFonts w:ascii="Georgia" w:hAnsi="Georgia"/>
          <w:sz w:val="20"/>
          <w:lang w:val="lt-LT"/>
        </w:rPr>
        <w:t xml:space="preserve"> trumpesnį laikotarpį, nei lengvatinės paskolos terminas.</w:t>
      </w:r>
    </w:p>
    <w:p w14:paraId="30C1CA13" w14:textId="11F3B979" w:rsidR="0032111C" w:rsidRPr="00C97275" w:rsidRDefault="0032111C" w:rsidP="0032111C">
      <w:pPr>
        <w:pStyle w:val="Antrat"/>
        <w:jc w:val="both"/>
        <w:rPr>
          <w:lang w:val="lt-LT"/>
        </w:rPr>
      </w:pPr>
      <w:bookmarkStart w:id="155" w:name="_Toc19105255"/>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42</w:t>
      </w:r>
      <w:r w:rsidRPr="00C97275">
        <w:rPr>
          <w:lang w:val="lt-LT"/>
        </w:rPr>
        <w:fldChar w:fldCharType="end"/>
      </w:r>
      <w:r w:rsidRPr="00C97275">
        <w:rPr>
          <w:lang w:val="lt-LT"/>
        </w:rPr>
        <w:t>. Energijos kainos augimo ir subsidijos elemento santykio jautrumo analizė</w:t>
      </w:r>
      <w:bookmarkEnd w:id="155"/>
    </w:p>
    <w:p w14:paraId="157203A9" w14:textId="1F951D24" w:rsidR="0032111C" w:rsidRPr="00C97275" w:rsidRDefault="0032111C" w:rsidP="0032111C">
      <w:pPr>
        <w:rPr>
          <w:rFonts w:ascii="Georgia" w:hAnsi="Georgia"/>
          <w:lang w:val="lt-LT"/>
        </w:rPr>
      </w:pPr>
      <w:r w:rsidRPr="00C97275">
        <w:rPr>
          <w:rFonts w:ascii="Georgia" w:hAnsi="Georgia"/>
          <w:lang w:val="lt-LT"/>
        </w:rPr>
        <w:t xml:space="preserve"> </w:t>
      </w:r>
      <w:r w:rsidRPr="00C97275">
        <w:rPr>
          <w:rFonts w:ascii="Georgia" w:hAnsi="Georgia"/>
          <w:noProof/>
        </w:rPr>
        <w:t xml:space="preserve"> </w:t>
      </w:r>
    </w:p>
    <w:p w14:paraId="4F23C1E7" w14:textId="0720EDAF" w:rsidR="00096FB5" w:rsidRPr="00C97275" w:rsidRDefault="00096FB5" w:rsidP="0032111C">
      <w:pPr>
        <w:jc w:val="both"/>
        <w:rPr>
          <w:rFonts w:ascii="Georgia" w:hAnsi="Georgia"/>
          <w:sz w:val="20"/>
          <w:lang w:val="lt-LT"/>
        </w:rPr>
      </w:pPr>
      <w:r w:rsidRPr="00C97275">
        <w:rPr>
          <w:rFonts w:ascii="Georgia" w:hAnsi="Georgia"/>
          <w:noProof/>
          <w:lang w:val="lt-LT" w:eastAsia="lt-LT"/>
        </w:rPr>
        <w:drawing>
          <wp:inline distT="0" distB="0" distL="0" distR="0" wp14:anchorId="154B11F7" wp14:editId="50093DFB">
            <wp:extent cx="5731510" cy="17430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743075"/>
                    </a:xfrm>
                    <a:prstGeom prst="rect">
                      <a:avLst/>
                    </a:prstGeom>
                  </pic:spPr>
                </pic:pic>
              </a:graphicData>
            </a:graphic>
          </wp:inline>
        </w:drawing>
      </w:r>
    </w:p>
    <w:p w14:paraId="52032C2E" w14:textId="6F2DE7D5" w:rsidR="0032111C" w:rsidRPr="00C97275" w:rsidRDefault="0032111C" w:rsidP="0032111C">
      <w:pPr>
        <w:jc w:val="both"/>
        <w:rPr>
          <w:rFonts w:ascii="Georgia" w:hAnsi="Georgia"/>
          <w:lang w:val="lt-LT"/>
        </w:rPr>
      </w:pPr>
      <w:r w:rsidRPr="00C97275">
        <w:rPr>
          <w:rFonts w:ascii="Georgia" w:hAnsi="Georgia"/>
          <w:sz w:val="20"/>
          <w:lang w:val="lt-LT"/>
        </w:rPr>
        <w:lastRenderedPageBreak/>
        <w:t>2016 m. Lietuvos šilumos tiekėjų asociacijos duomenimis biokuro dalis šilumos gamyboje sudarė 64,2 proc. Prognozuojama, kad biokuro dali</w:t>
      </w:r>
      <w:r w:rsidR="00DB2573" w:rsidRPr="00C97275">
        <w:rPr>
          <w:rFonts w:ascii="Georgia" w:hAnsi="Georgia"/>
          <w:sz w:val="20"/>
          <w:lang w:val="lt-LT"/>
        </w:rPr>
        <w:t>s</w:t>
      </w:r>
      <w:r w:rsidRPr="00C97275">
        <w:rPr>
          <w:rFonts w:ascii="Georgia" w:hAnsi="Georgia"/>
          <w:sz w:val="20"/>
          <w:lang w:val="lt-LT"/>
        </w:rPr>
        <w:t xml:space="preserve"> šilumos gamyboje toliau augs ir 2020 m.</w:t>
      </w:r>
      <w:r w:rsidR="00325FB1" w:rsidRPr="00C97275">
        <w:rPr>
          <w:rFonts w:ascii="Georgia" w:hAnsi="Georgia"/>
          <w:sz w:val="20"/>
          <w:lang w:val="lt-LT"/>
        </w:rPr>
        <w:t>- 2025 m.</w:t>
      </w:r>
      <w:r w:rsidRPr="00C97275">
        <w:rPr>
          <w:rFonts w:ascii="Georgia" w:hAnsi="Georgia"/>
          <w:sz w:val="20"/>
          <w:lang w:val="lt-LT"/>
        </w:rPr>
        <w:t xml:space="preserve"> ji sudarys apie </w:t>
      </w:r>
      <w:r w:rsidR="00325FB1" w:rsidRPr="00C97275">
        <w:rPr>
          <w:rFonts w:ascii="Georgia" w:hAnsi="Georgia"/>
          <w:sz w:val="20"/>
          <w:lang w:val="lt-LT"/>
        </w:rPr>
        <w:t>75-</w:t>
      </w:r>
      <w:r w:rsidRPr="00C97275">
        <w:rPr>
          <w:rFonts w:ascii="Georgia" w:hAnsi="Georgia"/>
          <w:sz w:val="20"/>
          <w:lang w:val="lt-LT"/>
        </w:rPr>
        <w:t>80 proc.</w:t>
      </w:r>
      <w:r w:rsidRPr="00C97275">
        <w:rPr>
          <w:rStyle w:val="Puslapioinaosnuoroda"/>
          <w:rFonts w:ascii="Georgia" w:hAnsi="Georgia"/>
          <w:sz w:val="20"/>
          <w:lang w:val="lt-LT"/>
        </w:rPr>
        <w:footnoteReference w:id="125"/>
      </w:r>
      <w:r w:rsidRPr="00C97275">
        <w:rPr>
          <w:rFonts w:ascii="Georgia" w:hAnsi="Georgia"/>
          <w:sz w:val="20"/>
          <w:lang w:val="lt-LT"/>
        </w:rPr>
        <w:t xml:space="preserve"> Biokuras – vietinis energijos šaltinis, kurio kainos lyginant su iškastiniu kuru, žymiai mažiau priklauso nuo žaliavų kainų svyravimų pasaulinėse rinkose.  Todėl mažai tikėtina, kad biokuro kaina, o kartu ir šilumos kainos augimas ilgesniu laikotarpiu galėtų žymiai viršyti infliacijos rodiklį.   </w:t>
      </w:r>
    </w:p>
    <w:p w14:paraId="5EC2CCFB" w14:textId="49AEC6FE" w:rsidR="0032111C" w:rsidRPr="00C97275" w:rsidRDefault="0032111C" w:rsidP="0032111C">
      <w:pPr>
        <w:jc w:val="both"/>
        <w:rPr>
          <w:rFonts w:ascii="Georgia" w:hAnsi="Georgia"/>
          <w:lang w:val="lt-LT"/>
        </w:rPr>
      </w:pPr>
      <w:r w:rsidRPr="00C97275">
        <w:rPr>
          <w:rFonts w:ascii="Georgia" w:hAnsi="Georgia"/>
          <w:sz w:val="20"/>
          <w:lang w:val="lt-LT"/>
        </w:rPr>
        <w:t>Iš lentelėje pateiktų duomenų matyti, kad esant dabartinei vidutinei šilumos energijos kainai, modernizacijos projektui sutaupant 60 proc. šilumos energijos ir suteikus 30 proc. subsidiją</w:t>
      </w:r>
      <w:r w:rsidR="00D52327" w:rsidRPr="00C97275">
        <w:rPr>
          <w:rFonts w:ascii="Georgia" w:hAnsi="Georgia"/>
          <w:sz w:val="20"/>
          <w:lang w:val="lt-LT"/>
        </w:rPr>
        <w:t>,</w:t>
      </w:r>
      <w:r w:rsidRPr="00C97275">
        <w:rPr>
          <w:rFonts w:ascii="Georgia" w:hAnsi="Georgia"/>
          <w:sz w:val="20"/>
          <w:lang w:val="lt-LT"/>
        </w:rPr>
        <w:t xml:space="preserve"> jis atsipirktų</w:t>
      </w:r>
      <w:r w:rsidR="00325FB1" w:rsidRPr="00C97275">
        <w:rPr>
          <w:rFonts w:ascii="Georgia" w:hAnsi="Georgia"/>
          <w:sz w:val="20"/>
          <w:lang w:val="lt-LT"/>
        </w:rPr>
        <w:t xml:space="preserve"> </w:t>
      </w:r>
      <w:r w:rsidR="00D52327" w:rsidRPr="00C97275">
        <w:rPr>
          <w:rFonts w:ascii="Georgia" w:hAnsi="Georgia"/>
          <w:sz w:val="20"/>
          <w:lang w:val="lt-LT"/>
        </w:rPr>
        <w:t>per 19,</w:t>
      </w:r>
      <w:r w:rsidR="00096FB5" w:rsidRPr="00C97275">
        <w:rPr>
          <w:rFonts w:ascii="Georgia" w:hAnsi="Georgia"/>
          <w:sz w:val="20"/>
          <w:lang w:val="lt-LT"/>
        </w:rPr>
        <w:t>7</w:t>
      </w:r>
      <w:r w:rsidR="00D52327" w:rsidRPr="00C97275">
        <w:rPr>
          <w:rFonts w:ascii="Georgia" w:hAnsi="Georgia"/>
          <w:sz w:val="20"/>
          <w:lang w:val="lt-LT"/>
        </w:rPr>
        <w:t xml:space="preserve"> metų </w:t>
      </w:r>
      <w:r w:rsidRPr="00C97275">
        <w:rPr>
          <w:rFonts w:ascii="Georgia" w:hAnsi="Georgia"/>
          <w:sz w:val="20"/>
          <w:lang w:val="lt-LT"/>
        </w:rPr>
        <w:t xml:space="preserve">šilumos energijai viso paskolos grąžinimo laikotarpiu brangstant po apytiksliai </w:t>
      </w:r>
      <w:r w:rsidR="00096FB5" w:rsidRPr="00C97275">
        <w:rPr>
          <w:rFonts w:ascii="Georgia" w:hAnsi="Georgia"/>
          <w:sz w:val="20"/>
          <w:lang w:val="lt-LT"/>
        </w:rPr>
        <w:t>4</w:t>
      </w:r>
      <w:r w:rsidRPr="00C97275">
        <w:rPr>
          <w:rFonts w:ascii="Georgia" w:hAnsi="Georgia"/>
          <w:sz w:val="20"/>
          <w:lang w:val="lt-LT"/>
        </w:rPr>
        <w:t xml:space="preserve"> proc.  k</w:t>
      </w:r>
      <w:r w:rsidR="00D52327" w:rsidRPr="00C97275">
        <w:rPr>
          <w:rFonts w:ascii="Georgia" w:hAnsi="Georgia"/>
          <w:sz w:val="20"/>
          <w:lang w:val="lt-LT"/>
        </w:rPr>
        <w:t>asmet</w:t>
      </w:r>
      <w:r w:rsidRPr="00C97275">
        <w:rPr>
          <w:rFonts w:ascii="Georgia" w:hAnsi="Georgia"/>
          <w:sz w:val="20"/>
          <w:lang w:val="lt-LT"/>
        </w:rPr>
        <w:t xml:space="preserve">.  Nors absoliučia reikšme </w:t>
      </w:r>
      <w:r w:rsidR="00096FB5" w:rsidRPr="00C97275">
        <w:rPr>
          <w:rFonts w:ascii="Georgia" w:hAnsi="Georgia"/>
          <w:sz w:val="20"/>
          <w:lang w:val="lt-LT"/>
        </w:rPr>
        <w:t xml:space="preserve">4 </w:t>
      </w:r>
      <w:r w:rsidRPr="00C97275">
        <w:rPr>
          <w:rFonts w:ascii="Georgia" w:hAnsi="Georgia"/>
          <w:sz w:val="20"/>
          <w:lang w:val="lt-LT"/>
        </w:rPr>
        <w:t>proc. kainos augimas žaliavų rinkose nėra labai didelis, kaip jau minėta, aukščiau tokio dydžio nuolatinis ir ilgalaikis biokuro, o kartu ir šilumos gamybos kainų augimas</w:t>
      </w:r>
      <w:r w:rsidR="00D52327" w:rsidRPr="00C97275">
        <w:rPr>
          <w:rFonts w:ascii="Georgia" w:hAnsi="Georgia"/>
          <w:sz w:val="20"/>
          <w:lang w:val="lt-LT"/>
        </w:rPr>
        <w:t>,</w:t>
      </w:r>
      <w:r w:rsidRPr="00C97275">
        <w:rPr>
          <w:rFonts w:ascii="Georgia" w:hAnsi="Georgia"/>
          <w:sz w:val="20"/>
          <w:lang w:val="lt-LT"/>
        </w:rPr>
        <w:t xml:space="preserve"> yra labai mažai tikėtinas.</w:t>
      </w:r>
    </w:p>
    <w:p w14:paraId="723EA514" w14:textId="0016B0B6" w:rsidR="0032111C" w:rsidRPr="00C97275" w:rsidRDefault="0032111C" w:rsidP="0032111C">
      <w:pPr>
        <w:pStyle w:val="Antrat"/>
        <w:jc w:val="both"/>
        <w:rPr>
          <w:lang w:val="lt-LT"/>
        </w:rPr>
      </w:pPr>
      <w:bookmarkStart w:id="156" w:name="_Toc19105256"/>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43</w:t>
      </w:r>
      <w:r w:rsidRPr="00C97275">
        <w:rPr>
          <w:lang w:val="lt-LT"/>
        </w:rPr>
        <w:fldChar w:fldCharType="end"/>
      </w:r>
      <w:r w:rsidRPr="00C97275">
        <w:rPr>
          <w:lang w:val="lt-LT"/>
        </w:rPr>
        <w:t>. Energijos suvartojimo prieš renovaciją ir subsidijos elemento santykio jautrumo analizė</w:t>
      </w:r>
      <w:bookmarkEnd w:id="156"/>
    </w:p>
    <w:p w14:paraId="684FDFAF" w14:textId="5114DB7C" w:rsidR="0032111C" w:rsidRPr="00C97275" w:rsidRDefault="0032111C" w:rsidP="0032111C">
      <w:pPr>
        <w:jc w:val="both"/>
        <w:rPr>
          <w:rFonts w:ascii="Georgia" w:hAnsi="Georgia"/>
          <w:lang w:val="lt-LT"/>
        </w:rPr>
      </w:pPr>
      <w:r w:rsidRPr="00C97275">
        <w:rPr>
          <w:rFonts w:ascii="Georgia" w:hAnsi="Georgia"/>
          <w:lang w:val="lt-LT"/>
        </w:rPr>
        <w:t xml:space="preserve">  </w:t>
      </w:r>
      <w:r w:rsidRPr="00C97275">
        <w:rPr>
          <w:rFonts w:ascii="Georgia" w:hAnsi="Georgia"/>
          <w:noProof/>
        </w:rPr>
        <w:t xml:space="preserve"> </w:t>
      </w:r>
    </w:p>
    <w:p w14:paraId="6EDC5899" w14:textId="60429D14" w:rsidR="00096FB5" w:rsidRPr="00C97275" w:rsidRDefault="00096FB5" w:rsidP="0032111C">
      <w:pPr>
        <w:jc w:val="both"/>
        <w:rPr>
          <w:rFonts w:ascii="Georgia" w:hAnsi="Georgia"/>
          <w:sz w:val="20"/>
          <w:lang w:val="lt-LT"/>
        </w:rPr>
      </w:pPr>
      <w:r w:rsidRPr="00C97275">
        <w:rPr>
          <w:rFonts w:ascii="Georgia" w:hAnsi="Georgia"/>
          <w:noProof/>
          <w:lang w:val="lt-LT" w:eastAsia="lt-LT"/>
        </w:rPr>
        <w:drawing>
          <wp:inline distT="0" distB="0" distL="0" distR="0" wp14:anchorId="769103BF" wp14:editId="1ED5EA50">
            <wp:extent cx="5731510" cy="173164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731645"/>
                    </a:xfrm>
                    <a:prstGeom prst="rect">
                      <a:avLst/>
                    </a:prstGeom>
                  </pic:spPr>
                </pic:pic>
              </a:graphicData>
            </a:graphic>
          </wp:inline>
        </w:drawing>
      </w:r>
    </w:p>
    <w:p w14:paraId="5B451A4F" w14:textId="069A38B2" w:rsidR="0032111C" w:rsidRPr="00C97275" w:rsidRDefault="0032111C" w:rsidP="0032111C">
      <w:pPr>
        <w:jc w:val="both"/>
        <w:rPr>
          <w:rFonts w:ascii="Georgia" w:hAnsi="Georgia"/>
          <w:strike/>
          <w:lang w:val="lt-LT"/>
        </w:rPr>
      </w:pPr>
      <w:r w:rsidRPr="00C97275">
        <w:rPr>
          <w:rFonts w:ascii="Georgia" w:hAnsi="Georgia"/>
          <w:sz w:val="20"/>
          <w:lang w:val="lt-LT"/>
        </w:rPr>
        <w:t>Iš lentelėje pateiktų duomenų matyti, kad daugiabučio</w:t>
      </w:r>
      <w:r w:rsidR="00D52327" w:rsidRPr="00C97275">
        <w:rPr>
          <w:rFonts w:ascii="Georgia" w:hAnsi="Georgia"/>
          <w:sz w:val="20"/>
          <w:lang w:val="lt-LT"/>
        </w:rPr>
        <w:t xml:space="preserve"> namo</w:t>
      </w:r>
      <w:r w:rsidRPr="00C97275">
        <w:rPr>
          <w:rFonts w:ascii="Georgia" w:hAnsi="Georgia"/>
          <w:sz w:val="20"/>
          <w:lang w:val="lt-LT"/>
        </w:rPr>
        <w:t>, suvartojančio 215 kWh/m</w:t>
      </w:r>
      <w:r w:rsidRPr="00C97275">
        <w:rPr>
          <w:rFonts w:ascii="Georgia" w:hAnsi="Georgia"/>
          <w:sz w:val="20"/>
          <w:vertAlign w:val="superscript"/>
          <w:lang w:val="lt-LT"/>
        </w:rPr>
        <w:t>2</w:t>
      </w:r>
      <w:r w:rsidRPr="00C97275">
        <w:rPr>
          <w:rFonts w:ascii="Georgia" w:hAnsi="Georgia"/>
          <w:sz w:val="20"/>
          <w:lang w:val="lt-LT"/>
        </w:rPr>
        <w:t xml:space="preserve"> per šildymo sezoną, modernizavimas atsipirktų per</w:t>
      </w:r>
      <w:r w:rsidR="00D52327" w:rsidRPr="00C97275">
        <w:rPr>
          <w:rFonts w:ascii="Georgia" w:hAnsi="Georgia"/>
          <w:sz w:val="20"/>
          <w:lang w:val="lt-LT"/>
        </w:rPr>
        <w:t xml:space="preserve"> 22,8 m.,</w:t>
      </w:r>
      <w:r w:rsidRPr="00C97275">
        <w:rPr>
          <w:rFonts w:ascii="Georgia" w:hAnsi="Georgia"/>
          <w:sz w:val="20"/>
          <w:lang w:val="lt-LT"/>
        </w:rPr>
        <w:t xml:space="preserve"> jei </w:t>
      </w:r>
      <w:r w:rsidR="00D52327" w:rsidRPr="00C97275">
        <w:rPr>
          <w:rFonts w:ascii="Georgia" w:hAnsi="Georgia"/>
          <w:sz w:val="20"/>
          <w:lang w:val="lt-LT"/>
        </w:rPr>
        <w:t>būtų suteikta 30 proc. subsidija</w:t>
      </w:r>
      <w:r w:rsidRPr="00C97275">
        <w:rPr>
          <w:rFonts w:ascii="Georgia" w:hAnsi="Georgia"/>
          <w:sz w:val="20"/>
          <w:lang w:val="lt-LT"/>
        </w:rPr>
        <w:t xml:space="preserve"> ir būtų sutaupyta 60 proc. šilumos energijos.  </w:t>
      </w:r>
    </w:p>
    <w:p w14:paraId="050F2B75" w14:textId="77777777" w:rsidR="0032111C" w:rsidRPr="00C97275" w:rsidRDefault="0032111C" w:rsidP="0032111C">
      <w:pPr>
        <w:jc w:val="both"/>
        <w:rPr>
          <w:rFonts w:ascii="Georgia" w:hAnsi="Georgia"/>
          <w:lang w:val="lt-LT"/>
        </w:rPr>
      </w:pPr>
      <w:r w:rsidRPr="00C97275">
        <w:rPr>
          <w:rFonts w:ascii="Georgia" w:hAnsi="Georgia"/>
          <w:b/>
          <w:sz w:val="20"/>
          <w:lang w:val="lt-LT"/>
        </w:rPr>
        <w:t>Išvada</w:t>
      </w:r>
    </w:p>
    <w:p w14:paraId="3202EA6B" w14:textId="745EAF40" w:rsidR="0032111C" w:rsidRPr="00C97275" w:rsidRDefault="0032111C" w:rsidP="0032111C">
      <w:pPr>
        <w:jc w:val="both"/>
        <w:rPr>
          <w:rFonts w:ascii="Georgia" w:hAnsi="Georgia"/>
          <w:sz w:val="20"/>
          <w:szCs w:val="20"/>
          <w:lang w:val="lt-LT"/>
        </w:rPr>
      </w:pPr>
      <w:r w:rsidRPr="00C97275">
        <w:rPr>
          <w:rFonts w:ascii="Georgia" w:hAnsi="Georgia"/>
          <w:sz w:val="20"/>
          <w:lang w:val="lt-LT"/>
        </w:rPr>
        <w:t xml:space="preserve">Pastaraisiais metais stebėtos tendencijos, kurios </w:t>
      </w:r>
      <w:r w:rsidR="00D52327" w:rsidRPr="00C97275">
        <w:rPr>
          <w:rFonts w:ascii="Georgia" w:hAnsi="Georgia"/>
          <w:sz w:val="20"/>
          <w:lang w:val="lt-LT"/>
        </w:rPr>
        <w:t xml:space="preserve">potencialiai </w:t>
      </w:r>
      <w:r w:rsidR="00715A0F" w:rsidRPr="00C97275">
        <w:rPr>
          <w:rFonts w:ascii="Georgia" w:hAnsi="Georgia"/>
          <w:sz w:val="20"/>
          <w:lang w:val="lt-LT"/>
        </w:rPr>
        <w:t xml:space="preserve">galėjo turėti </w:t>
      </w:r>
      <w:r w:rsidR="00D52327" w:rsidRPr="00C97275">
        <w:rPr>
          <w:rFonts w:ascii="Georgia" w:hAnsi="Georgia"/>
          <w:sz w:val="20"/>
          <w:lang w:val="lt-LT"/>
        </w:rPr>
        <w:t>neigiamą</w:t>
      </w:r>
      <w:r w:rsidRPr="00C97275">
        <w:rPr>
          <w:rFonts w:ascii="Georgia" w:hAnsi="Georgia"/>
          <w:sz w:val="20"/>
          <w:lang w:val="lt-LT"/>
        </w:rPr>
        <w:t xml:space="preserve"> </w:t>
      </w:r>
      <w:r w:rsidR="00D52327" w:rsidRPr="00C97275">
        <w:rPr>
          <w:rFonts w:ascii="Georgia" w:hAnsi="Georgia"/>
          <w:sz w:val="20"/>
          <w:lang w:val="lt-LT"/>
        </w:rPr>
        <w:t>įtaką</w:t>
      </w:r>
      <w:r w:rsidRPr="00C97275">
        <w:rPr>
          <w:rFonts w:ascii="Georgia" w:hAnsi="Georgia"/>
          <w:sz w:val="20"/>
          <w:lang w:val="lt-LT"/>
        </w:rPr>
        <w:t xml:space="preserve"> kiekybiniams daugiabučių namų modernizacijos </w:t>
      </w:r>
      <w:r w:rsidRPr="00C97275">
        <w:rPr>
          <w:rFonts w:ascii="Georgia" w:hAnsi="Georgia"/>
          <w:sz w:val="20"/>
          <w:szCs w:val="20"/>
          <w:lang w:val="lt-LT"/>
        </w:rPr>
        <w:t>projektų atsipirkimo rodikliams</w:t>
      </w:r>
      <w:r w:rsidR="00D52327" w:rsidRPr="00C97275">
        <w:rPr>
          <w:rFonts w:ascii="Georgia" w:hAnsi="Georgia"/>
          <w:sz w:val="20"/>
          <w:szCs w:val="20"/>
          <w:lang w:val="lt-LT"/>
        </w:rPr>
        <w:t xml:space="preserve">, tačiau privaloma pabrėžti, jog </w:t>
      </w:r>
      <w:r w:rsidRPr="00C97275">
        <w:rPr>
          <w:rFonts w:ascii="Georgia" w:hAnsi="Georgia"/>
          <w:sz w:val="20"/>
          <w:szCs w:val="20"/>
          <w:lang w:val="lt-LT"/>
        </w:rPr>
        <w:t xml:space="preserve"> </w:t>
      </w:r>
      <w:r w:rsidR="00D52327" w:rsidRPr="00C97275">
        <w:rPr>
          <w:rFonts w:ascii="Georgia" w:hAnsi="Georgia"/>
          <w:sz w:val="20"/>
          <w:szCs w:val="20"/>
          <w:lang w:val="lt-LT"/>
        </w:rPr>
        <w:t>būsto renovacijos projektai</w:t>
      </w:r>
      <w:r w:rsidRPr="00C97275">
        <w:rPr>
          <w:rFonts w:ascii="Georgia" w:hAnsi="Georgia"/>
          <w:sz w:val="20"/>
          <w:szCs w:val="20"/>
          <w:lang w:val="lt-LT"/>
        </w:rPr>
        <w:t xml:space="preserve"> atneša </w:t>
      </w:r>
      <w:r w:rsidR="00D52327" w:rsidRPr="00C97275">
        <w:rPr>
          <w:rFonts w:ascii="Georgia" w:hAnsi="Georgia"/>
          <w:sz w:val="20"/>
          <w:szCs w:val="20"/>
          <w:lang w:val="lt-LT"/>
        </w:rPr>
        <w:t xml:space="preserve">ir labai daug kokybinės naudos, tokios kaip padidėjusi nekilnojamojo turto kaina, higienos normų užtikrinimas, komfortas ir estetinis pastato vaizdas. </w:t>
      </w:r>
    </w:p>
    <w:p w14:paraId="23A091CE" w14:textId="38EB03C4" w:rsidR="00D52327" w:rsidRPr="00C97275" w:rsidRDefault="00D52327" w:rsidP="0032111C">
      <w:pPr>
        <w:jc w:val="both"/>
        <w:rPr>
          <w:rFonts w:ascii="Georgia" w:hAnsi="Georgia"/>
          <w:szCs w:val="20"/>
          <w:lang w:val="lt-LT"/>
        </w:rPr>
      </w:pPr>
      <w:r w:rsidRPr="00C97275">
        <w:rPr>
          <w:rFonts w:ascii="Georgia" w:hAnsi="Georgia"/>
          <w:sz w:val="20"/>
          <w:szCs w:val="20"/>
          <w:lang w:val="lt-LT"/>
        </w:rPr>
        <w:t>Žemiau pateikiamas skyriaus apibendrinas:</w:t>
      </w:r>
    </w:p>
    <w:p w14:paraId="34E7C637" w14:textId="77777777" w:rsidR="0032111C" w:rsidRPr="00C97275" w:rsidRDefault="0032111C" w:rsidP="0032111C">
      <w:pPr>
        <w:pStyle w:val="Sraassunumeriais"/>
        <w:jc w:val="both"/>
        <w:rPr>
          <w:rFonts w:ascii="Georgia" w:hAnsi="Georgia"/>
          <w:szCs w:val="22"/>
          <w:lang w:val="lt-LT"/>
        </w:rPr>
      </w:pPr>
      <w:r w:rsidRPr="00C97275">
        <w:rPr>
          <w:rFonts w:ascii="Georgia" w:hAnsi="Georgia"/>
          <w:szCs w:val="22"/>
          <w:lang w:val="lt-LT"/>
        </w:rPr>
        <w:t>Stebėtas reikšmingas vidutinės šilumos kainos sumažėjimas šalyje, kurį daugiausiai lėmė investicijos į šilumos gamybos įrenginius, naudojančius biokurą. Pradinėje ataskaitoje skaičiavimuose buvo naudojama šilumos kaina lygi 0,294 lito/kWh arba 0,085 euro/kWh. Šioje ataskaitoje naudojama šilumos kaina lygi 0,053 euro/kWh, t.y. beveik 38 proc. mažesnė nei ankstesnėje ataskaitoje.</w:t>
      </w:r>
    </w:p>
    <w:p w14:paraId="3AAC006D" w14:textId="4AE83536" w:rsidR="0032111C" w:rsidRPr="00C97275" w:rsidRDefault="0032111C" w:rsidP="00D52327">
      <w:pPr>
        <w:pStyle w:val="Sraassunumeriais"/>
        <w:jc w:val="both"/>
        <w:rPr>
          <w:rFonts w:ascii="Georgia" w:hAnsi="Georgia"/>
          <w:szCs w:val="22"/>
          <w:lang w:val="lt-LT"/>
        </w:rPr>
      </w:pPr>
      <w:r w:rsidRPr="00C97275">
        <w:rPr>
          <w:rFonts w:ascii="Georgia" w:hAnsi="Georgia"/>
          <w:szCs w:val="22"/>
          <w:lang w:val="lt-LT"/>
        </w:rPr>
        <w:t xml:space="preserve">Tuo pačiu metu </w:t>
      </w:r>
      <w:r w:rsidR="00D52327" w:rsidRPr="00C97275">
        <w:rPr>
          <w:rFonts w:ascii="Georgia" w:hAnsi="Georgia"/>
          <w:szCs w:val="22"/>
          <w:lang w:val="lt-LT"/>
        </w:rPr>
        <w:t xml:space="preserve">statybos darbų kainos išaugo – </w:t>
      </w:r>
      <w:r w:rsidRPr="00C97275">
        <w:rPr>
          <w:rFonts w:ascii="Georgia" w:hAnsi="Georgia"/>
          <w:szCs w:val="22"/>
          <w:lang w:val="lt-LT"/>
        </w:rPr>
        <w:t>ankstesnėje vertinimo ataskaitoje skaičiuojamos investicijos vienam kvadratiniam metrui modern</w:t>
      </w:r>
      <w:r w:rsidR="00D52327" w:rsidRPr="00C97275">
        <w:rPr>
          <w:rFonts w:ascii="Georgia" w:hAnsi="Georgia"/>
          <w:szCs w:val="22"/>
          <w:lang w:val="lt-LT"/>
        </w:rPr>
        <w:t>izuoti buvo lygios 145 eurui, tačiau š</w:t>
      </w:r>
      <w:r w:rsidRPr="00C97275">
        <w:rPr>
          <w:rFonts w:ascii="Georgia" w:hAnsi="Georgia"/>
          <w:szCs w:val="22"/>
          <w:lang w:val="lt-LT"/>
        </w:rPr>
        <w:t>ioje ataskaitoje investicijos reikalingos vienam kvadratiniam metrui modernizuoti yra lygios 195 eurams, t.y. 34 proc. didesnės.</w:t>
      </w:r>
    </w:p>
    <w:p w14:paraId="73992445" w14:textId="319D21C5" w:rsidR="0032111C" w:rsidRPr="00C97275" w:rsidRDefault="0032111C" w:rsidP="0032111C">
      <w:pPr>
        <w:pStyle w:val="Sraassunumeriais"/>
        <w:jc w:val="both"/>
        <w:rPr>
          <w:rFonts w:ascii="Georgia" w:hAnsi="Georgia"/>
          <w:szCs w:val="22"/>
          <w:lang w:val="lt-LT"/>
        </w:rPr>
      </w:pPr>
      <w:r w:rsidRPr="00C97275">
        <w:rPr>
          <w:rFonts w:ascii="Georgia" w:hAnsi="Georgia"/>
          <w:szCs w:val="22"/>
          <w:lang w:val="lt-LT"/>
        </w:rPr>
        <w:lastRenderedPageBreak/>
        <w:t xml:space="preserve">Būtina pastebėti, kad šilumos kainos atskirose šilumos tiekimo sistemose skiriasi daugiau nei du kartus (2017 m. lapkričio mėn.  duomenimis didžiausia kaina </w:t>
      </w:r>
      <w:r w:rsidRPr="00C97275">
        <w:rPr>
          <w:rFonts w:ascii="Georgia" w:hAnsi="Georgia"/>
          <w:lang w:val="lt-LT"/>
        </w:rPr>
        <w:t>–</w:t>
      </w:r>
      <w:r w:rsidRPr="00C97275">
        <w:rPr>
          <w:rFonts w:ascii="Georgia" w:hAnsi="Georgia"/>
          <w:szCs w:val="22"/>
          <w:lang w:val="lt-LT"/>
        </w:rPr>
        <w:t xml:space="preserve"> </w:t>
      </w:r>
      <w:r w:rsidRPr="00C97275">
        <w:rPr>
          <w:rFonts w:ascii="Georgia" w:hAnsi="Georgia"/>
          <w:lang w:val="lt-LT"/>
        </w:rPr>
        <w:t>9,21 ct/kWh mažiausia kaina – 4,24 ct/kWh su PVM)</w:t>
      </w:r>
      <w:r w:rsidRPr="00C97275">
        <w:rPr>
          <w:rFonts w:ascii="Georgia" w:hAnsi="Georgia"/>
          <w:szCs w:val="22"/>
          <w:lang w:val="lt-LT"/>
        </w:rPr>
        <w:t>. Modernizavimo projektų atsiperkamumo rodikliai būtų žymiai geresni miestuose, kuriuose šiluma šiuo metu yra žymiai brangesnė nei šalies vidurkis. Visgi reikėtų pastebėti, kad šiuose miestuose yra ir didžiausias šilumos kainosi mažėjimo potencialas, didinant biokuro dalį šilumos gamyboje ir diegiant kitas priemones.</w:t>
      </w:r>
      <w:r w:rsidR="007C3790" w:rsidRPr="00C97275">
        <w:rPr>
          <w:rFonts w:ascii="Georgia" w:hAnsi="Georgia"/>
          <w:szCs w:val="22"/>
          <w:lang w:val="lt-LT"/>
        </w:rPr>
        <w:t xml:space="preserve"> Šilumos energijos tiekimas daugiabučiams šildyti yra apmokestinamas 9 proc. lengvatiniu PVM tarifu. Ši lengvata</w:t>
      </w:r>
      <w:r w:rsidR="00325FB1" w:rsidRPr="00C97275">
        <w:rPr>
          <w:rFonts w:ascii="Georgia" w:hAnsi="Georgia"/>
          <w:szCs w:val="22"/>
          <w:lang w:val="lt-LT"/>
        </w:rPr>
        <w:t xml:space="preserve"> ženkliai</w:t>
      </w:r>
      <w:r w:rsidR="007C3790" w:rsidRPr="00C97275">
        <w:rPr>
          <w:rFonts w:ascii="Georgia" w:hAnsi="Georgia"/>
          <w:szCs w:val="22"/>
          <w:lang w:val="lt-LT"/>
        </w:rPr>
        <w:t xml:space="preserve"> mažina centralizuoto šildymo kainą visoje šalyje.</w:t>
      </w:r>
    </w:p>
    <w:p w14:paraId="551160A1" w14:textId="0E457B5C" w:rsidR="0032111C" w:rsidRPr="00C97275" w:rsidRDefault="0032111C" w:rsidP="00FC7C11">
      <w:pPr>
        <w:pStyle w:val="Sraassunumeriais"/>
        <w:jc w:val="both"/>
        <w:rPr>
          <w:rFonts w:ascii="Georgia" w:hAnsi="Georgia"/>
          <w:szCs w:val="22"/>
          <w:lang w:val="lt-LT"/>
        </w:rPr>
      </w:pPr>
      <w:r w:rsidRPr="00C97275">
        <w:rPr>
          <w:rFonts w:ascii="Georgia" w:hAnsi="Georgia"/>
          <w:szCs w:val="22"/>
          <w:lang w:val="lt-LT"/>
        </w:rPr>
        <w:t>Šilumos sutaupy</w:t>
      </w:r>
      <w:r w:rsidR="00FC7C11" w:rsidRPr="00C97275">
        <w:rPr>
          <w:rFonts w:ascii="Georgia" w:hAnsi="Georgia"/>
          <w:szCs w:val="22"/>
          <w:lang w:val="lt-LT"/>
        </w:rPr>
        <w:t xml:space="preserve">mai po modernizavimo </w:t>
      </w:r>
      <w:r w:rsidRPr="00C97275">
        <w:rPr>
          <w:rFonts w:ascii="Georgia" w:hAnsi="Georgia"/>
          <w:szCs w:val="22"/>
          <w:lang w:val="lt-LT"/>
        </w:rPr>
        <w:t>skiriasi</w:t>
      </w:r>
      <w:r w:rsidR="00FC7C11" w:rsidRPr="00C97275">
        <w:rPr>
          <w:rFonts w:ascii="Georgia" w:hAnsi="Georgia"/>
          <w:szCs w:val="22"/>
          <w:lang w:val="lt-LT"/>
        </w:rPr>
        <w:t xml:space="preserve"> taro skirtingų projektų, tačiau dauguma užbaigtų projektų gerokai viršija minimalų 40 proc. sutaupymų slenkstį</w:t>
      </w:r>
      <w:r w:rsidRPr="00C97275">
        <w:rPr>
          <w:rFonts w:ascii="Georgia" w:hAnsi="Georgia"/>
          <w:szCs w:val="22"/>
          <w:lang w:val="lt-LT"/>
        </w:rPr>
        <w:t xml:space="preserve">. BETA pateikti duomenys rodo, kad vidutiniškai po renovacijos daugiabutis </w:t>
      </w:r>
      <w:r w:rsidR="00FC7C11" w:rsidRPr="00C97275">
        <w:rPr>
          <w:rFonts w:ascii="Georgia" w:hAnsi="Georgia"/>
          <w:szCs w:val="22"/>
          <w:lang w:val="lt-LT"/>
        </w:rPr>
        <w:t xml:space="preserve">namas </w:t>
      </w:r>
      <w:r w:rsidRPr="00C97275">
        <w:rPr>
          <w:rFonts w:ascii="Georgia" w:hAnsi="Georgia"/>
          <w:szCs w:val="22"/>
          <w:lang w:val="lt-LT"/>
        </w:rPr>
        <w:t>sutaupo 64 proc. šilumos energijos (skaičiavimuose naudotas konservatyvesnis suapvalintas 60 proc. rodiklis). Detalesni BETA renovuotų daugiabučių</w:t>
      </w:r>
      <w:r w:rsidR="00FC7C11" w:rsidRPr="00C97275">
        <w:rPr>
          <w:rFonts w:ascii="Georgia" w:hAnsi="Georgia"/>
          <w:szCs w:val="22"/>
          <w:lang w:val="lt-LT"/>
        </w:rPr>
        <w:t xml:space="preserve"> namų</w:t>
      </w:r>
      <w:r w:rsidRPr="00C97275">
        <w:rPr>
          <w:rFonts w:ascii="Georgia" w:hAnsi="Georgia"/>
          <w:szCs w:val="22"/>
          <w:lang w:val="lt-LT"/>
        </w:rPr>
        <w:t xml:space="preserve"> tyrimo duomenys rodo, kad nemaža modernizavimo </w:t>
      </w:r>
      <w:r w:rsidR="00FC7C11" w:rsidRPr="00C97275">
        <w:rPr>
          <w:rFonts w:ascii="Georgia" w:hAnsi="Georgia"/>
          <w:szCs w:val="22"/>
          <w:lang w:val="lt-LT"/>
        </w:rPr>
        <w:t xml:space="preserve">projektų </w:t>
      </w:r>
      <w:r w:rsidRPr="00C97275">
        <w:rPr>
          <w:rFonts w:ascii="Georgia" w:hAnsi="Georgia"/>
          <w:szCs w:val="22"/>
          <w:lang w:val="lt-LT"/>
        </w:rPr>
        <w:t>dalis sutaupo gerokai daugiau nei 60 proc. šilumos</w:t>
      </w:r>
      <w:r w:rsidR="00FC7C11" w:rsidRPr="00C97275">
        <w:rPr>
          <w:rFonts w:ascii="Georgia" w:hAnsi="Georgia"/>
          <w:szCs w:val="22"/>
          <w:lang w:val="lt-LT"/>
        </w:rPr>
        <w:t xml:space="preserve"> energijos – </w:t>
      </w:r>
      <w:r w:rsidR="00C10743" w:rsidRPr="00C97275">
        <w:rPr>
          <w:rFonts w:ascii="Georgia" w:hAnsi="Georgia"/>
          <w:szCs w:val="22"/>
          <w:lang w:val="lt-LT"/>
        </w:rPr>
        <w:t>11 proc.</w:t>
      </w:r>
      <w:r w:rsidRPr="00C97275">
        <w:rPr>
          <w:rFonts w:ascii="Georgia" w:hAnsi="Georgia"/>
          <w:szCs w:val="22"/>
          <w:lang w:val="lt-LT"/>
        </w:rPr>
        <w:t xml:space="preserve"> visų </w:t>
      </w:r>
      <w:r w:rsidR="00C10743" w:rsidRPr="00C97275">
        <w:rPr>
          <w:rFonts w:ascii="Georgia" w:hAnsi="Georgia"/>
          <w:szCs w:val="22"/>
          <w:lang w:val="lt-LT"/>
        </w:rPr>
        <w:t>2015 metais</w:t>
      </w:r>
      <w:r w:rsidRPr="00C97275">
        <w:rPr>
          <w:rFonts w:ascii="Georgia" w:hAnsi="Georgia"/>
          <w:szCs w:val="22"/>
          <w:lang w:val="lt-LT"/>
        </w:rPr>
        <w:t xml:space="preserve"> modernizuotų daugiabučių sutaupė 70 ir daugiau procentų šilumos </w:t>
      </w:r>
      <w:r w:rsidR="00C10743" w:rsidRPr="00C97275">
        <w:rPr>
          <w:rFonts w:ascii="Georgia" w:hAnsi="Georgia"/>
          <w:szCs w:val="22"/>
          <w:lang w:val="lt-LT"/>
        </w:rPr>
        <w:t>energijos</w:t>
      </w:r>
      <w:r w:rsidRPr="00C97275">
        <w:rPr>
          <w:rFonts w:ascii="Georgia" w:hAnsi="Georgia"/>
          <w:szCs w:val="22"/>
          <w:lang w:val="lt-LT"/>
        </w:rPr>
        <w:t>.</w:t>
      </w:r>
    </w:p>
    <w:p w14:paraId="16B4DA2E" w14:textId="7D6F5C6B" w:rsidR="0032111C" w:rsidRPr="00C97275" w:rsidRDefault="0032111C" w:rsidP="0032111C">
      <w:pPr>
        <w:pStyle w:val="Sraassunumeriais"/>
        <w:jc w:val="both"/>
        <w:rPr>
          <w:rFonts w:ascii="Georgia" w:hAnsi="Georgia"/>
          <w:b/>
          <w:szCs w:val="22"/>
          <w:lang w:val="lt-LT"/>
        </w:rPr>
      </w:pPr>
      <w:r w:rsidRPr="00C97275">
        <w:rPr>
          <w:rFonts w:ascii="Georgia" w:hAnsi="Georgia"/>
          <w:szCs w:val="22"/>
          <w:lang w:val="lt-LT"/>
        </w:rPr>
        <w:t>Šilumos su</w:t>
      </w:r>
      <w:r w:rsidR="00C10743" w:rsidRPr="00C97275">
        <w:rPr>
          <w:rFonts w:ascii="Georgia" w:hAnsi="Georgia"/>
          <w:szCs w:val="22"/>
          <w:lang w:val="lt-LT"/>
        </w:rPr>
        <w:t xml:space="preserve">taupymai yra tik viena iš daugiabučių modernizacijos naudų. </w:t>
      </w:r>
      <w:r w:rsidRPr="00C97275">
        <w:rPr>
          <w:rFonts w:ascii="Georgia" w:hAnsi="Georgia"/>
          <w:szCs w:val="22"/>
          <w:lang w:val="lt-LT"/>
        </w:rPr>
        <w:t>Kitos naudos, tokios kaip nekilnojamojo turto kainos išaugimas, patogesnė, sveikesnė gyvenamoji aplinka ir kiti panašūs veiksniai, kiekybiškai nebuvo vertinti.</w:t>
      </w:r>
      <w:r w:rsidRPr="00C97275">
        <w:rPr>
          <w:rFonts w:ascii="Georgia" w:hAnsi="Georgia"/>
          <w:b/>
          <w:szCs w:val="22"/>
          <w:lang w:val="lt-LT"/>
        </w:rPr>
        <w:t xml:space="preserve"> </w:t>
      </w:r>
    </w:p>
    <w:p w14:paraId="3322DA72" w14:textId="5B600D79" w:rsidR="0032111C" w:rsidRPr="00C97275" w:rsidRDefault="0032111C" w:rsidP="0032111C">
      <w:pPr>
        <w:pStyle w:val="Sraassunumeriais"/>
        <w:jc w:val="both"/>
        <w:rPr>
          <w:rFonts w:ascii="Georgia" w:hAnsi="Georgia"/>
          <w:szCs w:val="22"/>
          <w:lang w:val="lt-LT"/>
        </w:rPr>
      </w:pPr>
      <w:r w:rsidRPr="00C97275">
        <w:rPr>
          <w:rFonts w:ascii="Georgia" w:hAnsi="Georgia"/>
          <w:b/>
          <w:szCs w:val="22"/>
          <w:lang w:val="lt-LT"/>
        </w:rPr>
        <w:t>Šiuo metu valstybės parama daugiabučių namų modernizavimo projektams sudaro 30 proc. investicijų, tenkančių energinį efektyvumą didinančioms priemonėms.</w:t>
      </w:r>
      <w:r w:rsidRPr="00C97275">
        <w:rPr>
          <w:rFonts w:ascii="Georgia" w:hAnsi="Georgia"/>
          <w:szCs w:val="22"/>
          <w:lang w:val="lt-LT"/>
        </w:rPr>
        <w:t xml:space="preserve"> </w:t>
      </w:r>
      <w:r w:rsidR="00C10743" w:rsidRPr="00C97275">
        <w:rPr>
          <w:rFonts w:ascii="Georgia" w:hAnsi="Georgia"/>
          <w:b/>
          <w:szCs w:val="22"/>
          <w:lang w:val="lt-LT"/>
        </w:rPr>
        <w:t xml:space="preserve">Teigiama pastarųjų metų patirtis rodo, kad </w:t>
      </w:r>
      <w:r w:rsidRPr="00C97275">
        <w:rPr>
          <w:rFonts w:ascii="Georgia" w:hAnsi="Georgia"/>
          <w:b/>
          <w:szCs w:val="22"/>
          <w:lang w:val="lt-LT"/>
        </w:rPr>
        <w:t>toks paramos dydis užtikrina didelį gyve</w:t>
      </w:r>
      <w:r w:rsidR="00C10743" w:rsidRPr="00C97275">
        <w:rPr>
          <w:rFonts w:ascii="Georgia" w:hAnsi="Georgia"/>
          <w:b/>
          <w:szCs w:val="22"/>
          <w:lang w:val="lt-LT"/>
        </w:rPr>
        <w:t>ntojų susidomėjimą modernizacija</w:t>
      </w:r>
      <w:r w:rsidRPr="00C97275">
        <w:rPr>
          <w:rFonts w:ascii="Georgia" w:hAnsi="Georgia"/>
          <w:b/>
          <w:szCs w:val="22"/>
          <w:lang w:val="lt-LT"/>
        </w:rPr>
        <w:t xml:space="preserve"> ir pakankamą projektų srautą</w:t>
      </w:r>
      <w:r w:rsidR="00C10743" w:rsidRPr="00C97275">
        <w:rPr>
          <w:rFonts w:ascii="Georgia" w:hAnsi="Georgia"/>
          <w:b/>
          <w:szCs w:val="22"/>
          <w:lang w:val="lt-LT"/>
        </w:rPr>
        <w:t>, bei pakankamą projektų atsiperkamumą</w:t>
      </w:r>
      <w:r w:rsidRPr="00C97275">
        <w:rPr>
          <w:rFonts w:ascii="Georgia" w:hAnsi="Georgia"/>
          <w:b/>
          <w:szCs w:val="22"/>
          <w:lang w:val="lt-LT"/>
        </w:rPr>
        <w:t>.</w:t>
      </w:r>
      <w:r w:rsidRPr="00C97275">
        <w:rPr>
          <w:rFonts w:ascii="Georgia" w:hAnsi="Georgia"/>
          <w:szCs w:val="22"/>
          <w:lang w:val="lt-LT"/>
        </w:rPr>
        <w:t xml:space="preserve"> </w:t>
      </w:r>
    </w:p>
    <w:p w14:paraId="5B23290B" w14:textId="17E55AA9" w:rsidR="0032111C" w:rsidRPr="00C97275" w:rsidRDefault="00C10743" w:rsidP="0032111C">
      <w:pPr>
        <w:pStyle w:val="Sraassunumeriais"/>
        <w:numPr>
          <w:ilvl w:val="0"/>
          <w:numId w:val="0"/>
        </w:numPr>
        <w:jc w:val="both"/>
        <w:rPr>
          <w:rFonts w:ascii="Georgia" w:hAnsi="Georgia"/>
          <w:szCs w:val="22"/>
          <w:lang w:val="lt-LT"/>
        </w:rPr>
      </w:pPr>
      <w:r w:rsidRPr="00C97275">
        <w:rPr>
          <w:rFonts w:ascii="Georgia" w:hAnsi="Georgia"/>
          <w:b/>
          <w:color w:val="632423" w:themeColor="accent2" w:themeShade="80"/>
          <w:szCs w:val="22"/>
          <w:lang w:val="lt-LT"/>
        </w:rPr>
        <w:t>Atsižvelgdami į aukščiau pateiktą apibendrinimą, r</w:t>
      </w:r>
      <w:r w:rsidR="0032111C" w:rsidRPr="00C97275">
        <w:rPr>
          <w:rFonts w:ascii="Georgia" w:hAnsi="Georgia"/>
          <w:b/>
          <w:color w:val="632423" w:themeColor="accent2" w:themeShade="80"/>
          <w:szCs w:val="22"/>
          <w:lang w:val="lt-LT"/>
        </w:rPr>
        <w:t>ekomenduojame daugiabučių namų modernizavimo projektams ir toliau</w:t>
      </w:r>
      <w:r w:rsidR="0032111C" w:rsidRPr="00C97275">
        <w:rPr>
          <w:rFonts w:ascii="Georgia" w:hAnsi="Georgia"/>
          <w:color w:val="632423" w:themeColor="accent2" w:themeShade="80"/>
          <w:szCs w:val="22"/>
          <w:lang w:val="lt-LT"/>
        </w:rPr>
        <w:t xml:space="preserve"> </w:t>
      </w:r>
      <w:r w:rsidR="0032111C" w:rsidRPr="00C97275">
        <w:rPr>
          <w:rFonts w:ascii="Georgia" w:eastAsiaTheme="majorEastAsia" w:hAnsi="Georgia" w:cstheme="majorBidi"/>
          <w:b/>
          <w:bCs/>
          <w:color w:val="632423" w:themeColor="accent2" w:themeShade="80"/>
          <w:lang w:val="lt-LT"/>
        </w:rPr>
        <w:t>taikyti 30 proc. subsidiją</w:t>
      </w:r>
      <w:r w:rsidR="0032111C" w:rsidRPr="00C97275">
        <w:rPr>
          <w:rFonts w:ascii="Georgia" w:eastAsiaTheme="majorEastAsia" w:hAnsi="Georgia" w:cstheme="majorBidi"/>
          <w:b/>
          <w:bCs/>
          <w:color w:val="821A1A"/>
          <w:lang w:val="lt-LT"/>
        </w:rPr>
        <w:t xml:space="preserve">. </w:t>
      </w:r>
      <w:r w:rsidR="0032111C" w:rsidRPr="00C97275">
        <w:rPr>
          <w:rFonts w:ascii="Georgia" w:hAnsi="Georgia"/>
          <w:color w:val="000000" w:themeColor="text1"/>
          <w:szCs w:val="22"/>
          <w:lang w:val="lt-LT"/>
        </w:rPr>
        <w:t xml:space="preserve">Toks subsidijos lygis užtikrintų </w:t>
      </w:r>
      <w:r w:rsidR="0032111C" w:rsidRPr="00C97275">
        <w:rPr>
          <w:rFonts w:ascii="Georgia" w:hAnsi="Georgia"/>
          <w:szCs w:val="22"/>
          <w:lang w:val="lt-LT"/>
        </w:rPr>
        <w:t xml:space="preserve">atsipirkimą iš sutaupytų mokėjimų už šilumos energiją per paskolos laikotarpį energiniu požiūriu neefektyvių daugiabučių projektuose. Kaip rodo sukaupta patirtis, toks subsidijos dydis </w:t>
      </w:r>
      <w:r w:rsidR="00A27CDD" w:rsidRPr="00C97275">
        <w:rPr>
          <w:rFonts w:ascii="Georgia" w:hAnsi="Georgia"/>
          <w:szCs w:val="22"/>
          <w:lang w:val="lt-LT"/>
        </w:rPr>
        <w:t>yra optimali</w:t>
      </w:r>
      <w:r w:rsidR="0032111C" w:rsidRPr="00C97275">
        <w:rPr>
          <w:rFonts w:ascii="Georgia" w:hAnsi="Georgia"/>
          <w:szCs w:val="22"/>
          <w:lang w:val="lt-LT"/>
        </w:rPr>
        <w:t xml:space="preserve"> paskata daugiabučių namų gyventojams i</w:t>
      </w:r>
      <w:r w:rsidR="00A27CDD" w:rsidRPr="00C97275">
        <w:rPr>
          <w:rFonts w:ascii="Georgia" w:hAnsi="Georgia"/>
          <w:szCs w:val="22"/>
          <w:lang w:val="lt-LT"/>
        </w:rPr>
        <w:t>nicijuoti modernizavimo projektus.</w:t>
      </w:r>
    </w:p>
    <w:p w14:paraId="3E016288" w14:textId="02985BA2" w:rsidR="0032111C" w:rsidRPr="00C97275" w:rsidRDefault="0032111C" w:rsidP="00C15C81">
      <w:pPr>
        <w:rPr>
          <w:rFonts w:ascii="Georgia" w:hAnsi="Georgia"/>
          <w:sz w:val="20"/>
          <w:lang w:val="lt-LT"/>
        </w:rPr>
      </w:pPr>
    </w:p>
    <w:p w14:paraId="2A9D6EE4" w14:textId="78BE486C" w:rsidR="00280058" w:rsidRPr="00C97275" w:rsidRDefault="00280058" w:rsidP="00C03122">
      <w:pPr>
        <w:pStyle w:val="Antrat2"/>
        <w:numPr>
          <w:ilvl w:val="2"/>
          <w:numId w:val="2"/>
        </w:numPr>
        <w:rPr>
          <w:rFonts w:ascii="Georgia" w:hAnsi="Georgia"/>
          <w:lang w:val="lt-LT"/>
        </w:rPr>
      </w:pPr>
      <w:bookmarkStart w:id="157" w:name="_Toc503766103"/>
      <w:bookmarkStart w:id="158" w:name="_Toc503766779"/>
      <w:bookmarkStart w:id="159" w:name="_Toc503766977"/>
      <w:bookmarkStart w:id="160" w:name="_Toc503766104"/>
      <w:bookmarkStart w:id="161" w:name="_Toc503766780"/>
      <w:bookmarkStart w:id="162" w:name="_Toc503766978"/>
      <w:bookmarkStart w:id="163" w:name="_Toc402352625"/>
      <w:bookmarkStart w:id="164" w:name="_Toc25594682"/>
      <w:bookmarkEnd w:id="146"/>
      <w:bookmarkEnd w:id="157"/>
      <w:bookmarkEnd w:id="158"/>
      <w:bookmarkEnd w:id="159"/>
      <w:bookmarkEnd w:id="160"/>
      <w:bookmarkEnd w:id="161"/>
      <w:bookmarkEnd w:id="162"/>
      <w:r w:rsidRPr="00C97275">
        <w:rPr>
          <w:rFonts w:ascii="Georgia" w:hAnsi="Georgia"/>
          <w:lang w:val="lt-LT"/>
        </w:rPr>
        <w:t>Viešųjų pastatų renovacijos jautrumo analizė</w:t>
      </w:r>
      <w:bookmarkEnd w:id="163"/>
      <w:bookmarkEnd w:id="164"/>
    </w:p>
    <w:p w14:paraId="74B3EAA1" w14:textId="77777777" w:rsidR="00280058" w:rsidRPr="00C97275" w:rsidRDefault="00280058" w:rsidP="00280058">
      <w:pPr>
        <w:jc w:val="both"/>
        <w:rPr>
          <w:rFonts w:ascii="Georgia" w:hAnsi="Georgia"/>
          <w:sz w:val="20"/>
          <w:lang w:val="lt-LT"/>
        </w:rPr>
      </w:pPr>
    </w:p>
    <w:p w14:paraId="2AFD4A82" w14:textId="7EB1FBFF" w:rsidR="00280058" w:rsidRPr="00C97275" w:rsidRDefault="00280058" w:rsidP="00280058">
      <w:pPr>
        <w:rPr>
          <w:rFonts w:ascii="Georgia" w:hAnsi="Georgia"/>
          <w:b/>
          <w:sz w:val="20"/>
          <w:lang w:val="lt-LT"/>
        </w:rPr>
      </w:pPr>
    </w:p>
    <w:p w14:paraId="52201FC3" w14:textId="54A05CB1" w:rsidR="00280058" w:rsidRPr="00C97275" w:rsidRDefault="00280058" w:rsidP="00C03122">
      <w:pPr>
        <w:pStyle w:val="Antrat2"/>
        <w:numPr>
          <w:ilvl w:val="2"/>
          <w:numId w:val="2"/>
        </w:numPr>
        <w:rPr>
          <w:rFonts w:ascii="Georgia" w:hAnsi="Georgia"/>
          <w:lang w:val="lt-LT"/>
        </w:rPr>
      </w:pPr>
      <w:bookmarkStart w:id="165" w:name="_Toc402352626"/>
      <w:bookmarkStart w:id="166" w:name="_Toc25594683"/>
      <w:r w:rsidRPr="00C97275">
        <w:rPr>
          <w:rFonts w:ascii="Georgia" w:hAnsi="Georgia"/>
          <w:lang w:val="lt-LT"/>
        </w:rPr>
        <w:t>Alternatyvų palyginimas</w:t>
      </w:r>
      <w:bookmarkEnd w:id="165"/>
      <w:bookmarkEnd w:id="166"/>
    </w:p>
    <w:p w14:paraId="5B31FA64" w14:textId="77777777" w:rsidR="009F7825" w:rsidRPr="00C97275" w:rsidRDefault="009F7825" w:rsidP="009F7825">
      <w:pPr>
        <w:jc w:val="both"/>
        <w:rPr>
          <w:rFonts w:ascii="Georgia" w:hAnsi="Georgia"/>
          <w:sz w:val="20"/>
          <w:szCs w:val="20"/>
          <w:lang w:val="lt-LT"/>
        </w:rPr>
      </w:pPr>
      <w:bookmarkStart w:id="167" w:name="_Toc399924055"/>
      <w:bookmarkStart w:id="168" w:name="_Toc402352629"/>
    </w:p>
    <w:p w14:paraId="7DF84346" w14:textId="1CECEBCE" w:rsidR="009F7825" w:rsidRPr="00C97275" w:rsidRDefault="009F7825" w:rsidP="009F7825">
      <w:pPr>
        <w:jc w:val="both"/>
        <w:rPr>
          <w:rFonts w:ascii="Georgia" w:hAnsi="Georgia"/>
          <w:sz w:val="20"/>
          <w:szCs w:val="20"/>
          <w:lang w:val="lt-LT"/>
        </w:rPr>
      </w:pPr>
      <w:r w:rsidRPr="00C97275">
        <w:rPr>
          <w:rFonts w:ascii="Georgia" w:hAnsi="Georgia"/>
          <w:sz w:val="20"/>
          <w:szCs w:val="20"/>
          <w:lang w:val="lt-LT"/>
        </w:rPr>
        <w:t>Pažymėtina,</w:t>
      </w:r>
      <w:r w:rsidR="00306810" w:rsidRPr="00C97275">
        <w:rPr>
          <w:rFonts w:ascii="Georgia" w:hAnsi="Georgia"/>
          <w:sz w:val="20"/>
          <w:szCs w:val="20"/>
          <w:lang w:val="lt-LT"/>
        </w:rPr>
        <w:t xml:space="preserve"> </w:t>
      </w:r>
      <w:r w:rsidRPr="00C97275">
        <w:rPr>
          <w:rFonts w:ascii="Georgia" w:hAnsi="Georgia"/>
          <w:sz w:val="20"/>
          <w:szCs w:val="20"/>
          <w:lang w:val="lt-LT"/>
        </w:rPr>
        <w:t xml:space="preserve"> jog alternatyvų palyginime </w:t>
      </w:r>
      <w:r w:rsidR="00796F72" w:rsidRPr="00C97275">
        <w:rPr>
          <w:rFonts w:ascii="Georgia" w:hAnsi="Georgia"/>
          <w:sz w:val="20"/>
          <w:szCs w:val="20"/>
          <w:lang w:val="lt-LT"/>
        </w:rPr>
        <w:t xml:space="preserve">nagrinėjamos </w:t>
      </w:r>
      <w:r w:rsidRPr="00C97275">
        <w:rPr>
          <w:rFonts w:ascii="Georgia" w:hAnsi="Georgia"/>
          <w:sz w:val="20"/>
          <w:szCs w:val="20"/>
          <w:lang w:val="lt-LT"/>
        </w:rPr>
        <w:t xml:space="preserve">finansinės priemonės </w:t>
      </w:r>
      <w:r w:rsidR="007B4CB3" w:rsidRPr="00C97275">
        <w:rPr>
          <w:rFonts w:ascii="Georgia" w:hAnsi="Georgia"/>
          <w:sz w:val="20"/>
          <w:szCs w:val="20"/>
          <w:lang w:val="lt-LT"/>
        </w:rPr>
        <w:t>įgyvendinimo scenarijai</w:t>
      </w:r>
      <w:r w:rsidRPr="00C97275">
        <w:rPr>
          <w:rFonts w:ascii="Georgia" w:hAnsi="Georgia"/>
          <w:sz w:val="20"/>
          <w:szCs w:val="20"/>
          <w:lang w:val="lt-LT"/>
        </w:rPr>
        <w:t xml:space="preserve"> yra </w:t>
      </w:r>
      <w:r w:rsidR="007B4CB3" w:rsidRPr="00C97275">
        <w:rPr>
          <w:rFonts w:ascii="Georgia" w:hAnsi="Georgia"/>
          <w:sz w:val="20"/>
          <w:szCs w:val="20"/>
          <w:lang w:val="lt-LT"/>
        </w:rPr>
        <w:t xml:space="preserve">tik </w:t>
      </w:r>
      <w:r w:rsidRPr="00C97275">
        <w:rPr>
          <w:rFonts w:ascii="Georgia" w:hAnsi="Georgia"/>
          <w:sz w:val="20"/>
          <w:szCs w:val="20"/>
          <w:lang w:val="lt-LT"/>
        </w:rPr>
        <w:t>pavyzdiniai</w:t>
      </w:r>
      <w:r w:rsidR="00306810" w:rsidRPr="00C97275">
        <w:rPr>
          <w:rFonts w:ascii="Georgia" w:hAnsi="Georgia"/>
          <w:sz w:val="20"/>
          <w:szCs w:val="20"/>
          <w:lang w:val="lt-LT"/>
        </w:rPr>
        <w:t>,</w:t>
      </w:r>
      <w:r w:rsidRPr="00C97275">
        <w:rPr>
          <w:rFonts w:ascii="Georgia" w:hAnsi="Georgia"/>
          <w:sz w:val="20"/>
          <w:szCs w:val="20"/>
          <w:lang w:val="lt-LT"/>
        </w:rPr>
        <w:t xml:space="preserve"> siekiant </w:t>
      </w:r>
      <w:r w:rsidR="00306810" w:rsidRPr="00C97275">
        <w:rPr>
          <w:rFonts w:ascii="Georgia" w:hAnsi="Georgia"/>
          <w:sz w:val="20"/>
          <w:szCs w:val="20"/>
          <w:lang w:val="lt-LT"/>
        </w:rPr>
        <w:t xml:space="preserve">apibrėžti kiekybiniu atžvilgiu </w:t>
      </w:r>
      <w:r w:rsidR="007B4CB3" w:rsidRPr="00C97275">
        <w:rPr>
          <w:rFonts w:ascii="Georgia" w:hAnsi="Georgia"/>
          <w:sz w:val="20"/>
          <w:szCs w:val="20"/>
          <w:lang w:val="lt-LT"/>
        </w:rPr>
        <w:t>didžiausią pridėtinę vertę kurian</w:t>
      </w:r>
      <w:r w:rsidR="00306810" w:rsidRPr="00C97275">
        <w:rPr>
          <w:rFonts w:ascii="Georgia" w:hAnsi="Georgia"/>
          <w:sz w:val="20"/>
          <w:szCs w:val="20"/>
          <w:lang w:val="lt-LT"/>
        </w:rPr>
        <w:t>tį</w:t>
      </w:r>
      <w:r w:rsidR="007B4CB3" w:rsidRPr="00C97275">
        <w:rPr>
          <w:rFonts w:ascii="Georgia" w:hAnsi="Georgia"/>
          <w:sz w:val="20"/>
          <w:szCs w:val="20"/>
          <w:lang w:val="lt-LT"/>
        </w:rPr>
        <w:t xml:space="preserve"> </w:t>
      </w:r>
      <w:r w:rsidRPr="00C97275">
        <w:rPr>
          <w:rFonts w:ascii="Georgia" w:hAnsi="Georgia"/>
          <w:sz w:val="20"/>
          <w:szCs w:val="20"/>
          <w:lang w:val="lt-LT"/>
        </w:rPr>
        <w:t>finansin</w:t>
      </w:r>
      <w:r w:rsidR="00306810" w:rsidRPr="00C97275">
        <w:rPr>
          <w:rFonts w:ascii="Georgia" w:hAnsi="Georgia"/>
          <w:sz w:val="20"/>
          <w:szCs w:val="20"/>
          <w:lang w:val="lt-LT"/>
        </w:rPr>
        <w:t>ės</w:t>
      </w:r>
      <w:r w:rsidRPr="00C97275">
        <w:rPr>
          <w:rFonts w:ascii="Georgia" w:hAnsi="Georgia"/>
          <w:sz w:val="20"/>
          <w:szCs w:val="20"/>
          <w:lang w:val="lt-LT"/>
        </w:rPr>
        <w:t xml:space="preserve"> priemon</w:t>
      </w:r>
      <w:r w:rsidR="00306810" w:rsidRPr="00C97275">
        <w:rPr>
          <w:rFonts w:ascii="Georgia" w:hAnsi="Georgia"/>
          <w:sz w:val="20"/>
          <w:szCs w:val="20"/>
          <w:lang w:val="lt-LT"/>
        </w:rPr>
        <w:t>ės modelį. T</w:t>
      </w:r>
      <w:r w:rsidRPr="00C97275">
        <w:rPr>
          <w:rFonts w:ascii="Georgia" w:hAnsi="Georgia"/>
          <w:sz w:val="20"/>
          <w:szCs w:val="20"/>
          <w:lang w:val="lt-LT"/>
        </w:rPr>
        <w:t>ačiau tai neriboja</w:t>
      </w:r>
      <w:r w:rsidR="00306810" w:rsidRPr="00C97275">
        <w:rPr>
          <w:rFonts w:ascii="Georgia" w:hAnsi="Georgia"/>
          <w:sz w:val="20"/>
          <w:szCs w:val="20"/>
          <w:lang w:val="lt-LT"/>
        </w:rPr>
        <w:t xml:space="preserve"> vadovaujančiosios institucijos, </w:t>
      </w:r>
      <w:r w:rsidRPr="00C97275">
        <w:rPr>
          <w:rFonts w:ascii="Georgia" w:hAnsi="Georgia"/>
          <w:sz w:val="20"/>
          <w:szCs w:val="20"/>
          <w:lang w:val="lt-LT"/>
        </w:rPr>
        <w:t xml:space="preserve"> finansinės priemonės (ar fondų fondo) valdytojo ar ministerijų</w:t>
      </w:r>
      <w:r w:rsidR="00306810" w:rsidRPr="00C97275">
        <w:rPr>
          <w:rFonts w:ascii="Georgia" w:hAnsi="Georgia"/>
          <w:sz w:val="20"/>
          <w:szCs w:val="20"/>
          <w:lang w:val="lt-LT"/>
        </w:rPr>
        <w:t xml:space="preserve"> pasirinkimo</w:t>
      </w:r>
      <w:r w:rsidRPr="00C97275">
        <w:rPr>
          <w:rFonts w:ascii="Georgia" w:hAnsi="Georgia"/>
          <w:sz w:val="20"/>
          <w:szCs w:val="20"/>
          <w:lang w:val="lt-LT"/>
        </w:rPr>
        <w:t xml:space="preserve"> taikyti kit</w:t>
      </w:r>
      <w:r w:rsidR="00306810" w:rsidRPr="00C97275">
        <w:rPr>
          <w:rFonts w:ascii="Georgia" w:hAnsi="Georgia"/>
          <w:sz w:val="20"/>
          <w:szCs w:val="20"/>
          <w:lang w:val="lt-LT"/>
        </w:rPr>
        <w:t>us</w:t>
      </w:r>
      <w:r w:rsidR="00D9139B" w:rsidRPr="00C97275">
        <w:rPr>
          <w:rFonts w:ascii="Georgia" w:hAnsi="Georgia"/>
          <w:sz w:val="20"/>
          <w:szCs w:val="20"/>
          <w:lang w:val="lt-LT"/>
        </w:rPr>
        <w:t xml:space="preserve"> </w:t>
      </w:r>
      <w:r w:rsidRPr="00C97275">
        <w:rPr>
          <w:rFonts w:ascii="Georgia" w:hAnsi="Georgia"/>
          <w:sz w:val="20"/>
          <w:szCs w:val="20"/>
          <w:lang w:val="lt-LT"/>
        </w:rPr>
        <w:t xml:space="preserve">finansinės priemonės įgyvendinimo </w:t>
      </w:r>
      <w:r w:rsidR="00306810" w:rsidRPr="00C97275">
        <w:rPr>
          <w:rFonts w:ascii="Georgia" w:hAnsi="Georgia"/>
          <w:sz w:val="20"/>
          <w:szCs w:val="20"/>
          <w:lang w:val="lt-LT"/>
        </w:rPr>
        <w:t xml:space="preserve">modelius, </w:t>
      </w:r>
      <w:r w:rsidRPr="00C97275">
        <w:rPr>
          <w:rFonts w:ascii="Georgia" w:hAnsi="Georgia"/>
          <w:sz w:val="20"/>
          <w:szCs w:val="20"/>
          <w:lang w:val="lt-LT"/>
        </w:rPr>
        <w:t xml:space="preserve">vadovaujantis </w:t>
      </w:r>
      <w:r w:rsidR="00306810" w:rsidRPr="00C97275">
        <w:rPr>
          <w:rFonts w:ascii="Georgia" w:hAnsi="Georgia"/>
          <w:sz w:val="20"/>
          <w:szCs w:val="20"/>
          <w:lang w:val="lt-LT"/>
        </w:rPr>
        <w:t xml:space="preserve">apibrėžtų </w:t>
      </w:r>
      <w:r w:rsidR="002E14FC" w:rsidRPr="00C97275">
        <w:rPr>
          <w:rFonts w:ascii="Georgia" w:hAnsi="Georgia"/>
          <w:sz w:val="20"/>
          <w:szCs w:val="20"/>
          <w:lang w:val="lt-LT"/>
        </w:rPr>
        <w:t>schemų</w:t>
      </w:r>
      <w:r w:rsidRPr="00C97275">
        <w:rPr>
          <w:rFonts w:ascii="Georgia" w:hAnsi="Georgia"/>
          <w:sz w:val="20"/>
          <w:szCs w:val="20"/>
          <w:lang w:val="lt-LT"/>
        </w:rPr>
        <w:t xml:space="preserve"> principais</w:t>
      </w:r>
      <w:r w:rsidR="00B177DE" w:rsidRPr="00C97275">
        <w:rPr>
          <w:rFonts w:ascii="Georgia" w:hAnsi="Georgia"/>
          <w:sz w:val="20"/>
          <w:szCs w:val="20"/>
          <w:lang w:val="lt-LT"/>
        </w:rPr>
        <w:t xml:space="preserve"> </w:t>
      </w:r>
      <w:r w:rsidR="00306810" w:rsidRPr="00C97275">
        <w:rPr>
          <w:rFonts w:ascii="Georgia" w:hAnsi="Georgia"/>
          <w:sz w:val="20"/>
          <w:szCs w:val="20"/>
          <w:lang w:val="lt-LT"/>
        </w:rPr>
        <w:t xml:space="preserve">bei </w:t>
      </w:r>
      <w:r w:rsidR="00B177DE" w:rsidRPr="00C97275">
        <w:rPr>
          <w:rFonts w:ascii="Georgia" w:hAnsi="Georgia"/>
          <w:sz w:val="20"/>
          <w:szCs w:val="20"/>
          <w:lang w:val="lt-LT"/>
        </w:rPr>
        <w:t>atsižvelgiant į pasikeitusias rinkos sąlygas</w:t>
      </w:r>
      <w:r w:rsidR="00D85B81" w:rsidRPr="00C97275">
        <w:rPr>
          <w:rFonts w:ascii="Georgia" w:hAnsi="Georgia"/>
          <w:sz w:val="20"/>
          <w:szCs w:val="20"/>
          <w:lang w:val="lt-LT"/>
        </w:rPr>
        <w:t>,</w:t>
      </w:r>
      <w:r w:rsidR="00B177DE" w:rsidRPr="00C97275">
        <w:rPr>
          <w:rFonts w:ascii="Georgia" w:hAnsi="Georgia"/>
          <w:sz w:val="20"/>
          <w:szCs w:val="20"/>
          <w:lang w:val="lt-LT"/>
        </w:rPr>
        <w:t xml:space="preserve"> prielaid</w:t>
      </w:r>
      <w:r w:rsidR="00D85B81" w:rsidRPr="00C97275">
        <w:rPr>
          <w:rFonts w:ascii="Georgia" w:hAnsi="Georgia"/>
          <w:sz w:val="20"/>
          <w:szCs w:val="20"/>
          <w:lang w:val="lt-LT"/>
        </w:rPr>
        <w:t>a</w:t>
      </w:r>
      <w:r w:rsidR="00B177DE" w:rsidRPr="00C97275">
        <w:rPr>
          <w:rFonts w:ascii="Georgia" w:hAnsi="Georgia"/>
          <w:sz w:val="20"/>
          <w:szCs w:val="20"/>
          <w:lang w:val="lt-LT"/>
        </w:rPr>
        <w:t>s</w:t>
      </w:r>
      <w:r w:rsidR="00D85B81" w:rsidRPr="00C97275">
        <w:rPr>
          <w:rFonts w:ascii="Georgia" w:hAnsi="Georgia"/>
          <w:sz w:val="20"/>
          <w:szCs w:val="20"/>
          <w:lang w:val="lt-LT"/>
        </w:rPr>
        <w:t xml:space="preserve"> ir skaičiavimų rezultatus</w:t>
      </w:r>
      <w:r w:rsidRPr="00C97275">
        <w:rPr>
          <w:rFonts w:ascii="Georgia" w:hAnsi="Georgia"/>
          <w:sz w:val="20"/>
          <w:szCs w:val="20"/>
          <w:lang w:val="lt-LT"/>
        </w:rPr>
        <w:t>.</w:t>
      </w:r>
      <w:r w:rsidR="00D85B81" w:rsidRPr="00C97275">
        <w:rPr>
          <w:rFonts w:ascii="Georgia" w:hAnsi="Georgia"/>
          <w:sz w:val="20"/>
          <w:szCs w:val="20"/>
          <w:lang w:val="lt-LT"/>
        </w:rPr>
        <w:t xml:space="preserve"> </w:t>
      </w:r>
    </w:p>
    <w:p w14:paraId="22C94CA2" w14:textId="77777777" w:rsidR="00244412" w:rsidRPr="00C97275" w:rsidRDefault="00702724" w:rsidP="00C03122">
      <w:pPr>
        <w:pStyle w:val="Antrat2"/>
        <w:numPr>
          <w:ilvl w:val="3"/>
          <w:numId w:val="2"/>
        </w:numPr>
        <w:rPr>
          <w:rFonts w:ascii="Georgia" w:hAnsi="Georgia"/>
          <w:lang w:val="lt-LT"/>
        </w:rPr>
      </w:pPr>
      <w:bookmarkStart w:id="169" w:name="_Toc25594684"/>
      <w:r w:rsidRPr="00C97275">
        <w:rPr>
          <w:rFonts w:ascii="Georgia" w:hAnsi="Georgia"/>
          <w:lang w:val="lt-LT"/>
        </w:rPr>
        <w:t>Daugiabuči</w:t>
      </w:r>
      <w:r w:rsidR="00244412" w:rsidRPr="00C97275">
        <w:rPr>
          <w:rFonts w:ascii="Georgia" w:hAnsi="Georgia"/>
          <w:lang w:val="lt-LT"/>
        </w:rPr>
        <w:t>ų modernizavimas</w:t>
      </w:r>
      <w:bookmarkEnd w:id="169"/>
    </w:p>
    <w:p w14:paraId="3E488B52" w14:textId="10829B07" w:rsidR="0063563D" w:rsidRPr="00C97275" w:rsidRDefault="0063563D" w:rsidP="0063563D">
      <w:pPr>
        <w:jc w:val="both"/>
        <w:rPr>
          <w:rFonts w:ascii="Georgia" w:hAnsi="Georgia"/>
          <w:sz w:val="20"/>
          <w:lang w:val="lt-LT"/>
        </w:rPr>
      </w:pPr>
    </w:p>
    <w:p w14:paraId="16850AC4" w14:textId="13C341BA" w:rsidR="00FA5C6F" w:rsidRPr="00C97275" w:rsidRDefault="00FA5C6F" w:rsidP="0063563D">
      <w:pPr>
        <w:jc w:val="both"/>
        <w:rPr>
          <w:rFonts w:ascii="Georgia" w:hAnsi="Georgia"/>
          <w:sz w:val="20"/>
          <w:lang w:val="lt-LT"/>
        </w:rPr>
      </w:pPr>
      <w:r w:rsidRPr="00C97275">
        <w:rPr>
          <w:rFonts w:ascii="Georgia" w:hAnsi="Georgia"/>
          <w:sz w:val="20"/>
          <w:lang w:val="lt-LT"/>
        </w:rPr>
        <w:t>Prieš detaliau analizuojant daugiabučių namų atnaujinimo (modernizavimo) finansavimo scenarijus, reikia paminėti, kad</w:t>
      </w:r>
      <w:r w:rsidR="004623B7" w:rsidRPr="00C97275">
        <w:rPr>
          <w:rFonts w:ascii="Georgia" w:hAnsi="Georgia"/>
          <w:sz w:val="20"/>
          <w:lang w:val="lt-LT"/>
        </w:rPr>
        <w:t xml:space="preserve"> naujos</w:t>
      </w:r>
      <w:r w:rsidRPr="00C97275">
        <w:rPr>
          <w:rFonts w:ascii="Georgia" w:hAnsi="Georgia"/>
          <w:sz w:val="20"/>
          <w:lang w:val="lt-LT"/>
        </w:rPr>
        <w:t xml:space="preserve"> Valstybės paramos daugiabučiams namams atnaujinti (moderni</w:t>
      </w:r>
      <w:r w:rsidR="004623B7" w:rsidRPr="00C97275">
        <w:rPr>
          <w:rFonts w:ascii="Georgia" w:hAnsi="Georgia"/>
          <w:sz w:val="20"/>
          <w:lang w:val="lt-LT"/>
        </w:rPr>
        <w:t xml:space="preserve">zuoti) </w:t>
      </w:r>
      <w:r w:rsidR="004623B7" w:rsidRPr="00C97275">
        <w:rPr>
          <w:rFonts w:ascii="Georgia" w:hAnsi="Georgia"/>
          <w:sz w:val="20"/>
          <w:lang w:val="lt-LT"/>
        </w:rPr>
        <w:lastRenderedPageBreak/>
        <w:t>įstatymo redakcijos</w:t>
      </w:r>
      <w:r w:rsidRPr="00C97275">
        <w:rPr>
          <w:rStyle w:val="Puslapioinaosnuoroda"/>
          <w:rFonts w:ascii="Georgia" w:hAnsi="Georgia"/>
          <w:sz w:val="20"/>
          <w:lang w:val="lt-LT"/>
        </w:rPr>
        <w:footnoteReference w:id="126"/>
      </w:r>
      <w:r w:rsidRPr="00C97275">
        <w:rPr>
          <w:rFonts w:ascii="Georgia" w:hAnsi="Georgia"/>
          <w:sz w:val="20"/>
          <w:lang w:val="lt-LT"/>
        </w:rPr>
        <w:t xml:space="preserve"> </w:t>
      </w:r>
      <w:r w:rsidR="004623B7" w:rsidRPr="00C97275">
        <w:rPr>
          <w:rFonts w:ascii="Georgia" w:hAnsi="Georgia"/>
          <w:sz w:val="20"/>
          <w:lang w:val="lt-LT"/>
        </w:rPr>
        <w:t>3 straipsnio 1 punkte įtvirtinta nuostata, kad valstybės parama teikiama „kompensuojant 30 procentų investicijų, tenkančių Vyriausybės nustatytoms energinio e</w:t>
      </w:r>
      <w:r w:rsidR="00E83894" w:rsidRPr="00C97275">
        <w:rPr>
          <w:rFonts w:ascii="Georgia" w:hAnsi="Georgia"/>
          <w:sz w:val="20"/>
          <w:lang w:val="lt-LT"/>
        </w:rPr>
        <w:t xml:space="preserve">fektyvumo didinimo priemonėms“. </w:t>
      </w:r>
      <w:r w:rsidR="00FE78A7" w:rsidRPr="00C97275">
        <w:rPr>
          <w:rFonts w:ascii="Georgia" w:hAnsi="Georgia"/>
          <w:sz w:val="20"/>
          <w:lang w:val="lt-LT"/>
        </w:rPr>
        <w:t>Taip pat įstatyme numatyta, kad valstybės parama daugiabučių modernizavimui teikiama  suteikiant lengvatinį kreditą atnaujinimo projekto daliai (techniniam darbo projektui) parengti ir (ar) įgyvendinti (rangos darbams atlikti) ir penkerius metus nuo pirmosios kredito dalies išmokėjimo dienos apmokant šio kredito bendrų metinių palūkanų dalį, viršijančią 3 procentus, tuo atveju, jeigu kredito metinės palūkanos viršija 3 procentus.</w:t>
      </w:r>
      <w:r w:rsidR="00E83894" w:rsidRPr="00C97275">
        <w:rPr>
          <w:rFonts w:ascii="Georgia" w:hAnsi="Georgia"/>
          <w:sz w:val="20"/>
          <w:lang w:val="lt-LT"/>
        </w:rPr>
        <w:t xml:space="preserve"> </w:t>
      </w:r>
      <w:r w:rsidR="00D74100" w:rsidRPr="00C97275">
        <w:rPr>
          <w:rFonts w:ascii="Georgia" w:hAnsi="Georgia"/>
          <w:sz w:val="20"/>
          <w:lang w:val="lt-LT"/>
        </w:rPr>
        <w:t>P</w:t>
      </w:r>
      <w:r w:rsidR="004623B7" w:rsidRPr="00C97275">
        <w:rPr>
          <w:rFonts w:ascii="Georgia" w:hAnsi="Georgia"/>
          <w:sz w:val="20"/>
          <w:lang w:val="lt-LT"/>
        </w:rPr>
        <w:t>rieš pradedant taikyti scena</w:t>
      </w:r>
      <w:r w:rsidR="00D74100" w:rsidRPr="00C97275">
        <w:rPr>
          <w:rFonts w:ascii="Georgia" w:hAnsi="Georgia"/>
          <w:sz w:val="20"/>
          <w:lang w:val="lt-LT"/>
        </w:rPr>
        <w:t>rijus</w:t>
      </w:r>
      <w:r w:rsidR="00855E44" w:rsidRPr="00C97275">
        <w:rPr>
          <w:rFonts w:ascii="Georgia" w:hAnsi="Georgia"/>
          <w:sz w:val="20"/>
          <w:lang w:val="lt-LT"/>
        </w:rPr>
        <w:t>,</w:t>
      </w:r>
      <w:r w:rsidR="00D74100" w:rsidRPr="00C97275">
        <w:rPr>
          <w:rFonts w:ascii="Georgia" w:hAnsi="Georgia"/>
          <w:sz w:val="20"/>
          <w:lang w:val="lt-LT"/>
        </w:rPr>
        <w:t xml:space="preserve"> numatančius kitokius nei įstatyme įtvirtinti valstybės paramos parametrai,</w:t>
      </w:r>
      <w:r w:rsidR="004623B7" w:rsidRPr="00C97275">
        <w:rPr>
          <w:rFonts w:ascii="Georgia" w:hAnsi="Georgia"/>
          <w:sz w:val="20"/>
          <w:lang w:val="lt-LT"/>
        </w:rPr>
        <w:t xml:space="preserve"> turėtų būti keičiamas</w:t>
      </w:r>
      <w:r w:rsidR="00D74100" w:rsidRPr="00C97275">
        <w:rPr>
          <w:rFonts w:ascii="Georgia" w:hAnsi="Georgia"/>
          <w:sz w:val="20"/>
          <w:lang w:val="lt-LT"/>
        </w:rPr>
        <w:t xml:space="preserve"> ir pats</w:t>
      </w:r>
      <w:r w:rsidR="00E83894" w:rsidRPr="00C97275">
        <w:rPr>
          <w:rFonts w:ascii="Georgia" w:hAnsi="Georgia"/>
          <w:sz w:val="20"/>
          <w:lang w:val="lt-LT"/>
        </w:rPr>
        <w:t xml:space="preserve"> įstatymas, </w:t>
      </w:r>
      <w:r w:rsidR="00EB252A" w:rsidRPr="00C97275">
        <w:rPr>
          <w:rFonts w:ascii="Georgia" w:hAnsi="Georgia"/>
          <w:sz w:val="20"/>
          <w:lang w:val="lt-LT"/>
        </w:rPr>
        <w:t>dėl to turėtų būti įvertinta dažnai ilgai trunkančių teisės aktų keitimo procesų įtaka finansinės priemonės įgyvendinimui.</w:t>
      </w:r>
      <w:r w:rsidR="004623B7" w:rsidRPr="00C97275">
        <w:rPr>
          <w:rFonts w:ascii="Georgia" w:hAnsi="Georgia"/>
          <w:sz w:val="20"/>
          <w:lang w:val="lt-LT"/>
        </w:rPr>
        <w:t>.</w:t>
      </w:r>
      <w:r w:rsidR="00D74100" w:rsidRPr="00C97275">
        <w:rPr>
          <w:rFonts w:ascii="Georgia" w:hAnsi="Georgia"/>
          <w:sz w:val="20"/>
          <w:lang w:val="lt-LT"/>
        </w:rPr>
        <w:t xml:space="preserve"> </w:t>
      </w:r>
    </w:p>
    <w:p w14:paraId="6A6A8BBF" w14:textId="77777777" w:rsidR="000556A1" w:rsidRPr="00C97275" w:rsidRDefault="000556A1" w:rsidP="000556A1">
      <w:pPr>
        <w:jc w:val="both"/>
        <w:rPr>
          <w:rFonts w:ascii="Georgia" w:hAnsi="Georgia"/>
          <w:sz w:val="20"/>
          <w:lang w:val="lt-LT"/>
        </w:rPr>
      </w:pPr>
      <w:r w:rsidRPr="00C97275">
        <w:rPr>
          <w:rFonts w:ascii="Georgia" w:hAnsi="Georgia"/>
          <w:sz w:val="20"/>
          <w:lang w:val="lt-LT"/>
        </w:rPr>
        <w:t>Atsižvelgiant į išvardytus aspektus identifikuojami sekantys daugiabučių renovacijos finansavimui galimi taikyti finansinės priemonės veiklos scenarijai:</w:t>
      </w:r>
    </w:p>
    <w:p w14:paraId="14800FD5" w14:textId="5027DAEB" w:rsidR="000556A1" w:rsidRPr="00C97275" w:rsidRDefault="000556A1" w:rsidP="000556A1">
      <w:pPr>
        <w:pStyle w:val="Sraopastraipa"/>
        <w:numPr>
          <w:ilvl w:val="0"/>
          <w:numId w:val="18"/>
        </w:numPr>
        <w:rPr>
          <w:rFonts w:ascii="Georgia" w:hAnsi="Georgia"/>
          <w:sz w:val="20"/>
          <w:szCs w:val="20"/>
          <w:lang w:val="lt-LT"/>
        </w:rPr>
      </w:pPr>
      <w:r w:rsidRPr="00C97275">
        <w:rPr>
          <w:rFonts w:ascii="Georgia" w:hAnsi="Georgia"/>
          <w:i/>
          <w:sz w:val="20"/>
          <w:szCs w:val="20"/>
          <w:lang w:val="lt-LT"/>
        </w:rPr>
        <w:t xml:space="preserve">Scenarijus Nr. 1: </w:t>
      </w:r>
      <w:r w:rsidR="00737630" w:rsidRPr="00C97275">
        <w:rPr>
          <w:rFonts w:ascii="Georgia" w:hAnsi="Georgia"/>
          <w:i/>
          <w:sz w:val="20"/>
          <w:szCs w:val="20"/>
          <w:lang w:val="lt-LT"/>
        </w:rPr>
        <w:t>P</w:t>
      </w:r>
      <w:r w:rsidRPr="00C97275">
        <w:rPr>
          <w:rFonts w:ascii="Georgia" w:hAnsi="Georgia"/>
          <w:i/>
          <w:sz w:val="20"/>
          <w:szCs w:val="20"/>
          <w:lang w:val="lt-LT"/>
        </w:rPr>
        <w:t xml:space="preserve">askolų teikimas </w:t>
      </w:r>
    </w:p>
    <w:p w14:paraId="6E7B8FF8" w14:textId="51002291" w:rsidR="000556A1" w:rsidRPr="00C97275" w:rsidRDefault="000556A1" w:rsidP="000556A1">
      <w:pPr>
        <w:pStyle w:val="Sraopastraipa"/>
        <w:numPr>
          <w:ilvl w:val="0"/>
          <w:numId w:val="18"/>
        </w:numPr>
        <w:rPr>
          <w:rFonts w:ascii="Georgia" w:hAnsi="Georgia"/>
          <w:i/>
          <w:sz w:val="20"/>
          <w:szCs w:val="20"/>
          <w:lang w:val="lt-LT"/>
        </w:rPr>
      </w:pPr>
      <w:r w:rsidRPr="00C97275">
        <w:rPr>
          <w:rFonts w:ascii="Georgia" w:hAnsi="Georgia"/>
          <w:i/>
          <w:sz w:val="20"/>
          <w:szCs w:val="20"/>
          <w:lang w:val="lt-LT"/>
        </w:rPr>
        <w:t xml:space="preserve">Scenarijus Nr. </w:t>
      </w:r>
      <w:r w:rsidR="008B2CF9" w:rsidRPr="00C97275">
        <w:rPr>
          <w:rFonts w:ascii="Georgia" w:hAnsi="Georgia"/>
          <w:i/>
          <w:sz w:val="20"/>
          <w:szCs w:val="20"/>
          <w:lang w:val="lt-LT"/>
        </w:rPr>
        <w:t>2</w:t>
      </w:r>
      <w:r w:rsidRPr="00C97275">
        <w:rPr>
          <w:rFonts w:ascii="Georgia" w:hAnsi="Georgia"/>
          <w:i/>
          <w:sz w:val="20"/>
          <w:szCs w:val="20"/>
          <w:lang w:val="lt-LT"/>
        </w:rPr>
        <w:t>: Dalis finansinės priemonės lėšų nukreipiama į paskolų modelį, o dalis į garantijų priemonę</w:t>
      </w:r>
    </w:p>
    <w:p w14:paraId="154F149B" w14:textId="0D3AF87C" w:rsidR="000556A1" w:rsidRPr="00C97275" w:rsidRDefault="000556A1" w:rsidP="000556A1">
      <w:pPr>
        <w:pStyle w:val="Sraopastraipa"/>
        <w:numPr>
          <w:ilvl w:val="0"/>
          <w:numId w:val="18"/>
        </w:numPr>
        <w:rPr>
          <w:rFonts w:ascii="Georgia" w:hAnsi="Georgia"/>
          <w:i/>
          <w:sz w:val="20"/>
          <w:szCs w:val="20"/>
          <w:lang w:val="lt-LT"/>
        </w:rPr>
      </w:pPr>
      <w:r w:rsidRPr="00C97275">
        <w:rPr>
          <w:rFonts w:ascii="Georgia" w:hAnsi="Georgia"/>
          <w:i/>
          <w:sz w:val="20"/>
          <w:szCs w:val="20"/>
          <w:lang w:val="lt-LT"/>
        </w:rPr>
        <w:t xml:space="preserve">Scenarijus Nr. </w:t>
      </w:r>
      <w:r w:rsidR="008B2CF9" w:rsidRPr="00C97275">
        <w:rPr>
          <w:rFonts w:ascii="Georgia" w:hAnsi="Georgia"/>
          <w:i/>
          <w:sz w:val="20"/>
          <w:szCs w:val="20"/>
          <w:lang w:val="lt-LT"/>
        </w:rPr>
        <w:t>3</w:t>
      </w:r>
      <w:r w:rsidRPr="00C97275">
        <w:rPr>
          <w:rFonts w:ascii="Georgia" w:hAnsi="Georgia"/>
          <w:i/>
          <w:sz w:val="20"/>
          <w:szCs w:val="20"/>
          <w:lang w:val="lt-LT"/>
        </w:rPr>
        <w:t>: Visos lėšos panaudojamos garantijoms</w:t>
      </w:r>
    </w:p>
    <w:p w14:paraId="15D64D5C" w14:textId="201CAF26" w:rsidR="000556A1" w:rsidRPr="00C97275" w:rsidRDefault="000556A1" w:rsidP="00620F3A">
      <w:pPr>
        <w:pStyle w:val="Sraopastraipa"/>
        <w:numPr>
          <w:ilvl w:val="0"/>
          <w:numId w:val="18"/>
        </w:numPr>
        <w:rPr>
          <w:rFonts w:ascii="Georgia" w:hAnsi="Georgia"/>
          <w:i/>
          <w:sz w:val="20"/>
          <w:szCs w:val="20"/>
          <w:lang w:val="lt-LT"/>
        </w:rPr>
      </w:pPr>
      <w:r w:rsidRPr="00C97275">
        <w:rPr>
          <w:rFonts w:ascii="Georgia" w:hAnsi="Georgia"/>
          <w:i/>
          <w:sz w:val="20"/>
          <w:szCs w:val="20"/>
          <w:lang w:val="lt-LT"/>
        </w:rPr>
        <w:t xml:space="preserve">Scenarijus Nr. </w:t>
      </w:r>
      <w:r w:rsidR="008B2CF9" w:rsidRPr="00C97275">
        <w:rPr>
          <w:rFonts w:ascii="Georgia" w:hAnsi="Georgia"/>
          <w:i/>
          <w:sz w:val="20"/>
          <w:szCs w:val="20"/>
          <w:lang w:val="lt-LT"/>
        </w:rPr>
        <w:t>4</w:t>
      </w:r>
      <w:r w:rsidRPr="00C97275">
        <w:rPr>
          <w:rFonts w:ascii="Georgia" w:hAnsi="Georgia"/>
          <w:i/>
          <w:sz w:val="20"/>
          <w:szCs w:val="20"/>
          <w:lang w:val="lt-LT"/>
        </w:rPr>
        <w:t xml:space="preserve">: </w:t>
      </w:r>
      <w:r w:rsidR="00620F3A" w:rsidRPr="00C97275">
        <w:rPr>
          <w:rFonts w:ascii="Georgia" w:hAnsi="Georgia"/>
          <w:i/>
          <w:sz w:val="20"/>
          <w:szCs w:val="20"/>
          <w:lang w:val="lt-LT"/>
        </w:rPr>
        <w:t>Paskolų teikimas taikant asimetrinį rizikos pasidalijimo modelį</w:t>
      </w:r>
      <w:r w:rsidR="00620F3A" w:rsidRPr="00C97275" w:rsidDel="00620F3A">
        <w:rPr>
          <w:rFonts w:ascii="Georgia" w:hAnsi="Georgia"/>
          <w:i/>
          <w:sz w:val="20"/>
          <w:szCs w:val="20"/>
          <w:lang w:val="lt-LT"/>
        </w:rPr>
        <w:t xml:space="preserve"> </w:t>
      </w:r>
    </w:p>
    <w:p w14:paraId="59628E19" w14:textId="09189FD4" w:rsidR="000556A1" w:rsidRPr="00C97275" w:rsidRDefault="000556A1" w:rsidP="000556A1">
      <w:pPr>
        <w:pStyle w:val="Sraopastraipa"/>
        <w:numPr>
          <w:ilvl w:val="0"/>
          <w:numId w:val="18"/>
        </w:numPr>
        <w:jc w:val="both"/>
        <w:rPr>
          <w:rFonts w:ascii="Georgia" w:hAnsi="Georgia"/>
          <w:i/>
          <w:sz w:val="20"/>
          <w:szCs w:val="20"/>
          <w:lang w:val="lt-LT"/>
        </w:rPr>
      </w:pPr>
      <w:r w:rsidRPr="00C97275">
        <w:rPr>
          <w:rFonts w:ascii="Georgia" w:hAnsi="Georgia"/>
          <w:i/>
          <w:sz w:val="20"/>
          <w:szCs w:val="20"/>
          <w:lang w:val="lt-LT"/>
        </w:rPr>
        <w:t>Scenarijus Nr.</w:t>
      </w:r>
      <w:r w:rsidR="008B2CF9" w:rsidRPr="00C97275">
        <w:rPr>
          <w:rFonts w:ascii="Georgia" w:hAnsi="Georgia"/>
          <w:i/>
          <w:sz w:val="20"/>
          <w:szCs w:val="20"/>
          <w:lang w:val="lt-LT"/>
        </w:rPr>
        <w:t>5</w:t>
      </w:r>
      <w:r w:rsidRPr="00C97275">
        <w:rPr>
          <w:rFonts w:ascii="Georgia" w:hAnsi="Georgia"/>
          <w:i/>
          <w:sz w:val="20"/>
          <w:szCs w:val="20"/>
          <w:lang w:val="lt-LT"/>
        </w:rPr>
        <w:t>: Dalis finansinės priemonės lėšų nukreipiama į paskolų modelį, o dalis į garantijų priemonę su galimybe išpirkti ateities finansinius srautus</w:t>
      </w:r>
    </w:p>
    <w:p w14:paraId="14332682" w14:textId="77777777" w:rsidR="00AC15D5" w:rsidRPr="00C97275" w:rsidRDefault="00DB20AB" w:rsidP="00AC15D5">
      <w:pPr>
        <w:pStyle w:val="Sraopastraipa"/>
        <w:numPr>
          <w:ilvl w:val="0"/>
          <w:numId w:val="18"/>
        </w:numPr>
        <w:rPr>
          <w:rFonts w:ascii="Georgia" w:hAnsi="Georgia"/>
          <w:i/>
          <w:sz w:val="20"/>
          <w:szCs w:val="20"/>
          <w:lang w:val="lt-LT"/>
        </w:rPr>
      </w:pPr>
      <w:r w:rsidRPr="00C97275">
        <w:rPr>
          <w:rFonts w:ascii="Georgia" w:hAnsi="Georgia"/>
          <w:i/>
          <w:sz w:val="20"/>
          <w:szCs w:val="20"/>
          <w:lang w:val="lt-LT"/>
        </w:rPr>
        <w:t xml:space="preserve">Scenarijus Nr. 6: </w:t>
      </w:r>
      <w:r w:rsidR="00AC15D5" w:rsidRPr="00C97275">
        <w:rPr>
          <w:rFonts w:ascii="Georgia" w:hAnsi="Georgia"/>
          <w:i/>
          <w:sz w:val="20"/>
          <w:szCs w:val="20"/>
          <w:lang w:val="lt-LT"/>
        </w:rPr>
        <w:t>Modernizavimo paskolų teikimas per platformą</w:t>
      </w:r>
    </w:p>
    <w:p w14:paraId="1F106A97" w14:textId="48AF57A0" w:rsidR="000556A1" w:rsidRPr="00C97275" w:rsidRDefault="000556A1" w:rsidP="000556A1">
      <w:pPr>
        <w:jc w:val="both"/>
        <w:rPr>
          <w:rFonts w:ascii="Georgia" w:hAnsi="Georgia"/>
          <w:sz w:val="20"/>
          <w:lang w:val="lt-LT"/>
        </w:rPr>
      </w:pPr>
      <w:r w:rsidRPr="00C97275">
        <w:rPr>
          <w:rFonts w:ascii="Georgia" w:hAnsi="Georgia"/>
          <w:sz w:val="20"/>
          <w:lang w:val="lt-LT"/>
        </w:rPr>
        <w:t>Toliau detaliai nagrinėjami identifikuoti finansinės priemonės veiklos scenarijai.</w:t>
      </w:r>
    </w:p>
    <w:p w14:paraId="4D726DB7" w14:textId="09C173D7" w:rsidR="000556A1" w:rsidRPr="00C97275" w:rsidRDefault="000556A1" w:rsidP="00D17A57">
      <w:pPr>
        <w:keepNext/>
        <w:rPr>
          <w:rFonts w:ascii="Georgia" w:hAnsi="Georgia"/>
          <w:b/>
          <w:i/>
          <w:sz w:val="20"/>
          <w:szCs w:val="20"/>
          <w:lang w:val="lt-LT"/>
        </w:rPr>
      </w:pPr>
      <w:r w:rsidRPr="00C97275">
        <w:rPr>
          <w:rFonts w:ascii="Georgia" w:hAnsi="Georgia"/>
          <w:b/>
          <w:i/>
          <w:sz w:val="28"/>
          <w:szCs w:val="28"/>
          <w:lang w:val="lt-LT"/>
        </w:rPr>
        <w:t>Scenarijus</w:t>
      </w:r>
      <w:r w:rsidRPr="00C97275">
        <w:rPr>
          <w:rFonts w:ascii="Georgia" w:hAnsi="Georgia"/>
          <w:b/>
          <w:i/>
          <w:sz w:val="20"/>
          <w:szCs w:val="20"/>
          <w:lang w:val="lt-LT"/>
        </w:rPr>
        <w:t xml:space="preserve"> </w:t>
      </w:r>
      <w:r w:rsidRPr="00C97275">
        <w:rPr>
          <w:rFonts w:ascii="Georgia" w:hAnsi="Georgia"/>
          <w:b/>
          <w:i/>
          <w:sz w:val="28"/>
          <w:szCs w:val="28"/>
          <w:lang w:val="lt-LT"/>
        </w:rPr>
        <w:t xml:space="preserve">Nr. 1: </w:t>
      </w:r>
      <w:r w:rsidR="001B4BB2" w:rsidRPr="00C97275">
        <w:rPr>
          <w:rFonts w:ascii="Georgia" w:hAnsi="Georgia"/>
          <w:b/>
          <w:i/>
          <w:sz w:val="28"/>
          <w:szCs w:val="28"/>
          <w:lang w:val="lt-LT"/>
        </w:rPr>
        <w:t>P</w:t>
      </w:r>
      <w:r w:rsidRPr="00C97275">
        <w:rPr>
          <w:rFonts w:ascii="Georgia" w:hAnsi="Georgia"/>
          <w:b/>
          <w:i/>
          <w:sz w:val="28"/>
          <w:szCs w:val="28"/>
          <w:lang w:val="lt-LT"/>
        </w:rPr>
        <w:t xml:space="preserve">askolų teikimas </w:t>
      </w:r>
    </w:p>
    <w:p w14:paraId="39E7DD99" w14:textId="796B05EF" w:rsidR="000556A1" w:rsidRPr="00C97275" w:rsidRDefault="000556A1" w:rsidP="000556A1">
      <w:pPr>
        <w:jc w:val="both"/>
        <w:rPr>
          <w:rFonts w:ascii="Georgia" w:hAnsi="Georgia"/>
          <w:sz w:val="20"/>
          <w:lang w:val="lt-LT"/>
        </w:rPr>
      </w:pPr>
      <w:r w:rsidRPr="00C97275">
        <w:rPr>
          <w:rFonts w:ascii="Georgia" w:hAnsi="Georgia"/>
          <w:sz w:val="20"/>
          <w:lang w:val="lt-LT"/>
        </w:rPr>
        <w:t xml:space="preserve">Šiame scenarijuje modeliuojamas </w:t>
      </w:r>
      <w:r w:rsidR="00F10156" w:rsidRPr="00C97275">
        <w:rPr>
          <w:rFonts w:ascii="Georgia" w:hAnsi="Georgia"/>
          <w:sz w:val="20"/>
          <w:lang w:val="lt-LT"/>
        </w:rPr>
        <w:t>paskolų</w:t>
      </w:r>
      <w:r w:rsidRPr="00C97275">
        <w:rPr>
          <w:rFonts w:ascii="Georgia" w:hAnsi="Georgia"/>
          <w:sz w:val="20"/>
          <w:lang w:val="lt-LT"/>
        </w:rPr>
        <w:t xml:space="preserve"> modelis, pagal kurio sąlygas dabar finansuojami daugiabučių projektai Lietuvoje</w:t>
      </w:r>
      <w:r w:rsidR="001B4BB2" w:rsidRPr="00C97275">
        <w:rPr>
          <w:rFonts w:ascii="Georgia" w:hAnsi="Georgia"/>
          <w:sz w:val="20"/>
          <w:lang w:val="lt-LT"/>
        </w:rPr>
        <w:t>.</w:t>
      </w:r>
      <w:r w:rsidRPr="00C97275">
        <w:rPr>
          <w:rFonts w:ascii="Georgia" w:hAnsi="Georgia"/>
          <w:sz w:val="20"/>
          <w:lang w:val="lt-LT"/>
        </w:rPr>
        <w:t xml:space="preserve"> </w:t>
      </w:r>
      <w:r w:rsidR="001B4BB2" w:rsidRPr="00C97275">
        <w:rPr>
          <w:rFonts w:ascii="Georgia" w:hAnsi="Georgia"/>
          <w:sz w:val="20"/>
          <w:lang w:val="lt-LT"/>
        </w:rPr>
        <w:t>M</w:t>
      </w:r>
      <w:r w:rsidRPr="00C97275">
        <w:rPr>
          <w:rFonts w:ascii="Georgia" w:hAnsi="Georgia"/>
          <w:sz w:val="20"/>
          <w:lang w:val="lt-LT"/>
        </w:rPr>
        <w:t xml:space="preserve">odelyje naudojama prielaida, kad bus teikiama </w:t>
      </w:r>
      <w:r w:rsidR="00820B49" w:rsidRPr="00C97275">
        <w:rPr>
          <w:rFonts w:ascii="Georgia" w:hAnsi="Georgia"/>
          <w:sz w:val="20"/>
          <w:lang w:val="lt-LT"/>
        </w:rPr>
        <w:t xml:space="preserve">30 </w:t>
      </w:r>
      <w:r w:rsidR="00F10156" w:rsidRPr="00C97275">
        <w:rPr>
          <w:rFonts w:ascii="Georgia" w:hAnsi="Georgia"/>
          <w:sz w:val="20"/>
          <w:lang w:val="lt-LT"/>
        </w:rPr>
        <w:t xml:space="preserve">proc. subsidija </w:t>
      </w:r>
      <w:r w:rsidR="00820B49" w:rsidRPr="00C97275">
        <w:rPr>
          <w:rFonts w:ascii="Georgia" w:hAnsi="Georgia"/>
          <w:sz w:val="20"/>
          <w:lang w:val="lt-LT"/>
        </w:rPr>
        <w:t>biudžeto lėšomis</w:t>
      </w:r>
      <w:r w:rsidRPr="00C97275">
        <w:rPr>
          <w:rFonts w:ascii="Georgia" w:hAnsi="Georgia"/>
          <w:sz w:val="20"/>
          <w:lang w:val="lt-LT"/>
        </w:rPr>
        <w:t>. Finansinės priemonės teikiamos finansavimo sąlygos pavaizduotos paveiksle.</w:t>
      </w:r>
    </w:p>
    <w:p w14:paraId="0F2D0170" w14:textId="03700A11" w:rsidR="000556A1" w:rsidRPr="00C97275" w:rsidRDefault="008704D8" w:rsidP="000556A1">
      <w:pPr>
        <w:pStyle w:val="Antrat"/>
        <w:rPr>
          <w:lang w:val="lt-LT"/>
        </w:rPr>
      </w:pPr>
      <w:r w:rsidRPr="00C97275">
        <w:rPr>
          <w:noProof/>
          <w:lang w:val="lt-LT" w:eastAsia="lt-LT"/>
        </w:rPr>
        <w:lastRenderedPageBreak/>
        <mc:AlternateContent>
          <mc:Choice Requires="wps">
            <w:drawing>
              <wp:anchor distT="0" distB="0" distL="114300" distR="114300" simplePos="0" relativeHeight="251679232" behindDoc="0" locked="0" layoutInCell="1" allowOverlap="1" wp14:anchorId="122EE696" wp14:editId="4B1C4A4F">
                <wp:simplePos x="0" y="0"/>
                <wp:positionH relativeFrom="column">
                  <wp:posOffset>2650067</wp:posOffset>
                </wp:positionH>
                <wp:positionV relativeFrom="paragraph">
                  <wp:posOffset>1742017</wp:posOffset>
                </wp:positionV>
                <wp:extent cx="397933" cy="355600"/>
                <wp:effectExtent l="0" t="0" r="2540" b="6350"/>
                <wp:wrapNone/>
                <wp:docPr id="208" name="Text Box 208"/>
                <wp:cNvGraphicFramePr/>
                <a:graphic xmlns:a="http://schemas.openxmlformats.org/drawingml/2006/main">
                  <a:graphicData uri="http://schemas.microsoft.com/office/word/2010/wordprocessingShape">
                    <wps:wsp>
                      <wps:cNvSpPr txBox="1"/>
                      <wps:spPr>
                        <a:xfrm>
                          <a:off x="0" y="0"/>
                          <a:ext cx="397933" cy="355600"/>
                        </a:xfrm>
                        <a:prstGeom prst="rect">
                          <a:avLst/>
                        </a:prstGeom>
                        <a:solidFill>
                          <a:schemeClr val="lt1"/>
                        </a:solidFill>
                        <a:ln w="6350">
                          <a:noFill/>
                        </a:ln>
                      </wps:spPr>
                      <wps:txbx>
                        <w:txbxContent>
                          <w:p w14:paraId="0F60FBE4" w14:textId="4BFD7CAB" w:rsidR="00D1128E" w:rsidRPr="0063781D" w:rsidRDefault="00D1128E" w:rsidP="008704D8">
                            <w:pPr>
                              <w:rPr>
                                <w:rFonts w:ascii="Georgia" w:hAnsi="Georgia"/>
                                <w:sz w:val="24"/>
                                <w:szCs w:val="24"/>
                              </w:rPr>
                            </w:pPr>
                            <w:r w:rsidRPr="0063781D">
                              <w:rPr>
                                <w:rFonts w:ascii="Georgia" w:hAnsi="Georgia"/>
                                <w:sz w:val="24"/>
                                <w:szCs w:val="24"/>
                              </w:rPr>
                              <w:t>30%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8" o:spid="_x0000_s1087" type="#_x0000_t202" style="position:absolute;margin-left:208.65pt;margin-top:137.15pt;width:31.35pt;height:28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" fillcolor="white [3201]" stroked="f" strokeweight=".5pt">
                <v:textbox inset="1mm,1mm,1mm,1mm">
                  <w:txbxContent>
                    <w:p w14:paraId="0F60FBE4" w14:textId="4BFD7CAB" w:rsidR="00D1128E" w:rsidRPr="0063781D" w:rsidRDefault="00D1128E" w:rsidP="008704D8">
                      <w:pPr>
                        <w:rPr>
                          <w:rFonts w:ascii="Georgia" w:hAnsi="Georgia"/>
                          <w:sz w:val="24"/>
                          <w:szCs w:val="24"/>
                        </w:rPr>
                      </w:pPr>
                      <w:r w:rsidRPr="0063781D">
                        <w:rPr>
                          <w:rFonts w:ascii="Georgia" w:hAnsi="Georgia"/>
                          <w:sz w:val="24"/>
                          <w:szCs w:val="24"/>
                        </w:rPr>
                        <w:t>30%</w:t>
                      </w:r>
                    </w:p>
                  </w:txbxContent>
                </v:textbox>
              </v:shape>
            </w:pict>
          </mc:Fallback>
        </mc:AlternateContent>
      </w:r>
      <w:r w:rsidRPr="00C97275">
        <w:rPr>
          <w:noProof/>
          <w:lang w:val="lt-LT" w:eastAsia="lt-LT"/>
        </w:rPr>
        <mc:AlternateContent>
          <mc:Choice Requires="wps">
            <w:drawing>
              <wp:anchor distT="0" distB="0" distL="114300" distR="114300" simplePos="0" relativeHeight="251675136" behindDoc="0" locked="0" layoutInCell="1" allowOverlap="1" wp14:anchorId="61BC3910" wp14:editId="3C88FAA0">
                <wp:simplePos x="0" y="0"/>
                <wp:positionH relativeFrom="column">
                  <wp:posOffset>2218267</wp:posOffset>
                </wp:positionH>
                <wp:positionV relativeFrom="paragraph">
                  <wp:posOffset>404283</wp:posOffset>
                </wp:positionV>
                <wp:extent cx="2057400" cy="355600"/>
                <wp:effectExtent l="0" t="0" r="0" b="6350"/>
                <wp:wrapNone/>
                <wp:docPr id="207" name="Text Box 207"/>
                <wp:cNvGraphicFramePr/>
                <a:graphic xmlns:a="http://schemas.openxmlformats.org/drawingml/2006/main">
                  <a:graphicData uri="http://schemas.microsoft.com/office/word/2010/wordprocessingShape">
                    <wps:wsp>
                      <wps:cNvSpPr txBox="1"/>
                      <wps:spPr>
                        <a:xfrm>
                          <a:off x="0" y="0"/>
                          <a:ext cx="2057400" cy="355600"/>
                        </a:xfrm>
                        <a:prstGeom prst="rect">
                          <a:avLst/>
                        </a:prstGeom>
                        <a:solidFill>
                          <a:schemeClr val="lt1"/>
                        </a:solidFill>
                        <a:ln w="6350">
                          <a:noFill/>
                        </a:ln>
                      </wps:spPr>
                      <wps:txbx>
                        <w:txbxContent>
                          <w:p w14:paraId="197609B6" w14:textId="77777777" w:rsidR="00D1128E" w:rsidRDefault="00D11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88" type="#_x0000_t202" style="position:absolute;margin-left:174.65pt;margin-top:31.85pt;width:162pt;height:28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" fillcolor="white [3201]" stroked="f" strokeweight=".5pt">
                <v:textbox>
                  <w:txbxContent>
                    <w:p w14:paraId="197609B6" w14:textId="77777777" w:rsidR="00D1128E" w:rsidRDefault="00D1128E"/>
                  </w:txbxContent>
                </v:textbox>
              </v:shape>
            </w:pict>
          </mc:Fallback>
        </mc:AlternateContent>
      </w:r>
      <w:r w:rsidR="000556A1" w:rsidRPr="00C97275">
        <w:rPr>
          <w:noProof/>
          <w:lang w:val="lt-LT" w:eastAsia="lt-LT"/>
        </w:rPr>
        <w:drawing>
          <wp:inline distT="0" distB="0" distL="0" distR="0" wp14:anchorId="61D5FC5A" wp14:editId="22E00AB8">
            <wp:extent cx="5836285" cy="2472690"/>
            <wp:effectExtent l="0" t="0" r="0" b="3810"/>
            <wp:docPr id="44" name="Paveikslėlis 2" descr="\\vipa-server\ESCO_Rolandas\EE ex-antes skaiciavimai\Schemos (Rolandas) (Taisytos 2014-11-10)\Daugiabuciu\Daugiabuciai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pa-server\ESCO_Rolandas\EE ex-antes skaiciavimai\Schemos (Rolandas) (Taisytos 2014-11-10)\Daugiabuciu\Daugiabuciai Nr. 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836285" cy="2472690"/>
                    </a:xfrm>
                    <a:prstGeom prst="rect">
                      <a:avLst/>
                    </a:prstGeom>
                    <a:noFill/>
                    <a:ln>
                      <a:noFill/>
                    </a:ln>
                  </pic:spPr>
                </pic:pic>
              </a:graphicData>
            </a:graphic>
          </wp:inline>
        </w:drawing>
      </w:r>
    </w:p>
    <w:p w14:paraId="2108EE21" w14:textId="67C833FB" w:rsidR="00325FB1" w:rsidRPr="00C97275" w:rsidRDefault="000556A1" w:rsidP="000556A1">
      <w:pPr>
        <w:pStyle w:val="Antrat"/>
        <w:jc w:val="both"/>
        <w:rPr>
          <w:lang w:val="lt-LT"/>
        </w:rPr>
      </w:pPr>
      <w:bookmarkStart w:id="170" w:name="_Toc19105293"/>
      <w:r w:rsidRPr="00C97275">
        <w:rPr>
          <w:lang w:val="lt-LT"/>
        </w:rPr>
        <w:t xml:space="preserve">Paveikslas </w:t>
      </w:r>
      <w:r w:rsidRPr="00C97275">
        <w:rPr>
          <w:bCs w:val="0"/>
          <w:lang w:val="lt-LT"/>
        </w:rPr>
        <w:fldChar w:fldCharType="begin"/>
      </w:r>
      <w:r w:rsidRPr="00C97275">
        <w:rPr>
          <w:lang w:val="lt-LT"/>
        </w:rPr>
        <w:instrText xml:space="preserve"> SEQ Paveikslas \* ARABIC </w:instrText>
      </w:r>
      <w:r w:rsidRPr="00C97275">
        <w:rPr>
          <w:bCs w:val="0"/>
          <w:lang w:val="lt-LT"/>
        </w:rPr>
        <w:fldChar w:fldCharType="separate"/>
      </w:r>
      <w:r w:rsidR="001028BC" w:rsidRPr="00C97275">
        <w:rPr>
          <w:noProof/>
          <w:lang w:val="lt-LT"/>
        </w:rPr>
        <w:t>9</w:t>
      </w:r>
      <w:r w:rsidRPr="00C97275">
        <w:rPr>
          <w:bCs w:val="0"/>
          <w:lang w:val="lt-LT"/>
        </w:rPr>
        <w:fldChar w:fldCharType="end"/>
      </w:r>
      <w:r w:rsidRPr="00C97275">
        <w:rPr>
          <w:lang w:val="lt-LT"/>
        </w:rPr>
        <w:t>. Daugiabučių scenarijaus Nr. 1 veikimo schema.</w:t>
      </w:r>
      <w:bookmarkEnd w:id="170"/>
      <w:r w:rsidRPr="00C97275">
        <w:rPr>
          <w:lang w:val="lt-LT"/>
        </w:rPr>
        <w:t xml:space="preserve"> </w:t>
      </w:r>
    </w:p>
    <w:p w14:paraId="5C484528" w14:textId="2DA70D73" w:rsidR="000556A1" w:rsidRPr="00C97275" w:rsidRDefault="000556A1" w:rsidP="000556A1">
      <w:pPr>
        <w:pStyle w:val="Antrat"/>
        <w:jc w:val="both"/>
        <w:rPr>
          <w:lang w:val="lt-LT"/>
        </w:rPr>
      </w:pPr>
      <w:bookmarkStart w:id="171" w:name="_Toc19105257"/>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44</w:t>
      </w:r>
      <w:r w:rsidRPr="00C97275">
        <w:rPr>
          <w:lang w:val="lt-LT"/>
        </w:rPr>
        <w:fldChar w:fldCharType="end"/>
      </w:r>
      <w:r w:rsidRPr="00C97275">
        <w:rPr>
          <w:lang w:val="lt-LT"/>
        </w:rPr>
        <w:t>. Scenarijaus Nr. 1 prielaidos</w:t>
      </w:r>
      <w:bookmarkEnd w:id="171"/>
    </w:p>
    <w:tbl>
      <w:tblPr>
        <w:tblStyle w:val="viesussraas2parykinimas"/>
        <w:tblW w:w="5000" w:type="pct"/>
        <w:tblLook w:val="04A0" w:firstRow="1" w:lastRow="0" w:firstColumn="1" w:lastColumn="0" w:noHBand="0" w:noVBand="1"/>
      </w:tblPr>
      <w:tblGrid>
        <w:gridCol w:w="3166"/>
        <w:gridCol w:w="6076"/>
      </w:tblGrid>
      <w:tr w:rsidR="000556A1" w:rsidRPr="00C97275" w14:paraId="347743E7"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3" w:type="pct"/>
            <w:tcBorders>
              <w:bottom w:val="single" w:sz="8" w:space="0" w:color="C0504D" w:themeColor="accent2"/>
            </w:tcBorders>
          </w:tcPr>
          <w:p w14:paraId="5B91E912" w14:textId="77777777" w:rsidR="000556A1" w:rsidRPr="00C97275" w:rsidRDefault="000556A1" w:rsidP="00B042D4">
            <w:pPr>
              <w:jc w:val="center"/>
              <w:rPr>
                <w:rFonts w:ascii="Georgia" w:hAnsi="Georgia"/>
                <w:sz w:val="20"/>
              </w:rPr>
            </w:pPr>
            <w:r w:rsidRPr="00C97275">
              <w:rPr>
                <w:rFonts w:ascii="Georgia" w:hAnsi="Georgia"/>
                <w:sz w:val="20"/>
              </w:rPr>
              <w:t>Prielaidos</w:t>
            </w:r>
          </w:p>
        </w:tc>
        <w:tc>
          <w:tcPr>
            <w:tcW w:w="3287" w:type="pct"/>
            <w:tcBorders>
              <w:bottom w:val="single" w:sz="8" w:space="0" w:color="C0504D" w:themeColor="accent2"/>
            </w:tcBorders>
          </w:tcPr>
          <w:p w14:paraId="07A733B4" w14:textId="77777777" w:rsidR="000556A1" w:rsidRPr="00C97275" w:rsidRDefault="000556A1" w:rsidP="00B042D4">
            <w:pPr>
              <w:jc w:val="center"/>
              <w:cnfStyle w:val="100000000000" w:firstRow="1"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Komentaras</w:t>
            </w:r>
          </w:p>
        </w:tc>
      </w:tr>
      <w:tr w:rsidR="000556A1" w:rsidRPr="00C97275" w14:paraId="66CBBA53" w14:textId="77777777" w:rsidTr="00ED555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bottom w:val="single" w:sz="6" w:space="0" w:color="C0504D" w:themeColor="accent2"/>
              <w:right w:val="single" w:sz="6" w:space="0" w:color="C0504D" w:themeColor="accent2"/>
            </w:tcBorders>
          </w:tcPr>
          <w:p w14:paraId="5E74C1A5" w14:textId="77777777" w:rsidR="000556A1" w:rsidRPr="00C97275" w:rsidRDefault="000556A1" w:rsidP="00B042D4">
            <w:pPr>
              <w:jc w:val="both"/>
              <w:rPr>
                <w:rFonts w:ascii="Georgia" w:hAnsi="Georgia"/>
                <w:b w:val="0"/>
                <w:sz w:val="20"/>
              </w:rPr>
            </w:pPr>
            <w:r w:rsidRPr="00C97275">
              <w:rPr>
                <w:rFonts w:ascii="Georgia" w:hAnsi="Georgia"/>
                <w:sz w:val="20"/>
              </w:rPr>
              <w:t>Paskolos laikotarpis: iki 20 metų</w:t>
            </w:r>
          </w:p>
        </w:tc>
        <w:tc>
          <w:tcPr>
            <w:tcW w:w="3287" w:type="pct"/>
            <w:tcBorders>
              <w:left w:val="single" w:sz="6" w:space="0" w:color="C0504D" w:themeColor="accent2"/>
              <w:bottom w:val="single" w:sz="6" w:space="0" w:color="C0504D" w:themeColor="accent2"/>
            </w:tcBorders>
          </w:tcPr>
          <w:p w14:paraId="4035B0C8"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Maksimalus paskolos suteikimo terminas 20 metų.</w:t>
            </w:r>
          </w:p>
        </w:tc>
      </w:tr>
      <w:tr w:rsidR="00ED5553" w:rsidRPr="00C97275" w14:paraId="634A19FA" w14:textId="77777777" w:rsidTr="00ED5553">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30B801E8" w14:textId="3B58B3B6" w:rsidR="00ED5553" w:rsidRPr="00C97275" w:rsidRDefault="00ED5553" w:rsidP="00ED5553">
            <w:pPr>
              <w:jc w:val="both"/>
              <w:rPr>
                <w:rFonts w:ascii="Georgia" w:hAnsi="Georgia"/>
                <w:b w:val="0"/>
                <w:sz w:val="20"/>
              </w:rPr>
            </w:pPr>
            <w:r w:rsidRPr="00C97275">
              <w:rPr>
                <w:rFonts w:ascii="Georgia" w:hAnsi="Georgia"/>
                <w:sz w:val="20"/>
              </w:rPr>
              <w:t>Subsidija</w:t>
            </w:r>
            <w:r w:rsidR="009E3962" w:rsidRPr="00C97275">
              <w:rPr>
                <w:rFonts w:ascii="Georgia" w:hAnsi="Georgia"/>
                <w:sz w:val="20"/>
              </w:rPr>
              <w:t>*</w:t>
            </w:r>
            <w:r w:rsidRPr="00C97275">
              <w:rPr>
                <w:rFonts w:ascii="Georgia" w:hAnsi="Georgia"/>
                <w:sz w:val="20"/>
              </w:rPr>
              <w:t xml:space="preserve">: </w:t>
            </w:r>
            <w:r w:rsidR="00BF10B7" w:rsidRPr="00C97275">
              <w:rPr>
                <w:rFonts w:ascii="Georgia" w:hAnsi="Georgia"/>
                <w:sz w:val="20"/>
              </w:rPr>
              <w:t xml:space="preserve">30 </w:t>
            </w:r>
            <w:r w:rsidRPr="00C97275">
              <w:rPr>
                <w:rFonts w:ascii="Georgia" w:hAnsi="Georgia"/>
                <w:sz w:val="20"/>
              </w:rPr>
              <w:t>%</w:t>
            </w:r>
          </w:p>
        </w:tc>
        <w:tc>
          <w:tcPr>
            <w:tcW w:w="3287" w:type="pct"/>
            <w:tcBorders>
              <w:top w:val="single" w:sz="8" w:space="0" w:color="C0504D"/>
              <w:left w:val="single" w:sz="6" w:space="0" w:color="C0504D" w:themeColor="accent2"/>
              <w:bottom w:val="single" w:sz="6" w:space="0" w:color="C0504D" w:themeColor="accent2"/>
            </w:tcBorders>
          </w:tcPr>
          <w:p w14:paraId="1E2DEF82" w14:textId="7B018EAF" w:rsidR="00ED5553" w:rsidRPr="00C97275" w:rsidRDefault="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 xml:space="preserve">Projektams, pasiekusiems ne mažesnį kaip 40 proc. sutaupymą, suteikiama </w:t>
            </w:r>
            <w:r w:rsidR="00875B0F" w:rsidRPr="00C97275">
              <w:rPr>
                <w:rFonts w:ascii="Georgia" w:hAnsi="Georgia"/>
                <w:sz w:val="20"/>
              </w:rPr>
              <w:t xml:space="preserve">30 </w:t>
            </w:r>
            <w:r w:rsidRPr="00C97275">
              <w:rPr>
                <w:rFonts w:ascii="Georgia" w:hAnsi="Georgia"/>
                <w:sz w:val="20"/>
              </w:rPr>
              <w:t>% subsidija (valstybės parama) biudžeto lėšomis</w:t>
            </w:r>
            <w:r w:rsidR="008704D8" w:rsidRPr="00C97275">
              <w:rPr>
                <w:rFonts w:ascii="Georgia" w:hAnsi="Georgia"/>
                <w:sz w:val="20"/>
              </w:rPr>
              <w:t>.</w:t>
            </w:r>
          </w:p>
        </w:tc>
      </w:tr>
      <w:tr w:rsidR="00ED5553" w:rsidRPr="00C97275" w14:paraId="1836A4D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A7FB235" w14:textId="77777777" w:rsidR="00ED5553" w:rsidRPr="00C97275" w:rsidRDefault="00ED5553" w:rsidP="00ED5553">
            <w:pPr>
              <w:jc w:val="both"/>
              <w:rPr>
                <w:rFonts w:ascii="Georgia" w:hAnsi="Georgia"/>
                <w:b w:val="0"/>
                <w:sz w:val="20"/>
              </w:rPr>
            </w:pPr>
            <w:r w:rsidRPr="00C97275">
              <w:rPr>
                <w:rFonts w:ascii="Georgia" w:hAnsi="Georgia"/>
                <w:sz w:val="20"/>
              </w:rPr>
              <w:t>Išankstinis paskolos grąžinimas: 10% praėjus dvejiems metams po projekto įgyvendinimo</w:t>
            </w:r>
          </w:p>
        </w:tc>
        <w:tc>
          <w:tcPr>
            <w:tcW w:w="3287" w:type="pct"/>
            <w:tcBorders>
              <w:top w:val="single" w:sz="6" w:space="0" w:color="C0504D" w:themeColor="accent2"/>
              <w:left w:val="single" w:sz="6" w:space="0" w:color="C0504D" w:themeColor="accent2"/>
              <w:bottom w:val="single" w:sz="6" w:space="0" w:color="C0504D" w:themeColor="accent2"/>
            </w:tcBorders>
          </w:tcPr>
          <w:p w14:paraId="1FE46656" w14:textId="77777777" w:rsidR="00ED5553" w:rsidRPr="00C97275" w:rsidRDefault="00ED5553" w:rsidP="00ED5553">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ED5553" w:rsidRPr="00C97275" w14:paraId="6A2ED399"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035FB843" w14:textId="77777777" w:rsidR="00ED5553" w:rsidRPr="00C97275" w:rsidRDefault="00ED5553" w:rsidP="00ED5553">
            <w:pPr>
              <w:jc w:val="both"/>
              <w:rPr>
                <w:rFonts w:ascii="Georgia" w:hAnsi="Georgia"/>
                <w:b w:val="0"/>
                <w:sz w:val="20"/>
              </w:rPr>
            </w:pPr>
            <w:r w:rsidRPr="00C97275">
              <w:rPr>
                <w:rFonts w:ascii="Georgia" w:hAnsi="Georgia"/>
                <w:sz w:val="20"/>
              </w:rPr>
              <w:t>Blogų paskolų dalis: 5 %</w:t>
            </w:r>
          </w:p>
        </w:tc>
        <w:tc>
          <w:tcPr>
            <w:tcW w:w="3287" w:type="pct"/>
            <w:tcBorders>
              <w:top w:val="single" w:sz="6" w:space="0" w:color="C0504D" w:themeColor="accent2"/>
              <w:left w:val="single" w:sz="6" w:space="0" w:color="C0504D" w:themeColor="accent2"/>
              <w:bottom w:val="single" w:sz="6" w:space="0" w:color="C0504D" w:themeColor="accent2"/>
            </w:tcBorders>
          </w:tcPr>
          <w:p w14:paraId="0A2C8D21" w14:textId="77777777" w:rsidR="00ED5553" w:rsidRPr="00C97275"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Blogų paskolų dalis buvo nustatyta remiantis ekspertų ir komercinių bankų vertinimu.</w:t>
            </w:r>
          </w:p>
        </w:tc>
      </w:tr>
      <w:tr w:rsidR="00ED5553" w:rsidRPr="00C97275" w14:paraId="18C01E87"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21787FA8" w14:textId="6FEF0CAF" w:rsidR="00ED5553" w:rsidRPr="00C97275" w:rsidRDefault="006F4A32" w:rsidP="007B0005">
            <w:pPr>
              <w:jc w:val="both"/>
              <w:rPr>
                <w:rFonts w:ascii="Georgia" w:hAnsi="Georgia"/>
                <w:b w:val="0"/>
                <w:sz w:val="20"/>
              </w:rPr>
            </w:pPr>
            <w:r w:rsidRPr="00C97275">
              <w:rPr>
                <w:rFonts w:ascii="Georgia" w:hAnsi="Georgia"/>
                <w:sz w:val="20"/>
              </w:rPr>
              <w:t xml:space="preserve">Modernizavimo procese dalyvaujančio vidutinio </w:t>
            </w:r>
            <w:r w:rsidR="00ED5553" w:rsidRPr="00C97275">
              <w:rPr>
                <w:rFonts w:ascii="Georgia" w:hAnsi="Georgia"/>
                <w:sz w:val="20"/>
              </w:rPr>
              <w:t xml:space="preserve">pastato projekto investicijų vertė: </w:t>
            </w:r>
            <w:r w:rsidR="007B0005" w:rsidRPr="00C97275">
              <w:rPr>
                <w:rFonts w:ascii="Georgia" w:hAnsi="Georgia"/>
                <w:sz w:val="20"/>
              </w:rPr>
              <w:t>330 000</w:t>
            </w:r>
            <w:r w:rsidR="00ED5553" w:rsidRPr="00C97275">
              <w:rPr>
                <w:rFonts w:ascii="Georgia" w:hAnsi="Georgia"/>
                <w:sz w:val="20"/>
              </w:rPr>
              <w:t xml:space="preserve"> eurų</w:t>
            </w:r>
          </w:p>
        </w:tc>
        <w:tc>
          <w:tcPr>
            <w:tcW w:w="3287" w:type="pct"/>
            <w:tcBorders>
              <w:top w:val="single" w:sz="6" w:space="0" w:color="C0504D" w:themeColor="accent2"/>
              <w:left w:val="single" w:sz="6" w:space="0" w:color="C0504D" w:themeColor="accent2"/>
              <w:bottom w:val="single" w:sz="6" w:space="0" w:color="C0504D" w:themeColor="accent2"/>
            </w:tcBorders>
          </w:tcPr>
          <w:p w14:paraId="287A10F2" w14:textId="77777777" w:rsidR="00ED5553" w:rsidRPr="00C97275" w:rsidRDefault="001B4BB2">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Pradinėje ataskaitoje v</w:t>
            </w:r>
            <w:r w:rsidR="00ED5553" w:rsidRPr="00C97275">
              <w:rPr>
                <w:rFonts w:ascii="Georgia" w:hAnsi="Georgia"/>
                <w:sz w:val="20"/>
              </w:rPr>
              <w:t>idutinė tipinio daugiabučio renovacijos kaina buvo nustatyta remiantis vidutinio daugiabučio plotu (paskaičiuota remiantis registrų centro duomenimis). Vidutinė statybos darbų kaina nustatyta pagal BETA pateiktus duomenis.</w:t>
            </w:r>
          </w:p>
          <w:p w14:paraId="2BDFC832" w14:textId="77777777" w:rsidR="007B0005" w:rsidRPr="00C97275" w:rsidRDefault="007B0005">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p w14:paraId="7F0C6912" w14:textId="1DF0FF18" w:rsidR="006F4A32" w:rsidRPr="00C97275" w:rsidRDefault="007B0005">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JESSICA KF praktinė patirtis (įvertinus 384 sutartis) parodė, kad didesni daugiabučiai dažniau įgyvendina modernizavimo projektus. Todėl vidutinio daugiabučio dalyvaujančio modernizavimo procese</w:t>
            </w:r>
            <w:r w:rsidR="00F007C1" w:rsidRPr="00C97275">
              <w:rPr>
                <w:rFonts w:ascii="Georgia" w:hAnsi="Georgia"/>
                <w:sz w:val="20"/>
              </w:rPr>
              <w:t xml:space="preserve"> bendras</w:t>
            </w:r>
            <w:r w:rsidRPr="00C97275">
              <w:rPr>
                <w:rFonts w:ascii="Georgia" w:hAnsi="Georgia"/>
                <w:sz w:val="20"/>
              </w:rPr>
              <w:t xml:space="preserve"> plotas sudaro apie 2 300</w:t>
            </w:r>
            <w:r w:rsidR="001152E4" w:rsidRPr="00C97275">
              <w:rPr>
                <w:rFonts w:ascii="Georgia" w:hAnsi="Georgia"/>
                <w:sz w:val="20"/>
              </w:rPr>
              <w:t xml:space="preserve"> m</w:t>
            </w:r>
            <w:r w:rsidR="001152E4" w:rsidRPr="00C97275">
              <w:rPr>
                <w:rFonts w:ascii="Georgia" w:hAnsi="Georgia"/>
                <w:sz w:val="20"/>
                <w:vertAlign w:val="superscript"/>
              </w:rPr>
              <w:t>2</w:t>
            </w:r>
            <w:r w:rsidR="00F007C1" w:rsidRPr="00C97275">
              <w:rPr>
                <w:rFonts w:ascii="Georgia" w:hAnsi="Georgia"/>
                <w:sz w:val="20"/>
                <w:vertAlign w:val="superscript"/>
              </w:rPr>
              <w:t xml:space="preserve"> </w:t>
            </w:r>
            <w:r w:rsidR="00F007C1" w:rsidRPr="00C97275">
              <w:rPr>
                <w:rFonts w:ascii="Georgia" w:hAnsi="Georgia"/>
                <w:sz w:val="20"/>
              </w:rPr>
              <w:t>(šildomas plotas 1 770-1 920 m</w:t>
            </w:r>
            <w:r w:rsidR="00F007C1" w:rsidRPr="00C97275">
              <w:rPr>
                <w:rFonts w:ascii="Georgia" w:hAnsi="Georgia"/>
                <w:sz w:val="20"/>
                <w:vertAlign w:val="superscript"/>
              </w:rPr>
              <w:t>2</w:t>
            </w:r>
            <w:r w:rsidR="00F007C1" w:rsidRPr="00C97275">
              <w:rPr>
                <w:rFonts w:ascii="Georgia" w:hAnsi="Georgia"/>
                <w:sz w:val="20"/>
              </w:rPr>
              <w:t>)</w:t>
            </w:r>
            <w:r w:rsidRPr="00C97275">
              <w:rPr>
                <w:rFonts w:ascii="Georgia" w:hAnsi="Georgia"/>
                <w:sz w:val="20"/>
              </w:rPr>
              <w:t xml:space="preserve"> tai yra</w:t>
            </w:r>
            <w:r w:rsidR="00F007C1" w:rsidRPr="00C97275">
              <w:rPr>
                <w:rFonts w:ascii="Georgia" w:hAnsi="Georgia"/>
                <w:sz w:val="20"/>
              </w:rPr>
              <w:t xml:space="preserve"> bendras plotas</w:t>
            </w:r>
            <w:r w:rsidRPr="00C97275">
              <w:rPr>
                <w:rFonts w:ascii="Georgia" w:hAnsi="Georgia"/>
                <w:sz w:val="20"/>
              </w:rPr>
              <w:t xml:space="preserve"> daugiau nei 1 000 m</w:t>
            </w:r>
            <w:r w:rsidRPr="00C97275">
              <w:rPr>
                <w:rFonts w:ascii="Georgia" w:hAnsi="Georgia"/>
                <w:sz w:val="20"/>
                <w:vertAlign w:val="superscript"/>
              </w:rPr>
              <w:t>2</w:t>
            </w:r>
            <w:r w:rsidRPr="00C97275">
              <w:rPr>
                <w:rFonts w:ascii="Georgia" w:hAnsi="Georgia"/>
                <w:sz w:val="20"/>
              </w:rPr>
              <w:t xml:space="preserve"> </w:t>
            </w:r>
            <w:r w:rsidR="006F4A32" w:rsidRPr="00C97275">
              <w:rPr>
                <w:rFonts w:ascii="Georgia" w:hAnsi="Georgia"/>
                <w:sz w:val="20"/>
              </w:rPr>
              <w:t>arba 79 proc. didesnis nei vidutinis daugiabučio plotas, apskaičiuotas pagal nekilnojamojo turto registro duomenis. Vidutinė investicijų (statybos darbų) kaina naudojama kaip Pradinėje ataskaitoje, tai yra 145 eurai/m</w:t>
            </w:r>
            <w:r w:rsidR="006F4A32" w:rsidRPr="00C97275">
              <w:rPr>
                <w:rFonts w:ascii="Georgia" w:hAnsi="Georgia"/>
                <w:sz w:val="20"/>
                <w:vertAlign w:val="superscript"/>
              </w:rPr>
              <w:t>2</w:t>
            </w:r>
            <w:r w:rsidR="006F4A32" w:rsidRPr="00C97275">
              <w:rPr>
                <w:rFonts w:ascii="Georgia" w:hAnsi="Georgia"/>
                <w:sz w:val="20"/>
              </w:rPr>
              <w:t>.</w:t>
            </w:r>
            <w:r w:rsidR="001152E4" w:rsidRPr="00C97275">
              <w:rPr>
                <w:rFonts w:ascii="Georgia" w:hAnsi="Georgia"/>
                <w:sz w:val="20"/>
              </w:rPr>
              <w:t xml:space="preserve">  Apskaičiuota projekto vertė sudarytų -333 500 eurų, patogumo dėlei, toliau skaičiavimuose naudojama suapvalinta projekto vertė – 330 000 eurų.</w:t>
            </w:r>
            <w:r w:rsidR="00C80317" w:rsidRPr="00C97275">
              <w:rPr>
                <w:rFonts w:ascii="Georgia" w:hAnsi="Georgia"/>
                <w:sz w:val="20"/>
              </w:rPr>
              <w:t xml:space="preserve"> Kitaip sakant šie pakeitimai lyginant su Pradine ataskaita neturės įtakos modernizuotam daugiabučių plotui, tačiau dėl skaičiavimuose naudojamo didesnio bendro ploto modernizuotų daugiabučių skaičius sumažės.</w:t>
            </w:r>
          </w:p>
          <w:p w14:paraId="26C6192A" w14:textId="257D88AF" w:rsidR="007B0005" w:rsidRPr="00C97275" w:rsidRDefault="007B0005">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tc>
      </w:tr>
      <w:tr w:rsidR="00ED5553" w:rsidRPr="00C97275" w14:paraId="50399B78"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1D5FD259" w14:textId="77777777" w:rsidR="00ED5553" w:rsidRPr="00C97275" w:rsidRDefault="00ED5553" w:rsidP="00ED5553">
            <w:pPr>
              <w:jc w:val="both"/>
              <w:rPr>
                <w:rFonts w:ascii="Georgia" w:hAnsi="Georgia"/>
                <w:b w:val="0"/>
                <w:sz w:val="20"/>
              </w:rPr>
            </w:pPr>
            <w:r w:rsidRPr="00C97275">
              <w:rPr>
                <w:rFonts w:ascii="Georgia" w:hAnsi="Georgia"/>
                <w:sz w:val="20"/>
              </w:rPr>
              <w:t>Palūkanų norma: 3 %</w:t>
            </w:r>
          </w:p>
        </w:tc>
        <w:tc>
          <w:tcPr>
            <w:tcW w:w="3287" w:type="pct"/>
            <w:tcBorders>
              <w:top w:val="single" w:sz="6" w:space="0" w:color="C0504D" w:themeColor="accent2"/>
              <w:left w:val="single" w:sz="6" w:space="0" w:color="C0504D" w:themeColor="accent2"/>
              <w:bottom w:val="single" w:sz="6" w:space="0" w:color="C0504D" w:themeColor="accent2"/>
            </w:tcBorders>
          </w:tcPr>
          <w:p w14:paraId="001567BE" w14:textId="77777777" w:rsidR="00ED5553" w:rsidRPr="00C97275"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Palūkanų norma galutiniams naudos gavėjams - fiksuotos 3 % metinės palūkanos.</w:t>
            </w:r>
          </w:p>
        </w:tc>
      </w:tr>
      <w:tr w:rsidR="00ED5553" w:rsidRPr="00C97275" w14:paraId="7500F44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D0E3452" w14:textId="12CAE80E" w:rsidR="00ED5553" w:rsidRPr="00C97275" w:rsidRDefault="00ED5553" w:rsidP="0046377D">
            <w:pPr>
              <w:jc w:val="both"/>
              <w:rPr>
                <w:rFonts w:ascii="Georgia" w:hAnsi="Georgia"/>
                <w:b w:val="0"/>
                <w:sz w:val="20"/>
              </w:rPr>
            </w:pPr>
            <w:r w:rsidRPr="00C97275">
              <w:rPr>
                <w:rFonts w:ascii="Georgia" w:hAnsi="Georgia"/>
                <w:sz w:val="20"/>
              </w:rPr>
              <w:t>Investuojamų ESI fondų lėšų suma: 280,9 mln. eurų</w:t>
            </w:r>
          </w:p>
        </w:tc>
        <w:tc>
          <w:tcPr>
            <w:tcW w:w="3287" w:type="pct"/>
            <w:tcBorders>
              <w:top w:val="single" w:sz="6" w:space="0" w:color="C0504D" w:themeColor="accent2"/>
              <w:left w:val="single" w:sz="6" w:space="0" w:color="C0504D" w:themeColor="accent2"/>
              <w:bottom w:val="single" w:sz="6" w:space="0" w:color="C0504D" w:themeColor="accent2"/>
            </w:tcBorders>
          </w:tcPr>
          <w:p w14:paraId="34F9FA38" w14:textId="4176F7F6" w:rsidR="00ED5553" w:rsidRPr="00C97275" w:rsidRDefault="0046377D" w:rsidP="00C80317">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 xml:space="preserve">Pradinėje ataskaitoje buvo numatyta investuoti </w:t>
            </w:r>
            <w:r w:rsidR="00ED5553" w:rsidRPr="00C97275">
              <w:rPr>
                <w:rFonts w:ascii="Georgia" w:hAnsi="Georgia"/>
                <w:sz w:val="20"/>
              </w:rPr>
              <w:t>280,9 mln. eurų 2014-2020 m. ESI fondų lėšų skir</w:t>
            </w:r>
            <w:r w:rsidRPr="00C97275">
              <w:rPr>
                <w:rFonts w:ascii="Georgia" w:hAnsi="Georgia"/>
                <w:sz w:val="20"/>
              </w:rPr>
              <w:t>ti</w:t>
            </w:r>
            <w:r w:rsidR="00ED5553" w:rsidRPr="00C97275">
              <w:rPr>
                <w:rFonts w:ascii="Georgia" w:hAnsi="Georgia"/>
                <w:sz w:val="20"/>
              </w:rPr>
              <w:t xml:space="preserve"> daugiabučių renovacijos paskolų priemonei</w:t>
            </w:r>
            <w:r w:rsidRPr="00C97275">
              <w:rPr>
                <w:rFonts w:ascii="Georgia" w:hAnsi="Georgia"/>
                <w:sz w:val="20"/>
              </w:rPr>
              <w:t xml:space="preserve">. </w:t>
            </w:r>
          </w:p>
        </w:tc>
      </w:tr>
      <w:tr w:rsidR="00ED5553" w:rsidRPr="00C97275" w14:paraId="33B578D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0A95CDB" w14:textId="77777777" w:rsidR="00ED5553" w:rsidRPr="00C97275" w:rsidRDefault="00ED5553" w:rsidP="00ED5553">
            <w:pPr>
              <w:jc w:val="both"/>
              <w:rPr>
                <w:rFonts w:ascii="Georgia" w:hAnsi="Georgia"/>
                <w:b w:val="0"/>
                <w:sz w:val="20"/>
              </w:rPr>
            </w:pPr>
            <w:r w:rsidRPr="00C97275">
              <w:rPr>
                <w:rFonts w:ascii="Georgia" w:hAnsi="Georgia"/>
                <w:sz w:val="20"/>
              </w:rPr>
              <w:lastRenderedPageBreak/>
              <w:t>JESSICA KF grįžtančios lėšos: 67,2 mln. eurų</w:t>
            </w:r>
          </w:p>
        </w:tc>
        <w:tc>
          <w:tcPr>
            <w:tcW w:w="3287" w:type="pct"/>
            <w:tcBorders>
              <w:top w:val="single" w:sz="6" w:space="0" w:color="C0504D" w:themeColor="accent2"/>
              <w:left w:val="single" w:sz="6" w:space="0" w:color="C0504D" w:themeColor="accent2"/>
              <w:bottom w:val="single" w:sz="6" w:space="0" w:color="C0504D" w:themeColor="accent2"/>
            </w:tcBorders>
          </w:tcPr>
          <w:p w14:paraId="3C5C159A" w14:textId="77777777" w:rsidR="00ED5553" w:rsidRPr="00C97275"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2007-2013 m. JESSICA KF grįžtančios lėšos (iki 2020 metų) sudaro apie 67,2 mln. eurų.</w:t>
            </w:r>
          </w:p>
        </w:tc>
      </w:tr>
      <w:tr w:rsidR="00ED5553" w:rsidRPr="00C97275" w14:paraId="0599421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53E94C95" w14:textId="614AAA56" w:rsidR="00ED5553" w:rsidRPr="00C97275" w:rsidRDefault="00ED5553" w:rsidP="00F03136">
            <w:pPr>
              <w:jc w:val="both"/>
              <w:rPr>
                <w:rFonts w:ascii="Georgia" w:hAnsi="Georgia"/>
                <w:sz w:val="20"/>
              </w:rPr>
            </w:pPr>
            <w:r w:rsidRPr="00C97275">
              <w:rPr>
                <w:rFonts w:ascii="Georgia" w:hAnsi="Georgia"/>
                <w:sz w:val="20"/>
              </w:rPr>
              <w:t xml:space="preserve">Siektinas įgyvendinamų projektų skaičius: </w:t>
            </w:r>
            <w:r w:rsidR="00F03136" w:rsidRPr="00C97275">
              <w:rPr>
                <w:rFonts w:ascii="Georgia" w:hAnsi="Georgia"/>
                <w:sz w:val="20"/>
              </w:rPr>
              <w:t>225</w:t>
            </w:r>
            <w:r w:rsidR="005B23DD" w:rsidRPr="00C97275">
              <w:rPr>
                <w:rFonts w:ascii="Georgia" w:hAnsi="Georgia"/>
                <w:sz w:val="20"/>
              </w:rPr>
              <w:t xml:space="preserve"> </w:t>
            </w:r>
            <w:r w:rsidRPr="00C97275">
              <w:rPr>
                <w:rFonts w:ascii="Georgia" w:hAnsi="Georgia"/>
                <w:sz w:val="20"/>
              </w:rPr>
              <w:t>projekt</w:t>
            </w:r>
            <w:r w:rsidR="005B23DD" w:rsidRPr="00C97275">
              <w:rPr>
                <w:rFonts w:ascii="Georgia" w:hAnsi="Georgia"/>
                <w:sz w:val="20"/>
              </w:rPr>
              <w:t>ai</w:t>
            </w:r>
            <w:r w:rsidRPr="00C97275">
              <w:rPr>
                <w:rFonts w:ascii="Georgia" w:hAnsi="Georgia"/>
                <w:sz w:val="20"/>
              </w:rPr>
              <w:t xml:space="preserve"> per metus</w:t>
            </w:r>
          </w:p>
        </w:tc>
        <w:tc>
          <w:tcPr>
            <w:tcW w:w="3287" w:type="pct"/>
            <w:tcBorders>
              <w:top w:val="single" w:sz="6" w:space="0" w:color="C0504D" w:themeColor="accent2"/>
              <w:left w:val="single" w:sz="6" w:space="0" w:color="C0504D" w:themeColor="accent2"/>
              <w:bottom w:val="single" w:sz="6" w:space="0" w:color="C0504D" w:themeColor="accent2"/>
            </w:tcBorders>
          </w:tcPr>
          <w:p w14:paraId="382BDBBA" w14:textId="08759F4E" w:rsidR="00ED5553" w:rsidRPr="00C97275" w:rsidRDefault="00ED5553" w:rsidP="00F03136">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 xml:space="preserve">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w:t>
            </w:r>
            <w:r w:rsidR="00F03136" w:rsidRPr="00C97275">
              <w:rPr>
                <w:rFonts w:ascii="Georgia" w:hAnsi="Georgia"/>
                <w:sz w:val="20"/>
              </w:rPr>
              <w:t xml:space="preserve">225 </w:t>
            </w:r>
            <w:r w:rsidRPr="00C97275">
              <w:rPr>
                <w:rFonts w:ascii="Georgia" w:hAnsi="Georgia"/>
                <w:sz w:val="20"/>
              </w:rPr>
              <w:t>naujų projektų</w:t>
            </w:r>
            <w:r w:rsidR="00F03136" w:rsidRPr="00C97275">
              <w:rPr>
                <w:rFonts w:ascii="Georgia" w:hAnsi="Georgia"/>
                <w:sz w:val="20"/>
              </w:rPr>
              <w:t>, kurio vieno vidutinė investicijų vertė bus 330 tūkst. eurų.</w:t>
            </w:r>
            <w:r w:rsidRPr="00C97275">
              <w:rPr>
                <w:rFonts w:ascii="Georgia" w:hAnsi="Georgia"/>
                <w:sz w:val="20"/>
              </w:rPr>
              <w:t>.</w:t>
            </w:r>
          </w:p>
        </w:tc>
      </w:tr>
      <w:tr w:rsidR="00ED5553" w:rsidRPr="00C97275" w14:paraId="383E5C9F"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638A40AE" w14:textId="77777777" w:rsidR="00ED5553" w:rsidRPr="00C97275" w:rsidRDefault="00ED5553" w:rsidP="00ED5553">
            <w:pPr>
              <w:jc w:val="both"/>
              <w:rPr>
                <w:rFonts w:ascii="Georgia" w:hAnsi="Georgia"/>
                <w:sz w:val="20"/>
              </w:rPr>
            </w:pPr>
            <w:r w:rsidRPr="00C97275">
              <w:rPr>
                <w:rFonts w:ascii="Georgia" w:hAnsi="Georgia"/>
                <w:sz w:val="20"/>
              </w:rPr>
              <w:t>Valdymo mokestis: vadovaujantis Deleguoto reglamento nuostatomis</w:t>
            </w:r>
          </w:p>
        </w:tc>
        <w:tc>
          <w:tcPr>
            <w:tcW w:w="3287" w:type="pct"/>
            <w:tcBorders>
              <w:top w:val="single" w:sz="6" w:space="0" w:color="C0504D" w:themeColor="accent2"/>
              <w:left w:val="single" w:sz="6" w:space="0" w:color="C0504D" w:themeColor="accent2"/>
              <w:bottom w:val="single" w:sz="6" w:space="0" w:color="C0504D" w:themeColor="accent2"/>
            </w:tcBorders>
          </w:tcPr>
          <w:p w14:paraId="49E02D80" w14:textId="77777777" w:rsidR="00ED5553" w:rsidRPr="00C97275"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ED5553" w:rsidRPr="00C97275" w14:paraId="2A5E5D87"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B74006D" w14:textId="77777777" w:rsidR="00ED5553" w:rsidRPr="00C97275" w:rsidRDefault="00ED5553" w:rsidP="00ED5553">
            <w:pPr>
              <w:jc w:val="both"/>
              <w:rPr>
                <w:rFonts w:ascii="Georgia" w:hAnsi="Georgia"/>
                <w:b w:val="0"/>
                <w:sz w:val="20"/>
              </w:rPr>
            </w:pPr>
            <w:r w:rsidRPr="00C97275">
              <w:rPr>
                <w:rFonts w:ascii="Georgia" w:hAnsi="Georgia"/>
                <w:sz w:val="20"/>
              </w:rPr>
              <w:t>Projekto įgyvendinimo trukmė: 1 metai</w:t>
            </w:r>
          </w:p>
        </w:tc>
        <w:tc>
          <w:tcPr>
            <w:tcW w:w="3287" w:type="pct"/>
            <w:tcBorders>
              <w:top w:val="single" w:sz="6" w:space="0" w:color="C0504D" w:themeColor="accent2"/>
              <w:left w:val="single" w:sz="6" w:space="0" w:color="C0504D" w:themeColor="accent2"/>
              <w:bottom w:val="single" w:sz="6" w:space="0" w:color="C0504D" w:themeColor="accent2"/>
            </w:tcBorders>
          </w:tcPr>
          <w:p w14:paraId="3C412612" w14:textId="77777777" w:rsidR="00ED5553" w:rsidRPr="00C97275" w:rsidRDefault="00ED5553" w:rsidP="00ED5553">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Remiantis šiuo metu įgyvendinamų projektų duomenimis nustatyta vidutinė projekto įgyvendinimo trukmė – 1 metai nuo paskolos sutarties pasirašymo dienos.</w:t>
            </w:r>
          </w:p>
        </w:tc>
      </w:tr>
      <w:tr w:rsidR="00ED5553" w:rsidRPr="00C97275" w14:paraId="7518F002"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right w:val="single" w:sz="6" w:space="0" w:color="C0504D" w:themeColor="accent2"/>
            </w:tcBorders>
          </w:tcPr>
          <w:p w14:paraId="0136C77C" w14:textId="77777777" w:rsidR="00ED5553" w:rsidRPr="00C97275" w:rsidRDefault="00ED5553" w:rsidP="00ED5553">
            <w:pPr>
              <w:jc w:val="both"/>
              <w:rPr>
                <w:rFonts w:ascii="Georgia" w:hAnsi="Georgia"/>
                <w:b w:val="0"/>
                <w:sz w:val="20"/>
              </w:rPr>
            </w:pPr>
            <w:r w:rsidRPr="00C97275">
              <w:rPr>
                <w:rFonts w:ascii="Georgia" w:hAnsi="Georgia"/>
                <w:sz w:val="20"/>
              </w:rPr>
              <w:t xml:space="preserve">Sugrįžusios lėšos pakartotinai panaudojamos: po 2 metų </w:t>
            </w:r>
          </w:p>
        </w:tc>
        <w:tc>
          <w:tcPr>
            <w:tcW w:w="3287" w:type="pct"/>
            <w:tcBorders>
              <w:top w:val="single" w:sz="6" w:space="0" w:color="C0504D" w:themeColor="accent2"/>
              <w:left w:val="single" w:sz="6" w:space="0" w:color="C0504D" w:themeColor="accent2"/>
            </w:tcBorders>
          </w:tcPr>
          <w:p w14:paraId="2D8F7F71" w14:textId="77777777" w:rsidR="00ED5553" w:rsidRPr="00C97275"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 xml:space="preserve">Daroma prielaida, jog grįžtančios lėšos pakartotinai panaudojamos projektų finansavimui tomis pačiomis sąlygomis po 2 metų. </w:t>
            </w:r>
          </w:p>
        </w:tc>
      </w:tr>
    </w:tbl>
    <w:p w14:paraId="58BC7FE3" w14:textId="68D55D54" w:rsidR="000556A1" w:rsidRPr="00C97275" w:rsidRDefault="000556A1" w:rsidP="000556A1">
      <w:pPr>
        <w:jc w:val="both"/>
        <w:rPr>
          <w:rFonts w:ascii="Georgia" w:hAnsi="Georgia"/>
          <w:sz w:val="20"/>
          <w:lang w:val="lt-LT"/>
        </w:rPr>
      </w:pPr>
    </w:p>
    <w:p w14:paraId="4FF2875F" w14:textId="77777777" w:rsidR="009E3962" w:rsidRPr="00C97275" w:rsidRDefault="009E3962" w:rsidP="009E3962">
      <w:pPr>
        <w:jc w:val="both"/>
        <w:rPr>
          <w:rFonts w:ascii="Georgia" w:hAnsi="Georgia"/>
          <w:sz w:val="20"/>
          <w:lang w:val="lt-LT"/>
        </w:rPr>
      </w:pPr>
      <w:r w:rsidRPr="00C97275">
        <w:rPr>
          <w:rFonts w:ascii="Georgia" w:hAnsi="Georgia"/>
          <w:sz w:val="20"/>
          <w:lang w:val="lt-LT"/>
        </w:rPr>
        <w:t xml:space="preserve">* - Pradinėje ataskaitoje  buvo numatyta, kad subsidiją sudarys dvi dalys: finansinės priemonės lėšos ir valstybės biudžeto lėšos. </w:t>
      </w:r>
    </w:p>
    <w:p w14:paraId="26402B05" w14:textId="77777777" w:rsidR="009E3962" w:rsidRPr="00C97275" w:rsidRDefault="009E3962" w:rsidP="009E3962">
      <w:pPr>
        <w:jc w:val="both"/>
        <w:rPr>
          <w:rFonts w:ascii="Georgia" w:hAnsi="Georgia"/>
          <w:sz w:val="20"/>
          <w:lang w:val="lt-LT"/>
        </w:rPr>
      </w:pPr>
      <w:r w:rsidRPr="00C97275">
        <w:rPr>
          <w:rFonts w:ascii="Georgia" w:hAnsi="Georgia"/>
          <w:sz w:val="20"/>
          <w:lang w:val="lt-LT"/>
        </w:rPr>
        <w:t>Valstybės paramos teikimo tvarką apibrėžė Valstybės paramos daugiabučiams namams atnaujinti (modernizuoti) įstatymas ir LRV 2009-12-16 nutarimas Nr. 1725 „Dėl valstybės paramos daugiabučiams namams atnaujinti (modernizuoti) teikimo taisyklių patvirtinimo ir daugiabučio namo atnaujinimo (modernizavimo) projektui įgyvendinti skirto kaupiamojo įnašo ir (ar) kitų įmokų didžiausios mėnesinės įmokos nustatymo“. Minėti teisės aktai numatė, kad valstybės parama yra teikiama:</w:t>
      </w:r>
    </w:p>
    <w:p w14:paraId="06BF1AB0" w14:textId="77777777" w:rsidR="009E3962" w:rsidRPr="00C97275" w:rsidRDefault="009E3962" w:rsidP="009E3962">
      <w:pPr>
        <w:pStyle w:val="ListRoman"/>
        <w:rPr>
          <w:lang w:val="lt-LT"/>
        </w:rPr>
      </w:pPr>
      <w:r w:rsidRPr="00C97275">
        <w:rPr>
          <w:lang w:val="lt-LT"/>
        </w:rPr>
        <w:t xml:space="preserve"> biudžeto lėšomis kompensuojant 15 procentų investicijų, tenkančių energinį efektyvumą didinančioms priemonėms, ir</w:t>
      </w:r>
    </w:p>
    <w:p w14:paraId="6C6F8A6E" w14:textId="77777777" w:rsidR="009E3962" w:rsidRPr="00C97275" w:rsidRDefault="009E3962" w:rsidP="009E3962">
      <w:pPr>
        <w:pStyle w:val="ListRoman"/>
        <w:rPr>
          <w:lang w:val="lt-LT"/>
        </w:rPr>
      </w:pPr>
      <w:r w:rsidRPr="00C97275">
        <w:rPr>
          <w:lang w:val="lt-LT"/>
        </w:rPr>
        <w:t>Klimato kaitos specialiosios programos lėšomis (numatyta palaipsniui mažėjanti parama 15, 20 arba 25 procentų investicijų, tenkančių energinį efektyvumą didinančioms priemonėms).</w:t>
      </w:r>
    </w:p>
    <w:p w14:paraId="0E1E9C85" w14:textId="44BD354B" w:rsidR="009E3962" w:rsidRPr="00C97275" w:rsidRDefault="009E3962" w:rsidP="009E3962">
      <w:pPr>
        <w:jc w:val="both"/>
        <w:rPr>
          <w:rFonts w:ascii="Georgia" w:hAnsi="Georgia"/>
          <w:sz w:val="20"/>
          <w:lang w:val="lt-LT"/>
        </w:rPr>
      </w:pPr>
      <w:r w:rsidRPr="00C97275">
        <w:rPr>
          <w:rFonts w:ascii="Georgia" w:hAnsi="Georgia"/>
          <w:sz w:val="20"/>
          <w:lang w:val="lt-LT"/>
        </w:rPr>
        <w:t>2016 m. buvo atliktas L</w:t>
      </w:r>
      <w:r w:rsidR="0072139F" w:rsidRPr="00C97275">
        <w:rPr>
          <w:rFonts w:ascii="Georgia" w:hAnsi="Georgia"/>
          <w:sz w:val="20"/>
          <w:lang w:val="lt-LT"/>
        </w:rPr>
        <w:t xml:space="preserve">ietuvos Respublikos Vyrausybės </w:t>
      </w:r>
      <w:r w:rsidRPr="00C97275">
        <w:rPr>
          <w:rFonts w:ascii="Georgia" w:hAnsi="Georgia"/>
          <w:sz w:val="20"/>
          <w:lang w:val="lt-LT"/>
        </w:rPr>
        <w:t xml:space="preserve"> nutarimo Nr. 1725 keitimas numatant, kad 15 proc. valstybės parama gali būti teikiama nurašant lengvatinio kredito metines palūkanas iki 0 proc, kol bendra nurašytų lengvatinio kredito palūkanų suma pasiekia 15 proc. investicijų, tenkančių investicijų plane nurodytoms energinį efektyvumą didinančioms priemonėms, sumą – kai investicijų planas patvirtintas ir lengvatinio kredito sutartis projektui įgyvendinti sudaryta po 2016-05-16.</w:t>
      </w:r>
      <w:r w:rsidRPr="00C97275">
        <w:rPr>
          <w:rFonts w:ascii="Georgia" w:hAnsi="Georgia"/>
          <w:i/>
          <w:iCs/>
          <w:color w:val="222222"/>
          <w:sz w:val="20"/>
          <w:szCs w:val="20"/>
          <w:shd w:val="clear" w:color="auto" w:fill="FFFFFF"/>
          <w:lang w:val="lt-LT"/>
        </w:rPr>
        <w:t> </w:t>
      </w:r>
    </w:p>
    <w:p w14:paraId="476745DA" w14:textId="77777777" w:rsidR="009E3962" w:rsidRPr="00C97275" w:rsidRDefault="009E3962" w:rsidP="009E3962">
      <w:pPr>
        <w:jc w:val="both"/>
        <w:rPr>
          <w:rFonts w:ascii="Georgia" w:hAnsi="Georgia"/>
          <w:sz w:val="20"/>
          <w:lang w:val="lt-LT"/>
        </w:rPr>
      </w:pPr>
      <w:r w:rsidRPr="00C97275">
        <w:rPr>
          <w:rFonts w:ascii="Georgia" w:hAnsi="Georgia"/>
          <w:sz w:val="20"/>
          <w:lang w:val="lt-LT"/>
        </w:rPr>
        <w:t xml:space="preserve">2017 m. valstybės paramos mokėjimo tvarka buvo pakeista numatant, kad projektams, pasiekusiems ne mažesnį kaip 40 proc. sutaupymą, suteikiama 30 % subsidija (valstybės parama) biudžeto lėšomis. </w:t>
      </w:r>
    </w:p>
    <w:p w14:paraId="5FEF8420" w14:textId="77777777" w:rsidR="009E3962" w:rsidRPr="00C97275" w:rsidRDefault="009E3962" w:rsidP="009E3962">
      <w:pPr>
        <w:jc w:val="both"/>
        <w:rPr>
          <w:rFonts w:ascii="Georgia" w:hAnsi="Georgia"/>
          <w:sz w:val="20"/>
          <w:lang w:val="lt-LT"/>
        </w:rPr>
      </w:pPr>
      <w:r w:rsidRPr="00C97275">
        <w:rPr>
          <w:rFonts w:ascii="Georgia" w:hAnsi="Georgia"/>
          <w:sz w:val="20"/>
          <w:lang w:val="lt-LT"/>
        </w:rPr>
        <w:t>Toliau, šioje ataskaitoje, daugiabučių namų modernizavimo alternatyvų analizėje, kur taikytina remiamasi dabar galiojančia subsidijos (valstybės paramos) teikimo tvarka.</w:t>
      </w:r>
    </w:p>
    <w:p w14:paraId="5C6A4557" w14:textId="77777777" w:rsidR="009E3962" w:rsidRPr="00C97275" w:rsidRDefault="009E3962" w:rsidP="000556A1">
      <w:pPr>
        <w:jc w:val="both"/>
        <w:rPr>
          <w:rFonts w:ascii="Georgia" w:hAnsi="Georgia"/>
          <w:sz w:val="20"/>
          <w:lang w:val="lt-LT"/>
        </w:rPr>
      </w:pPr>
    </w:p>
    <w:p w14:paraId="52831323" w14:textId="2E50BCC3" w:rsidR="000556A1" w:rsidRPr="00C97275" w:rsidRDefault="000556A1" w:rsidP="000556A1">
      <w:pPr>
        <w:pStyle w:val="Antrat"/>
        <w:jc w:val="both"/>
        <w:rPr>
          <w:lang w:val="lt-LT"/>
        </w:rPr>
      </w:pPr>
      <w:bookmarkStart w:id="172" w:name="_Toc19105258"/>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45</w:t>
      </w:r>
      <w:r w:rsidRPr="00C97275">
        <w:rPr>
          <w:lang w:val="lt-LT"/>
        </w:rPr>
        <w:fldChar w:fldCharType="end"/>
      </w:r>
      <w:r w:rsidRPr="00C97275">
        <w:rPr>
          <w:lang w:val="lt-LT"/>
        </w:rPr>
        <w:t>. Scenarijaus Nr. 1 įgyvendinimo prognozė</w:t>
      </w:r>
      <w:bookmarkEnd w:id="172"/>
    </w:p>
    <w:p w14:paraId="0982003B" w14:textId="2CD8B259" w:rsidR="000556A1" w:rsidRPr="00C97275" w:rsidRDefault="000556A1" w:rsidP="000556A1">
      <w:pPr>
        <w:pStyle w:val="Antrat"/>
        <w:jc w:val="center"/>
        <w:rPr>
          <w:lang w:val="lt-LT"/>
        </w:rPr>
      </w:pPr>
    </w:p>
    <w:p w14:paraId="1532D58C" w14:textId="210B69B8" w:rsidR="00C80317" w:rsidRPr="00C97275" w:rsidRDefault="00C80317" w:rsidP="008D155F">
      <w:pPr>
        <w:rPr>
          <w:rFonts w:ascii="Georgia" w:hAnsi="Georgia"/>
          <w:lang w:val="lt-LT"/>
        </w:rPr>
      </w:pPr>
      <w:r w:rsidRPr="00C97275">
        <w:rPr>
          <w:rFonts w:ascii="Georgia" w:hAnsi="Georgia"/>
          <w:noProof/>
          <w:lang w:val="lt-LT" w:eastAsia="lt-LT"/>
        </w:rPr>
        <w:drawing>
          <wp:inline distT="0" distB="0" distL="0" distR="0" wp14:anchorId="4DE3707D" wp14:editId="7807134C">
            <wp:extent cx="6136520" cy="3175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44484" cy="3179120"/>
                    </a:xfrm>
                    <a:prstGeom prst="rect">
                      <a:avLst/>
                    </a:prstGeom>
                  </pic:spPr>
                </pic:pic>
              </a:graphicData>
            </a:graphic>
          </wp:inline>
        </w:drawing>
      </w:r>
    </w:p>
    <w:p w14:paraId="1E92DD33" w14:textId="77777777" w:rsidR="00C80317" w:rsidRPr="00C97275" w:rsidRDefault="00C80317" w:rsidP="008D155F">
      <w:pPr>
        <w:rPr>
          <w:rFonts w:ascii="Georgia" w:hAnsi="Georgia"/>
          <w:lang w:val="lt-LT"/>
        </w:rPr>
      </w:pPr>
    </w:p>
    <w:p w14:paraId="5B4F9B18" w14:textId="0DE12D85" w:rsidR="000556A1" w:rsidRPr="00C97275" w:rsidRDefault="000556A1" w:rsidP="000556A1">
      <w:pPr>
        <w:pStyle w:val="Antrat"/>
        <w:jc w:val="both"/>
        <w:rPr>
          <w:lang w:val="lt-LT"/>
        </w:rPr>
      </w:pPr>
      <w:bookmarkStart w:id="173" w:name="_Toc19105259"/>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46</w:t>
      </w:r>
      <w:r w:rsidRPr="00C97275">
        <w:rPr>
          <w:lang w:val="lt-LT"/>
        </w:rPr>
        <w:fldChar w:fldCharType="end"/>
      </w:r>
      <w:r w:rsidRPr="00C97275">
        <w:rPr>
          <w:lang w:val="lt-LT"/>
        </w:rPr>
        <w:t xml:space="preserve">. </w:t>
      </w:r>
      <w:r w:rsidRPr="00C97275">
        <w:rPr>
          <w:szCs w:val="20"/>
          <w:lang w:val="lt-LT"/>
        </w:rPr>
        <w:t>Scenarijaus Nr. 1 rezultatai</w:t>
      </w:r>
      <w:bookmarkEnd w:id="173"/>
    </w:p>
    <w:tbl>
      <w:tblPr>
        <w:tblStyle w:val="viesussraas2parykinimas"/>
        <w:tblW w:w="5000" w:type="pct"/>
        <w:tblLook w:val="04A0" w:firstRow="1" w:lastRow="0" w:firstColumn="1" w:lastColumn="0" w:noHBand="0" w:noVBand="1"/>
      </w:tblPr>
      <w:tblGrid>
        <w:gridCol w:w="6651"/>
        <w:gridCol w:w="2591"/>
      </w:tblGrid>
      <w:tr w:rsidR="000556A1" w:rsidRPr="00C97275" w14:paraId="75AFA5F2" w14:textId="77777777" w:rsidTr="00B042D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17FDC262" w14:textId="77777777" w:rsidR="000556A1" w:rsidRPr="00C97275" w:rsidRDefault="000556A1" w:rsidP="00B042D4">
            <w:pPr>
              <w:keepNext/>
              <w:spacing w:after="200" w:line="276" w:lineRule="auto"/>
              <w:jc w:val="both"/>
              <w:rPr>
                <w:rFonts w:ascii="Georgia" w:hAnsi="Georgia"/>
                <w:sz w:val="20"/>
                <w:szCs w:val="20"/>
              </w:rPr>
            </w:pPr>
            <w:r w:rsidRPr="00C97275">
              <w:rPr>
                <w:rFonts w:ascii="Georgia" w:hAnsi="Georgia"/>
                <w:sz w:val="20"/>
                <w:szCs w:val="20"/>
              </w:rPr>
              <w:t>Fondas</w:t>
            </w:r>
          </w:p>
        </w:tc>
        <w:tc>
          <w:tcPr>
            <w:tcW w:w="1402" w:type="pct"/>
          </w:tcPr>
          <w:p w14:paraId="7D16FB32" w14:textId="2F537117" w:rsidR="000556A1" w:rsidRPr="00C97275" w:rsidRDefault="00A23E59" w:rsidP="00EB5FD2">
            <w:pPr>
              <w:keepNext/>
              <w:spacing w:after="200" w:line="276" w:lineRule="auto"/>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Reikšmė</w:t>
            </w:r>
          </w:p>
        </w:tc>
      </w:tr>
      <w:tr w:rsidR="000556A1" w:rsidRPr="00C97275" w14:paraId="6806EA4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6E7E2D9F" w14:textId="396FA6C5" w:rsidR="000556A1" w:rsidRPr="00C97275" w:rsidRDefault="000556A1" w:rsidP="00B042D4">
            <w:pPr>
              <w:keepNext/>
              <w:spacing w:after="200"/>
              <w:jc w:val="both"/>
              <w:rPr>
                <w:rFonts w:ascii="Georgia" w:hAnsi="Georgia"/>
                <w:sz w:val="20"/>
                <w:szCs w:val="20"/>
              </w:rPr>
            </w:pPr>
            <w:r w:rsidRPr="00C97275">
              <w:rPr>
                <w:rFonts w:ascii="Georgia" w:hAnsi="Georgia"/>
                <w:sz w:val="20"/>
                <w:szCs w:val="20"/>
              </w:rPr>
              <w:t>Galutinius naudos gavėjus pasiekusios lėšos</w:t>
            </w:r>
            <w:r w:rsidR="00A23E59" w:rsidRPr="00C97275">
              <w:rPr>
                <w:rFonts w:ascii="Georgia" w:hAnsi="Georgia"/>
                <w:sz w:val="20"/>
                <w:szCs w:val="20"/>
              </w:rPr>
              <w:t>, mln. eurų</w:t>
            </w:r>
          </w:p>
        </w:tc>
        <w:tc>
          <w:tcPr>
            <w:tcW w:w="1402" w:type="pct"/>
          </w:tcPr>
          <w:p w14:paraId="79A91E93" w14:textId="55AC4282" w:rsidR="000556A1" w:rsidRPr="00C97275" w:rsidRDefault="000556A1" w:rsidP="00EB5FD2">
            <w:pPr>
              <w:keepNext/>
              <w:spacing w:after="200"/>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417,</w:t>
            </w:r>
            <w:r w:rsidR="00C80317" w:rsidRPr="00C97275">
              <w:rPr>
                <w:rFonts w:ascii="Georgia" w:hAnsi="Georgia"/>
                <w:sz w:val="20"/>
                <w:szCs w:val="20"/>
              </w:rPr>
              <w:t>8</w:t>
            </w:r>
          </w:p>
        </w:tc>
      </w:tr>
      <w:tr w:rsidR="000556A1" w:rsidRPr="00C97275" w14:paraId="3FDA98BF"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3598" w:type="pct"/>
          </w:tcPr>
          <w:p w14:paraId="6C57AABE" w14:textId="373D5F8C" w:rsidR="000556A1" w:rsidRPr="00C97275" w:rsidRDefault="000556A1" w:rsidP="00B042D4">
            <w:pPr>
              <w:spacing w:after="200"/>
              <w:jc w:val="both"/>
              <w:rPr>
                <w:rFonts w:ascii="Georgia" w:hAnsi="Georgia"/>
                <w:b w:val="0"/>
                <w:sz w:val="20"/>
                <w:szCs w:val="20"/>
              </w:rPr>
            </w:pPr>
            <w:r w:rsidRPr="00C97275">
              <w:rPr>
                <w:rFonts w:ascii="Georgia" w:hAnsi="Georgia"/>
                <w:sz w:val="20"/>
                <w:szCs w:val="20"/>
              </w:rPr>
              <w:t>Į fondą grįžusios lėšos iki 2019 metų (įskaitant subsidijas bei JESSICA KF grįžtančias lėšas)</w:t>
            </w:r>
            <w:r w:rsidR="00A23E59" w:rsidRPr="00C97275">
              <w:rPr>
                <w:rFonts w:ascii="Georgia" w:hAnsi="Georgia"/>
                <w:sz w:val="20"/>
                <w:szCs w:val="20"/>
              </w:rPr>
              <w:t>, mln. eurų</w:t>
            </w:r>
          </w:p>
        </w:tc>
        <w:tc>
          <w:tcPr>
            <w:tcW w:w="1402" w:type="pct"/>
          </w:tcPr>
          <w:p w14:paraId="7A3E3740" w14:textId="77777777" w:rsidR="000556A1" w:rsidRPr="00C97275" w:rsidRDefault="000556A1" w:rsidP="00EB5FD2">
            <w:pPr>
              <w:spacing w:after="200"/>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149,3</w:t>
            </w:r>
          </w:p>
        </w:tc>
      </w:tr>
      <w:tr w:rsidR="000556A1" w:rsidRPr="00C97275" w14:paraId="00C972CB"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4022B306" w14:textId="77777777" w:rsidR="000556A1" w:rsidRPr="00C97275" w:rsidRDefault="000556A1" w:rsidP="00B042D4">
            <w:pPr>
              <w:spacing w:after="200"/>
              <w:jc w:val="both"/>
              <w:rPr>
                <w:rFonts w:ascii="Georgia" w:hAnsi="Georgia"/>
                <w:sz w:val="20"/>
                <w:szCs w:val="20"/>
              </w:rPr>
            </w:pPr>
            <w:r w:rsidRPr="00C97275">
              <w:rPr>
                <w:rFonts w:ascii="Georgia" w:hAnsi="Georgia"/>
                <w:sz w:val="20"/>
                <w:szCs w:val="20"/>
              </w:rPr>
              <w:t>Renovuotų pastatų skaičius</w:t>
            </w:r>
          </w:p>
        </w:tc>
        <w:tc>
          <w:tcPr>
            <w:tcW w:w="1402" w:type="pct"/>
          </w:tcPr>
          <w:p w14:paraId="0E3ACCA4" w14:textId="499F8A10" w:rsidR="000556A1" w:rsidRPr="00C97275" w:rsidRDefault="00C80317" w:rsidP="00EB5FD2">
            <w:pPr>
              <w:spacing w:after="200"/>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1 264</w:t>
            </w:r>
          </w:p>
        </w:tc>
      </w:tr>
    </w:tbl>
    <w:p w14:paraId="4B458699" w14:textId="77777777" w:rsidR="000556A1" w:rsidRPr="00C97275" w:rsidRDefault="000556A1" w:rsidP="000556A1">
      <w:pPr>
        <w:rPr>
          <w:rFonts w:ascii="Georgia" w:hAnsi="Georgia"/>
          <w:lang w:val="lt-LT"/>
        </w:rPr>
      </w:pPr>
    </w:p>
    <w:p w14:paraId="005B0C9B" w14:textId="1F09A005" w:rsidR="000556A1" w:rsidRPr="00C97275" w:rsidRDefault="000556A1" w:rsidP="00D17A57">
      <w:pPr>
        <w:keepNext/>
        <w:rPr>
          <w:rFonts w:ascii="Georgia" w:hAnsi="Georgia"/>
          <w:b/>
          <w:i/>
          <w:sz w:val="28"/>
          <w:szCs w:val="28"/>
          <w:lang w:val="lt-LT"/>
        </w:rPr>
      </w:pPr>
      <w:r w:rsidRPr="00C97275">
        <w:rPr>
          <w:rFonts w:ascii="Georgia" w:hAnsi="Georgia"/>
          <w:b/>
          <w:i/>
          <w:sz w:val="28"/>
          <w:szCs w:val="28"/>
          <w:lang w:val="lt-LT"/>
        </w:rPr>
        <w:t xml:space="preserve">Scenarijus Nr. </w:t>
      </w:r>
      <w:r w:rsidR="001B4BB2" w:rsidRPr="00C97275">
        <w:rPr>
          <w:rFonts w:ascii="Georgia" w:hAnsi="Georgia"/>
          <w:b/>
          <w:i/>
          <w:sz w:val="28"/>
          <w:szCs w:val="28"/>
          <w:lang w:val="lt-LT"/>
        </w:rPr>
        <w:t>2</w:t>
      </w:r>
      <w:r w:rsidRPr="00C97275">
        <w:rPr>
          <w:rFonts w:ascii="Georgia" w:hAnsi="Georgia"/>
          <w:b/>
          <w:i/>
          <w:sz w:val="28"/>
          <w:szCs w:val="28"/>
          <w:lang w:val="lt-LT"/>
        </w:rPr>
        <w:t xml:space="preserve">: Dalis finansinės priemonės lėšų nukreipiama į paskolų modelį, o dalis į garantijų priemonę </w:t>
      </w:r>
    </w:p>
    <w:p w14:paraId="2D329C6C" w14:textId="4CCEBB76" w:rsidR="00EB5FD2" w:rsidRPr="00C97275" w:rsidRDefault="00ED628E" w:rsidP="00EB5FD2">
      <w:pPr>
        <w:pStyle w:val="Antrat"/>
        <w:spacing w:line="276" w:lineRule="auto"/>
        <w:jc w:val="both"/>
        <w:rPr>
          <w:rFonts w:eastAsiaTheme="minorHAnsi" w:cstheme="minorBidi"/>
          <w:b w:val="0"/>
          <w:bCs w:val="0"/>
          <w:color w:val="auto"/>
          <w:szCs w:val="22"/>
          <w:lang w:val="lt-LT"/>
        </w:rPr>
      </w:pPr>
      <w:r w:rsidRPr="00C97275">
        <w:rPr>
          <w:rFonts w:eastAsiaTheme="minorHAnsi" w:cstheme="minorBidi"/>
          <w:b w:val="0"/>
          <w:bCs w:val="0"/>
          <w:color w:val="auto"/>
          <w:szCs w:val="22"/>
          <w:lang w:val="lt-LT"/>
        </w:rPr>
        <w:t>Antrajame</w:t>
      </w:r>
      <w:r w:rsidR="00EB5FD2" w:rsidRPr="00C97275">
        <w:rPr>
          <w:rFonts w:eastAsiaTheme="minorHAnsi" w:cstheme="minorBidi"/>
          <w:b w:val="0"/>
          <w:bCs w:val="0"/>
          <w:color w:val="auto"/>
          <w:szCs w:val="22"/>
          <w:lang w:val="lt-LT"/>
        </w:rPr>
        <w:t xml:space="preserve"> scenarijuje yra kuriamas modelis, kai paskolų priemonė yra derinama su garantijų priemone, t.y., būtų teikiamos ir daugiabučių namų modernizavimo paskolos, ir teikiama garantija kreditoriams.</w:t>
      </w:r>
    </w:p>
    <w:p w14:paraId="09A7B108" w14:textId="77777777" w:rsidR="00EB5FD2" w:rsidRPr="00C97275" w:rsidRDefault="00EB5FD2" w:rsidP="00EB5FD2">
      <w:pPr>
        <w:spacing w:after="0" w:line="240" w:lineRule="atLeast"/>
        <w:jc w:val="both"/>
        <w:rPr>
          <w:rFonts w:ascii="Georgia" w:hAnsi="Georgia" w:cs="Arial"/>
          <w:b/>
          <w:i/>
          <w:sz w:val="20"/>
          <w:szCs w:val="20"/>
          <w:lang w:val="lt-LT"/>
        </w:rPr>
      </w:pPr>
      <w:r w:rsidRPr="00C97275">
        <w:rPr>
          <w:rFonts w:ascii="Georgia" w:hAnsi="Georgia" w:cs="Arial"/>
          <w:b/>
          <w:i/>
          <w:sz w:val="20"/>
          <w:szCs w:val="20"/>
          <w:lang w:val="lt-LT"/>
        </w:rPr>
        <w:t>Modernizavimo paskolos</w:t>
      </w:r>
    </w:p>
    <w:p w14:paraId="013F3290" w14:textId="77777777" w:rsidR="00EB5FD2" w:rsidRPr="00C97275" w:rsidRDefault="00EB5FD2" w:rsidP="00EB5FD2">
      <w:pPr>
        <w:spacing w:after="0" w:line="240" w:lineRule="atLeast"/>
        <w:jc w:val="both"/>
        <w:rPr>
          <w:rFonts w:ascii="Georgia" w:hAnsi="Georgia" w:cs="Arial"/>
          <w:sz w:val="20"/>
          <w:szCs w:val="20"/>
          <w:lang w:val="lt-LT"/>
        </w:rPr>
      </w:pPr>
    </w:p>
    <w:p w14:paraId="0A0C65D4" w14:textId="734D4FB6" w:rsidR="00EB5FD2" w:rsidRPr="00C97275" w:rsidRDefault="00EB5FD2" w:rsidP="00EB5FD2">
      <w:pPr>
        <w:pStyle w:val="Antrat"/>
        <w:spacing w:line="276" w:lineRule="auto"/>
        <w:jc w:val="both"/>
        <w:rPr>
          <w:rFonts w:cs="Arial"/>
          <w:i/>
          <w:szCs w:val="20"/>
          <w:lang w:val="lt-LT"/>
        </w:rPr>
      </w:pPr>
      <w:r w:rsidRPr="00C97275">
        <w:rPr>
          <w:rFonts w:eastAsiaTheme="minorHAnsi" w:cstheme="minorBidi"/>
          <w:b w:val="0"/>
          <w:bCs w:val="0"/>
          <w:color w:val="auto"/>
          <w:szCs w:val="22"/>
          <w:lang w:val="lt-LT"/>
        </w:rPr>
        <w:t xml:space="preserve">Modernizavimo paskolos galėtų būti teikiamos pagal </w:t>
      </w:r>
      <w:r w:rsidR="00325FB1" w:rsidRPr="00C97275">
        <w:rPr>
          <w:rFonts w:eastAsiaTheme="minorHAnsi" w:cstheme="minorBidi"/>
          <w:b w:val="0"/>
          <w:bCs w:val="0"/>
          <w:color w:val="auto"/>
          <w:szCs w:val="22"/>
          <w:lang w:val="lt-LT"/>
        </w:rPr>
        <w:t>pirmajame scenarijuje</w:t>
      </w:r>
      <w:r w:rsidRPr="00C97275">
        <w:rPr>
          <w:rFonts w:eastAsiaTheme="minorHAnsi" w:cstheme="minorBidi"/>
          <w:b w:val="0"/>
          <w:bCs w:val="0"/>
          <w:color w:val="auto"/>
          <w:szCs w:val="22"/>
          <w:lang w:val="lt-LT"/>
        </w:rPr>
        <w:t xml:space="preserve"> išanalizuotą modelį, tad jų įgyvendinimo prognozės nėra keičiamos bei teikimo sąlygos toliau neanalizuojamos. </w:t>
      </w:r>
    </w:p>
    <w:p w14:paraId="28781BFF" w14:textId="77777777" w:rsidR="00325FB1" w:rsidRPr="00C97275" w:rsidRDefault="00325FB1" w:rsidP="00EB5FD2">
      <w:pPr>
        <w:spacing w:after="0" w:line="240" w:lineRule="atLeast"/>
        <w:jc w:val="both"/>
        <w:rPr>
          <w:rFonts w:ascii="Georgia" w:hAnsi="Georgia" w:cs="Arial"/>
          <w:b/>
          <w:i/>
          <w:sz w:val="20"/>
          <w:szCs w:val="20"/>
          <w:lang w:val="lt-LT"/>
        </w:rPr>
      </w:pPr>
    </w:p>
    <w:p w14:paraId="18AB1ACF" w14:textId="20B70644" w:rsidR="00EB5FD2" w:rsidRPr="00C97275" w:rsidRDefault="00EB5FD2" w:rsidP="00EB5FD2">
      <w:pPr>
        <w:spacing w:after="0" w:line="240" w:lineRule="atLeast"/>
        <w:jc w:val="both"/>
        <w:rPr>
          <w:rFonts w:ascii="Georgia" w:hAnsi="Georgia" w:cs="Arial"/>
          <w:b/>
          <w:i/>
          <w:sz w:val="20"/>
          <w:szCs w:val="20"/>
          <w:lang w:val="lt-LT"/>
        </w:rPr>
      </w:pPr>
      <w:r w:rsidRPr="00C97275">
        <w:rPr>
          <w:rFonts w:ascii="Georgia" w:hAnsi="Georgia" w:cs="Arial"/>
          <w:b/>
          <w:i/>
          <w:sz w:val="20"/>
          <w:szCs w:val="20"/>
          <w:lang w:val="lt-LT"/>
        </w:rPr>
        <w:t>Garantija</w:t>
      </w:r>
    </w:p>
    <w:p w14:paraId="773031CA" w14:textId="77777777" w:rsidR="00EB5FD2" w:rsidRPr="00C97275" w:rsidRDefault="00EB5FD2" w:rsidP="00EB5FD2">
      <w:pPr>
        <w:pStyle w:val="Sraopastraipa"/>
        <w:spacing w:after="0" w:line="240" w:lineRule="atLeast"/>
        <w:jc w:val="both"/>
        <w:rPr>
          <w:rFonts w:ascii="Georgia" w:hAnsi="Georgia" w:cs="Arial"/>
          <w:sz w:val="20"/>
          <w:szCs w:val="20"/>
          <w:lang w:val="lt-LT"/>
        </w:rPr>
      </w:pPr>
    </w:p>
    <w:p w14:paraId="0EF3143D" w14:textId="77777777" w:rsidR="00EB5FD2" w:rsidRPr="00C97275" w:rsidRDefault="00EB5FD2" w:rsidP="00EB5FD2">
      <w:pPr>
        <w:pStyle w:val="Antrat"/>
        <w:spacing w:line="276" w:lineRule="auto"/>
        <w:jc w:val="both"/>
        <w:rPr>
          <w:rFonts w:eastAsiaTheme="minorHAnsi" w:cstheme="minorBidi"/>
          <w:b w:val="0"/>
          <w:bCs w:val="0"/>
          <w:color w:val="auto"/>
          <w:szCs w:val="22"/>
          <w:lang w:val="lt-LT"/>
        </w:rPr>
      </w:pPr>
      <w:r w:rsidRPr="00C97275">
        <w:rPr>
          <w:rFonts w:eastAsiaTheme="minorHAnsi" w:cstheme="minorBidi"/>
          <w:b w:val="0"/>
          <w:bCs w:val="0"/>
          <w:color w:val="auto"/>
          <w:szCs w:val="22"/>
          <w:lang w:val="lt-LT"/>
        </w:rPr>
        <w:lastRenderedPageBreak/>
        <w:t>Išnagrinėjus rinkos sąlygas bei bankų komentarus, siūlomos tokios orientacinės pagrindinės pirmo nuostolio portfelinės garantijos sąlygos:</w:t>
      </w:r>
    </w:p>
    <w:p w14:paraId="4D60DC1D" w14:textId="13B3B653" w:rsidR="00EB5FD2" w:rsidRPr="00C97275" w:rsidRDefault="00EB5FD2" w:rsidP="00EB5FD2">
      <w:pPr>
        <w:pStyle w:val="Antrat"/>
        <w:jc w:val="both"/>
        <w:rPr>
          <w:lang w:val="lt-LT"/>
        </w:rPr>
      </w:pPr>
      <w:bookmarkStart w:id="174" w:name="_Toc19105260"/>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47</w:t>
      </w:r>
      <w:r w:rsidRPr="00C97275">
        <w:rPr>
          <w:lang w:val="lt-LT"/>
        </w:rPr>
        <w:fldChar w:fldCharType="end"/>
      </w:r>
      <w:r w:rsidRPr="00C97275">
        <w:rPr>
          <w:lang w:val="lt-LT"/>
        </w:rPr>
        <w:t>. Pagrindinės pirmo nuostolio portfelinės garantijos sąlygos</w:t>
      </w:r>
      <w:bookmarkEnd w:id="174"/>
    </w:p>
    <w:tbl>
      <w:tblPr>
        <w:tblStyle w:val="LightList-Accent21"/>
        <w:tblW w:w="0" w:type="auto"/>
        <w:tblBorders>
          <w:insideH w:val="single" w:sz="8" w:space="0" w:color="D62E1C"/>
        </w:tblBorders>
        <w:tblLook w:val="04A0" w:firstRow="1" w:lastRow="0" w:firstColumn="1" w:lastColumn="0" w:noHBand="0" w:noVBand="1"/>
      </w:tblPr>
      <w:tblGrid>
        <w:gridCol w:w="4627"/>
        <w:gridCol w:w="4615"/>
      </w:tblGrid>
      <w:tr w:rsidR="00EB5FD2" w:rsidRPr="00C97275" w14:paraId="40B46B2D" w14:textId="77777777" w:rsidTr="00931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shd w:val="clear" w:color="auto" w:fill="C0504D"/>
          </w:tcPr>
          <w:p w14:paraId="35F449BD" w14:textId="0D7F87B3" w:rsidR="00EB5FD2" w:rsidRPr="00C97275" w:rsidRDefault="00EB5FD2" w:rsidP="00EB5FD2">
            <w:pPr>
              <w:spacing w:line="240" w:lineRule="atLeast"/>
              <w:jc w:val="both"/>
              <w:rPr>
                <w:rFonts w:ascii="Georgia" w:hAnsi="Georgia" w:cs="Arial"/>
                <w:sz w:val="20"/>
                <w:szCs w:val="20"/>
              </w:rPr>
            </w:pPr>
            <w:r w:rsidRPr="00C97275">
              <w:rPr>
                <w:rFonts w:ascii="Georgia" w:hAnsi="Georgia" w:cs="Arial"/>
                <w:sz w:val="20"/>
                <w:szCs w:val="20"/>
              </w:rPr>
              <w:t>Rodiklis</w:t>
            </w:r>
          </w:p>
        </w:tc>
        <w:tc>
          <w:tcPr>
            <w:tcW w:w="4927" w:type="dxa"/>
            <w:shd w:val="clear" w:color="auto" w:fill="C0504D"/>
          </w:tcPr>
          <w:p w14:paraId="77BDA01D" w14:textId="74FEFA09" w:rsidR="00EB5FD2" w:rsidRPr="00C97275" w:rsidRDefault="00EB5FD2" w:rsidP="00EB5FD2">
            <w:pPr>
              <w:spacing w:line="240" w:lineRule="atLeast"/>
              <w:jc w:val="both"/>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Reikšmė</w:t>
            </w:r>
          </w:p>
        </w:tc>
      </w:tr>
      <w:tr w:rsidR="00EB5FD2" w:rsidRPr="00C97275" w14:paraId="2D68E92F" w14:textId="77777777" w:rsidTr="0093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Borders>
              <w:top w:val="none" w:sz="0" w:space="0" w:color="auto"/>
              <w:left w:val="none" w:sz="0" w:space="0" w:color="auto"/>
              <w:bottom w:val="none" w:sz="0" w:space="0" w:color="auto"/>
            </w:tcBorders>
            <w:hideMark/>
          </w:tcPr>
          <w:p w14:paraId="17E916E2" w14:textId="77777777" w:rsidR="00EB5FD2" w:rsidRPr="00C97275" w:rsidRDefault="00EB5FD2" w:rsidP="00EB5FD2">
            <w:pPr>
              <w:spacing w:line="240" w:lineRule="atLeast"/>
              <w:jc w:val="both"/>
              <w:rPr>
                <w:rFonts w:ascii="Georgia" w:hAnsi="Georgia" w:cs="Arial"/>
                <w:sz w:val="20"/>
                <w:szCs w:val="20"/>
              </w:rPr>
            </w:pPr>
            <w:r w:rsidRPr="00C97275">
              <w:rPr>
                <w:rFonts w:ascii="Georgia" w:hAnsi="Georgia" w:cs="Arial"/>
                <w:sz w:val="20"/>
                <w:szCs w:val="20"/>
              </w:rPr>
              <w:t>Nuostolių padengimas</w:t>
            </w:r>
          </w:p>
        </w:tc>
        <w:tc>
          <w:tcPr>
            <w:tcW w:w="4927" w:type="dxa"/>
            <w:tcBorders>
              <w:top w:val="none" w:sz="0" w:space="0" w:color="auto"/>
              <w:bottom w:val="none" w:sz="0" w:space="0" w:color="auto"/>
              <w:right w:val="none" w:sz="0" w:space="0" w:color="auto"/>
            </w:tcBorders>
            <w:hideMark/>
          </w:tcPr>
          <w:p w14:paraId="641FA77A" w14:textId="77777777" w:rsidR="00EB5FD2" w:rsidRPr="00C97275" w:rsidRDefault="00EB5FD2" w:rsidP="00EB5FD2">
            <w:pPr>
              <w:spacing w:line="240" w:lineRule="atLeast"/>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80% patirto nuostolio kiekvienu atveju</w:t>
            </w:r>
          </w:p>
        </w:tc>
      </w:tr>
      <w:tr w:rsidR="00EB5FD2" w:rsidRPr="00C97275" w14:paraId="6FC9713C" w14:textId="77777777" w:rsidTr="00931D4D">
        <w:tc>
          <w:tcPr>
            <w:cnfStyle w:val="001000000000" w:firstRow="0" w:lastRow="0" w:firstColumn="1" w:lastColumn="0" w:oddVBand="0" w:evenVBand="0" w:oddHBand="0" w:evenHBand="0" w:firstRowFirstColumn="0" w:firstRowLastColumn="0" w:lastRowFirstColumn="0" w:lastRowLastColumn="0"/>
            <w:tcW w:w="4927" w:type="dxa"/>
            <w:hideMark/>
          </w:tcPr>
          <w:p w14:paraId="2CC67F33" w14:textId="77777777" w:rsidR="00EB5FD2" w:rsidRPr="00C97275" w:rsidRDefault="00EB5FD2" w:rsidP="00EB5FD2">
            <w:pPr>
              <w:spacing w:line="240" w:lineRule="atLeast"/>
              <w:jc w:val="both"/>
              <w:rPr>
                <w:rFonts w:ascii="Georgia" w:hAnsi="Georgia" w:cs="Arial"/>
                <w:sz w:val="20"/>
                <w:szCs w:val="20"/>
              </w:rPr>
            </w:pPr>
            <w:r w:rsidRPr="00C97275">
              <w:rPr>
                <w:rFonts w:ascii="Georgia" w:hAnsi="Georgia" w:cs="Arial"/>
                <w:sz w:val="20"/>
                <w:szCs w:val="20"/>
              </w:rPr>
              <w:t>Maksimali nuostolių suma</w:t>
            </w:r>
          </w:p>
        </w:tc>
        <w:tc>
          <w:tcPr>
            <w:tcW w:w="4927" w:type="dxa"/>
            <w:hideMark/>
          </w:tcPr>
          <w:p w14:paraId="560A9A2C" w14:textId="77777777" w:rsidR="00EB5FD2" w:rsidRPr="00C97275" w:rsidRDefault="00EB5FD2" w:rsidP="00EB5FD2">
            <w:pPr>
              <w:spacing w:line="240" w:lineRule="atLeast"/>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C97275">
              <w:rPr>
                <w:rFonts w:ascii="Georgia" w:hAnsi="Georgia" w:cs="Arial"/>
                <w:sz w:val="20"/>
                <w:szCs w:val="20"/>
              </w:rPr>
              <w:t>25% nuo sugeneruoto portfelio vertės</w:t>
            </w:r>
          </w:p>
        </w:tc>
      </w:tr>
    </w:tbl>
    <w:p w14:paraId="1D0E5CAA" w14:textId="77777777" w:rsidR="00552BCE" w:rsidRPr="00C97275" w:rsidRDefault="00552BCE" w:rsidP="00EB5FD2">
      <w:pPr>
        <w:pStyle w:val="Antrat"/>
        <w:spacing w:line="276" w:lineRule="auto"/>
        <w:jc w:val="both"/>
        <w:rPr>
          <w:rFonts w:eastAsiaTheme="minorHAnsi" w:cstheme="minorBidi"/>
          <w:b w:val="0"/>
          <w:bCs w:val="0"/>
          <w:color w:val="auto"/>
          <w:szCs w:val="22"/>
          <w:lang w:val="lt-LT"/>
        </w:rPr>
      </w:pPr>
    </w:p>
    <w:p w14:paraId="7E4FBF0B" w14:textId="3A1D19DF" w:rsidR="00EB5FD2" w:rsidRPr="00C97275" w:rsidRDefault="00EB5FD2" w:rsidP="00EB5FD2">
      <w:pPr>
        <w:pStyle w:val="Antrat"/>
        <w:spacing w:line="276" w:lineRule="auto"/>
        <w:jc w:val="both"/>
        <w:rPr>
          <w:rFonts w:eastAsiaTheme="minorHAnsi" w:cstheme="minorBidi"/>
          <w:b w:val="0"/>
          <w:bCs w:val="0"/>
          <w:color w:val="auto"/>
          <w:szCs w:val="22"/>
          <w:lang w:val="lt-LT"/>
        </w:rPr>
      </w:pPr>
      <w:r w:rsidRPr="00C97275">
        <w:rPr>
          <w:rFonts w:eastAsiaTheme="minorHAnsi" w:cstheme="minorBidi"/>
          <w:b w:val="0"/>
          <w:bCs w:val="0"/>
          <w:color w:val="auto"/>
          <w:szCs w:val="22"/>
          <w:lang w:val="lt-LT"/>
        </w:rPr>
        <w:t>Išduodama garantija būtų pirmo pareikalavimo besąlyginė garantija ir galėtų užtikrinti bankui mažesnį kapitalo atidėjimo poreikį. Pirminės bankų diskusijos su rinkos priežiūros institucija Lietuvos banku nesuteikė užtikrintumo, kad bankai galės daryti kapitalo atidėjimus 50% ir mažiau nuo portfelio vertės, kadangi Lietuvos banko nuomone, modernizavimo paskolos yra kvalifikuotinos kaip vartojamosios paskolos. Šis aspektas yra pakankamai svarbus, siekiant užtikrinti prieinamą bankų skolinimo kainą, kadangi didėjant kapitalo atidėjimo poreikiui, bankai didintų siūlomą savo lėšų kainą, kurią turėtų kompensuoti valstybė</w:t>
      </w:r>
      <w:r w:rsidR="00BF10B7" w:rsidRPr="00C97275">
        <w:rPr>
          <w:rFonts w:eastAsiaTheme="minorHAnsi" w:cstheme="minorBidi"/>
          <w:b w:val="0"/>
          <w:bCs w:val="0"/>
          <w:color w:val="auto"/>
          <w:szCs w:val="22"/>
          <w:lang w:val="lt-LT"/>
        </w:rPr>
        <w:t xml:space="preserve"> ir/ar daugiabučių namų patalpų savininkai</w:t>
      </w:r>
      <w:r w:rsidRPr="00C97275">
        <w:rPr>
          <w:rFonts w:eastAsiaTheme="minorHAnsi" w:cstheme="minorBidi"/>
          <w:b w:val="0"/>
          <w:bCs w:val="0"/>
          <w:color w:val="auto"/>
          <w:szCs w:val="22"/>
          <w:lang w:val="lt-LT"/>
        </w:rPr>
        <w:t xml:space="preserve">. </w:t>
      </w:r>
    </w:p>
    <w:p w14:paraId="4E5B6ADE" w14:textId="3B040E14" w:rsidR="00EB5FD2" w:rsidRPr="00C97275" w:rsidRDefault="00EB5FD2" w:rsidP="00931D4D">
      <w:pPr>
        <w:pStyle w:val="Sraopastraipa"/>
        <w:rPr>
          <w:rFonts w:ascii="Georgia" w:hAnsi="Georgia" w:cs="Arial"/>
          <w:sz w:val="20"/>
          <w:szCs w:val="20"/>
          <w:lang w:val="lt-LT"/>
        </w:rPr>
      </w:pPr>
      <w:r w:rsidRPr="00C97275">
        <w:rPr>
          <w:rFonts w:ascii="Georgia" w:hAnsi="Georgia"/>
          <w:noProof/>
          <w:lang w:val="lt-LT" w:eastAsia="lt-LT"/>
        </w:rPr>
        <w:drawing>
          <wp:inline distT="0" distB="0" distL="0" distR="0" wp14:anchorId="7FBDDAEA" wp14:editId="1EC4D54D">
            <wp:extent cx="3528060" cy="2089372"/>
            <wp:effectExtent l="0" t="0" r="0" b="6350"/>
            <wp:docPr id="20" name="Picture 2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icture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0352" cy="2096652"/>
                    </a:xfrm>
                    <a:prstGeom prst="rect">
                      <a:avLst/>
                    </a:prstGeom>
                    <a:noFill/>
                    <a:ln>
                      <a:noFill/>
                    </a:ln>
                  </pic:spPr>
                </pic:pic>
              </a:graphicData>
            </a:graphic>
          </wp:inline>
        </w:drawing>
      </w:r>
    </w:p>
    <w:p w14:paraId="697DF44D" w14:textId="3AAB5608" w:rsidR="00931D4D" w:rsidRPr="00C97275" w:rsidRDefault="00931D4D" w:rsidP="00931D4D">
      <w:pPr>
        <w:pStyle w:val="Antrat"/>
        <w:ind w:left="720"/>
        <w:rPr>
          <w:szCs w:val="20"/>
          <w:lang w:val="lt-LT"/>
        </w:rPr>
      </w:pPr>
      <w:bookmarkStart w:id="175" w:name="_Toc19105294"/>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10</w:t>
      </w:r>
      <w:r w:rsidRPr="00C97275">
        <w:rPr>
          <w:lang w:val="lt-LT"/>
        </w:rPr>
        <w:fldChar w:fldCharType="end"/>
      </w:r>
      <w:r w:rsidRPr="00C97275">
        <w:rPr>
          <w:lang w:val="lt-LT"/>
        </w:rPr>
        <w:t>. Daugiabučių scenarijaus Nr. 2 schema.</w:t>
      </w:r>
      <w:bookmarkEnd w:id="175"/>
    </w:p>
    <w:p w14:paraId="259CDD46" w14:textId="77777777" w:rsidR="00931D4D" w:rsidRPr="00C97275" w:rsidRDefault="00931D4D" w:rsidP="00931D4D">
      <w:pPr>
        <w:pStyle w:val="Antrat"/>
        <w:spacing w:line="276" w:lineRule="auto"/>
        <w:jc w:val="both"/>
        <w:rPr>
          <w:rFonts w:eastAsiaTheme="minorHAnsi" w:cstheme="minorBidi"/>
          <w:b w:val="0"/>
          <w:bCs w:val="0"/>
          <w:color w:val="auto"/>
          <w:szCs w:val="22"/>
          <w:lang w:val="lt-LT"/>
        </w:rPr>
      </w:pPr>
    </w:p>
    <w:p w14:paraId="241FA6DC" w14:textId="590BEBB3" w:rsidR="00517619" w:rsidRPr="00C97275" w:rsidRDefault="00EB5FD2" w:rsidP="00931D4D">
      <w:pPr>
        <w:pStyle w:val="Antrat"/>
        <w:spacing w:line="276" w:lineRule="auto"/>
        <w:jc w:val="both"/>
        <w:rPr>
          <w:rFonts w:eastAsiaTheme="minorHAnsi" w:cstheme="minorBidi"/>
          <w:b w:val="0"/>
          <w:bCs w:val="0"/>
          <w:color w:val="auto"/>
          <w:szCs w:val="22"/>
          <w:lang w:val="lt-LT"/>
        </w:rPr>
      </w:pPr>
      <w:r w:rsidRPr="00C97275">
        <w:rPr>
          <w:rFonts w:eastAsiaTheme="minorHAnsi" w:cstheme="minorBidi"/>
          <w:b w:val="0"/>
          <w:bCs w:val="0"/>
          <w:color w:val="auto"/>
          <w:szCs w:val="22"/>
          <w:lang w:val="lt-LT"/>
        </w:rPr>
        <w:t>Finansinis produktas galutiniam naudos gavėjui bei teikiama valstybės parama išliktų tokie patys, kaip ir teikiant paskolų priemonę.</w:t>
      </w:r>
    </w:p>
    <w:p w14:paraId="395E1947" w14:textId="2C2CDA18" w:rsidR="00517619" w:rsidRPr="00C97275" w:rsidRDefault="00517619">
      <w:pPr>
        <w:rPr>
          <w:rFonts w:ascii="Georgia" w:hAnsi="Georgia"/>
          <w:sz w:val="20"/>
          <w:lang w:val="lt-LT"/>
        </w:rPr>
      </w:pPr>
    </w:p>
    <w:p w14:paraId="2C8A4696" w14:textId="77F7FEB6" w:rsidR="00EB5FD2" w:rsidRPr="00C97275" w:rsidRDefault="00EB5FD2" w:rsidP="00931D4D">
      <w:pPr>
        <w:rPr>
          <w:rFonts w:ascii="Georgia" w:hAnsi="Georgia"/>
          <w:sz w:val="20"/>
          <w:lang w:val="lt-LT"/>
        </w:rPr>
      </w:pPr>
      <w:r w:rsidRPr="00C97275">
        <w:rPr>
          <w:rFonts w:ascii="Georgia" w:hAnsi="Georgia"/>
          <w:sz w:val="20"/>
          <w:lang w:val="lt-LT"/>
        </w:rPr>
        <w:t xml:space="preserve">Žemiau pateikiama principinė Scenarijaus Nr. </w:t>
      </w:r>
      <w:r w:rsidR="00ED628E" w:rsidRPr="00C97275">
        <w:rPr>
          <w:rFonts w:ascii="Georgia" w:hAnsi="Georgia"/>
          <w:sz w:val="20"/>
          <w:lang w:val="nl-NL"/>
        </w:rPr>
        <w:t>2</w:t>
      </w:r>
      <w:r w:rsidRPr="00C97275">
        <w:rPr>
          <w:rFonts w:ascii="Georgia" w:hAnsi="Georgia"/>
          <w:sz w:val="20"/>
          <w:lang w:val="lt-LT"/>
        </w:rPr>
        <w:t xml:space="preserve"> įgyvendinimo schema:</w:t>
      </w:r>
    </w:p>
    <w:p w14:paraId="10EFD94E" w14:textId="0A0FE46E" w:rsidR="00EB5FD2" w:rsidRPr="00C97275" w:rsidRDefault="00931D4D" w:rsidP="00931D4D">
      <w:pPr>
        <w:pStyle w:val="Antrat"/>
        <w:rPr>
          <w:szCs w:val="20"/>
          <w:lang w:val="lt-LT"/>
        </w:rPr>
      </w:pPr>
      <w:bookmarkStart w:id="176" w:name="_Toc19105261"/>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48</w:t>
      </w:r>
      <w:r w:rsidRPr="00C97275">
        <w:rPr>
          <w:lang w:val="lt-LT"/>
        </w:rPr>
        <w:fldChar w:fldCharType="end"/>
      </w:r>
      <w:r w:rsidRPr="00C97275">
        <w:rPr>
          <w:lang w:val="lt-LT"/>
        </w:rPr>
        <w:t xml:space="preserve">. </w:t>
      </w:r>
      <w:r w:rsidRPr="00C97275">
        <w:rPr>
          <w:szCs w:val="20"/>
          <w:lang w:val="lt-LT"/>
        </w:rPr>
        <w:t xml:space="preserve">Scenarijaus Nr. </w:t>
      </w:r>
      <w:r w:rsidR="008704D8" w:rsidRPr="00C97275">
        <w:rPr>
          <w:szCs w:val="20"/>
          <w:lang w:val="lt-LT"/>
        </w:rPr>
        <w:t>2</w:t>
      </w:r>
      <w:r w:rsidRPr="00C97275">
        <w:rPr>
          <w:szCs w:val="20"/>
          <w:lang w:val="lt-LT"/>
        </w:rPr>
        <w:t xml:space="preserve"> prielaidos</w:t>
      </w:r>
      <w:bookmarkEnd w:id="176"/>
    </w:p>
    <w:tbl>
      <w:tblPr>
        <w:tblStyle w:val="viesussraas2parykinimas"/>
        <w:tblW w:w="5000" w:type="pct"/>
        <w:tblLook w:val="04A0" w:firstRow="1" w:lastRow="0" w:firstColumn="1" w:lastColumn="0" w:noHBand="0" w:noVBand="1"/>
      </w:tblPr>
      <w:tblGrid>
        <w:gridCol w:w="3164"/>
        <w:gridCol w:w="6078"/>
      </w:tblGrid>
      <w:tr w:rsidR="00EB5FD2" w:rsidRPr="00C97275" w14:paraId="3937D677" w14:textId="77777777" w:rsidTr="00EB5F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5C7031C4" w14:textId="77777777" w:rsidR="00EB5FD2" w:rsidRPr="00C97275" w:rsidRDefault="00EB5FD2" w:rsidP="00931D4D">
            <w:pPr>
              <w:rPr>
                <w:rFonts w:ascii="Georgia" w:hAnsi="Georgia"/>
                <w:sz w:val="20"/>
                <w:szCs w:val="20"/>
              </w:rPr>
            </w:pPr>
            <w:r w:rsidRPr="00C97275">
              <w:rPr>
                <w:rFonts w:ascii="Georgia" w:hAnsi="Georgia"/>
                <w:sz w:val="20"/>
                <w:szCs w:val="20"/>
              </w:rPr>
              <w:t>Prielaidos</w:t>
            </w:r>
          </w:p>
        </w:tc>
        <w:tc>
          <w:tcPr>
            <w:tcW w:w="3288" w:type="pct"/>
            <w:tcBorders>
              <w:bottom w:val="single" w:sz="8" w:space="0" w:color="C0504D" w:themeColor="accent2"/>
            </w:tcBorders>
          </w:tcPr>
          <w:p w14:paraId="57322164" w14:textId="77777777" w:rsidR="00EB5FD2" w:rsidRPr="00C97275" w:rsidRDefault="00EB5FD2" w:rsidP="00931D4D">
            <w:pP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Komentaras</w:t>
            </w:r>
          </w:p>
        </w:tc>
      </w:tr>
      <w:tr w:rsidR="00EB5FD2" w:rsidRPr="00C97275" w14:paraId="32CCBC5D"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2E2B649B" w14:textId="77777777" w:rsidR="00EB5FD2" w:rsidRPr="00C97275" w:rsidRDefault="00EB5FD2" w:rsidP="00931D4D">
            <w:pPr>
              <w:rPr>
                <w:rFonts w:ascii="Georgia" w:hAnsi="Georgia"/>
                <w:sz w:val="20"/>
                <w:szCs w:val="20"/>
              </w:rPr>
            </w:pPr>
            <w:r w:rsidRPr="00C97275">
              <w:rPr>
                <w:rFonts w:ascii="Georgia" w:hAnsi="Georgia"/>
                <w:sz w:val="20"/>
                <w:szCs w:val="20"/>
              </w:rPr>
              <w:t>Paskolos laikotarpis: iki 20 metų</w:t>
            </w:r>
          </w:p>
        </w:tc>
        <w:tc>
          <w:tcPr>
            <w:tcW w:w="3288" w:type="pct"/>
          </w:tcPr>
          <w:p w14:paraId="51BF4BD3" w14:textId="06AFCEF1" w:rsidR="00EB5FD2" w:rsidRPr="00C97275" w:rsidRDefault="00931D4D"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Maksimalus paskolos suteikimo terminas 20 metų.</w:t>
            </w:r>
          </w:p>
        </w:tc>
      </w:tr>
      <w:tr w:rsidR="00EB5FD2" w:rsidRPr="00C97275" w14:paraId="7A3ABDFE"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24E63D4B" w14:textId="1B2302A4" w:rsidR="00EB5FD2" w:rsidRPr="00C97275" w:rsidRDefault="00EB5FD2" w:rsidP="00931D4D">
            <w:pPr>
              <w:rPr>
                <w:rFonts w:ascii="Georgia" w:hAnsi="Georgia"/>
                <w:sz w:val="20"/>
                <w:szCs w:val="20"/>
              </w:rPr>
            </w:pPr>
            <w:r w:rsidRPr="00C97275">
              <w:rPr>
                <w:rFonts w:ascii="Georgia" w:hAnsi="Georgia"/>
                <w:sz w:val="20"/>
                <w:szCs w:val="20"/>
              </w:rPr>
              <w:t xml:space="preserve">Subsidija: </w:t>
            </w:r>
            <w:r w:rsidR="00BF10B7" w:rsidRPr="00C97275">
              <w:rPr>
                <w:rFonts w:ascii="Georgia" w:hAnsi="Georgia"/>
                <w:sz w:val="20"/>
                <w:szCs w:val="20"/>
              </w:rPr>
              <w:t>30</w:t>
            </w:r>
            <w:r w:rsidRPr="00C97275">
              <w:rPr>
                <w:rFonts w:ascii="Georgia" w:hAnsi="Georgia"/>
                <w:sz w:val="20"/>
                <w:szCs w:val="20"/>
              </w:rPr>
              <w:t>%</w:t>
            </w:r>
          </w:p>
        </w:tc>
        <w:tc>
          <w:tcPr>
            <w:tcW w:w="3288" w:type="pct"/>
            <w:hideMark/>
          </w:tcPr>
          <w:p w14:paraId="2FCA2D5B" w14:textId="12AA5955" w:rsidR="00EB5FD2" w:rsidRPr="00C97275" w:rsidRDefault="00EB5FD2" w:rsidP="00E8389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Projektams, pasiekusiems ne mažesnį </w:t>
            </w:r>
            <w:r w:rsidR="00E83894" w:rsidRPr="00C97275">
              <w:rPr>
                <w:rFonts w:ascii="Georgia" w:hAnsi="Georgia"/>
                <w:sz w:val="20"/>
                <w:szCs w:val="20"/>
              </w:rPr>
              <w:t xml:space="preserve">kaip 40% sutaupymą, suteikiama </w:t>
            </w:r>
            <w:r w:rsidRPr="00C97275">
              <w:rPr>
                <w:rFonts w:ascii="Georgia" w:hAnsi="Georgia"/>
                <w:sz w:val="20"/>
                <w:szCs w:val="20"/>
              </w:rPr>
              <w:t xml:space="preserve">valstybės parama. </w:t>
            </w:r>
          </w:p>
        </w:tc>
      </w:tr>
      <w:tr w:rsidR="00EB5FD2" w:rsidRPr="00C97275" w14:paraId="28EC0848"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3A97B37B" w14:textId="77777777" w:rsidR="00EB5FD2" w:rsidRPr="00C97275" w:rsidRDefault="00EB5FD2" w:rsidP="00931D4D">
            <w:pPr>
              <w:rPr>
                <w:rFonts w:ascii="Georgia" w:hAnsi="Georgia"/>
                <w:sz w:val="20"/>
                <w:szCs w:val="20"/>
              </w:rPr>
            </w:pPr>
            <w:r w:rsidRPr="00C97275">
              <w:rPr>
                <w:rFonts w:ascii="Georgia" w:hAnsi="Georgia"/>
                <w:sz w:val="20"/>
                <w:szCs w:val="20"/>
              </w:rPr>
              <w:t>Blogų paskolų dalis: 5%</w:t>
            </w:r>
          </w:p>
        </w:tc>
        <w:tc>
          <w:tcPr>
            <w:tcW w:w="3288" w:type="pct"/>
            <w:hideMark/>
          </w:tcPr>
          <w:p w14:paraId="68CD5969" w14:textId="77777777"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Garantijų priemonės atveju daroma prielaida, kad iki 2022 m. reikės išmokėti 50% garantijų bankams nuo planuojamų blogų paskolų.</w:t>
            </w:r>
          </w:p>
        </w:tc>
      </w:tr>
      <w:tr w:rsidR="00EB5FD2" w:rsidRPr="00C97275" w14:paraId="79A031CE"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020684A8" w14:textId="685D860C" w:rsidR="00EB5FD2" w:rsidRPr="00C97275" w:rsidRDefault="00EB5FD2" w:rsidP="00931D4D">
            <w:pPr>
              <w:rPr>
                <w:rFonts w:ascii="Georgia" w:hAnsi="Georgia"/>
                <w:sz w:val="20"/>
                <w:szCs w:val="20"/>
              </w:rPr>
            </w:pPr>
            <w:r w:rsidRPr="00C97275">
              <w:rPr>
                <w:rFonts w:ascii="Georgia" w:hAnsi="Georgia"/>
                <w:sz w:val="20"/>
                <w:szCs w:val="20"/>
              </w:rPr>
              <w:t>Tipinio pastato projekto investicijų vertė: 3</w:t>
            </w:r>
            <w:r w:rsidR="00A00383" w:rsidRPr="00C97275">
              <w:rPr>
                <w:rFonts w:ascii="Georgia" w:hAnsi="Georgia"/>
                <w:sz w:val="20"/>
                <w:szCs w:val="20"/>
              </w:rPr>
              <w:t>30</w:t>
            </w:r>
            <w:r w:rsidRPr="00C97275">
              <w:rPr>
                <w:rFonts w:ascii="Georgia" w:hAnsi="Georgia"/>
                <w:sz w:val="20"/>
                <w:szCs w:val="20"/>
              </w:rPr>
              <w:t xml:space="preserve"> tūkst. EUR</w:t>
            </w:r>
          </w:p>
        </w:tc>
        <w:tc>
          <w:tcPr>
            <w:tcW w:w="3288" w:type="pct"/>
            <w:hideMark/>
          </w:tcPr>
          <w:p w14:paraId="1A0C8E94" w14:textId="77777777" w:rsidR="00A00383" w:rsidRPr="00C97275" w:rsidRDefault="00A00383" w:rsidP="00A0038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C97275">
              <w:rPr>
                <w:rFonts w:ascii="Georgia" w:hAnsi="Georgia"/>
                <w:sz w:val="20"/>
                <w:vertAlign w:val="superscript"/>
              </w:rPr>
              <w:t xml:space="preserve">2 </w:t>
            </w:r>
            <w:r w:rsidRPr="00C97275">
              <w:rPr>
                <w:rFonts w:ascii="Georgia" w:hAnsi="Georgia"/>
                <w:sz w:val="20"/>
              </w:rPr>
              <w:lastRenderedPageBreak/>
              <w:t>(šildomas plotas 1 770-1 920 m</w:t>
            </w:r>
            <w:r w:rsidRPr="00C97275">
              <w:rPr>
                <w:rFonts w:ascii="Georgia" w:hAnsi="Georgia"/>
                <w:sz w:val="20"/>
                <w:vertAlign w:val="superscript"/>
              </w:rPr>
              <w:t>2</w:t>
            </w:r>
            <w:r w:rsidRPr="00C97275">
              <w:rPr>
                <w:rFonts w:ascii="Georgia" w:hAnsi="Georgia"/>
                <w:sz w:val="20"/>
              </w:rPr>
              <w:t>) tai yra bendras plotas daugiau nei 1 000 m</w:t>
            </w:r>
            <w:r w:rsidRPr="00C97275">
              <w:rPr>
                <w:rFonts w:ascii="Georgia" w:hAnsi="Georgia"/>
                <w:sz w:val="20"/>
                <w:vertAlign w:val="superscript"/>
              </w:rPr>
              <w:t>2</w:t>
            </w:r>
            <w:r w:rsidRPr="00C97275">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C97275">
              <w:rPr>
                <w:rFonts w:ascii="Georgia" w:hAnsi="Georgia"/>
                <w:sz w:val="20"/>
                <w:vertAlign w:val="superscript"/>
              </w:rPr>
              <w:t>2</w:t>
            </w:r>
            <w:r w:rsidRPr="00C97275">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4F1BD3FB" w14:textId="10011D90"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EB5FD2" w:rsidRPr="00C97275" w14:paraId="79DB138C"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11A392B7" w14:textId="77777777" w:rsidR="00EB5FD2" w:rsidRPr="00C97275" w:rsidRDefault="00EB5FD2" w:rsidP="00931D4D">
            <w:pPr>
              <w:rPr>
                <w:rFonts w:ascii="Georgia" w:hAnsi="Georgia"/>
                <w:sz w:val="20"/>
                <w:szCs w:val="20"/>
              </w:rPr>
            </w:pPr>
            <w:r w:rsidRPr="00C97275">
              <w:rPr>
                <w:rFonts w:ascii="Georgia" w:hAnsi="Georgia"/>
                <w:sz w:val="20"/>
                <w:szCs w:val="20"/>
              </w:rPr>
              <w:lastRenderedPageBreak/>
              <w:t>Palūkanų norma: 3%</w:t>
            </w:r>
          </w:p>
        </w:tc>
        <w:tc>
          <w:tcPr>
            <w:tcW w:w="3288" w:type="pct"/>
            <w:hideMark/>
          </w:tcPr>
          <w:p w14:paraId="4B403917" w14:textId="358B9D1C"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Paskolų ir garantijų priemonių atvejams galutiniams naudos gavėjams taikoma palūkanų norma 3%. </w:t>
            </w:r>
          </w:p>
        </w:tc>
      </w:tr>
      <w:tr w:rsidR="00EB5FD2" w:rsidRPr="00C97275" w14:paraId="4CA4F320"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6489ED26" w14:textId="77777777" w:rsidR="00EB5FD2" w:rsidRPr="00C97275" w:rsidRDefault="00EB5FD2" w:rsidP="00931D4D">
            <w:pPr>
              <w:rPr>
                <w:rFonts w:ascii="Georgia" w:hAnsi="Georgia"/>
                <w:sz w:val="20"/>
                <w:szCs w:val="20"/>
              </w:rPr>
            </w:pPr>
            <w:r w:rsidRPr="00C97275">
              <w:rPr>
                <w:rFonts w:ascii="Georgia" w:hAnsi="Georgia"/>
                <w:sz w:val="20"/>
                <w:szCs w:val="20"/>
              </w:rPr>
              <w:t>Paskolos priemonė</w:t>
            </w:r>
          </w:p>
        </w:tc>
        <w:tc>
          <w:tcPr>
            <w:tcW w:w="3288" w:type="pct"/>
          </w:tcPr>
          <w:p w14:paraId="1A5BBE6C" w14:textId="77777777"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EB5FD2" w:rsidRPr="00C97275" w14:paraId="1E27617F"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F0FEDCF" w14:textId="77777777" w:rsidR="00EB5FD2" w:rsidRPr="00C97275" w:rsidRDefault="00EB5FD2" w:rsidP="00931D4D">
            <w:pPr>
              <w:rPr>
                <w:rFonts w:ascii="Georgia" w:hAnsi="Georgia"/>
                <w:sz w:val="20"/>
                <w:szCs w:val="20"/>
              </w:rPr>
            </w:pPr>
            <w:r w:rsidRPr="00C97275">
              <w:rPr>
                <w:rFonts w:ascii="Georgia" w:hAnsi="Georgia"/>
                <w:sz w:val="20"/>
                <w:szCs w:val="20"/>
              </w:rPr>
              <w:t>Investuojamų ESI fondų lėšų suma: 224 mln. EUR</w:t>
            </w:r>
          </w:p>
        </w:tc>
        <w:tc>
          <w:tcPr>
            <w:tcW w:w="3288" w:type="pct"/>
            <w:hideMark/>
          </w:tcPr>
          <w:p w14:paraId="51232093" w14:textId="77777777"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2014-2020 m. ESI fondų lėšos buvo paskirstytos taip:</w:t>
            </w:r>
          </w:p>
          <w:p w14:paraId="4BA58357" w14:textId="77777777"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150 mln. EUR Europos investicijų banko valdomam Jessica II fondų fondui („Jessica II“);</w:t>
            </w:r>
          </w:p>
          <w:p w14:paraId="27AC7593" w14:textId="77777777"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74 mln. EUR UAB „Viešųjų investicijų plėtros agentūros“ valdomam „Daugiabučių namų modernizavimo fondui“ („DNMF“).</w:t>
            </w:r>
          </w:p>
        </w:tc>
      </w:tr>
      <w:tr w:rsidR="00EB5FD2" w:rsidRPr="00C97275" w14:paraId="0B7A0BA1"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67D3F77D" w14:textId="77777777" w:rsidR="00EB5FD2" w:rsidRPr="00C97275" w:rsidRDefault="00EB5FD2" w:rsidP="00931D4D">
            <w:pPr>
              <w:rPr>
                <w:rFonts w:ascii="Georgia" w:hAnsi="Georgia"/>
                <w:sz w:val="20"/>
                <w:szCs w:val="20"/>
              </w:rPr>
            </w:pPr>
            <w:r w:rsidRPr="00C97275">
              <w:rPr>
                <w:rFonts w:ascii="Georgia" w:hAnsi="Georgia"/>
                <w:sz w:val="20"/>
                <w:szCs w:val="20"/>
              </w:rPr>
              <w:t>Pritrauktų privačių lėšų suma: 200 mln. EUR</w:t>
            </w:r>
          </w:p>
        </w:tc>
        <w:tc>
          <w:tcPr>
            <w:tcW w:w="3288" w:type="pct"/>
            <w:hideMark/>
          </w:tcPr>
          <w:p w14:paraId="49CA52A6" w14:textId="77777777"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150 mln. EUR planuojama pritraukti ar jau yra pritraukta į Jessica II fondą;</w:t>
            </w:r>
          </w:p>
          <w:p w14:paraId="71D174C8" w14:textId="38CD22EB"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50 mln. EUR</w:t>
            </w:r>
            <w:r w:rsidR="00A32C03" w:rsidRPr="00C97275">
              <w:rPr>
                <w:rFonts w:ascii="Georgia" w:hAnsi="Georgia"/>
                <w:sz w:val="20"/>
                <w:szCs w:val="20"/>
              </w:rPr>
              <w:t xml:space="preserve"> jau</w:t>
            </w:r>
            <w:r w:rsidRPr="00C97275">
              <w:rPr>
                <w:rFonts w:ascii="Georgia" w:hAnsi="Georgia"/>
                <w:sz w:val="20"/>
                <w:szCs w:val="20"/>
              </w:rPr>
              <w:t xml:space="preserve"> pritraukt</w:t>
            </w:r>
            <w:r w:rsidR="00A32C03" w:rsidRPr="00C97275">
              <w:rPr>
                <w:rFonts w:ascii="Georgia" w:hAnsi="Georgia"/>
                <w:sz w:val="20"/>
                <w:szCs w:val="20"/>
              </w:rPr>
              <w:t>a</w:t>
            </w:r>
            <w:r w:rsidRPr="00C97275">
              <w:rPr>
                <w:rFonts w:ascii="Georgia" w:hAnsi="Georgia"/>
                <w:sz w:val="20"/>
                <w:szCs w:val="20"/>
              </w:rPr>
              <w:t xml:space="preserve"> į DNMF.</w:t>
            </w:r>
          </w:p>
        </w:tc>
      </w:tr>
      <w:tr w:rsidR="00EB5FD2" w:rsidRPr="00C97275" w14:paraId="07260728"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41CD369" w14:textId="3D934CE4" w:rsidR="00EB5FD2" w:rsidRPr="00C97275" w:rsidRDefault="00EB5FD2">
            <w:pPr>
              <w:rPr>
                <w:rFonts w:ascii="Georgia" w:hAnsi="Georgia"/>
                <w:sz w:val="20"/>
                <w:szCs w:val="20"/>
              </w:rPr>
            </w:pPr>
            <w:r w:rsidRPr="00C97275">
              <w:rPr>
                <w:rFonts w:ascii="Georgia" w:hAnsi="Georgia"/>
                <w:sz w:val="20"/>
                <w:szCs w:val="20"/>
              </w:rPr>
              <w:t xml:space="preserve">Siektinas įgyvendinamų projektų skaičius: </w:t>
            </w:r>
            <w:r w:rsidR="002D474F" w:rsidRPr="00C97275">
              <w:rPr>
                <w:rFonts w:ascii="Georgia" w:hAnsi="Georgia"/>
                <w:sz w:val="20"/>
                <w:szCs w:val="20"/>
              </w:rPr>
              <w:t>1230</w:t>
            </w:r>
          </w:p>
        </w:tc>
        <w:tc>
          <w:tcPr>
            <w:tcW w:w="3288" w:type="pct"/>
            <w:hideMark/>
          </w:tcPr>
          <w:p w14:paraId="40E75EA0" w14:textId="51FC5CB9"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Paskolų priemonė yra nukreipta į projektų finansavim</w:t>
            </w:r>
            <w:r w:rsidR="00A32C03" w:rsidRPr="00C97275">
              <w:rPr>
                <w:rFonts w:ascii="Georgia" w:hAnsi="Georgia"/>
                <w:sz w:val="20"/>
                <w:szCs w:val="20"/>
              </w:rPr>
              <w:t>ą siekiant pasiekti veiskmų programoje nustatytus rezultatus, kadangi garantijos priemonei reikalingas bankų pasitikėjimas ir tam tikra paskolų grąžinimo istorija. Pažymėtina jog paskolų priemonė gali egzistuoti paraleliai garantijų priemonei, tokiu būdu, atsižvelgiat į vasltybės galimybes, suteikiant valstybei pasirinkimo alternatyvą remtis ta priemone kuri sėkmingiau siekia strateginių rezultatų.</w:t>
            </w:r>
          </w:p>
        </w:tc>
      </w:tr>
      <w:tr w:rsidR="00EB5FD2" w:rsidRPr="00C97275" w14:paraId="0440391D"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58ED33A4" w14:textId="77777777" w:rsidR="00EB5FD2" w:rsidRPr="00C97275" w:rsidRDefault="00EB5FD2" w:rsidP="00931D4D">
            <w:pPr>
              <w:rPr>
                <w:rFonts w:ascii="Georgia" w:hAnsi="Georgia"/>
                <w:sz w:val="20"/>
                <w:szCs w:val="20"/>
              </w:rPr>
            </w:pPr>
            <w:r w:rsidRPr="00C97275">
              <w:rPr>
                <w:rFonts w:ascii="Georgia" w:hAnsi="Georgia"/>
                <w:sz w:val="20"/>
                <w:szCs w:val="20"/>
              </w:rPr>
              <w:t>Garantijos priemonė</w:t>
            </w:r>
          </w:p>
        </w:tc>
        <w:tc>
          <w:tcPr>
            <w:tcW w:w="3288" w:type="pct"/>
          </w:tcPr>
          <w:p w14:paraId="1EE2F791" w14:textId="77777777"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EB5FD2" w:rsidRPr="00C97275" w14:paraId="4D77CA22"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2EDBD34B" w14:textId="77777777" w:rsidR="00EB5FD2" w:rsidRPr="00C97275" w:rsidRDefault="00EB5FD2" w:rsidP="00931D4D">
            <w:pPr>
              <w:rPr>
                <w:rFonts w:ascii="Georgia" w:hAnsi="Georgia"/>
                <w:sz w:val="20"/>
                <w:szCs w:val="20"/>
              </w:rPr>
            </w:pPr>
            <w:r w:rsidRPr="00C97275">
              <w:rPr>
                <w:rFonts w:ascii="Georgia" w:hAnsi="Georgia"/>
                <w:sz w:val="20"/>
                <w:szCs w:val="20"/>
              </w:rPr>
              <w:t xml:space="preserve">Komercinių bankų paskolų palūkanos: </w:t>
            </w:r>
          </w:p>
          <w:p w14:paraId="4245C235" w14:textId="77777777" w:rsidR="00EB5FD2" w:rsidRPr="00C97275" w:rsidRDefault="00EB5FD2" w:rsidP="00931D4D">
            <w:pPr>
              <w:rPr>
                <w:rFonts w:ascii="Georgia" w:hAnsi="Georgia"/>
                <w:sz w:val="20"/>
                <w:szCs w:val="20"/>
              </w:rPr>
            </w:pPr>
            <w:r w:rsidRPr="00C97275">
              <w:rPr>
                <w:rFonts w:ascii="Georgia" w:hAnsi="Georgia"/>
                <w:sz w:val="20"/>
                <w:szCs w:val="20"/>
              </w:rPr>
              <w:t>4-6% + EURIBOR</w:t>
            </w:r>
          </w:p>
        </w:tc>
        <w:tc>
          <w:tcPr>
            <w:tcW w:w="3288" w:type="pct"/>
            <w:hideMark/>
          </w:tcPr>
          <w:p w14:paraId="09383C8E" w14:textId="77777777"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Projektuojamas EURIBOR judėjimas: po 2 metų kilimas iki 0,25%, po 12 metų kilimas iki 3%.</w:t>
            </w:r>
          </w:p>
        </w:tc>
      </w:tr>
      <w:tr w:rsidR="00EB5FD2" w:rsidRPr="00C97275" w14:paraId="00AFB5FC"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07925D30" w14:textId="77777777" w:rsidR="00EB5FD2" w:rsidRPr="00C97275" w:rsidRDefault="00EB5FD2" w:rsidP="00931D4D">
            <w:pPr>
              <w:rPr>
                <w:rFonts w:ascii="Georgia" w:hAnsi="Georgia"/>
                <w:sz w:val="20"/>
                <w:szCs w:val="20"/>
              </w:rPr>
            </w:pPr>
            <w:r w:rsidRPr="00C97275">
              <w:rPr>
                <w:rFonts w:ascii="Georgia" w:hAnsi="Georgia"/>
                <w:sz w:val="20"/>
                <w:szCs w:val="20"/>
              </w:rPr>
              <w:t>Garantinei priemonei skiriamų lėšų suma: 100 mln. EUR</w:t>
            </w:r>
          </w:p>
        </w:tc>
        <w:tc>
          <w:tcPr>
            <w:tcW w:w="3288" w:type="pct"/>
            <w:hideMark/>
          </w:tcPr>
          <w:p w14:paraId="150D9DF5" w14:textId="77777777"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100 mln. EUR garantinei priemonei būtų skiriamos iš šių šaltinių:</w:t>
            </w:r>
          </w:p>
          <w:p w14:paraId="4671773A" w14:textId="77777777"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- 90 mln. EUR iš ESI fondų;</w:t>
            </w:r>
          </w:p>
          <w:p w14:paraId="09F7C0E5" w14:textId="77777777"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- 10 mln. EUR iš grįžusių lėšų.</w:t>
            </w:r>
          </w:p>
        </w:tc>
      </w:tr>
      <w:tr w:rsidR="00EB5FD2" w:rsidRPr="00C97275" w14:paraId="41C54ED0"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FE53F23" w14:textId="597E08EF" w:rsidR="00EB5FD2" w:rsidRPr="00C97275" w:rsidRDefault="00EB5FD2" w:rsidP="00931D4D">
            <w:pPr>
              <w:rPr>
                <w:rFonts w:ascii="Georgia" w:hAnsi="Georgia"/>
                <w:sz w:val="20"/>
                <w:szCs w:val="20"/>
              </w:rPr>
            </w:pPr>
            <w:r w:rsidRPr="00C97275">
              <w:rPr>
                <w:rFonts w:ascii="Georgia" w:hAnsi="Georgia"/>
                <w:sz w:val="20"/>
                <w:szCs w:val="20"/>
              </w:rPr>
              <w:t>Rezervuojamos lėšos garantijai: 2</w:t>
            </w:r>
            <w:r w:rsidR="00ED628E" w:rsidRPr="00C97275">
              <w:rPr>
                <w:rFonts w:ascii="Georgia" w:hAnsi="Georgia"/>
                <w:sz w:val="20"/>
                <w:szCs w:val="20"/>
              </w:rPr>
              <w:t>5</w:t>
            </w:r>
            <w:r w:rsidRPr="00C97275">
              <w:rPr>
                <w:rFonts w:ascii="Georgia" w:hAnsi="Georgia"/>
                <w:sz w:val="20"/>
                <w:szCs w:val="20"/>
              </w:rPr>
              <w:t>%</w:t>
            </w:r>
          </w:p>
        </w:tc>
        <w:tc>
          <w:tcPr>
            <w:tcW w:w="3288" w:type="pct"/>
            <w:hideMark/>
          </w:tcPr>
          <w:p w14:paraId="48B42391" w14:textId="77777777"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Modernizavimo paskolos nėra tipinis bankinis produktas, jų istorija dar nėra pakankamai ilga, kad būtų adekvačiai įvertintos rizikos, tad viršutinė riba yra nustatoma aukščiau nei tikėtini paskolų nuostoliai. </w:t>
            </w:r>
          </w:p>
        </w:tc>
      </w:tr>
      <w:tr w:rsidR="00EB5FD2" w:rsidRPr="00C97275" w14:paraId="40F09E1A"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496D52EF" w14:textId="5D077DC3" w:rsidR="00EB5FD2" w:rsidRPr="00C97275" w:rsidRDefault="00EB5FD2" w:rsidP="002D474F">
            <w:pPr>
              <w:rPr>
                <w:rFonts w:ascii="Georgia" w:hAnsi="Georgia"/>
                <w:sz w:val="20"/>
                <w:szCs w:val="20"/>
              </w:rPr>
            </w:pPr>
            <w:r w:rsidRPr="00C97275">
              <w:rPr>
                <w:rFonts w:ascii="Georgia" w:hAnsi="Georgia"/>
                <w:sz w:val="20"/>
                <w:szCs w:val="20"/>
              </w:rPr>
              <w:t xml:space="preserve">Siektinas įgyvendinamų projektų skaičius: </w:t>
            </w:r>
            <w:r w:rsidR="002D474F" w:rsidRPr="00C97275">
              <w:rPr>
                <w:rFonts w:ascii="Georgia" w:hAnsi="Georgia"/>
                <w:sz w:val="20"/>
                <w:szCs w:val="20"/>
              </w:rPr>
              <w:t>1 344</w:t>
            </w:r>
            <w:r w:rsidRPr="00C97275">
              <w:rPr>
                <w:rFonts w:ascii="Georgia" w:hAnsi="Georgia"/>
                <w:sz w:val="20"/>
                <w:szCs w:val="20"/>
              </w:rPr>
              <w:t xml:space="preserve"> projektai</w:t>
            </w:r>
          </w:p>
        </w:tc>
        <w:tc>
          <w:tcPr>
            <w:tcW w:w="3288" w:type="pct"/>
            <w:hideMark/>
          </w:tcPr>
          <w:p w14:paraId="02137EB5" w14:textId="03707F0E" w:rsidR="00EB5FD2" w:rsidRPr="00C97275" w:rsidRDefault="00EB5FD2" w:rsidP="002D474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Vertinant projektų kiekį, buvo paskaičiuota kiek projektų galima atlikti turimomis fondo lėšomis (pagal šią priemonę), įvertinus, kad garantijos priemonė galėtų pradėti veikti nuo 2017 m, išdėstant proporcingai </w:t>
            </w:r>
            <w:r w:rsidR="002D474F" w:rsidRPr="00C97275">
              <w:rPr>
                <w:rFonts w:ascii="Georgia" w:hAnsi="Georgia"/>
                <w:sz w:val="20"/>
                <w:szCs w:val="20"/>
              </w:rPr>
              <w:t xml:space="preserve">253 </w:t>
            </w:r>
            <w:r w:rsidRPr="00C97275">
              <w:rPr>
                <w:rFonts w:ascii="Georgia" w:hAnsi="Georgia"/>
                <w:sz w:val="20"/>
                <w:szCs w:val="20"/>
              </w:rPr>
              <w:t xml:space="preserve">projektus per 2017-2022 m. </w:t>
            </w:r>
          </w:p>
        </w:tc>
      </w:tr>
      <w:tr w:rsidR="00EB5FD2" w:rsidRPr="00C97275" w14:paraId="7C0A273A"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9EE15B3" w14:textId="77777777" w:rsidR="00EB5FD2" w:rsidRPr="00C97275" w:rsidRDefault="00EB5FD2" w:rsidP="00931D4D">
            <w:pPr>
              <w:rPr>
                <w:rFonts w:ascii="Georgia" w:hAnsi="Georgia"/>
                <w:sz w:val="20"/>
                <w:szCs w:val="20"/>
              </w:rPr>
            </w:pPr>
            <w:r w:rsidRPr="00C97275">
              <w:rPr>
                <w:rFonts w:ascii="Georgia" w:hAnsi="Georgia"/>
                <w:sz w:val="20"/>
                <w:szCs w:val="20"/>
              </w:rPr>
              <w:t>Valdymo mokestis: remiantis Deleguoto reglamento nuostatomis</w:t>
            </w:r>
          </w:p>
        </w:tc>
        <w:tc>
          <w:tcPr>
            <w:tcW w:w="3288" w:type="pct"/>
            <w:hideMark/>
          </w:tcPr>
          <w:p w14:paraId="6DC36517" w14:textId="543E6834" w:rsidR="00EB5FD2" w:rsidRPr="00C97275"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Vadovaujantis Deleguoto reglamento nuostatomis, valdymo mokestis susideda iš dviejų dalių: 0,5% bazinis mokestis nuo finansinei priemonei skirtų ir įmokėtų lėšų ir: paskolų atveju – 1%. mokestis nuo paskolų, suteiktų galutiniams naudos gavėjams, sumos; garantijų atveju </w:t>
            </w:r>
            <w:r w:rsidR="00ED628E" w:rsidRPr="00C97275">
              <w:rPr>
                <w:rFonts w:ascii="Georgia" w:hAnsi="Georgia"/>
                <w:sz w:val="20"/>
                <w:szCs w:val="20"/>
              </w:rPr>
              <w:t>1,5 % programos įnašų, pagal Reglamento (ES) Nr. 1303/2013 42 straipsnio 1 dalies b punktą skirtų galiojančioms garantijų sutartims</w:t>
            </w:r>
          </w:p>
        </w:tc>
      </w:tr>
      <w:tr w:rsidR="00EB5FD2" w:rsidRPr="00C97275" w14:paraId="52A2DF33"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2C8FD049" w14:textId="77777777" w:rsidR="00EB5FD2" w:rsidRPr="00C97275" w:rsidRDefault="00EB5FD2" w:rsidP="00931D4D">
            <w:pPr>
              <w:rPr>
                <w:rFonts w:ascii="Georgia" w:hAnsi="Georgia"/>
                <w:sz w:val="20"/>
                <w:szCs w:val="20"/>
              </w:rPr>
            </w:pPr>
            <w:r w:rsidRPr="00C97275">
              <w:rPr>
                <w:rFonts w:ascii="Georgia" w:hAnsi="Georgia"/>
                <w:sz w:val="20"/>
                <w:szCs w:val="20"/>
              </w:rPr>
              <w:t>Projekto įgyvendinimo trukmė: 15 mėnesių</w:t>
            </w:r>
          </w:p>
        </w:tc>
        <w:tc>
          <w:tcPr>
            <w:tcW w:w="3288" w:type="pct"/>
            <w:hideMark/>
          </w:tcPr>
          <w:p w14:paraId="24364FDF" w14:textId="77777777" w:rsidR="00EB5FD2" w:rsidRPr="00C97275"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Remiantis šiuo metu įgyvendinamų projektų duomenimis nustatyta vidutinė projekto įgyvendinimo trukmė – 15 mėnesių nuo paskolos sutarties pasirašymo dienos.</w:t>
            </w:r>
          </w:p>
        </w:tc>
      </w:tr>
    </w:tbl>
    <w:p w14:paraId="4D59826A" w14:textId="77777777" w:rsidR="00EB5FD2" w:rsidRPr="00C97275" w:rsidRDefault="00EB5FD2" w:rsidP="00931D4D">
      <w:pPr>
        <w:rPr>
          <w:rFonts w:ascii="Georgia" w:hAnsi="Georgia"/>
          <w:lang w:val="lt-LT"/>
        </w:rPr>
      </w:pPr>
    </w:p>
    <w:p w14:paraId="48D0E6D4" w14:textId="5DB25011" w:rsidR="00931D4D" w:rsidRPr="00C97275" w:rsidRDefault="00931D4D" w:rsidP="00931D4D">
      <w:pPr>
        <w:pStyle w:val="Antrat"/>
        <w:rPr>
          <w:szCs w:val="20"/>
          <w:lang w:val="lt-LT"/>
        </w:rPr>
      </w:pPr>
      <w:bookmarkStart w:id="177" w:name="_Toc19105262"/>
      <w:bookmarkStart w:id="178" w:name="_Toc460321642"/>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49</w:t>
      </w:r>
      <w:r w:rsidRPr="00C97275">
        <w:rPr>
          <w:lang w:val="lt-LT"/>
        </w:rPr>
        <w:fldChar w:fldCharType="end"/>
      </w:r>
      <w:r w:rsidRPr="00C97275">
        <w:rPr>
          <w:lang w:val="lt-LT"/>
        </w:rPr>
        <w:t xml:space="preserve">. Scenarijaus Nr. </w:t>
      </w:r>
      <w:r w:rsidR="00ED628E" w:rsidRPr="00C97275">
        <w:rPr>
          <w:lang w:val="lt-LT"/>
        </w:rPr>
        <w:t>2</w:t>
      </w:r>
      <w:r w:rsidRPr="00C97275">
        <w:rPr>
          <w:lang w:val="lt-LT"/>
        </w:rPr>
        <w:t xml:space="preserve"> paskolų finansinės priemonės įgyvendinimo prognozė</w:t>
      </w:r>
      <w:bookmarkEnd w:id="177"/>
    </w:p>
    <w:bookmarkEnd w:id="178"/>
    <w:p w14:paraId="349C7A2B" w14:textId="528AEA54" w:rsidR="00A00383" w:rsidRPr="00C97275" w:rsidRDefault="00A00383" w:rsidP="008D155F">
      <w:pPr>
        <w:rPr>
          <w:rFonts w:ascii="Georgia" w:hAnsi="Georgia"/>
          <w:lang w:val="lt-LT"/>
        </w:rPr>
      </w:pPr>
      <w:r w:rsidRPr="00C97275">
        <w:rPr>
          <w:rFonts w:ascii="Georgia" w:hAnsi="Georgia"/>
          <w:noProof/>
          <w:lang w:val="lt-LT" w:eastAsia="lt-LT"/>
        </w:rPr>
        <w:drawing>
          <wp:inline distT="0" distB="0" distL="0" distR="0" wp14:anchorId="364C8443" wp14:editId="67C95941">
            <wp:extent cx="5731510" cy="2965450"/>
            <wp:effectExtent l="0" t="0" r="2540" b="6350"/>
            <wp:docPr id="50177" name="Picture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965450"/>
                    </a:xfrm>
                    <a:prstGeom prst="rect">
                      <a:avLst/>
                    </a:prstGeom>
                  </pic:spPr>
                </pic:pic>
              </a:graphicData>
            </a:graphic>
          </wp:inline>
        </w:drawing>
      </w:r>
    </w:p>
    <w:p w14:paraId="0ACD91D4" w14:textId="77777777" w:rsidR="00A00383" w:rsidRPr="00C97275" w:rsidRDefault="00A00383" w:rsidP="008D155F">
      <w:pPr>
        <w:rPr>
          <w:rFonts w:ascii="Georgia" w:hAnsi="Georgia"/>
          <w:lang w:val="lt-LT"/>
        </w:rPr>
      </w:pPr>
    </w:p>
    <w:p w14:paraId="7FB8B3E4" w14:textId="41FE8E37" w:rsidR="00931D4D" w:rsidRPr="00C97275" w:rsidRDefault="00931D4D" w:rsidP="00931D4D">
      <w:pPr>
        <w:pStyle w:val="Antrat"/>
        <w:rPr>
          <w:szCs w:val="20"/>
          <w:lang w:val="lt-LT"/>
        </w:rPr>
      </w:pPr>
      <w:bookmarkStart w:id="179" w:name="_Toc19105263"/>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50</w:t>
      </w:r>
      <w:r w:rsidRPr="00C97275">
        <w:rPr>
          <w:lang w:val="lt-LT"/>
        </w:rPr>
        <w:fldChar w:fldCharType="end"/>
      </w:r>
      <w:r w:rsidRPr="00C97275">
        <w:rPr>
          <w:lang w:val="lt-LT"/>
        </w:rPr>
        <w:t xml:space="preserve">. Scenarijaus Nr. </w:t>
      </w:r>
      <w:r w:rsidR="00ED628E" w:rsidRPr="00C97275">
        <w:rPr>
          <w:lang w:val="lt-LT"/>
        </w:rPr>
        <w:t>2</w:t>
      </w:r>
      <w:r w:rsidRPr="00C97275">
        <w:rPr>
          <w:lang w:val="lt-LT"/>
        </w:rPr>
        <w:t xml:space="preserve"> garantijų finansinės priemonės įgyvendinimo prognozė</w:t>
      </w:r>
      <w:bookmarkEnd w:id="179"/>
    </w:p>
    <w:p w14:paraId="6E1CC175" w14:textId="71FA9FE2" w:rsidR="00A00383" w:rsidRPr="00C97275" w:rsidRDefault="00A00383" w:rsidP="008D155F">
      <w:pPr>
        <w:rPr>
          <w:rFonts w:ascii="Georgia" w:hAnsi="Georgia"/>
          <w:lang w:val="lt-LT"/>
        </w:rPr>
      </w:pPr>
      <w:r w:rsidRPr="00C97275">
        <w:rPr>
          <w:rFonts w:ascii="Georgia" w:hAnsi="Georgia"/>
          <w:noProof/>
          <w:lang w:val="lt-LT" w:eastAsia="lt-LT"/>
        </w:rPr>
        <w:drawing>
          <wp:inline distT="0" distB="0" distL="0" distR="0" wp14:anchorId="36D4885B" wp14:editId="78F2DBE8">
            <wp:extent cx="5731510" cy="2660015"/>
            <wp:effectExtent l="0" t="0" r="2540" b="6985"/>
            <wp:docPr id="50178" name="Picture 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660015"/>
                    </a:xfrm>
                    <a:prstGeom prst="rect">
                      <a:avLst/>
                    </a:prstGeom>
                  </pic:spPr>
                </pic:pic>
              </a:graphicData>
            </a:graphic>
          </wp:inline>
        </w:drawing>
      </w:r>
    </w:p>
    <w:p w14:paraId="343BB713" w14:textId="440567BE" w:rsidR="00A679FF" w:rsidRPr="00C97275" w:rsidRDefault="00A679FF" w:rsidP="00A679FF">
      <w:pPr>
        <w:pStyle w:val="Antrat"/>
        <w:rPr>
          <w:szCs w:val="20"/>
          <w:lang w:val="lt-LT"/>
        </w:rPr>
      </w:pPr>
      <w:bookmarkStart w:id="180" w:name="_Toc19105264"/>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51</w:t>
      </w:r>
      <w:r w:rsidRPr="00C97275">
        <w:rPr>
          <w:lang w:val="lt-LT"/>
        </w:rPr>
        <w:fldChar w:fldCharType="end"/>
      </w:r>
      <w:r w:rsidRPr="00C97275">
        <w:rPr>
          <w:lang w:val="lt-LT"/>
        </w:rPr>
        <w:t xml:space="preserve">. Scenarijaus Nr. </w:t>
      </w:r>
      <w:r w:rsidR="00ED628E" w:rsidRPr="00C97275">
        <w:rPr>
          <w:lang w:val="lt-LT"/>
        </w:rPr>
        <w:t>2</w:t>
      </w:r>
      <w:r w:rsidRPr="00C97275">
        <w:rPr>
          <w:lang w:val="lt-LT"/>
        </w:rPr>
        <w:t xml:space="preserve"> rezultatai</w:t>
      </w:r>
      <w:bookmarkEnd w:id="180"/>
    </w:p>
    <w:tbl>
      <w:tblPr>
        <w:tblStyle w:val="LightList-Accent21"/>
        <w:tblW w:w="4966" w:type="pct"/>
        <w:tblLayout w:type="fixed"/>
        <w:tblLook w:val="04A0" w:firstRow="1" w:lastRow="0" w:firstColumn="1" w:lastColumn="0" w:noHBand="0" w:noVBand="1"/>
      </w:tblPr>
      <w:tblGrid>
        <w:gridCol w:w="4827"/>
        <w:gridCol w:w="1661"/>
        <w:gridCol w:w="2691"/>
      </w:tblGrid>
      <w:tr w:rsidR="00EB5FD2" w:rsidRPr="00C97275" w14:paraId="11DEABEB" w14:textId="77777777" w:rsidTr="00A23E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tcBorders>
              <w:bottom w:val="single" w:sz="8" w:space="0" w:color="D62E1C"/>
            </w:tcBorders>
            <w:shd w:val="clear" w:color="auto" w:fill="C0504D"/>
            <w:noWrap/>
            <w:hideMark/>
          </w:tcPr>
          <w:p w14:paraId="214E812C" w14:textId="0AD169E9" w:rsidR="00EB5FD2" w:rsidRPr="00C97275" w:rsidRDefault="00A679FF" w:rsidP="00EB5FD2">
            <w:pPr>
              <w:rPr>
                <w:rFonts w:ascii="Georgia" w:hAnsi="Georgia"/>
                <w:sz w:val="18"/>
                <w:szCs w:val="18"/>
              </w:rPr>
            </w:pPr>
            <w:r w:rsidRPr="00C97275">
              <w:rPr>
                <w:rFonts w:ascii="Georgia" w:hAnsi="Georgia"/>
                <w:sz w:val="18"/>
                <w:szCs w:val="18"/>
              </w:rPr>
              <w:t>Rodiklis</w:t>
            </w:r>
          </w:p>
        </w:tc>
        <w:tc>
          <w:tcPr>
            <w:tcW w:w="905" w:type="pct"/>
            <w:tcBorders>
              <w:bottom w:val="single" w:sz="8" w:space="0" w:color="D62E1C"/>
            </w:tcBorders>
            <w:shd w:val="clear" w:color="auto" w:fill="C0504D"/>
            <w:noWrap/>
            <w:hideMark/>
          </w:tcPr>
          <w:p w14:paraId="5BBE4BD3" w14:textId="77777777" w:rsidR="00EB5FD2" w:rsidRPr="00C97275" w:rsidRDefault="00EB5FD2" w:rsidP="00A679FF">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C97275">
              <w:rPr>
                <w:rFonts w:ascii="Georgia" w:hAnsi="Georgia" w:cs="Arial"/>
                <w:color w:val="FFFFFF" w:themeColor="background1"/>
                <w:sz w:val="18"/>
                <w:szCs w:val="18"/>
              </w:rPr>
              <w:t xml:space="preserve">mln. </w:t>
            </w:r>
            <w:r w:rsidRPr="00C97275">
              <w:rPr>
                <w:rFonts w:ascii="Georgia" w:eastAsia="Times New Roman" w:hAnsi="Georgia" w:cs="Arial"/>
                <w:color w:val="FFFFFF" w:themeColor="background1"/>
                <w:sz w:val="18"/>
                <w:szCs w:val="18"/>
                <w:lang w:eastAsia="lt-LT"/>
              </w:rPr>
              <w:t>EUR</w:t>
            </w:r>
          </w:p>
        </w:tc>
        <w:tc>
          <w:tcPr>
            <w:tcW w:w="1467" w:type="pct"/>
            <w:tcBorders>
              <w:bottom w:val="single" w:sz="8" w:space="0" w:color="D62E1C"/>
            </w:tcBorders>
            <w:shd w:val="clear" w:color="auto" w:fill="C0504D"/>
            <w:noWrap/>
            <w:hideMark/>
          </w:tcPr>
          <w:p w14:paraId="2E6FCB80" w14:textId="77777777" w:rsidR="00EB5FD2" w:rsidRPr="00C97275" w:rsidRDefault="00EB5FD2" w:rsidP="00A679FF">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C97275">
              <w:rPr>
                <w:rFonts w:ascii="Georgia" w:hAnsi="Georgia" w:cs="Arial"/>
                <w:color w:val="FFFFFF" w:themeColor="background1"/>
                <w:sz w:val="18"/>
                <w:szCs w:val="18"/>
              </w:rPr>
              <w:t>mln</w:t>
            </w:r>
            <w:r w:rsidRPr="00C97275">
              <w:rPr>
                <w:rFonts w:ascii="Georgia" w:eastAsia="Times New Roman" w:hAnsi="Georgia" w:cs="Arial"/>
                <w:iCs/>
                <w:color w:val="FFFFFF" w:themeColor="background1"/>
                <w:sz w:val="18"/>
                <w:szCs w:val="18"/>
                <w:lang w:eastAsia="lt-LT"/>
              </w:rPr>
              <w:t>. EUR</w:t>
            </w:r>
          </w:p>
        </w:tc>
      </w:tr>
      <w:tr w:rsidR="00EB5FD2" w:rsidRPr="00C97275" w14:paraId="1DD524AD"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2676159D" w14:textId="77777777" w:rsidR="00EB5FD2" w:rsidRPr="00C97275" w:rsidRDefault="00EB5FD2" w:rsidP="00EB5FD2">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Galutinius naudos gavėjus pasiekusios lėšos</w:t>
            </w:r>
          </w:p>
        </w:tc>
        <w:tc>
          <w:tcPr>
            <w:tcW w:w="905" w:type="pct"/>
            <w:noWrap/>
            <w:hideMark/>
          </w:tcPr>
          <w:p w14:paraId="1B27E734" w14:textId="77777777" w:rsidR="00EB5FD2" w:rsidRPr="00C97275"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849,9</w:t>
            </w:r>
          </w:p>
        </w:tc>
        <w:tc>
          <w:tcPr>
            <w:tcW w:w="1467" w:type="pct"/>
            <w:noWrap/>
            <w:hideMark/>
          </w:tcPr>
          <w:p w14:paraId="64DD6E16" w14:textId="6C944C9F" w:rsidR="00EB5FD2" w:rsidRPr="00C97275" w:rsidRDefault="00224B73"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406,8 + 443,</w:t>
            </w:r>
            <w:r w:rsidR="00EB5FD2" w:rsidRPr="00C97275">
              <w:rPr>
                <w:rFonts w:ascii="Georgia" w:hAnsi="Georgia" w:cs="Arial"/>
                <w:i/>
                <w:color w:val="000000"/>
                <w:sz w:val="18"/>
                <w:szCs w:val="18"/>
              </w:rPr>
              <w:t>1</w:t>
            </w:r>
          </w:p>
        </w:tc>
      </w:tr>
      <w:tr w:rsidR="00EB5FD2" w:rsidRPr="00C97275" w14:paraId="24C60023" w14:textId="77777777" w:rsidTr="00A23E59">
        <w:trPr>
          <w:trHeight w:val="6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14ECBCCB" w14:textId="77777777" w:rsidR="00EB5FD2" w:rsidRPr="00C97275" w:rsidRDefault="00EB5FD2" w:rsidP="00EB5FD2">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Į fondą grįžusios lėšos iki 2019 metų (įskaitant subsidijas bei iš JESSICA KF grįžtančias lėšas)</w:t>
            </w:r>
          </w:p>
        </w:tc>
        <w:tc>
          <w:tcPr>
            <w:tcW w:w="905" w:type="pct"/>
            <w:tcBorders>
              <w:top w:val="single" w:sz="8" w:space="0" w:color="D62E1C"/>
              <w:bottom w:val="single" w:sz="8" w:space="0" w:color="D62E1C"/>
            </w:tcBorders>
            <w:noWrap/>
            <w:hideMark/>
          </w:tcPr>
          <w:p w14:paraId="59137736" w14:textId="77777777" w:rsidR="00EB5FD2" w:rsidRPr="00C97275" w:rsidRDefault="00EB5FD2"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27,6</w:t>
            </w:r>
          </w:p>
        </w:tc>
        <w:tc>
          <w:tcPr>
            <w:tcW w:w="1467" w:type="pct"/>
            <w:tcBorders>
              <w:top w:val="single" w:sz="8" w:space="0" w:color="D62E1C"/>
              <w:bottom w:val="single" w:sz="8" w:space="0" w:color="D62E1C"/>
            </w:tcBorders>
            <w:noWrap/>
            <w:hideMark/>
          </w:tcPr>
          <w:p w14:paraId="5AD126AF" w14:textId="135D60CF" w:rsidR="00EB5FD2" w:rsidRPr="00C97275" w:rsidRDefault="00224B73"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26,2+1,</w:t>
            </w:r>
            <w:r w:rsidR="00EB5FD2" w:rsidRPr="00C97275">
              <w:rPr>
                <w:rFonts w:ascii="Georgia" w:hAnsi="Georgia" w:cs="Arial"/>
                <w:i/>
                <w:color w:val="000000"/>
                <w:sz w:val="18"/>
                <w:szCs w:val="18"/>
              </w:rPr>
              <w:t>4</w:t>
            </w:r>
          </w:p>
        </w:tc>
      </w:tr>
      <w:tr w:rsidR="00EB5FD2" w:rsidRPr="00C97275" w14:paraId="336BE987"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5AFFFC28" w14:textId="77777777" w:rsidR="00EB5FD2" w:rsidRPr="00C97275" w:rsidRDefault="00EB5FD2" w:rsidP="00EB5FD2">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Komercinių bankų išmokėtos/planuojamos išmokėti lėšos</w:t>
            </w:r>
          </w:p>
        </w:tc>
        <w:tc>
          <w:tcPr>
            <w:tcW w:w="905" w:type="pct"/>
            <w:noWrap/>
            <w:hideMark/>
          </w:tcPr>
          <w:p w14:paraId="29796246" w14:textId="77777777" w:rsidR="00EB5FD2" w:rsidRPr="00C97275"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643,1</w:t>
            </w:r>
          </w:p>
        </w:tc>
        <w:tc>
          <w:tcPr>
            <w:tcW w:w="1467" w:type="pct"/>
            <w:noWrap/>
            <w:hideMark/>
          </w:tcPr>
          <w:p w14:paraId="30BBE5CE" w14:textId="5FBAEEC4" w:rsidR="00EB5FD2" w:rsidRPr="00C97275" w:rsidRDefault="00224B73"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150 + 50 + 443,</w:t>
            </w:r>
            <w:r w:rsidR="00EB5FD2" w:rsidRPr="00C97275">
              <w:rPr>
                <w:rFonts w:ascii="Georgia" w:hAnsi="Georgia" w:cs="Arial"/>
                <w:i/>
                <w:color w:val="000000"/>
                <w:sz w:val="18"/>
                <w:szCs w:val="18"/>
              </w:rPr>
              <w:t xml:space="preserve">1 </w:t>
            </w:r>
          </w:p>
        </w:tc>
      </w:tr>
      <w:tr w:rsidR="00EB5FD2" w:rsidRPr="00C97275" w14:paraId="3D510133" w14:textId="77777777" w:rsidTr="008D155F">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4DEAA3C7" w14:textId="77777777" w:rsidR="00EB5FD2" w:rsidRPr="00C97275" w:rsidRDefault="00EB5FD2" w:rsidP="00EB5FD2">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Renovuotų pastatų skaičius</w:t>
            </w:r>
          </w:p>
        </w:tc>
        <w:tc>
          <w:tcPr>
            <w:tcW w:w="905" w:type="pct"/>
            <w:tcBorders>
              <w:top w:val="single" w:sz="8" w:space="0" w:color="D62E1C"/>
              <w:bottom w:val="single" w:sz="8" w:space="0" w:color="D62E1C"/>
            </w:tcBorders>
            <w:noWrap/>
          </w:tcPr>
          <w:p w14:paraId="3D99EAED" w14:textId="72584343" w:rsidR="00EB5FD2" w:rsidRPr="00C97275" w:rsidRDefault="008E477E"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2 574</w:t>
            </w:r>
          </w:p>
        </w:tc>
        <w:tc>
          <w:tcPr>
            <w:tcW w:w="1467" w:type="pct"/>
            <w:tcBorders>
              <w:top w:val="single" w:sz="8" w:space="0" w:color="D62E1C"/>
              <w:bottom w:val="single" w:sz="8" w:space="0" w:color="D62E1C"/>
            </w:tcBorders>
            <w:noWrap/>
          </w:tcPr>
          <w:p w14:paraId="54D65393" w14:textId="3E848BAF" w:rsidR="00EB5FD2" w:rsidRPr="00C97275" w:rsidRDefault="008E477E"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1 230 +1344</w:t>
            </w:r>
          </w:p>
        </w:tc>
      </w:tr>
      <w:tr w:rsidR="00EB5FD2" w:rsidRPr="00C97275" w14:paraId="4A66E292"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66058D32" w14:textId="77777777" w:rsidR="00EB5FD2" w:rsidRPr="00C97275" w:rsidRDefault="00EB5FD2" w:rsidP="00EB5FD2">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ESI fondų lėšos</w:t>
            </w:r>
          </w:p>
        </w:tc>
        <w:tc>
          <w:tcPr>
            <w:tcW w:w="905" w:type="pct"/>
            <w:noWrap/>
            <w:hideMark/>
          </w:tcPr>
          <w:p w14:paraId="7E06A7C7" w14:textId="77777777" w:rsidR="00EB5FD2" w:rsidRPr="00C97275"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314,0</w:t>
            </w:r>
          </w:p>
        </w:tc>
        <w:tc>
          <w:tcPr>
            <w:tcW w:w="1467" w:type="pct"/>
            <w:noWrap/>
            <w:hideMark/>
          </w:tcPr>
          <w:p w14:paraId="605F7DB8" w14:textId="77777777" w:rsidR="00EB5FD2" w:rsidRPr="00C97275"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150 + 74 + 90</w:t>
            </w:r>
          </w:p>
        </w:tc>
      </w:tr>
      <w:tr w:rsidR="00EB5FD2" w:rsidRPr="00C97275" w14:paraId="27B2DF0A" w14:textId="77777777" w:rsidTr="00A23E59">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noWrap/>
            <w:hideMark/>
          </w:tcPr>
          <w:p w14:paraId="680ED600" w14:textId="77777777" w:rsidR="00EB5FD2" w:rsidRPr="00C97275" w:rsidRDefault="00EB5FD2" w:rsidP="00EB5FD2">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Nacionalinis ko-finansavimas</w:t>
            </w:r>
          </w:p>
        </w:tc>
        <w:tc>
          <w:tcPr>
            <w:tcW w:w="905" w:type="pct"/>
            <w:tcBorders>
              <w:top w:val="single" w:sz="8" w:space="0" w:color="D62E1C"/>
              <w:bottom w:val="single" w:sz="8" w:space="0" w:color="D62E1C"/>
            </w:tcBorders>
            <w:noWrap/>
            <w:hideMark/>
          </w:tcPr>
          <w:p w14:paraId="1C34AB79" w14:textId="77777777" w:rsidR="00EB5FD2" w:rsidRPr="00C97275" w:rsidRDefault="00EB5FD2"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10,0</w:t>
            </w:r>
          </w:p>
        </w:tc>
        <w:tc>
          <w:tcPr>
            <w:tcW w:w="1467" w:type="pct"/>
            <w:tcBorders>
              <w:top w:val="single" w:sz="8" w:space="0" w:color="D62E1C"/>
              <w:bottom w:val="single" w:sz="8" w:space="0" w:color="D62E1C"/>
            </w:tcBorders>
            <w:noWrap/>
            <w:hideMark/>
          </w:tcPr>
          <w:p w14:paraId="2BA302E5" w14:textId="77777777" w:rsidR="00EB5FD2" w:rsidRPr="00C97275" w:rsidRDefault="00EB5FD2"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Skirtas papildyti garantijos priemonę</w:t>
            </w:r>
          </w:p>
        </w:tc>
      </w:tr>
      <w:tr w:rsidR="00EB5FD2" w:rsidRPr="00C97275" w14:paraId="54D80ED5"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11A6F4F9" w14:textId="77777777" w:rsidR="00EB5FD2" w:rsidRPr="00C97275" w:rsidRDefault="00EB5FD2" w:rsidP="00EB5FD2">
            <w:pPr>
              <w:spacing w:line="240" w:lineRule="atLeast"/>
              <w:rPr>
                <w:rFonts w:ascii="Georgia" w:hAnsi="Georgia" w:cs="Arial"/>
                <w:b w:val="0"/>
                <w:color w:val="000000"/>
                <w:sz w:val="18"/>
                <w:szCs w:val="18"/>
              </w:rPr>
            </w:pPr>
            <w:r w:rsidRPr="00C97275">
              <w:rPr>
                <w:rFonts w:ascii="Georgia" w:hAnsi="Georgia" w:cs="Arial"/>
                <w:b w:val="0"/>
                <w:color w:val="000000"/>
                <w:sz w:val="18"/>
                <w:szCs w:val="18"/>
              </w:rPr>
              <w:lastRenderedPageBreak/>
              <w:t>Sverto efektas</w:t>
            </w:r>
          </w:p>
        </w:tc>
        <w:tc>
          <w:tcPr>
            <w:tcW w:w="905" w:type="pct"/>
            <w:noWrap/>
            <w:hideMark/>
          </w:tcPr>
          <w:p w14:paraId="4D10B98A" w14:textId="77777777" w:rsidR="00EB5FD2" w:rsidRPr="00C97275"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2,67</w:t>
            </w:r>
          </w:p>
        </w:tc>
        <w:tc>
          <w:tcPr>
            <w:tcW w:w="1467" w:type="pct"/>
            <w:noWrap/>
            <w:hideMark/>
          </w:tcPr>
          <w:p w14:paraId="15AACF1B" w14:textId="77777777" w:rsidR="00EB5FD2" w:rsidRPr="00C97275" w:rsidRDefault="00EB5FD2" w:rsidP="00EB5FD2">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p>
        </w:tc>
      </w:tr>
    </w:tbl>
    <w:p w14:paraId="48FEAE79" w14:textId="079F810A" w:rsidR="000556A1" w:rsidRPr="00C97275" w:rsidRDefault="000556A1" w:rsidP="000556A1">
      <w:pPr>
        <w:rPr>
          <w:rFonts w:ascii="Georgia" w:hAnsi="Georgia"/>
          <w:sz w:val="20"/>
          <w:szCs w:val="20"/>
          <w:lang w:val="lt-LT"/>
        </w:rPr>
      </w:pPr>
    </w:p>
    <w:p w14:paraId="0D26216C" w14:textId="29212C42" w:rsidR="00A3268D" w:rsidRPr="00C97275" w:rsidRDefault="00A3268D" w:rsidP="00B3012C">
      <w:pPr>
        <w:jc w:val="both"/>
        <w:rPr>
          <w:rFonts w:ascii="Georgia" w:hAnsi="Georgia"/>
          <w:sz w:val="20"/>
          <w:szCs w:val="20"/>
          <w:lang w:val="lt-LT"/>
        </w:rPr>
      </w:pPr>
      <w:r w:rsidRPr="00C97275">
        <w:rPr>
          <w:rFonts w:ascii="Georgia" w:hAnsi="Georgia"/>
          <w:sz w:val="20"/>
          <w:szCs w:val="20"/>
          <w:lang w:val="lt-LT"/>
        </w:rPr>
        <w:t xml:space="preserve">Atsižvelgiant į tai, kad </w:t>
      </w:r>
      <w:r w:rsidR="00EC6FDF" w:rsidRPr="00C97275">
        <w:rPr>
          <w:rFonts w:ascii="Georgia" w:hAnsi="Georgia"/>
          <w:sz w:val="20"/>
          <w:szCs w:val="20"/>
          <w:lang w:val="lt-LT"/>
        </w:rPr>
        <w:t xml:space="preserve">antrojo </w:t>
      </w:r>
      <w:r w:rsidRPr="00C97275">
        <w:rPr>
          <w:rFonts w:ascii="Georgia" w:hAnsi="Georgia"/>
          <w:sz w:val="20"/>
          <w:szCs w:val="20"/>
          <w:lang w:val="lt-LT"/>
        </w:rPr>
        <w:t xml:space="preserve">scenarijaus </w:t>
      </w:r>
      <w:r w:rsidR="00B3012C" w:rsidRPr="00C97275">
        <w:rPr>
          <w:rFonts w:ascii="Georgia" w:hAnsi="Georgia"/>
          <w:sz w:val="20"/>
          <w:szCs w:val="20"/>
          <w:lang w:val="lt-LT"/>
        </w:rPr>
        <w:t>įgyvendinimo prognozės ir rezultatai buvo perskaičiuoti pagal prielaidas, kurios buvo pakor</w:t>
      </w:r>
      <w:r w:rsidR="00D9139B" w:rsidRPr="00C97275">
        <w:rPr>
          <w:rFonts w:ascii="Georgia" w:hAnsi="Georgia"/>
          <w:sz w:val="20"/>
          <w:szCs w:val="20"/>
          <w:lang w:val="lt-LT"/>
        </w:rPr>
        <w:t>eg</w:t>
      </w:r>
      <w:r w:rsidR="00B3012C" w:rsidRPr="00C97275">
        <w:rPr>
          <w:rFonts w:ascii="Georgia" w:hAnsi="Georgia"/>
          <w:sz w:val="20"/>
          <w:szCs w:val="20"/>
          <w:lang w:val="lt-LT"/>
        </w:rPr>
        <w:t xml:space="preserve">uotos lyginant su Pradinės ataskaitos prielaidomis (ESI fondų lėšų suma, projekto vidutinė kaina ir kitos), toliau palyginimo tikslais yra pateikiami </w:t>
      </w:r>
      <w:r w:rsidR="00EC6FDF" w:rsidRPr="00C97275">
        <w:rPr>
          <w:rFonts w:ascii="Georgia" w:hAnsi="Georgia"/>
          <w:sz w:val="20"/>
          <w:szCs w:val="20"/>
          <w:lang w:val="lt-LT"/>
        </w:rPr>
        <w:t xml:space="preserve">antrojo </w:t>
      </w:r>
      <w:r w:rsidR="00B3012C" w:rsidRPr="00C97275">
        <w:rPr>
          <w:rFonts w:ascii="Georgia" w:hAnsi="Georgia"/>
          <w:sz w:val="20"/>
          <w:szCs w:val="20"/>
          <w:lang w:val="lt-LT"/>
        </w:rPr>
        <w:t>scenarijaus rezultatai, perskaičiuoti pagal Pradinėje ataskaitoje naudotas prielaidas.</w:t>
      </w:r>
    </w:p>
    <w:p w14:paraId="13E3E779" w14:textId="0C8DCB2B" w:rsidR="00A3268D" w:rsidRPr="00C97275" w:rsidRDefault="00A3268D" w:rsidP="00A3268D">
      <w:pPr>
        <w:pStyle w:val="Antrat"/>
        <w:rPr>
          <w:szCs w:val="20"/>
          <w:lang w:val="lt-LT"/>
        </w:rPr>
      </w:pPr>
      <w:bookmarkStart w:id="181" w:name="_Toc19105265"/>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52</w:t>
      </w:r>
      <w:r w:rsidRPr="00C97275">
        <w:rPr>
          <w:lang w:val="lt-LT"/>
        </w:rPr>
        <w:fldChar w:fldCharType="end"/>
      </w:r>
      <w:r w:rsidRPr="00C97275">
        <w:rPr>
          <w:lang w:val="lt-LT"/>
        </w:rPr>
        <w:t xml:space="preserve">. Scenarijaus Nr. </w:t>
      </w:r>
      <w:r w:rsidR="00ED628E" w:rsidRPr="00C97275">
        <w:rPr>
          <w:lang w:val="en-US"/>
        </w:rPr>
        <w:t>2</w:t>
      </w:r>
      <w:r w:rsidRPr="00C97275">
        <w:rPr>
          <w:lang w:val="lt-LT"/>
        </w:rPr>
        <w:t xml:space="preserve"> rezultatai, esant Pradinės ataskaitos prielaidoms</w:t>
      </w:r>
      <w:bookmarkEnd w:id="181"/>
    </w:p>
    <w:tbl>
      <w:tblPr>
        <w:tblStyle w:val="LightList-Accent21"/>
        <w:tblW w:w="4966" w:type="pct"/>
        <w:tblLayout w:type="fixed"/>
        <w:tblLook w:val="04A0" w:firstRow="1" w:lastRow="0" w:firstColumn="1" w:lastColumn="0" w:noHBand="0" w:noVBand="1"/>
      </w:tblPr>
      <w:tblGrid>
        <w:gridCol w:w="4827"/>
        <w:gridCol w:w="1661"/>
        <w:gridCol w:w="2691"/>
      </w:tblGrid>
      <w:tr w:rsidR="00A3268D" w:rsidRPr="00C97275" w14:paraId="6C5DA59E" w14:textId="77777777" w:rsidTr="00A326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tcBorders>
              <w:bottom w:val="single" w:sz="8" w:space="0" w:color="D62E1C"/>
            </w:tcBorders>
            <w:shd w:val="clear" w:color="auto" w:fill="C0504D"/>
            <w:noWrap/>
            <w:hideMark/>
          </w:tcPr>
          <w:p w14:paraId="2933D21E" w14:textId="77777777" w:rsidR="00A3268D" w:rsidRPr="00C97275" w:rsidRDefault="00A3268D" w:rsidP="00A3268D">
            <w:pPr>
              <w:rPr>
                <w:rFonts w:ascii="Georgia" w:hAnsi="Georgia"/>
                <w:sz w:val="18"/>
                <w:szCs w:val="18"/>
              </w:rPr>
            </w:pPr>
            <w:r w:rsidRPr="00C97275">
              <w:rPr>
                <w:rFonts w:ascii="Georgia" w:hAnsi="Georgia"/>
                <w:sz w:val="18"/>
                <w:szCs w:val="18"/>
              </w:rPr>
              <w:t>Rodiklis</w:t>
            </w:r>
          </w:p>
        </w:tc>
        <w:tc>
          <w:tcPr>
            <w:tcW w:w="905" w:type="pct"/>
            <w:tcBorders>
              <w:bottom w:val="single" w:sz="8" w:space="0" w:color="D62E1C"/>
            </w:tcBorders>
            <w:shd w:val="clear" w:color="auto" w:fill="C0504D"/>
            <w:noWrap/>
            <w:hideMark/>
          </w:tcPr>
          <w:p w14:paraId="4410957A" w14:textId="77777777" w:rsidR="00A3268D" w:rsidRPr="00C97275" w:rsidRDefault="00A3268D" w:rsidP="00A3268D">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C97275">
              <w:rPr>
                <w:rFonts w:ascii="Georgia" w:hAnsi="Georgia" w:cs="Arial"/>
                <w:color w:val="FFFFFF" w:themeColor="background1"/>
                <w:sz w:val="18"/>
                <w:szCs w:val="18"/>
              </w:rPr>
              <w:t xml:space="preserve">mln. </w:t>
            </w:r>
            <w:r w:rsidRPr="00C97275">
              <w:rPr>
                <w:rFonts w:ascii="Georgia" w:eastAsia="Times New Roman" w:hAnsi="Georgia" w:cs="Arial"/>
                <w:color w:val="FFFFFF" w:themeColor="background1"/>
                <w:sz w:val="18"/>
                <w:szCs w:val="18"/>
                <w:lang w:eastAsia="lt-LT"/>
              </w:rPr>
              <w:t>EUR</w:t>
            </w:r>
          </w:p>
        </w:tc>
        <w:tc>
          <w:tcPr>
            <w:tcW w:w="1467" w:type="pct"/>
            <w:tcBorders>
              <w:bottom w:val="single" w:sz="8" w:space="0" w:color="D62E1C"/>
            </w:tcBorders>
            <w:shd w:val="clear" w:color="auto" w:fill="C0504D"/>
            <w:noWrap/>
            <w:hideMark/>
          </w:tcPr>
          <w:p w14:paraId="4B433539" w14:textId="77777777" w:rsidR="00A3268D" w:rsidRPr="00C97275" w:rsidRDefault="00A3268D" w:rsidP="00A3268D">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C97275">
              <w:rPr>
                <w:rFonts w:ascii="Georgia" w:hAnsi="Georgia" w:cs="Arial"/>
                <w:color w:val="FFFFFF" w:themeColor="background1"/>
                <w:sz w:val="18"/>
                <w:szCs w:val="18"/>
              </w:rPr>
              <w:t>mln</w:t>
            </w:r>
            <w:r w:rsidRPr="00C97275">
              <w:rPr>
                <w:rFonts w:ascii="Georgia" w:eastAsia="Times New Roman" w:hAnsi="Georgia" w:cs="Arial"/>
                <w:iCs/>
                <w:color w:val="FFFFFF" w:themeColor="background1"/>
                <w:sz w:val="18"/>
                <w:szCs w:val="18"/>
                <w:lang w:eastAsia="lt-LT"/>
              </w:rPr>
              <w:t>. EUR</w:t>
            </w:r>
          </w:p>
        </w:tc>
      </w:tr>
      <w:tr w:rsidR="00A3268D" w:rsidRPr="00C97275" w14:paraId="52CB0B41"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5FA79D66" w14:textId="77777777" w:rsidR="00A3268D" w:rsidRPr="00C97275" w:rsidRDefault="00A3268D" w:rsidP="00A3268D">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Galutinius naudos gavėjus pasiekusios lėšos</w:t>
            </w:r>
          </w:p>
        </w:tc>
        <w:tc>
          <w:tcPr>
            <w:tcW w:w="905" w:type="pct"/>
            <w:noWrap/>
          </w:tcPr>
          <w:p w14:paraId="3C4E4DC3" w14:textId="2B797A36" w:rsidR="00A3268D" w:rsidRPr="00C97275"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741,6</w:t>
            </w:r>
          </w:p>
        </w:tc>
        <w:tc>
          <w:tcPr>
            <w:tcW w:w="1467" w:type="pct"/>
            <w:noWrap/>
            <w:hideMark/>
          </w:tcPr>
          <w:p w14:paraId="230A0769" w14:textId="1C1E16F4" w:rsidR="00A3268D" w:rsidRPr="00C97275" w:rsidRDefault="007E1195"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378,9+362,7</w:t>
            </w:r>
          </w:p>
        </w:tc>
      </w:tr>
      <w:tr w:rsidR="00A3268D" w:rsidRPr="00C97275" w14:paraId="2DBBA793" w14:textId="77777777" w:rsidTr="00B3012C">
        <w:trPr>
          <w:trHeight w:val="6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527B9AB9" w14:textId="77777777" w:rsidR="00A3268D" w:rsidRPr="00C97275" w:rsidRDefault="00A3268D" w:rsidP="00A3268D">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Į fondą grįžusios lėšos iki 2019 metų (įskaitant subsidijas bei iš JESSICA KF grįžtančias lėšas)</w:t>
            </w:r>
          </w:p>
        </w:tc>
        <w:tc>
          <w:tcPr>
            <w:tcW w:w="905" w:type="pct"/>
            <w:tcBorders>
              <w:top w:val="single" w:sz="8" w:space="0" w:color="D62E1C"/>
              <w:bottom w:val="single" w:sz="8" w:space="0" w:color="D62E1C"/>
            </w:tcBorders>
            <w:noWrap/>
          </w:tcPr>
          <w:p w14:paraId="6AEB8A70" w14:textId="3DC38790" w:rsidR="00A3268D" w:rsidRPr="00C97275" w:rsidRDefault="00B3012C"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27,6</w:t>
            </w:r>
          </w:p>
        </w:tc>
        <w:tc>
          <w:tcPr>
            <w:tcW w:w="1467" w:type="pct"/>
            <w:tcBorders>
              <w:top w:val="single" w:sz="8" w:space="0" w:color="D62E1C"/>
              <w:bottom w:val="single" w:sz="8" w:space="0" w:color="D62E1C"/>
            </w:tcBorders>
            <w:noWrap/>
            <w:hideMark/>
          </w:tcPr>
          <w:p w14:paraId="692AE5B8" w14:textId="77777777" w:rsidR="00A3268D" w:rsidRPr="00C97275" w:rsidRDefault="00A3268D"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26,2+1,4</w:t>
            </w:r>
          </w:p>
        </w:tc>
      </w:tr>
      <w:tr w:rsidR="00A3268D" w:rsidRPr="00C97275" w14:paraId="53408047"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1318832E" w14:textId="77777777" w:rsidR="00A3268D" w:rsidRPr="00C97275" w:rsidRDefault="00A3268D" w:rsidP="00A3268D">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Komercinių bankų išmokėtos/planuojamos išmokėti lėšos</w:t>
            </w:r>
          </w:p>
        </w:tc>
        <w:tc>
          <w:tcPr>
            <w:tcW w:w="905" w:type="pct"/>
            <w:noWrap/>
          </w:tcPr>
          <w:p w14:paraId="2E6D27D8" w14:textId="35930DD8" w:rsidR="00A3268D" w:rsidRPr="00C97275"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541,7</w:t>
            </w:r>
          </w:p>
        </w:tc>
        <w:tc>
          <w:tcPr>
            <w:tcW w:w="1467" w:type="pct"/>
            <w:noWrap/>
            <w:hideMark/>
          </w:tcPr>
          <w:p w14:paraId="2C9E62C9" w14:textId="3B629B30" w:rsidR="00A3268D" w:rsidRPr="00C97275" w:rsidRDefault="00A3268D" w:rsidP="007E119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1</w:t>
            </w:r>
            <w:r w:rsidR="007E1195" w:rsidRPr="00C97275">
              <w:rPr>
                <w:rFonts w:ascii="Georgia" w:hAnsi="Georgia" w:cs="Arial"/>
                <w:i/>
                <w:color w:val="000000"/>
                <w:sz w:val="18"/>
                <w:szCs w:val="18"/>
              </w:rPr>
              <w:t>34</w:t>
            </w:r>
            <w:r w:rsidRPr="00C97275">
              <w:rPr>
                <w:rFonts w:ascii="Georgia" w:hAnsi="Georgia" w:cs="Arial"/>
                <w:i/>
                <w:color w:val="000000"/>
                <w:sz w:val="18"/>
                <w:szCs w:val="18"/>
              </w:rPr>
              <w:t xml:space="preserve"> +</w:t>
            </w:r>
            <w:r w:rsidR="007E1195" w:rsidRPr="00C97275">
              <w:rPr>
                <w:rFonts w:ascii="Georgia" w:hAnsi="Georgia" w:cs="Arial"/>
                <w:i/>
                <w:color w:val="000000"/>
                <w:sz w:val="18"/>
                <w:szCs w:val="18"/>
              </w:rPr>
              <w:t>45</w:t>
            </w:r>
            <w:r w:rsidRPr="00C97275">
              <w:rPr>
                <w:rFonts w:ascii="Georgia" w:hAnsi="Georgia" w:cs="Arial"/>
                <w:i/>
                <w:color w:val="000000"/>
                <w:sz w:val="18"/>
                <w:szCs w:val="18"/>
              </w:rPr>
              <w:t xml:space="preserve"> + </w:t>
            </w:r>
            <w:r w:rsidR="007E1195" w:rsidRPr="00C97275">
              <w:rPr>
                <w:rFonts w:ascii="Georgia" w:hAnsi="Georgia" w:cs="Arial"/>
                <w:i/>
                <w:color w:val="000000"/>
                <w:sz w:val="18"/>
                <w:szCs w:val="18"/>
              </w:rPr>
              <w:t>362,7</w:t>
            </w:r>
            <w:r w:rsidRPr="00C97275">
              <w:rPr>
                <w:rFonts w:ascii="Georgia" w:hAnsi="Georgia" w:cs="Arial"/>
                <w:i/>
                <w:color w:val="000000"/>
                <w:sz w:val="18"/>
                <w:szCs w:val="18"/>
              </w:rPr>
              <w:t xml:space="preserve"> </w:t>
            </w:r>
          </w:p>
        </w:tc>
      </w:tr>
      <w:tr w:rsidR="00A3268D" w:rsidRPr="00C97275" w14:paraId="10D4F4AC" w14:textId="77777777" w:rsidTr="00B3012C">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6C85F3AA" w14:textId="77777777" w:rsidR="00A3268D" w:rsidRPr="00C97275" w:rsidRDefault="00A3268D" w:rsidP="00A3268D">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Renovuotų pastatų skaičius</w:t>
            </w:r>
          </w:p>
        </w:tc>
        <w:tc>
          <w:tcPr>
            <w:tcW w:w="905" w:type="pct"/>
            <w:tcBorders>
              <w:top w:val="single" w:sz="8" w:space="0" w:color="D62E1C"/>
              <w:bottom w:val="single" w:sz="8" w:space="0" w:color="D62E1C"/>
            </w:tcBorders>
            <w:noWrap/>
          </w:tcPr>
          <w:p w14:paraId="69E1B2B9" w14:textId="69668E79" w:rsidR="00A3268D" w:rsidRPr="00C97275" w:rsidRDefault="008E477E" w:rsidP="008E477E">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 xml:space="preserve">2 247 </w:t>
            </w:r>
          </w:p>
        </w:tc>
        <w:tc>
          <w:tcPr>
            <w:tcW w:w="1467" w:type="pct"/>
            <w:tcBorders>
              <w:top w:val="single" w:sz="8" w:space="0" w:color="D62E1C"/>
              <w:bottom w:val="single" w:sz="8" w:space="0" w:color="D62E1C"/>
            </w:tcBorders>
            <w:noWrap/>
            <w:hideMark/>
          </w:tcPr>
          <w:p w14:paraId="129247B0" w14:textId="03E97CBF" w:rsidR="00A3268D" w:rsidRPr="00C97275" w:rsidRDefault="008E477E" w:rsidP="002D474F">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1</w:t>
            </w:r>
            <w:r w:rsidR="002D474F" w:rsidRPr="00C97275">
              <w:rPr>
                <w:rFonts w:ascii="Georgia" w:hAnsi="Georgia" w:cs="Arial"/>
                <w:i/>
                <w:color w:val="000000"/>
                <w:sz w:val="18"/>
                <w:szCs w:val="18"/>
              </w:rPr>
              <w:t xml:space="preserve"> </w:t>
            </w:r>
            <w:r w:rsidRPr="00C97275">
              <w:rPr>
                <w:rFonts w:ascii="Georgia" w:hAnsi="Georgia" w:cs="Arial"/>
                <w:i/>
                <w:color w:val="000000"/>
                <w:sz w:val="18"/>
                <w:szCs w:val="18"/>
              </w:rPr>
              <w:t>148+1</w:t>
            </w:r>
            <w:r w:rsidR="002D474F" w:rsidRPr="00C97275">
              <w:rPr>
                <w:rFonts w:ascii="Georgia" w:hAnsi="Georgia" w:cs="Arial"/>
                <w:i/>
                <w:color w:val="000000"/>
                <w:sz w:val="18"/>
                <w:szCs w:val="18"/>
              </w:rPr>
              <w:t xml:space="preserve"> </w:t>
            </w:r>
            <w:r w:rsidRPr="00C97275">
              <w:rPr>
                <w:rFonts w:ascii="Georgia" w:hAnsi="Georgia" w:cs="Arial"/>
                <w:i/>
                <w:color w:val="000000"/>
                <w:sz w:val="18"/>
                <w:szCs w:val="18"/>
              </w:rPr>
              <w:t xml:space="preserve">099 </w:t>
            </w:r>
          </w:p>
        </w:tc>
      </w:tr>
      <w:tr w:rsidR="00A3268D" w:rsidRPr="00C97275" w14:paraId="267465D5"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54BB13C5" w14:textId="77777777" w:rsidR="00A3268D" w:rsidRPr="00C97275" w:rsidRDefault="00A3268D" w:rsidP="00A3268D">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ESI fondų lėšos</w:t>
            </w:r>
          </w:p>
        </w:tc>
        <w:tc>
          <w:tcPr>
            <w:tcW w:w="905" w:type="pct"/>
            <w:noWrap/>
          </w:tcPr>
          <w:p w14:paraId="27F249A1" w14:textId="509BF125" w:rsidR="00A3268D" w:rsidRPr="00C97275"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280,9</w:t>
            </w:r>
          </w:p>
        </w:tc>
        <w:tc>
          <w:tcPr>
            <w:tcW w:w="1467" w:type="pct"/>
            <w:noWrap/>
            <w:hideMark/>
          </w:tcPr>
          <w:p w14:paraId="14FF6FE5" w14:textId="25A12263" w:rsidR="00A3268D" w:rsidRPr="00C97275" w:rsidRDefault="007E1195" w:rsidP="007E119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134</w:t>
            </w:r>
            <w:r w:rsidR="00A3268D" w:rsidRPr="00C97275">
              <w:rPr>
                <w:rFonts w:ascii="Georgia" w:hAnsi="Georgia" w:cs="Arial"/>
                <w:i/>
                <w:color w:val="000000"/>
                <w:sz w:val="18"/>
                <w:szCs w:val="18"/>
              </w:rPr>
              <w:t xml:space="preserve"> +</w:t>
            </w:r>
            <w:r w:rsidRPr="00C97275">
              <w:rPr>
                <w:rFonts w:ascii="Georgia" w:hAnsi="Georgia" w:cs="Arial"/>
                <w:i/>
                <w:color w:val="000000"/>
                <w:sz w:val="18"/>
                <w:szCs w:val="18"/>
              </w:rPr>
              <w:t>66</w:t>
            </w:r>
            <w:r w:rsidR="00A3268D" w:rsidRPr="00C97275">
              <w:rPr>
                <w:rFonts w:ascii="Georgia" w:hAnsi="Georgia" w:cs="Arial"/>
                <w:i/>
                <w:color w:val="000000"/>
                <w:sz w:val="18"/>
                <w:szCs w:val="18"/>
              </w:rPr>
              <w:t xml:space="preserve"> + </w:t>
            </w:r>
            <w:r w:rsidRPr="00C97275">
              <w:rPr>
                <w:rFonts w:ascii="Georgia" w:hAnsi="Georgia" w:cs="Arial"/>
                <w:i/>
                <w:color w:val="000000"/>
                <w:sz w:val="18"/>
                <w:szCs w:val="18"/>
              </w:rPr>
              <w:t>80,9</w:t>
            </w:r>
          </w:p>
        </w:tc>
      </w:tr>
      <w:tr w:rsidR="00A3268D" w:rsidRPr="00C97275" w14:paraId="0C34AF0C" w14:textId="77777777" w:rsidTr="00B3012C">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noWrap/>
            <w:hideMark/>
          </w:tcPr>
          <w:p w14:paraId="5A735459" w14:textId="77777777" w:rsidR="00A3268D" w:rsidRPr="00C97275" w:rsidRDefault="00A3268D" w:rsidP="00A3268D">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Nacionalinis ko-finansavimas</w:t>
            </w:r>
          </w:p>
        </w:tc>
        <w:tc>
          <w:tcPr>
            <w:tcW w:w="905" w:type="pct"/>
            <w:tcBorders>
              <w:top w:val="single" w:sz="8" w:space="0" w:color="D62E1C"/>
              <w:bottom w:val="single" w:sz="8" w:space="0" w:color="D62E1C"/>
            </w:tcBorders>
            <w:noWrap/>
          </w:tcPr>
          <w:p w14:paraId="1577CE79" w14:textId="74F571DA" w:rsidR="00A3268D" w:rsidRPr="00C97275" w:rsidRDefault="00B3012C"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0,0</w:t>
            </w:r>
          </w:p>
        </w:tc>
        <w:tc>
          <w:tcPr>
            <w:tcW w:w="1467" w:type="pct"/>
            <w:tcBorders>
              <w:top w:val="single" w:sz="8" w:space="0" w:color="D62E1C"/>
              <w:bottom w:val="single" w:sz="8" w:space="0" w:color="D62E1C"/>
            </w:tcBorders>
            <w:noWrap/>
            <w:hideMark/>
          </w:tcPr>
          <w:p w14:paraId="3038C044" w14:textId="77777777" w:rsidR="00A3268D" w:rsidRPr="00C97275" w:rsidRDefault="00A3268D"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C97275">
              <w:rPr>
                <w:rFonts w:ascii="Georgia" w:hAnsi="Georgia" w:cs="Arial"/>
                <w:i/>
                <w:color w:val="000000"/>
                <w:sz w:val="18"/>
                <w:szCs w:val="18"/>
              </w:rPr>
              <w:t>Skirtas papildyti garantijos priemonę</w:t>
            </w:r>
          </w:p>
        </w:tc>
      </w:tr>
      <w:tr w:rsidR="00A3268D" w:rsidRPr="00C97275" w14:paraId="7336D6C1"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5C2C17A1" w14:textId="77777777" w:rsidR="00A3268D" w:rsidRPr="00C97275" w:rsidRDefault="00A3268D" w:rsidP="00A3268D">
            <w:pPr>
              <w:spacing w:line="240" w:lineRule="atLeast"/>
              <w:rPr>
                <w:rFonts w:ascii="Georgia" w:hAnsi="Georgia" w:cs="Arial"/>
                <w:b w:val="0"/>
                <w:color w:val="000000"/>
                <w:sz w:val="18"/>
                <w:szCs w:val="18"/>
              </w:rPr>
            </w:pPr>
            <w:r w:rsidRPr="00C97275">
              <w:rPr>
                <w:rFonts w:ascii="Georgia" w:hAnsi="Georgia" w:cs="Arial"/>
                <w:b w:val="0"/>
                <w:color w:val="000000"/>
                <w:sz w:val="18"/>
                <w:szCs w:val="18"/>
              </w:rPr>
              <w:t>Sverto efektas</w:t>
            </w:r>
          </w:p>
        </w:tc>
        <w:tc>
          <w:tcPr>
            <w:tcW w:w="905" w:type="pct"/>
            <w:noWrap/>
          </w:tcPr>
          <w:p w14:paraId="22936524" w14:textId="3B812BC9" w:rsidR="00A3268D" w:rsidRPr="00C97275"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C97275">
              <w:rPr>
                <w:rFonts w:ascii="Georgia" w:hAnsi="Georgia" w:cs="Arial"/>
                <w:color w:val="000000"/>
                <w:sz w:val="18"/>
                <w:szCs w:val="18"/>
              </w:rPr>
              <w:t>2,64</w:t>
            </w:r>
          </w:p>
        </w:tc>
        <w:tc>
          <w:tcPr>
            <w:tcW w:w="1467" w:type="pct"/>
            <w:noWrap/>
            <w:hideMark/>
          </w:tcPr>
          <w:p w14:paraId="0B9BCDE7" w14:textId="77777777" w:rsidR="00A3268D" w:rsidRPr="00C97275" w:rsidRDefault="00A3268D" w:rsidP="00A3268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p>
        </w:tc>
      </w:tr>
    </w:tbl>
    <w:p w14:paraId="5A6FF6D5" w14:textId="77777777" w:rsidR="00A3268D" w:rsidRPr="00C97275" w:rsidRDefault="00A3268D" w:rsidP="000556A1">
      <w:pPr>
        <w:rPr>
          <w:rFonts w:ascii="Georgia" w:hAnsi="Georgia"/>
          <w:sz w:val="20"/>
          <w:szCs w:val="20"/>
          <w:lang w:val="lt-LT"/>
        </w:rPr>
      </w:pPr>
    </w:p>
    <w:p w14:paraId="6D782EF2" w14:textId="6A305035" w:rsidR="000556A1" w:rsidRPr="00C97275" w:rsidRDefault="000556A1" w:rsidP="00D17A57">
      <w:pPr>
        <w:keepNext/>
        <w:rPr>
          <w:rFonts w:ascii="Georgia" w:hAnsi="Georgia"/>
          <w:b/>
          <w:i/>
          <w:sz w:val="28"/>
          <w:szCs w:val="28"/>
          <w:lang w:val="lt-LT"/>
        </w:rPr>
      </w:pPr>
      <w:r w:rsidRPr="00C97275">
        <w:rPr>
          <w:rFonts w:ascii="Georgia" w:hAnsi="Georgia"/>
          <w:b/>
          <w:i/>
          <w:sz w:val="28"/>
          <w:szCs w:val="28"/>
          <w:lang w:val="lt-LT"/>
        </w:rPr>
        <w:t xml:space="preserve">Scenarijus Nr. </w:t>
      </w:r>
      <w:r w:rsidR="00ED628E" w:rsidRPr="00C97275">
        <w:rPr>
          <w:rFonts w:ascii="Georgia" w:hAnsi="Georgia"/>
          <w:b/>
          <w:i/>
          <w:sz w:val="28"/>
          <w:szCs w:val="28"/>
          <w:lang w:val="lt-LT"/>
        </w:rPr>
        <w:t>3</w:t>
      </w:r>
      <w:r w:rsidRPr="00C97275">
        <w:rPr>
          <w:rFonts w:ascii="Georgia" w:hAnsi="Georgia"/>
          <w:b/>
          <w:i/>
          <w:sz w:val="28"/>
          <w:szCs w:val="28"/>
          <w:lang w:val="lt-LT"/>
        </w:rPr>
        <w:t>: Visos lėšos panaudojamos garantijoms</w:t>
      </w:r>
    </w:p>
    <w:p w14:paraId="7E3DACE0" w14:textId="544C3B3D" w:rsidR="000556A1" w:rsidRPr="00C97275" w:rsidRDefault="000556A1" w:rsidP="0063781D">
      <w:pPr>
        <w:keepNext/>
        <w:jc w:val="both"/>
        <w:rPr>
          <w:rFonts w:ascii="Georgia" w:hAnsi="Georgia"/>
          <w:lang w:val="lt-LT"/>
        </w:rPr>
      </w:pPr>
      <w:r w:rsidRPr="00C97275">
        <w:rPr>
          <w:rFonts w:ascii="Georgia" w:hAnsi="Georgia"/>
          <w:sz w:val="20"/>
          <w:szCs w:val="20"/>
          <w:lang w:val="lt-LT"/>
        </w:rPr>
        <w:t xml:space="preserve">Šiame modelyje visos daugiabučių renovacijai numatytos ESI fondų lėšos skiriamos garantijų priemonės įgyvendinimui. Kartu su 2014-2020 m. ES lėšomis garantijų priemonei skiriamos ir visos grįžtančios lėšos iš JESSICA KF. Visos garantijų priemonės prielaidos tokios pat, kaip </w:t>
      </w:r>
      <w:r w:rsidR="00ED628E" w:rsidRPr="00C97275">
        <w:rPr>
          <w:rFonts w:ascii="Georgia" w:hAnsi="Georgia"/>
          <w:sz w:val="20"/>
          <w:szCs w:val="20"/>
          <w:lang w:val="lt-LT"/>
        </w:rPr>
        <w:t xml:space="preserve">antrajame </w:t>
      </w:r>
      <w:r w:rsidRPr="00C97275">
        <w:rPr>
          <w:rFonts w:ascii="Georgia" w:hAnsi="Georgia"/>
          <w:sz w:val="20"/>
          <w:szCs w:val="20"/>
          <w:lang w:val="lt-LT"/>
        </w:rPr>
        <w:t>scenarijuje (garantinio modelio dalyje). Šiame scenarijuje modeliuojamas maksimalus projektų skaičius.</w:t>
      </w:r>
    </w:p>
    <w:p w14:paraId="1F1E123A" w14:textId="3136BE9E" w:rsidR="000556A1" w:rsidRPr="00C97275" w:rsidRDefault="000556A1" w:rsidP="000556A1">
      <w:pPr>
        <w:pStyle w:val="Antrat"/>
        <w:rPr>
          <w:szCs w:val="20"/>
          <w:lang w:val="lt-LT"/>
        </w:rPr>
      </w:pPr>
      <w:bookmarkStart w:id="182" w:name="_Toc19105295"/>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11</w:t>
      </w:r>
      <w:r w:rsidRPr="00C97275">
        <w:rPr>
          <w:lang w:val="lt-LT"/>
        </w:rPr>
        <w:fldChar w:fldCharType="end"/>
      </w:r>
      <w:r w:rsidRPr="00C97275">
        <w:rPr>
          <w:lang w:val="lt-LT"/>
        </w:rPr>
        <w:t xml:space="preserve">. Daugiabučių scenarijaus Nr. </w:t>
      </w:r>
      <w:r w:rsidR="00ED628E" w:rsidRPr="00C97275">
        <w:rPr>
          <w:lang w:val="nl-NL"/>
        </w:rPr>
        <w:t>3</w:t>
      </w:r>
      <w:r w:rsidRPr="00C97275">
        <w:rPr>
          <w:lang w:val="lt-LT"/>
        </w:rPr>
        <w:t xml:space="preserve"> schema.</w:t>
      </w:r>
      <w:bookmarkEnd w:id="182"/>
      <w:r w:rsidRPr="00C97275">
        <w:rPr>
          <w:lang w:val="lt-LT"/>
        </w:rPr>
        <w:t xml:space="preserve"> </w:t>
      </w:r>
    </w:p>
    <w:p w14:paraId="5FADF07E" w14:textId="598BF1D8" w:rsidR="000556A1" w:rsidRPr="00C97275" w:rsidRDefault="000556A1" w:rsidP="000556A1">
      <w:pPr>
        <w:pStyle w:val="Antrat"/>
        <w:rPr>
          <w:szCs w:val="20"/>
          <w:lang w:val="lt-LT"/>
        </w:rPr>
      </w:pPr>
      <w:bookmarkStart w:id="183" w:name="_Toc19105266"/>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53</w:t>
      </w:r>
      <w:r w:rsidRPr="00C97275">
        <w:rPr>
          <w:lang w:val="lt-LT"/>
        </w:rPr>
        <w:fldChar w:fldCharType="end"/>
      </w:r>
      <w:r w:rsidRPr="00C97275">
        <w:rPr>
          <w:lang w:val="lt-LT"/>
        </w:rPr>
        <w:t xml:space="preserve">. Scenarijaus Nr. </w:t>
      </w:r>
      <w:r w:rsidR="00ED628E" w:rsidRPr="00C97275">
        <w:rPr>
          <w:lang w:val="lt-LT"/>
        </w:rPr>
        <w:t>3</w:t>
      </w:r>
      <w:r w:rsidRPr="00C97275">
        <w:rPr>
          <w:lang w:val="lt-LT"/>
        </w:rPr>
        <w:t xml:space="preserve"> prielaidos</w:t>
      </w:r>
      <w:r w:rsidRPr="00C97275">
        <w:rPr>
          <w:szCs w:val="20"/>
          <w:lang w:val="lt-LT"/>
        </w:rPr>
        <w:t>:</w:t>
      </w:r>
      <w:bookmarkEnd w:id="183"/>
    </w:p>
    <w:tbl>
      <w:tblPr>
        <w:tblStyle w:val="viesussraas2parykinimas"/>
        <w:tblW w:w="5000" w:type="pct"/>
        <w:tblLook w:val="04A0" w:firstRow="1" w:lastRow="0" w:firstColumn="1" w:lastColumn="0" w:noHBand="0" w:noVBand="1"/>
      </w:tblPr>
      <w:tblGrid>
        <w:gridCol w:w="3164"/>
        <w:gridCol w:w="6078"/>
      </w:tblGrid>
      <w:tr w:rsidR="000556A1" w:rsidRPr="00C97275" w14:paraId="1A14699C"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2EEFFF2C" w14:textId="77777777" w:rsidR="000556A1" w:rsidRPr="00C97275" w:rsidRDefault="000556A1" w:rsidP="00B042D4">
            <w:pPr>
              <w:keepNext/>
              <w:jc w:val="center"/>
              <w:rPr>
                <w:rFonts w:ascii="Georgia" w:hAnsi="Georgia"/>
                <w:sz w:val="20"/>
                <w:szCs w:val="20"/>
              </w:rPr>
            </w:pPr>
            <w:r w:rsidRPr="00C97275">
              <w:rPr>
                <w:rFonts w:ascii="Georgia" w:hAnsi="Georgia"/>
                <w:sz w:val="20"/>
                <w:szCs w:val="20"/>
              </w:rPr>
              <w:t>Prielaidos</w:t>
            </w:r>
          </w:p>
        </w:tc>
        <w:tc>
          <w:tcPr>
            <w:tcW w:w="3288" w:type="pct"/>
            <w:tcBorders>
              <w:bottom w:val="single" w:sz="8" w:space="0" w:color="C0504D" w:themeColor="accent2"/>
            </w:tcBorders>
          </w:tcPr>
          <w:p w14:paraId="481CF5F4" w14:textId="77777777" w:rsidR="000556A1" w:rsidRPr="00C97275" w:rsidRDefault="000556A1" w:rsidP="00B042D4">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Komentaras</w:t>
            </w:r>
          </w:p>
        </w:tc>
      </w:tr>
      <w:tr w:rsidR="000556A1" w:rsidRPr="00C97275" w14:paraId="547897E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1C244297" w14:textId="77777777" w:rsidR="000556A1" w:rsidRPr="00C97275" w:rsidRDefault="000556A1" w:rsidP="00B042D4">
            <w:pPr>
              <w:rPr>
                <w:rFonts w:ascii="Georgia" w:hAnsi="Georgia"/>
                <w:b w:val="0"/>
                <w:sz w:val="20"/>
                <w:szCs w:val="20"/>
              </w:rPr>
            </w:pPr>
            <w:r w:rsidRPr="00C97275">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361B682F" w14:textId="239C19C3"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Maksimalus paskolos suteikimo terminas 20 metų.</w:t>
            </w:r>
          </w:p>
        </w:tc>
      </w:tr>
      <w:tr w:rsidR="000556A1" w:rsidRPr="00C97275" w14:paraId="2505B366"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16982E4" w14:textId="4298B41F" w:rsidR="000556A1" w:rsidRPr="00C97275" w:rsidRDefault="000556A1" w:rsidP="00B042D4">
            <w:pPr>
              <w:rPr>
                <w:rFonts w:ascii="Georgia" w:hAnsi="Georgia"/>
                <w:b w:val="0"/>
                <w:sz w:val="20"/>
                <w:szCs w:val="20"/>
              </w:rPr>
            </w:pPr>
            <w:r w:rsidRPr="00C97275">
              <w:rPr>
                <w:rFonts w:ascii="Georgia" w:hAnsi="Georgia"/>
                <w:sz w:val="20"/>
                <w:szCs w:val="20"/>
              </w:rPr>
              <w:t xml:space="preserve">Subsidija: </w:t>
            </w:r>
            <w:r w:rsidR="006420B1" w:rsidRPr="00C97275">
              <w:rPr>
                <w:rFonts w:ascii="Georgia" w:hAnsi="Georgia"/>
                <w:sz w:val="20"/>
                <w:szCs w:val="20"/>
              </w:rPr>
              <w:t>30</w:t>
            </w:r>
            <w:r w:rsidRPr="00C97275">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37CF4137" w14:textId="37F3797D" w:rsidR="000556A1" w:rsidRPr="00C97275" w:rsidRDefault="000556A1">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 xml:space="preserve">Projektams, pasiekusiems ne mažesnį kaip 40 proc. sutaupymą, suteikiama </w:t>
            </w:r>
            <w:r w:rsidR="006420B1" w:rsidRPr="00C97275">
              <w:rPr>
                <w:rFonts w:ascii="Georgia" w:hAnsi="Georgia"/>
                <w:sz w:val="20"/>
              </w:rPr>
              <w:t xml:space="preserve">30 </w:t>
            </w:r>
            <w:r w:rsidRPr="00C97275">
              <w:rPr>
                <w:rFonts w:ascii="Georgia" w:hAnsi="Georgia"/>
                <w:sz w:val="20"/>
              </w:rPr>
              <w:t>% subsidija (valstybės parama) biudžeto lėšomis.</w:t>
            </w:r>
          </w:p>
        </w:tc>
      </w:tr>
      <w:tr w:rsidR="000556A1" w:rsidRPr="00C97275" w14:paraId="012277B7"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B0D7035" w14:textId="77777777" w:rsidR="000556A1" w:rsidRPr="00C97275" w:rsidRDefault="000556A1" w:rsidP="00B042D4">
            <w:pPr>
              <w:rPr>
                <w:rFonts w:ascii="Georgia" w:hAnsi="Georgia"/>
                <w:b w:val="0"/>
                <w:sz w:val="20"/>
                <w:szCs w:val="20"/>
              </w:rPr>
            </w:pPr>
            <w:r w:rsidRPr="00C97275">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2D967C12" w14:textId="77777777" w:rsidR="000556A1" w:rsidRPr="00C97275" w:rsidRDefault="000556A1" w:rsidP="00B042D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Blogų paskolų dalis buvo nustatyta remiantis ekspertų ir komercinių bankų vertinimu</w:t>
            </w:r>
            <w:r w:rsidRPr="00C97275">
              <w:rPr>
                <w:rFonts w:ascii="Georgia" w:hAnsi="Georgia"/>
                <w:sz w:val="20"/>
                <w:szCs w:val="20"/>
              </w:rPr>
              <w:t>. Daroma prielaida, kad iki 2022 metų reikės išmokėti 50% garantijų bankams nuo planuojamų blogų paskolų.</w:t>
            </w:r>
          </w:p>
        </w:tc>
      </w:tr>
      <w:tr w:rsidR="008A0A09" w:rsidRPr="00C97275" w14:paraId="054C2C29"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A2EEED3" w14:textId="77777777" w:rsidR="008A0A09" w:rsidRPr="00C97275" w:rsidRDefault="008A0A09" w:rsidP="008A0A09">
            <w:pPr>
              <w:rPr>
                <w:rFonts w:ascii="Georgia" w:hAnsi="Georgia"/>
                <w:sz w:val="20"/>
              </w:rPr>
            </w:pPr>
            <w:r w:rsidRPr="00C97275">
              <w:rPr>
                <w:rFonts w:ascii="Georgia" w:hAnsi="Georgia"/>
                <w:sz w:val="20"/>
              </w:rPr>
              <w:lastRenderedPageBreak/>
              <w:t>Modernizavimo procese dalyvaujančio vidutinio pastato projekto investicijų vertė: 330 000 eurų</w:t>
            </w:r>
          </w:p>
          <w:p w14:paraId="44F375D7" w14:textId="77777777" w:rsidR="008A0A09" w:rsidRPr="00C97275" w:rsidRDefault="008A0A09" w:rsidP="008A0A09">
            <w:pPr>
              <w:rPr>
                <w:rFonts w:ascii="Georgia" w:hAnsi="Georgia"/>
                <w:sz w:val="20"/>
              </w:rPr>
            </w:pPr>
          </w:p>
          <w:p w14:paraId="09F075B6" w14:textId="7F87F5E6" w:rsidR="008A0A09" w:rsidRPr="00C97275" w:rsidRDefault="008A0A09" w:rsidP="008A0A09">
            <w:pPr>
              <w:rPr>
                <w:rFonts w:ascii="Georgia" w:hAnsi="Georgia"/>
                <w:b w:val="0"/>
                <w:sz w:val="20"/>
                <w:szCs w:val="20"/>
              </w:rPr>
            </w:pPr>
          </w:p>
        </w:tc>
        <w:tc>
          <w:tcPr>
            <w:tcW w:w="3288" w:type="pct"/>
            <w:tcBorders>
              <w:top w:val="single" w:sz="6" w:space="0" w:color="C0504D" w:themeColor="accent2"/>
              <w:left w:val="single" w:sz="6" w:space="0" w:color="C0504D" w:themeColor="accent2"/>
              <w:bottom w:val="single" w:sz="6" w:space="0" w:color="C0504D" w:themeColor="accent2"/>
            </w:tcBorders>
          </w:tcPr>
          <w:p w14:paraId="32C6E165" w14:textId="77777777" w:rsidR="008A0A09" w:rsidRPr="00C97275" w:rsidRDefault="008A0A09" w:rsidP="008A0A09">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Pradinėje ataskaitoje vidutinė tipinio daugiabučio renovacijos kaina buvo nustatyta remiantis vidutinio daugiabučio plotu (paskaičiuota remiantis registrų centro duomenimis). Vidutinė statybos darbų kaina nustatyta pagal BETA pateiktus duomenis.</w:t>
            </w:r>
          </w:p>
          <w:p w14:paraId="12C1AB26" w14:textId="77777777" w:rsidR="008A0A09" w:rsidRPr="00C97275" w:rsidRDefault="008A0A09" w:rsidP="008A0A09">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p>
          <w:p w14:paraId="2ACF80E9" w14:textId="77777777" w:rsidR="008A0A09" w:rsidRPr="00C97275" w:rsidRDefault="008A0A09" w:rsidP="008A0A09">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C97275">
              <w:rPr>
                <w:rFonts w:ascii="Georgia" w:hAnsi="Georgia"/>
                <w:sz w:val="20"/>
                <w:vertAlign w:val="superscript"/>
              </w:rPr>
              <w:t xml:space="preserve">2 </w:t>
            </w:r>
            <w:r w:rsidRPr="00C97275">
              <w:rPr>
                <w:rFonts w:ascii="Georgia" w:hAnsi="Georgia"/>
                <w:sz w:val="20"/>
              </w:rPr>
              <w:t>(šildomas plotas 1 770-1 920 m</w:t>
            </w:r>
            <w:r w:rsidRPr="00C97275">
              <w:rPr>
                <w:rFonts w:ascii="Georgia" w:hAnsi="Georgia"/>
                <w:sz w:val="20"/>
                <w:vertAlign w:val="superscript"/>
              </w:rPr>
              <w:t>2</w:t>
            </w:r>
            <w:r w:rsidRPr="00C97275">
              <w:rPr>
                <w:rFonts w:ascii="Georgia" w:hAnsi="Georgia"/>
                <w:sz w:val="20"/>
              </w:rPr>
              <w:t>) tai yra bendras plotas daugiau nei 1 000 m</w:t>
            </w:r>
            <w:r w:rsidRPr="00C97275">
              <w:rPr>
                <w:rFonts w:ascii="Georgia" w:hAnsi="Georgia"/>
                <w:sz w:val="20"/>
                <w:vertAlign w:val="superscript"/>
              </w:rPr>
              <w:t>2</w:t>
            </w:r>
            <w:r w:rsidRPr="00C97275">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C97275">
              <w:rPr>
                <w:rFonts w:ascii="Georgia" w:hAnsi="Georgia"/>
                <w:sz w:val="20"/>
                <w:vertAlign w:val="superscript"/>
              </w:rPr>
              <w:t>2</w:t>
            </w:r>
            <w:r w:rsidRPr="00C97275">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68E07096" w14:textId="518D74D9" w:rsidR="008A0A09" w:rsidRPr="00C97275" w:rsidRDefault="008A0A09" w:rsidP="008A0A09">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0556A1" w:rsidRPr="00C97275" w14:paraId="322E71F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646CDDA" w14:textId="77777777" w:rsidR="000556A1" w:rsidRPr="00C97275" w:rsidRDefault="000556A1" w:rsidP="00B042D4">
            <w:pPr>
              <w:rPr>
                <w:rFonts w:ascii="Georgia" w:hAnsi="Georgia"/>
                <w:b w:val="0"/>
                <w:sz w:val="20"/>
                <w:szCs w:val="20"/>
              </w:rPr>
            </w:pPr>
            <w:r w:rsidRPr="00C97275">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7553FD6F" w14:textId="77777777" w:rsidR="000556A1" w:rsidRPr="00C97275" w:rsidRDefault="000556A1" w:rsidP="00B042D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Galutiniams naudos gavėjams taikoma palūkanų norma 3 proc. Garantijų priemonės atveju numatoma bankams kompensuoti palūkanų skirtumą viršijantį 3 proc. palūkanų normą.</w:t>
            </w:r>
          </w:p>
        </w:tc>
      </w:tr>
      <w:tr w:rsidR="000556A1" w:rsidRPr="00C97275" w14:paraId="4A47D4B0"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AD757F7" w14:textId="128871FA" w:rsidR="000556A1" w:rsidRPr="00C97275" w:rsidRDefault="000556A1" w:rsidP="00B042D4">
            <w:pPr>
              <w:rPr>
                <w:rFonts w:ascii="Georgia" w:hAnsi="Georgia"/>
                <w:b w:val="0"/>
                <w:sz w:val="20"/>
                <w:szCs w:val="20"/>
              </w:rPr>
            </w:pPr>
            <w:r w:rsidRPr="00C97275">
              <w:rPr>
                <w:rFonts w:ascii="Georgia" w:hAnsi="Georgia"/>
                <w:sz w:val="20"/>
                <w:szCs w:val="20"/>
              </w:rPr>
              <w:t xml:space="preserve">Bankų palūkanos: </w:t>
            </w:r>
            <w:r w:rsidR="00AD7E1C" w:rsidRPr="00C97275">
              <w:rPr>
                <w:rFonts w:ascii="Georgia" w:hAnsi="Georgia"/>
                <w:sz w:val="20"/>
                <w:szCs w:val="20"/>
              </w:rPr>
              <w:t>5,8</w:t>
            </w:r>
            <w:r w:rsidRPr="00C97275">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7F7D7CE5" w14:textId="4AE21919" w:rsidR="00AD7E1C" w:rsidRPr="00C97275" w:rsidRDefault="00AD7E1C"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Daroma prielaida, jog, garantijų priemonės atveju, komercinių bankų fiksuota paskolų palūkanų norma (20-ies metų laikotarpiui) sudarys 5,8 proc. Ši palūkanų norma įvertinta remiantis šiais duomenimis:</w:t>
            </w:r>
            <w:r w:rsidRPr="00C97275">
              <w:rPr>
                <w:rFonts w:ascii="Georgia" w:hAnsi="Georgia"/>
                <w:sz w:val="20"/>
                <w:szCs w:val="20"/>
              </w:rPr>
              <w:br/>
              <w:t>1) Prognozuojamas suderintas vartotojų kainų indekso (SVKI) vidurkis Lietuvoje 2017-2019 (2,9%);</w:t>
            </w:r>
            <w:r w:rsidRPr="00C97275">
              <w:rPr>
                <w:rFonts w:ascii="Georgia" w:hAnsi="Georgia"/>
                <w:sz w:val="20"/>
                <w:szCs w:val="20"/>
              </w:rPr>
              <w:br/>
              <w:t xml:space="preserve">2) vidutinės Lietuvos Respublikos Vyriausybės obligacijų emisijos (2536 dienų trukmės) palūkanos 2014 rugsėjo mėnesį (0,8%); </w:t>
            </w:r>
            <w:r w:rsidRPr="00C97275">
              <w:rPr>
                <w:rFonts w:ascii="Georgia" w:hAnsi="Georgia"/>
                <w:sz w:val="20"/>
                <w:szCs w:val="20"/>
              </w:rPr>
              <w:br/>
              <w:t>3) Galima komercinių bankų marža (2,1%).</w:t>
            </w:r>
          </w:p>
          <w:p w14:paraId="232B2C1B" w14:textId="18A77FEF"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 </w:t>
            </w:r>
          </w:p>
        </w:tc>
      </w:tr>
      <w:tr w:rsidR="000556A1" w:rsidRPr="00C97275" w14:paraId="1708A090"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F411275" w14:textId="77777777" w:rsidR="000556A1" w:rsidRPr="00C97275" w:rsidRDefault="000556A1" w:rsidP="00B042D4">
            <w:pPr>
              <w:rPr>
                <w:rFonts w:ascii="Georgia" w:hAnsi="Georgia"/>
                <w:b w:val="0"/>
                <w:sz w:val="20"/>
                <w:szCs w:val="20"/>
              </w:rPr>
            </w:pPr>
            <w:r w:rsidRPr="00C97275">
              <w:rPr>
                <w:rFonts w:ascii="Georgia" w:hAnsi="Georgia"/>
                <w:sz w:val="20"/>
                <w:szCs w:val="20"/>
              </w:rPr>
              <w:t>Investuojamų ESI fondų lėšų suma: 280,9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3E6DD81D" w14:textId="3C3250A9" w:rsidR="000556A1" w:rsidRPr="00C97275"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Pradinėje ataskaitoje buvo numatyta investuoti 280,9 mln. eurų</w:t>
            </w:r>
            <w:r w:rsidRPr="00C97275">
              <w:rPr>
                <w:rFonts w:ascii="Georgia" w:hAnsi="Georgia"/>
                <w:sz w:val="20"/>
                <w:szCs w:val="20"/>
              </w:rPr>
              <w:t xml:space="preserve">. Šiame scenarijuje  visos </w:t>
            </w:r>
            <w:r w:rsidR="000556A1" w:rsidRPr="00C97275">
              <w:rPr>
                <w:rFonts w:ascii="Georgia" w:hAnsi="Georgia"/>
                <w:sz w:val="20"/>
                <w:szCs w:val="20"/>
              </w:rPr>
              <w:t>ESI fondų lėšos skiriamos garantijų priemonei</w:t>
            </w:r>
          </w:p>
        </w:tc>
      </w:tr>
      <w:tr w:rsidR="000556A1" w:rsidRPr="00C97275" w14:paraId="4B8684EA"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104677D" w14:textId="77777777" w:rsidR="000556A1" w:rsidRPr="00C97275" w:rsidRDefault="000556A1" w:rsidP="00B042D4">
            <w:pPr>
              <w:rPr>
                <w:rFonts w:ascii="Georgia" w:hAnsi="Georgia"/>
                <w:sz w:val="20"/>
                <w:szCs w:val="20"/>
              </w:rPr>
            </w:pPr>
            <w:r w:rsidRPr="00C97275">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61030292"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rPr>
              <w:t xml:space="preserve"> 2007-2013 m. periodo grįžtančios lėšos, kurios sudarytų apie 67,2 mln. eurų.</w:t>
            </w:r>
          </w:p>
        </w:tc>
      </w:tr>
      <w:tr w:rsidR="000556A1" w:rsidRPr="00C97275" w14:paraId="7E5B5763"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2A5D1BD" w14:textId="77777777" w:rsidR="000556A1" w:rsidRPr="00C97275" w:rsidRDefault="000556A1" w:rsidP="00B042D4">
            <w:pPr>
              <w:rPr>
                <w:rFonts w:ascii="Georgia" w:hAnsi="Georgia"/>
                <w:sz w:val="20"/>
                <w:szCs w:val="20"/>
              </w:rPr>
            </w:pPr>
            <w:r w:rsidRPr="00C97275">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14:paraId="2E6BF323"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Fondo garantiniams įsipareigojimams vykdyti rezervuojama 10% nuo bankų suteiktų paskolų sumos galutiniams naudos gavėjams. Ši prielaida atitinka PwC studijoje aprašytą prielaidą.</w:t>
            </w:r>
          </w:p>
        </w:tc>
      </w:tr>
      <w:tr w:rsidR="000556A1" w:rsidRPr="00C97275" w14:paraId="7199DFB4"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134615C" w14:textId="77777777" w:rsidR="000556A1" w:rsidRPr="00C97275" w:rsidRDefault="000556A1" w:rsidP="00B042D4">
            <w:pPr>
              <w:jc w:val="both"/>
              <w:rPr>
                <w:rFonts w:ascii="Georgia" w:hAnsi="Georgia"/>
                <w:sz w:val="20"/>
              </w:rPr>
            </w:pPr>
            <w:r w:rsidRPr="00C97275">
              <w:rPr>
                <w:rFonts w:ascii="Georgia" w:hAnsi="Georgia"/>
                <w:sz w:val="20"/>
              </w:rPr>
              <w:t>Siektinas įgyvendinamų projektų skaičius: 520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2187CB95"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520 naujų projektų.</w:t>
            </w:r>
          </w:p>
        </w:tc>
      </w:tr>
      <w:tr w:rsidR="000556A1" w:rsidRPr="00C97275" w14:paraId="77F8086C"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727EEA8" w14:textId="77777777" w:rsidR="000556A1" w:rsidRPr="00C97275" w:rsidRDefault="000556A1" w:rsidP="00B042D4">
            <w:pPr>
              <w:rPr>
                <w:rFonts w:ascii="Georgia" w:hAnsi="Georgia"/>
                <w:sz w:val="20"/>
              </w:rPr>
            </w:pPr>
            <w:r w:rsidRPr="00C97275">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11FB7D06"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Vadovaujantis Deleguoto reglamento nuostatomis, valdymo mokestis susideda iš dviejų dalių: 0,5 proc. bazinis mokestis nuo finansinei priemonei skirtų ir įmokėtų lėšų, 1,5 proc. mokestis nuo garantijų, suteiktų galutiniams naudos gavėjams, sumos.</w:t>
            </w:r>
          </w:p>
        </w:tc>
      </w:tr>
      <w:tr w:rsidR="000556A1" w:rsidRPr="00C97275" w14:paraId="7E87885D"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01680EC0" w14:textId="77777777" w:rsidR="000556A1" w:rsidRPr="00C97275" w:rsidRDefault="000556A1" w:rsidP="00B042D4">
            <w:pPr>
              <w:rPr>
                <w:rFonts w:ascii="Georgia" w:hAnsi="Georgia"/>
                <w:sz w:val="20"/>
              </w:rPr>
            </w:pPr>
            <w:r w:rsidRPr="00C97275">
              <w:rPr>
                <w:rFonts w:ascii="Georgia" w:hAnsi="Georgia"/>
                <w:sz w:val="20"/>
              </w:rPr>
              <w:t>Projekto įgyvendinimo trukmė: 1 metai</w:t>
            </w:r>
          </w:p>
        </w:tc>
        <w:tc>
          <w:tcPr>
            <w:tcW w:w="3288" w:type="pct"/>
            <w:tcBorders>
              <w:top w:val="single" w:sz="6" w:space="0" w:color="C0504D" w:themeColor="accent2"/>
              <w:left w:val="single" w:sz="6" w:space="0" w:color="C0504D" w:themeColor="accent2"/>
            </w:tcBorders>
          </w:tcPr>
          <w:p w14:paraId="100A8470"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Remiantis šiuo metu įgyvendinamų projektų duomenimis nustatyta vidutinė projekto įgyvendinimo trukmė – 1 metai nuo paskolos sutarties pasirašymo dienos.</w:t>
            </w:r>
          </w:p>
        </w:tc>
      </w:tr>
    </w:tbl>
    <w:p w14:paraId="51E176CB" w14:textId="77777777" w:rsidR="000556A1" w:rsidRPr="00C97275" w:rsidRDefault="000556A1" w:rsidP="000556A1">
      <w:pPr>
        <w:jc w:val="both"/>
        <w:rPr>
          <w:rFonts w:ascii="Georgia" w:hAnsi="Georgia"/>
          <w:sz w:val="20"/>
          <w:szCs w:val="20"/>
          <w:lang w:val="lt-LT"/>
        </w:rPr>
      </w:pPr>
    </w:p>
    <w:p w14:paraId="51973BF0" w14:textId="0B8EF040" w:rsidR="000556A1" w:rsidRPr="00C97275" w:rsidRDefault="000556A1" w:rsidP="000556A1">
      <w:pPr>
        <w:pStyle w:val="Antrat"/>
        <w:jc w:val="both"/>
        <w:rPr>
          <w:lang w:val="lt-LT"/>
        </w:rPr>
      </w:pPr>
      <w:bookmarkStart w:id="184" w:name="_Toc19105267"/>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54</w:t>
      </w:r>
      <w:r w:rsidRPr="00C97275">
        <w:rPr>
          <w:lang w:val="lt-LT"/>
        </w:rPr>
        <w:fldChar w:fldCharType="end"/>
      </w:r>
      <w:r w:rsidRPr="00C97275">
        <w:rPr>
          <w:lang w:val="lt-LT"/>
        </w:rPr>
        <w:t xml:space="preserve">. Scenarijaus Nr. </w:t>
      </w:r>
      <w:r w:rsidR="008B2CF9" w:rsidRPr="00C97275">
        <w:rPr>
          <w:lang w:val="lt-LT"/>
        </w:rPr>
        <w:t>3</w:t>
      </w:r>
      <w:r w:rsidRPr="00C97275">
        <w:rPr>
          <w:lang w:val="lt-LT"/>
        </w:rPr>
        <w:t xml:space="preserve"> įgyvendinimo prognozė</w:t>
      </w:r>
      <w:bookmarkEnd w:id="184"/>
    </w:p>
    <w:p w14:paraId="31E33922" w14:textId="6C7C6BD5" w:rsidR="000556A1" w:rsidRPr="00C97275" w:rsidRDefault="000556A1" w:rsidP="000556A1">
      <w:pPr>
        <w:pStyle w:val="Antrat"/>
        <w:rPr>
          <w:lang w:val="lt-LT"/>
        </w:rPr>
      </w:pPr>
      <w:r w:rsidRPr="00C97275">
        <w:rPr>
          <w:noProof/>
          <w:lang w:val="lt-LT" w:eastAsia="lt-LT"/>
        </w:rPr>
        <w:drawing>
          <wp:inline distT="0" distB="0" distL="0" distR="0" wp14:anchorId="7C6E89BC" wp14:editId="3EFE2B3D">
            <wp:extent cx="6120130" cy="3298825"/>
            <wp:effectExtent l="0" t="0" r="0" b="0"/>
            <wp:docPr id="5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120130" cy="3298825"/>
                    </a:xfrm>
                    <a:prstGeom prst="rect">
                      <a:avLst/>
                    </a:prstGeom>
                    <a:noFill/>
                    <a:ln>
                      <a:noFill/>
                    </a:ln>
                  </pic:spPr>
                </pic:pic>
              </a:graphicData>
            </a:graphic>
          </wp:inline>
        </w:drawing>
      </w:r>
    </w:p>
    <w:p w14:paraId="7C41C02A" w14:textId="13BA32F4" w:rsidR="008A0A09" w:rsidRPr="00C97275" w:rsidRDefault="008A0A09" w:rsidP="008D155F">
      <w:pPr>
        <w:rPr>
          <w:rFonts w:ascii="Georgia" w:hAnsi="Georgia"/>
          <w:lang w:val="lt-LT"/>
        </w:rPr>
      </w:pPr>
      <w:r w:rsidRPr="00C97275">
        <w:rPr>
          <w:rFonts w:ascii="Georgia" w:hAnsi="Georgia"/>
          <w:noProof/>
          <w:lang w:val="lt-LT" w:eastAsia="lt-LT"/>
        </w:rPr>
        <w:drawing>
          <wp:inline distT="0" distB="0" distL="0" distR="0" wp14:anchorId="69417E86" wp14:editId="2167DFDF">
            <wp:extent cx="6087533" cy="337559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3753" cy="3390132"/>
                    </a:xfrm>
                    <a:prstGeom prst="rect">
                      <a:avLst/>
                    </a:prstGeom>
                  </pic:spPr>
                </pic:pic>
              </a:graphicData>
            </a:graphic>
          </wp:inline>
        </w:drawing>
      </w:r>
    </w:p>
    <w:p w14:paraId="2F77B2A0" w14:textId="77777777" w:rsidR="008A0A09" w:rsidRPr="00C97275" w:rsidRDefault="008A0A09" w:rsidP="008D155F">
      <w:pPr>
        <w:rPr>
          <w:rFonts w:ascii="Georgia" w:hAnsi="Georgia"/>
          <w:lang w:val="lt-LT"/>
        </w:rPr>
      </w:pPr>
    </w:p>
    <w:p w14:paraId="7513AA1C" w14:textId="1AD6F2D2" w:rsidR="000556A1" w:rsidRPr="00C97275" w:rsidRDefault="000556A1" w:rsidP="000556A1">
      <w:pPr>
        <w:pStyle w:val="Antrat"/>
        <w:rPr>
          <w:szCs w:val="20"/>
          <w:lang w:val="lt-LT"/>
        </w:rPr>
      </w:pPr>
      <w:bookmarkStart w:id="185" w:name="_Toc19105268"/>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55</w:t>
      </w:r>
      <w:r w:rsidRPr="00C97275">
        <w:rPr>
          <w:lang w:val="lt-LT"/>
        </w:rPr>
        <w:fldChar w:fldCharType="end"/>
      </w:r>
      <w:r w:rsidRPr="00C97275">
        <w:rPr>
          <w:lang w:val="lt-LT"/>
        </w:rPr>
        <w:t xml:space="preserve">. </w:t>
      </w:r>
      <w:r w:rsidRPr="00C97275">
        <w:rPr>
          <w:szCs w:val="20"/>
          <w:lang w:val="lt-LT"/>
        </w:rPr>
        <w:t xml:space="preserve">Scenarijaus Nr. </w:t>
      </w:r>
      <w:r w:rsidR="008B2CF9" w:rsidRPr="00C97275">
        <w:rPr>
          <w:szCs w:val="20"/>
          <w:lang w:val="lt-LT"/>
        </w:rPr>
        <w:t>3</w:t>
      </w:r>
      <w:r w:rsidRPr="00C97275">
        <w:rPr>
          <w:szCs w:val="20"/>
          <w:lang w:val="lt-LT"/>
        </w:rPr>
        <w:t xml:space="preserve"> rezultatai</w:t>
      </w:r>
      <w:bookmarkEnd w:id="185"/>
    </w:p>
    <w:tbl>
      <w:tblPr>
        <w:tblStyle w:val="viesussraas2parykinimas"/>
        <w:tblW w:w="5000" w:type="pct"/>
        <w:tblLook w:val="04A0" w:firstRow="1" w:lastRow="0" w:firstColumn="1" w:lastColumn="0" w:noHBand="0" w:noVBand="1"/>
      </w:tblPr>
      <w:tblGrid>
        <w:gridCol w:w="6651"/>
        <w:gridCol w:w="2591"/>
      </w:tblGrid>
      <w:tr w:rsidR="000556A1" w:rsidRPr="00C97275" w14:paraId="1433DF57" w14:textId="77777777" w:rsidTr="00B04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E71EF6F" w14:textId="77777777" w:rsidR="000556A1" w:rsidRPr="00C97275" w:rsidRDefault="000556A1" w:rsidP="0042786A">
            <w:pPr>
              <w:rPr>
                <w:rFonts w:ascii="Georgia" w:hAnsi="Georgia"/>
                <w:sz w:val="20"/>
                <w:szCs w:val="20"/>
              </w:rPr>
            </w:pPr>
            <w:r w:rsidRPr="00C97275">
              <w:rPr>
                <w:rFonts w:ascii="Georgia" w:hAnsi="Georgia"/>
                <w:sz w:val="20"/>
                <w:szCs w:val="20"/>
              </w:rPr>
              <w:t>Fondas</w:t>
            </w:r>
          </w:p>
        </w:tc>
        <w:tc>
          <w:tcPr>
            <w:tcW w:w="1402" w:type="pct"/>
          </w:tcPr>
          <w:p w14:paraId="43FB2128" w14:textId="77777777" w:rsidR="000556A1" w:rsidRPr="00C97275" w:rsidRDefault="000556A1" w:rsidP="0042786A">
            <w:pPr>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mln. </w:t>
            </w:r>
            <w:r w:rsidRPr="00C97275">
              <w:rPr>
                <w:rFonts w:ascii="Georgia" w:hAnsi="Georgia"/>
                <w:sz w:val="20"/>
              </w:rPr>
              <w:t>eurų</w:t>
            </w:r>
          </w:p>
        </w:tc>
      </w:tr>
      <w:tr w:rsidR="000556A1" w:rsidRPr="00C97275" w14:paraId="41D5496C"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250BBDFC" w14:textId="77777777" w:rsidR="000556A1" w:rsidRPr="00C97275" w:rsidRDefault="000556A1" w:rsidP="00B042D4">
            <w:pPr>
              <w:rPr>
                <w:rFonts w:ascii="Georgia" w:hAnsi="Georgia"/>
                <w:sz w:val="20"/>
                <w:szCs w:val="20"/>
              </w:rPr>
            </w:pPr>
            <w:r w:rsidRPr="00C97275">
              <w:rPr>
                <w:rFonts w:ascii="Georgia" w:hAnsi="Georgia"/>
                <w:sz w:val="20"/>
                <w:szCs w:val="20"/>
              </w:rPr>
              <w:t>Galutinius naudos gavėjus pasiekusios lėšos</w:t>
            </w:r>
          </w:p>
        </w:tc>
        <w:tc>
          <w:tcPr>
            <w:tcW w:w="1402" w:type="pct"/>
          </w:tcPr>
          <w:p w14:paraId="4E843AEC" w14:textId="77777777" w:rsidR="000556A1" w:rsidRPr="00C97275" w:rsidRDefault="000556A1" w:rsidP="0042786A">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629,1</w:t>
            </w:r>
          </w:p>
        </w:tc>
      </w:tr>
      <w:tr w:rsidR="000556A1" w:rsidRPr="00C97275" w14:paraId="4262E311" w14:textId="77777777" w:rsidTr="00B042D4">
        <w:tc>
          <w:tcPr>
            <w:cnfStyle w:val="001000000000" w:firstRow="0" w:lastRow="0" w:firstColumn="1" w:lastColumn="0" w:oddVBand="0" w:evenVBand="0" w:oddHBand="0" w:evenHBand="0" w:firstRowFirstColumn="0" w:firstRowLastColumn="0" w:lastRowFirstColumn="0" w:lastRowLastColumn="0"/>
            <w:tcW w:w="3598" w:type="pct"/>
          </w:tcPr>
          <w:p w14:paraId="2E6E9E56" w14:textId="77777777" w:rsidR="000556A1" w:rsidRPr="00C97275" w:rsidRDefault="000556A1" w:rsidP="00B042D4">
            <w:pPr>
              <w:rPr>
                <w:rFonts w:ascii="Georgia" w:hAnsi="Georgia"/>
                <w:sz w:val="20"/>
                <w:szCs w:val="20"/>
              </w:rPr>
            </w:pPr>
            <w:r w:rsidRPr="00C97275">
              <w:rPr>
                <w:rFonts w:ascii="Georgia" w:hAnsi="Georgia"/>
                <w:sz w:val="20"/>
                <w:szCs w:val="20"/>
              </w:rPr>
              <w:t>Komercinių bankų išmokėtos lėšos</w:t>
            </w:r>
          </w:p>
        </w:tc>
        <w:tc>
          <w:tcPr>
            <w:tcW w:w="1402" w:type="pct"/>
          </w:tcPr>
          <w:p w14:paraId="64BD0482" w14:textId="77777777" w:rsidR="000556A1" w:rsidRPr="00C97275" w:rsidRDefault="000556A1" w:rsidP="0042786A">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534,7</w:t>
            </w:r>
          </w:p>
        </w:tc>
      </w:tr>
      <w:tr w:rsidR="000556A1" w:rsidRPr="00C97275" w14:paraId="4CA4274B"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66ADD5F8" w14:textId="77777777" w:rsidR="000556A1" w:rsidRPr="00C97275" w:rsidRDefault="000556A1" w:rsidP="00B042D4">
            <w:pPr>
              <w:rPr>
                <w:rFonts w:ascii="Georgia" w:hAnsi="Georgia"/>
                <w:sz w:val="20"/>
                <w:szCs w:val="20"/>
              </w:rPr>
            </w:pPr>
            <w:r w:rsidRPr="00C97275">
              <w:rPr>
                <w:rFonts w:ascii="Georgia" w:hAnsi="Georgia"/>
                <w:sz w:val="20"/>
                <w:szCs w:val="20"/>
              </w:rPr>
              <w:t>Renovuotų pastatų skaičius</w:t>
            </w:r>
          </w:p>
        </w:tc>
        <w:tc>
          <w:tcPr>
            <w:tcW w:w="1402" w:type="pct"/>
          </w:tcPr>
          <w:p w14:paraId="35F68048" w14:textId="3B345CF0" w:rsidR="000556A1" w:rsidRPr="00C97275" w:rsidRDefault="008A0A09" w:rsidP="0042786A">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1 907</w:t>
            </w:r>
          </w:p>
        </w:tc>
      </w:tr>
    </w:tbl>
    <w:p w14:paraId="5084399E" w14:textId="77777777" w:rsidR="000556A1" w:rsidRPr="00C97275" w:rsidRDefault="000556A1" w:rsidP="000556A1">
      <w:pPr>
        <w:rPr>
          <w:rFonts w:ascii="Georgia" w:hAnsi="Georgia"/>
          <w:sz w:val="20"/>
          <w:szCs w:val="20"/>
          <w:lang w:val="lt-LT"/>
        </w:rPr>
      </w:pPr>
    </w:p>
    <w:p w14:paraId="7BA34646" w14:textId="519F6F84" w:rsidR="000556A1" w:rsidRPr="00C97275" w:rsidRDefault="000556A1" w:rsidP="00D17A57">
      <w:pPr>
        <w:keepNext/>
        <w:rPr>
          <w:rFonts w:ascii="Georgia" w:hAnsi="Georgia"/>
          <w:b/>
          <w:i/>
          <w:sz w:val="28"/>
          <w:szCs w:val="28"/>
          <w:lang w:val="lt-LT"/>
        </w:rPr>
      </w:pPr>
      <w:r w:rsidRPr="00C97275">
        <w:rPr>
          <w:rFonts w:ascii="Georgia" w:hAnsi="Georgia"/>
          <w:b/>
          <w:i/>
          <w:sz w:val="28"/>
          <w:szCs w:val="28"/>
          <w:lang w:val="lt-LT"/>
        </w:rPr>
        <w:lastRenderedPageBreak/>
        <w:t xml:space="preserve">Scenarijus Nr. </w:t>
      </w:r>
      <w:r w:rsidR="00BC5B4B" w:rsidRPr="00C97275">
        <w:rPr>
          <w:rFonts w:ascii="Georgia" w:hAnsi="Georgia"/>
          <w:b/>
          <w:i/>
          <w:sz w:val="28"/>
          <w:szCs w:val="28"/>
          <w:lang w:val="lt-LT"/>
        </w:rPr>
        <w:t>4</w:t>
      </w:r>
      <w:r w:rsidRPr="00C97275">
        <w:rPr>
          <w:rFonts w:ascii="Georgia" w:hAnsi="Georgia"/>
          <w:b/>
          <w:i/>
          <w:sz w:val="28"/>
          <w:szCs w:val="28"/>
          <w:lang w:val="lt-LT"/>
        </w:rPr>
        <w:t xml:space="preserve">: </w:t>
      </w:r>
      <w:r w:rsidR="00AD7E1C" w:rsidRPr="00C97275">
        <w:rPr>
          <w:rFonts w:ascii="Georgia" w:hAnsi="Georgia"/>
          <w:b/>
          <w:i/>
          <w:sz w:val="28"/>
          <w:szCs w:val="28"/>
          <w:lang w:val="lt-LT"/>
        </w:rPr>
        <w:t>Paskolų teikimas taikant asimetrinį rizikos pasidalijimo modelį</w:t>
      </w:r>
      <w:r w:rsidR="00AD7E1C" w:rsidRPr="00C97275" w:rsidDel="00AD7E1C">
        <w:rPr>
          <w:rFonts w:ascii="Georgia" w:hAnsi="Georgia"/>
          <w:b/>
          <w:i/>
          <w:sz w:val="28"/>
          <w:szCs w:val="28"/>
          <w:lang w:val="lt-LT"/>
        </w:rPr>
        <w:t xml:space="preserve"> </w:t>
      </w:r>
    </w:p>
    <w:p w14:paraId="41CBF081" w14:textId="7C728951" w:rsidR="000556A1" w:rsidRPr="00C97275" w:rsidRDefault="00AD7E1C" w:rsidP="000556A1">
      <w:pPr>
        <w:keepNext/>
        <w:jc w:val="both"/>
        <w:rPr>
          <w:rFonts w:ascii="Georgia" w:hAnsi="Georgia"/>
          <w:szCs w:val="20"/>
          <w:lang w:val="lt-LT"/>
        </w:rPr>
      </w:pPr>
      <w:r w:rsidRPr="00C97275">
        <w:rPr>
          <w:rFonts w:ascii="Georgia" w:hAnsi="Georgia"/>
          <w:sz w:val="20"/>
          <w:szCs w:val="20"/>
          <w:lang w:val="lt-LT"/>
        </w:rPr>
        <w:t>Šio scenarijaus atveju numatoma, jog bus taikomas asimetrinis rizikų pasidalijimo modelis siekiant pritraukti papildomą finansavimą. Finansinės priemonės valdytojas ir (ar) ministerijos gali taikyti įvairius asimetrinio rizikos pasidalijimo modelio variantus. Šiame scenarijuje modeliuojamas vienas pavyzdys iš galimų taikyti varia</w:t>
      </w:r>
      <w:r w:rsidR="001B3CD0" w:rsidRPr="00C97275">
        <w:rPr>
          <w:rFonts w:ascii="Georgia" w:hAnsi="Georgia"/>
          <w:sz w:val="20"/>
          <w:szCs w:val="20"/>
          <w:lang w:val="lt-LT"/>
        </w:rPr>
        <w:t>ntų</w:t>
      </w:r>
      <w:r w:rsidRPr="00C97275">
        <w:rPr>
          <w:rFonts w:ascii="Georgia" w:hAnsi="Georgia"/>
          <w:sz w:val="20"/>
          <w:szCs w:val="20"/>
          <w:lang w:val="lt-LT"/>
        </w:rPr>
        <w:t>, t.y. kai ESI fondų lėšos būtų nukreipiamos į naujai sukurtą juridinio asmens statusą turintį subjektą – investicinį fondą, ir tomis lėšomis būtų užtikrinama privačių investuotojų ir/ar paskolos davėjų investicijų saugumas, o toks subjektas tiesiogiai teikia paskolas projektams.</w:t>
      </w:r>
      <w:r w:rsidR="000556A1" w:rsidRPr="00C97275">
        <w:rPr>
          <w:rFonts w:ascii="Georgia" w:hAnsi="Georgia"/>
          <w:sz w:val="20"/>
          <w:szCs w:val="20"/>
          <w:lang w:val="lt-LT"/>
        </w:rPr>
        <w:t xml:space="preserve"> </w:t>
      </w:r>
      <w:r w:rsidR="00620F3A" w:rsidRPr="00C97275">
        <w:rPr>
          <w:rFonts w:ascii="Georgia" w:hAnsi="Georgia"/>
          <w:sz w:val="20"/>
          <w:szCs w:val="20"/>
          <w:lang w:val="lt-LT"/>
        </w:rPr>
        <w:t xml:space="preserve">Principinė asimetrinio rizikos pasidalijimo modelio esmė, kad ESI fondų </w:t>
      </w:r>
      <w:r w:rsidR="000556A1" w:rsidRPr="00C97275">
        <w:rPr>
          <w:rFonts w:ascii="Georgia" w:hAnsi="Georgia"/>
          <w:sz w:val="20"/>
          <w:szCs w:val="20"/>
          <w:lang w:val="lt-LT"/>
        </w:rPr>
        <w:t>lėšomis būtų užtikrinamas privačių investuotojų ir/ar paskolos davėjų investicijų saugumas.</w:t>
      </w:r>
      <w:r w:rsidR="00121CFF" w:rsidRPr="00C97275">
        <w:rPr>
          <w:rFonts w:ascii="Georgia" w:hAnsi="Georgia"/>
          <w:lang w:val="lt-LT"/>
        </w:rPr>
        <w:t xml:space="preserve"> </w:t>
      </w:r>
    </w:p>
    <w:p w14:paraId="47D64F1E" w14:textId="6D426C0B" w:rsidR="000556A1" w:rsidRPr="00C97275" w:rsidRDefault="008704D8" w:rsidP="000556A1">
      <w:pPr>
        <w:pStyle w:val="Antrat"/>
        <w:rPr>
          <w:lang w:val="lt-LT"/>
        </w:rPr>
      </w:pPr>
      <w:r w:rsidRPr="00C97275">
        <w:rPr>
          <w:noProof/>
          <w:lang w:val="lt-LT" w:eastAsia="lt-LT"/>
        </w:rPr>
        <mc:AlternateContent>
          <mc:Choice Requires="wps">
            <w:drawing>
              <wp:anchor distT="0" distB="0" distL="114300" distR="114300" simplePos="0" relativeHeight="251683328" behindDoc="0" locked="0" layoutInCell="1" allowOverlap="1" wp14:anchorId="3FD591B6" wp14:editId="2D635838">
                <wp:simplePos x="0" y="0"/>
                <wp:positionH relativeFrom="column">
                  <wp:posOffset>2523067</wp:posOffset>
                </wp:positionH>
                <wp:positionV relativeFrom="paragraph">
                  <wp:posOffset>1818429</wp:posOffset>
                </wp:positionV>
                <wp:extent cx="397933" cy="355600"/>
                <wp:effectExtent l="0" t="0" r="2540" b="6350"/>
                <wp:wrapNone/>
                <wp:docPr id="210" name="Text Box 210"/>
                <wp:cNvGraphicFramePr/>
                <a:graphic xmlns:a="http://schemas.openxmlformats.org/drawingml/2006/main">
                  <a:graphicData uri="http://schemas.microsoft.com/office/word/2010/wordprocessingShape">
                    <wps:wsp>
                      <wps:cNvSpPr txBox="1"/>
                      <wps:spPr>
                        <a:xfrm>
                          <a:off x="0" y="0"/>
                          <a:ext cx="397933" cy="355600"/>
                        </a:xfrm>
                        <a:prstGeom prst="rect">
                          <a:avLst/>
                        </a:prstGeom>
                        <a:solidFill>
                          <a:schemeClr val="lt1"/>
                        </a:solidFill>
                        <a:ln w="6350">
                          <a:noFill/>
                        </a:ln>
                      </wps:spPr>
                      <wps:txbx>
                        <w:txbxContent>
                          <w:p w14:paraId="0FB9E52C" w14:textId="77777777" w:rsidR="00D1128E" w:rsidRPr="0063781D" w:rsidRDefault="00D1128E" w:rsidP="008704D8">
                            <w:pPr>
                              <w:rPr>
                                <w:rFonts w:ascii="Georgia" w:hAnsi="Georgia"/>
                                <w:sz w:val="24"/>
                                <w:szCs w:val="24"/>
                              </w:rPr>
                            </w:pPr>
                            <w:r w:rsidRPr="0063781D">
                              <w:rPr>
                                <w:rFonts w:ascii="Georgia" w:hAnsi="Georgia"/>
                                <w:sz w:val="24"/>
                                <w:szCs w:val="24"/>
                              </w:rPr>
                              <w:t>30%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 o:spid="_x0000_s1089" type="#_x0000_t202" style="position:absolute;margin-left:198.65pt;margin-top:143.2pt;width:31.35pt;height:28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" fillcolor="white [3201]" stroked="f" strokeweight=".5pt">
                <v:textbox inset="1mm,1mm,1mm,1mm">
                  <w:txbxContent>
                    <w:p w14:paraId="0FB9E52C" w14:textId="77777777" w:rsidR="00D1128E" w:rsidRPr="0063781D" w:rsidRDefault="00D1128E" w:rsidP="008704D8">
                      <w:pPr>
                        <w:rPr>
                          <w:rFonts w:ascii="Georgia" w:hAnsi="Georgia"/>
                          <w:sz w:val="24"/>
                          <w:szCs w:val="24"/>
                        </w:rPr>
                      </w:pPr>
                      <w:r w:rsidRPr="0063781D">
                        <w:rPr>
                          <w:rFonts w:ascii="Georgia" w:hAnsi="Georgia"/>
                          <w:sz w:val="24"/>
                          <w:szCs w:val="24"/>
                        </w:rPr>
                        <w:t>30%</w:t>
                      </w:r>
                    </w:p>
                  </w:txbxContent>
                </v:textbox>
              </v:shape>
            </w:pict>
          </mc:Fallback>
        </mc:AlternateContent>
      </w:r>
      <w:r w:rsidR="00121CFF" w:rsidRPr="00C97275">
        <w:rPr>
          <w:noProof/>
          <w:lang w:val="lt-LT" w:eastAsia="lt-LT"/>
        </w:rPr>
        <mc:AlternateContent>
          <mc:Choice Requires="wps">
            <w:drawing>
              <wp:anchor distT="0" distB="0" distL="114300" distR="114300" simplePos="0" relativeHeight="251655680" behindDoc="0" locked="0" layoutInCell="1" allowOverlap="1" wp14:anchorId="3AD31160" wp14:editId="5448865F">
                <wp:simplePos x="0" y="0"/>
                <wp:positionH relativeFrom="column">
                  <wp:posOffset>2049780</wp:posOffset>
                </wp:positionH>
                <wp:positionV relativeFrom="paragraph">
                  <wp:posOffset>194945</wp:posOffset>
                </wp:positionV>
                <wp:extent cx="2042160" cy="51816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042160" cy="518160"/>
                        </a:xfrm>
                        <a:prstGeom prst="rect">
                          <a:avLst/>
                        </a:prstGeom>
                        <a:solidFill>
                          <a:schemeClr val="lt1"/>
                        </a:solidFill>
                        <a:ln w="6350">
                          <a:noFill/>
                        </a:ln>
                      </wps:spPr>
                      <wps:txbx>
                        <w:txbxContent>
                          <w:p w14:paraId="023A7B0A" w14:textId="29BCEF37" w:rsidR="00D1128E" w:rsidRPr="00ED5553" w:rsidRDefault="00D1128E" w:rsidP="00121CFF">
                            <w:pPr>
                              <w:jc w:val="center"/>
                              <w:rPr>
                                <w:rFonts w:ascii="Georgia" w:hAnsi="Georgia"/>
                                <w:lang w:val="lt-L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90" type="#_x0000_t202" style="position:absolute;margin-left:161.4pt;margin-top:15.35pt;width:160.8pt;height:40.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" fillcolor="white [3201]" stroked="f" strokeweight=".5pt">
                <v:textbox inset="0,0,0,0">
                  <w:txbxContent>
                    <w:p w14:paraId="023A7B0A" w14:textId="29BCEF37" w:rsidR="00D1128E" w:rsidRPr="00ED5553" w:rsidRDefault="00D1128E" w:rsidP="00121CFF">
                      <w:pPr>
                        <w:jc w:val="center"/>
                        <w:rPr>
                          <w:rFonts w:ascii="Georgia" w:hAnsi="Georgia"/>
                          <w:lang w:val="lt-LT"/>
                        </w:rPr>
                      </w:pPr>
                    </w:p>
                  </w:txbxContent>
                </v:textbox>
              </v:shape>
            </w:pict>
          </mc:Fallback>
        </mc:AlternateContent>
      </w:r>
      <w:r w:rsidR="000556A1" w:rsidRPr="00C97275">
        <w:rPr>
          <w:noProof/>
          <w:lang w:val="lt-LT" w:eastAsia="lt-LT"/>
        </w:rPr>
        <w:drawing>
          <wp:inline distT="0" distB="0" distL="0" distR="0" wp14:anchorId="1C7FB6BF" wp14:editId="0EAEE263">
            <wp:extent cx="5811520" cy="2501900"/>
            <wp:effectExtent l="0" t="0" r="0" b="0"/>
            <wp:docPr id="52" name="Paveikslėlis 13" descr="\\vipa-server\ESCO_Rolandas\EE ex-antes skaiciavimai\Schemos (Rolandas) (Taisytos 2014-11-10)\Daugiabuciu\Daugiabuciai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pa-server\ESCO_Rolandas\EE ex-antes skaiciavimai\Schemos (Rolandas) (Taisytos 2014-11-10)\Daugiabuciu\Daugiabuciai Nr. 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811520" cy="2501900"/>
                    </a:xfrm>
                    <a:prstGeom prst="rect">
                      <a:avLst/>
                    </a:prstGeom>
                    <a:noFill/>
                    <a:ln>
                      <a:noFill/>
                    </a:ln>
                  </pic:spPr>
                </pic:pic>
              </a:graphicData>
            </a:graphic>
          </wp:inline>
        </w:drawing>
      </w:r>
    </w:p>
    <w:p w14:paraId="03A60BF7" w14:textId="6F095232" w:rsidR="000556A1" w:rsidRPr="00C97275" w:rsidRDefault="000556A1" w:rsidP="000556A1">
      <w:pPr>
        <w:pStyle w:val="Antrat"/>
        <w:rPr>
          <w:szCs w:val="20"/>
          <w:lang w:val="lt-LT"/>
        </w:rPr>
      </w:pPr>
      <w:bookmarkStart w:id="186" w:name="_Toc19105296"/>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12</w:t>
      </w:r>
      <w:r w:rsidRPr="00C97275">
        <w:rPr>
          <w:lang w:val="lt-LT"/>
        </w:rPr>
        <w:fldChar w:fldCharType="end"/>
      </w:r>
      <w:r w:rsidRPr="00C97275">
        <w:rPr>
          <w:lang w:val="lt-LT"/>
        </w:rPr>
        <w:t xml:space="preserve">. Daugiabučių scenarijaus Nr. </w:t>
      </w:r>
      <w:r w:rsidR="00BC5B4B" w:rsidRPr="00C97275">
        <w:rPr>
          <w:lang w:val="lt-LT"/>
        </w:rPr>
        <w:t>4</w:t>
      </w:r>
      <w:r w:rsidR="008B2CF9" w:rsidRPr="00C97275">
        <w:rPr>
          <w:lang w:val="lt-LT"/>
        </w:rPr>
        <w:t xml:space="preserve"> </w:t>
      </w:r>
      <w:r w:rsidRPr="00C97275">
        <w:rPr>
          <w:lang w:val="lt-LT"/>
        </w:rPr>
        <w:t>schema.</w:t>
      </w:r>
      <w:bookmarkEnd w:id="186"/>
      <w:r w:rsidRPr="00C97275">
        <w:rPr>
          <w:lang w:val="lt-LT"/>
        </w:rPr>
        <w:t xml:space="preserve"> </w:t>
      </w:r>
    </w:p>
    <w:p w14:paraId="1425C2F2" w14:textId="17D39AA1" w:rsidR="000556A1" w:rsidRPr="00C97275" w:rsidRDefault="000556A1" w:rsidP="000556A1">
      <w:pPr>
        <w:jc w:val="both"/>
        <w:rPr>
          <w:rFonts w:ascii="Georgia" w:hAnsi="Georgia"/>
          <w:sz w:val="20"/>
          <w:szCs w:val="20"/>
          <w:lang w:val="lt-LT"/>
        </w:rPr>
      </w:pPr>
      <w:r w:rsidRPr="00C97275">
        <w:rPr>
          <w:rFonts w:ascii="Georgia" w:hAnsi="Georgia"/>
          <w:sz w:val="20"/>
          <w:szCs w:val="20"/>
          <w:lang w:val="lt-LT"/>
        </w:rPr>
        <w:t xml:space="preserve">Atsižvelgiant į komercinių bankų ir kitų finansų institucijų nuomonę, vertinant trumpą turimą paskolų grąžinimo istoriją bei JESSICA programos įgyvendinimo patirtį, </w:t>
      </w:r>
      <w:r w:rsidR="00620F3A" w:rsidRPr="00C97275">
        <w:rPr>
          <w:rFonts w:ascii="Georgia" w:hAnsi="Georgia"/>
          <w:sz w:val="20"/>
          <w:szCs w:val="20"/>
          <w:lang w:val="lt-LT"/>
        </w:rPr>
        <w:t xml:space="preserve">šiame scenarijuje daroma prielaida, kad </w:t>
      </w:r>
      <w:r w:rsidRPr="00C97275">
        <w:rPr>
          <w:rFonts w:ascii="Georgia" w:hAnsi="Georgia"/>
          <w:sz w:val="20"/>
          <w:szCs w:val="20"/>
          <w:lang w:val="lt-LT"/>
        </w:rPr>
        <w:t>į fondą pritrauktos lėšos susidėtų iš apie 30 proc. ESI fondų lėšų ir iki 70 proc. iš kitų institucinių investuotojų pritrauktų lėšų (pažymėtina, kad toks lėšų portfelis – galutinis fondo veiklos rezultatas 2014-2020 m. periodo pabaigoje, o ne pradinis fondo veiklos lėšų portfelis). Pirmiausia turėtų būti įnešamos ESI fondų lėšos, iš kurių būtų suformuotas fondo kapitalas, kuris užtikrintų tolesnių investuotojų investicijų saugumą. Privačių investuotojų (įskaitant bankus) lėšų pritraukimo sėkmė priklausys nuo daugelio fondo veiklą įtakojančių aplinkybių, įskaitant, bet neapsiribojant, ekonominės situacijos, teisinės bazės stabilumo, valstybės institucijų ir finansinių tarpininkų veiklos efektyvumo. Galimybės pritraukti privačių lėšų yra veikiamos bankų vidinės politikos bei apsisprendimo skolinti, o taip pat, didele dalimi priklauso nuo fondo valdytojo patirties, sugebėjimų ir strategijos, taip pat sumos, kuri bus skirta suformuoti fondo kapitalo pagrindą, dydžio.</w:t>
      </w:r>
    </w:p>
    <w:p w14:paraId="07B48AF2" w14:textId="2BDFC1D8" w:rsidR="000556A1" w:rsidRPr="00C97275" w:rsidRDefault="000556A1" w:rsidP="000556A1">
      <w:pPr>
        <w:jc w:val="both"/>
        <w:rPr>
          <w:rFonts w:ascii="Georgia" w:hAnsi="Georgia"/>
          <w:sz w:val="20"/>
          <w:szCs w:val="20"/>
          <w:lang w:val="lt-LT"/>
        </w:rPr>
      </w:pPr>
      <w:r w:rsidRPr="00C97275">
        <w:rPr>
          <w:rFonts w:ascii="Georgia" w:hAnsi="Georgia"/>
          <w:sz w:val="20"/>
          <w:szCs w:val="20"/>
          <w:lang w:val="lt-LT"/>
        </w:rPr>
        <w:t xml:space="preserve">Su galimais investuotojais (tarptautinėmis finansų institucijomis, komerciniais bankais, pensijų fondais ir t.t.) aptarus </w:t>
      </w:r>
      <w:r w:rsidR="00447EB9" w:rsidRPr="00C97275">
        <w:rPr>
          <w:rFonts w:ascii="Georgia" w:hAnsi="Georgia"/>
          <w:sz w:val="20"/>
          <w:szCs w:val="20"/>
          <w:lang w:val="lt-LT"/>
        </w:rPr>
        <w:t>asimetrinio rizikos pasidalijimo</w:t>
      </w:r>
      <w:r w:rsidRPr="00C97275">
        <w:rPr>
          <w:rFonts w:ascii="Georgia" w:hAnsi="Georgia"/>
          <w:sz w:val="20"/>
          <w:szCs w:val="20"/>
          <w:lang w:val="lt-LT"/>
        </w:rPr>
        <w:t xml:space="preserve"> galimybes, buvo nustatyta, jog apie 30 proc. kuriamo investicinio fondo lėšų galėtų sudaryti 2014-2020 m. periodo ESI fondų lėšos, o 70 proc. privačių investuotojų lėšos (paskolos ir/ar investicijos). Taigi daroma prielaida, kad bendras fondas siektų iki 1 mlrd. eurų, iš kurių apie 655,4 mln. eurų sudarytų privačių investuotojų lėšos, o 280,9 mln. eurų – 2014-2020 m. periodo lėšos. Pagal turimą fondo dydį vertinamos maksimalios galutinius naudos gavėjus pasiekusios lėšos ir maksimalus galimas projektų skaičius.</w:t>
      </w:r>
    </w:p>
    <w:p w14:paraId="34430EE7" w14:textId="30530289" w:rsidR="000556A1" w:rsidRPr="00C97275" w:rsidRDefault="000556A1" w:rsidP="000556A1">
      <w:pPr>
        <w:pStyle w:val="Antrat"/>
        <w:rPr>
          <w:szCs w:val="20"/>
          <w:lang w:val="lt-LT"/>
        </w:rPr>
      </w:pPr>
      <w:bookmarkStart w:id="187" w:name="_Toc19105269"/>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56</w:t>
      </w:r>
      <w:r w:rsidRPr="00C97275">
        <w:rPr>
          <w:lang w:val="lt-LT"/>
        </w:rPr>
        <w:fldChar w:fldCharType="end"/>
      </w:r>
      <w:r w:rsidRPr="00C97275">
        <w:rPr>
          <w:lang w:val="lt-LT"/>
        </w:rPr>
        <w:t xml:space="preserve">. Scenarijaus Nr. </w:t>
      </w:r>
      <w:r w:rsidR="00BC5B4B" w:rsidRPr="00C97275">
        <w:rPr>
          <w:lang w:val="lt-LT"/>
        </w:rPr>
        <w:t>4</w:t>
      </w:r>
      <w:r w:rsidRPr="00C97275">
        <w:rPr>
          <w:lang w:val="lt-LT"/>
        </w:rPr>
        <w:t xml:space="preserve"> prielaidos</w:t>
      </w:r>
      <w:bookmarkEnd w:id="187"/>
    </w:p>
    <w:tbl>
      <w:tblPr>
        <w:tblStyle w:val="viesussraas2parykinimas"/>
        <w:tblW w:w="5000" w:type="pct"/>
        <w:tblLook w:val="04A0" w:firstRow="1" w:lastRow="0" w:firstColumn="1" w:lastColumn="0" w:noHBand="0" w:noVBand="1"/>
      </w:tblPr>
      <w:tblGrid>
        <w:gridCol w:w="3164"/>
        <w:gridCol w:w="6078"/>
      </w:tblGrid>
      <w:tr w:rsidR="000556A1" w:rsidRPr="00C97275" w14:paraId="1702FE2B"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0B9F751C" w14:textId="77777777" w:rsidR="000556A1" w:rsidRPr="00C97275" w:rsidRDefault="000556A1" w:rsidP="00B042D4">
            <w:pPr>
              <w:keepNext/>
              <w:jc w:val="center"/>
              <w:rPr>
                <w:rFonts w:ascii="Georgia" w:hAnsi="Georgia"/>
                <w:sz w:val="20"/>
                <w:szCs w:val="20"/>
              </w:rPr>
            </w:pPr>
            <w:r w:rsidRPr="00C97275">
              <w:rPr>
                <w:rFonts w:ascii="Georgia" w:hAnsi="Georgia"/>
                <w:sz w:val="20"/>
                <w:szCs w:val="20"/>
              </w:rPr>
              <w:t>Prielaidos</w:t>
            </w:r>
          </w:p>
        </w:tc>
        <w:tc>
          <w:tcPr>
            <w:tcW w:w="3288" w:type="pct"/>
            <w:tcBorders>
              <w:bottom w:val="single" w:sz="8" w:space="0" w:color="C0504D" w:themeColor="accent2"/>
            </w:tcBorders>
          </w:tcPr>
          <w:p w14:paraId="7F5C67B1" w14:textId="77777777" w:rsidR="000556A1" w:rsidRPr="00C97275" w:rsidRDefault="000556A1" w:rsidP="00B042D4">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Komentaras</w:t>
            </w:r>
          </w:p>
        </w:tc>
      </w:tr>
      <w:tr w:rsidR="000556A1" w:rsidRPr="00C97275" w14:paraId="5C9CAD63"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68DD7DAD" w14:textId="77777777" w:rsidR="000556A1" w:rsidRPr="00C97275" w:rsidRDefault="000556A1" w:rsidP="00B042D4">
            <w:pPr>
              <w:rPr>
                <w:rFonts w:ascii="Georgia" w:hAnsi="Georgia"/>
                <w:b w:val="0"/>
                <w:sz w:val="20"/>
                <w:szCs w:val="20"/>
              </w:rPr>
            </w:pPr>
            <w:r w:rsidRPr="00C97275">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142B4FAF"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Maksimalus paskolos suteikimo terminas 20 metų.</w:t>
            </w:r>
          </w:p>
        </w:tc>
      </w:tr>
      <w:tr w:rsidR="000556A1" w:rsidRPr="00C97275" w14:paraId="540D47F3"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1B48D61" w14:textId="0D64D647" w:rsidR="000556A1" w:rsidRPr="00C97275" w:rsidRDefault="000556A1" w:rsidP="00B042D4">
            <w:pPr>
              <w:rPr>
                <w:rFonts w:ascii="Georgia" w:hAnsi="Georgia"/>
                <w:b w:val="0"/>
                <w:sz w:val="20"/>
                <w:szCs w:val="20"/>
              </w:rPr>
            </w:pPr>
            <w:r w:rsidRPr="00C97275">
              <w:rPr>
                <w:rFonts w:ascii="Georgia" w:hAnsi="Georgia"/>
                <w:sz w:val="20"/>
                <w:szCs w:val="20"/>
              </w:rPr>
              <w:t xml:space="preserve">Subsidija: </w:t>
            </w:r>
            <w:r w:rsidR="00447EB9" w:rsidRPr="00C97275">
              <w:rPr>
                <w:rFonts w:ascii="Georgia" w:hAnsi="Georgia"/>
                <w:sz w:val="20"/>
                <w:szCs w:val="20"/>
              </w:rPr>
              <w:t xml:space="preserve">30 </w:t>
            </w:r>
            <w:r w:rsidRPr="00C97275">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14:paraId="06A0709F" w14:textId="07D13ED2" w:rsidR="000556A1" w:rsidRPr="00C97275" w:rsidRDefault="000556A1">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 xml:space="preserve">Projektams, pasiekusiems ne mažesnį kaip 40 proc. sutaupymą, suteikiama </w:t>
            </w:r>
            <w:r w:rsidR="00BC5B4B" w:rsidRPr="00C97275">
              <w:rPr>
                <w:rFonts w:ascii="Georgia" w:hAnsi="Georgia"/>
                <w:sz w:val="20"/>
              </w:rPr>
              <w:t xml:space="preserve">30 </w:t>
            </w:r>
            <w:r w:rsidRPr="00C97275">
              <w:rPr>
                <w:rFonts w:ascii="Georgia" w:hAnsi="Georgia"/>
                <w:sz w:val="20"/>
              </w:rPr>
              <w:t>% subsidija (papildoma valstybės parama) biudžeto lėšomis.</w:t>
            </w:r>
          </w:p>
        </w:tc>
      </w:tr>
      <w:tr w:rsidR="000556A1" w:rsidRPr="00C97275" w14:paraId="2ADC82CC"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F53CA4E" w14:textId="77777777" w:rsidR="000556A1" w:rsidRPr="00C97275" w:rsidRDefault="000556A1" w:rsidP="00B042D4">
            <w:pPr>
              <w:rPr>
                <w:rFonts w:ascii="Georgia" w:hAnsi="Georgia"/>
                <w:b w:val="0"/>
                <w:sz w:val="20"/>
                <w:szCs w:val="20"/>
              </w:rPr>
            </w:pPr>
            <w:r w:rsidRPr="00C97275">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14:paraId="1C84B9E7"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556A1" w:rsidRPr="00C97275" w14:paraId="586AB9D7"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892A892" w14:textId="77777777" w:rsidR="000556A1" w:rsidRPr="00C97275" w:rsidRDefault="000556A1" w:rsidP="00B042D4">
            <w:pPr>
              <w:rPr>
                <w:rFonts w:ascii="Georgia" w:hAnsi="Georgia"/>
                <w:b w:val="0"/>
                <w:sz w:val="20"/>
                <w:szCs w:val="20"/>
              </w:rPr>
            </w:pPr>
            <w:r w:rsidRPr="00C97275">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5D59C86C"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Blogų paskolų dalis buvo nustatyta remiantis ekspertų ir komercinių bankų vertinimu.</w:t>
            </w:r>
          </w:p>
        </w:tc>
      </w:tr>
      <w:tr w:rsidR="000D43FF" w:rsidRPr="00C97275" w14:paraId="380FF262"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7BE3668" w14:textId="77777777" w:rsidR="000D43FF" w:rsidRPr="00C97275" w:rsidRDefault="000D43FF" w:rsidP="000D43FF">
            <w:pPr>
              <w:rPr>
                <w:rFonts w:ascii="Georgia" w:hAnsi="Georgia"/>
                <w:sz w:val="20"/>
              </w:rPr>
            </w:pPr>
            <w:r w:rsidRPr="00C97275">
              <w:rPr>
                <w:rFonts w:ascii="Georgia" w:hAnsi="Georgia"/>
                <w:sz w:val="20"/>
              </w:rPr>
              <w:t>Modernizavimo procese dalyvaujančio vidutinio pastato projekto investicijų vertė: 330 000 eurų</w:t>
            </w:r>
          </w:p>
          <w:p w14:paraId="473A054E" w14:textId="77777777" w:rsidR="000D43FF" w:rsidRPr="00C97275" w:rsidRDefault="000D43FF" w:rsidP="000D43FF">
            <w:pPr>
              <w:rPr>
                <w:rFonts w:ascii="Georgia" w:hAnsi="Georgia"/>
                <w:sz w:val="20"/>
              </w:rPr>
            </w:pPr>
          </w:p>
          <w:p w14:paraId="68B000FF" w14:textId="7ACF834E" w:rsidR="000D43FF" w:rsidRPr="00C97275" w:rsidRDefault="000D43FF" w:rsidP="000D43FF">
            <w:pPr>
              <w:rPr>
                <w:rFonts w:ascii="Georgia" w:hAnsi="Georgia"/>
                <w:b w:val="0"/>
                <w:sz w:val="20"/>
                <w:szCs w:val="20"/>
              </w:rPr>
            </w:pPr>
          </w:p>
        </w:tc>
        <w:tc>
          <w:tcPr>
            <w:tcW w:w="3288" w:type="pct"/>
            <w:tcBorders>
              <w:top w:val="single" w:sz="6" w:space="0" w:color="C0504D" w:themeColor="accent2"/>
              <w:left w:val="single" w:sz="6" w:space="0" w:color="C0504D" w:themeColor="accent2"/>
              <w:bottom w:val="single" w:sz="6" w:space="0" w:color="C0504D" w:themeColor="accent2"/>
            </w:tcBorders>
          </w:tcPr>
          <w:p w14:paraId="17EA4CCB" w14:textId="77777777" w:rsidR="000D43FF" w:rsidRPr="00C97275"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Pradinėje ataskaitoje vidutinė tipinio daugiabučio renovacijos kaina buvo nustatyta remiantis vidutinio daugiabučio plotu (paskaičiuota remiantis registrų centro duomenimis). Vidutinė statybos darbų kaina nustatyta pagal BETA pateiktus duomenis.</w:t>
            </w:r>
          </w:p>
          <w:p w14:paraId="1290B7DA" w14:textId="77777777" w:rsidR="000D43FF" w:rsidRPr="00C97275"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p w14:paraId="54E9F133" w14:textId="77777777" w:rsidR="000D43FF" w:rsidRPr="00C97275"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C97275">
              <w:rPr>
                <w:rFonts w:ascii="Georgia" w:hAnsi="Georgia"/>
                <w:sz w:val="20"/>
                <w:vertAlign w:val="superscript"/>
              </w:rPr>
              <w:t xml:space="preserve">2 </w:t>
            </w:r>
            <w:r w:rsidRPr="00C97275">
              <w:rPr>
                <w:rFonts w:ascii="Georgia" w:hAnsi="Georgia"/>
                <w:sz w:val="20"/>
              </w:rPr>
              <w:t>(šildomas plotas 1 770-1 920 m</w:t>
            </w:r>
            <w:r w:rsidRPr="00C97275">
              <w:rPr>
                <w:rFonts w:ascii="Georgia" w:hAnsi="Georgia"/>
                <w:sz w:val="20"/>
                <w:vertAlign w:val="superscript"/>
              </w:rPr>
              <w:t>2</w:t>
            </w:r>
            <w:r w:rsidRPr="00C97275">
              <w:rPr>
                <w:rFonts w:ascii="Georgia" w:hAnsi="Georgia"/>
                <w:sz w:val="20"/>
              </w:rPr>
              <w:t>) tai yra bendras plotas daugiau nei 1 000 m</w:t>
            </w:r>
            <w:r w:rsidRPr="00C97275">
              <w:rPr>
                <w:rFonts w:ascii="Georgia" w:hAnsi="Georgia"/>
                <w:sz w:val="20"/>
                <w:vertAlign w:val="superscript"/>
              </w:rPr>
              <w:t>2</w:t>
            </w:r>
            <w:r w:rsidRPr="00C97275">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C97275">
              <w:rPr>
                <w:rFonts w:ascii="Georgia" w:hAnsi="Georgia"/>
                <w:sz w:val="20"/>
                <w:vertAlign w:val="superscript"/>
              </w:rPr>
              <w:t>2</w:t>
            </w:r>
            <w:r w:rsidRPr="00C97275">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432330B2" w14:textId="2F1EC939" w:rsidR="000D43FF" w:rsidRPr="00C97275"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tc>
      </w:tr>
      <w:tr w:rsidR="000556A1" w:rsidRPr="00C97275" w14:paraId="69FF98F7"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6D26BA6" w14:textId="77777777" w:rsidR="000556A1" w:rsidRPr="00C97275" w:rsidRDefault="000556A1" w:rsidP="00B042D4">
            <w:pPr>
              <w:rPr>
                <w:rFonts w:ascii="Georgia" w:hAnsi="Georgia"/>
                <w:b w:val="0"/>
                <w:sz w:val="20"/>
                <w:szCs w:val="20"/>
              </w:rPr>
            </w:pPr>
            <w:r w:rsidRPr="00C97275">
              <w:rPr>
                <w:rFonts w:ascii="Georgia" w:hAnsi="Georgia"/>
                <w:sz w:val="20"/>
                <w:szCs w:val="20"/>
              </w:rPr>
              <w:t>Palūkanų norma: 3 %</w:t>
            </w:r>
          </w:p>
        </w:tc>
        <w:tc>
          <w:tcPr>
            <w:tcW w:w="3288" w:type="pct"/>
            <w:tcBorders>
              <w:top w:val="single" w:sz="6" w:space="0" w:color="C0504D" w:themeColor="accent2"/>
              <w:left w:val="single" w:sz="6" w:space="0" w:color="C0504D" w:themeColor="accent2"/>
              <w:bottom w:val="single" w:sz="6" w:space="0" w:color="C0504D" w:themeColor="accent2"/>
            </w:tcBorders>
          </w:tcPr>
          <w:p w14:paraId="6178952C"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Palūkanų norma galutiniams naudos gavėjams - fiksuotos 3 % metinės palūkanos.</w:t>
            </w:r>
          </w:p>
        </w:tc>
      </w:tr>
      <w:tr w:rsidR="000556A1" w:rsidRPr="00C97275" w14:paraId="093AA25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D9C2FB9" w14:textId="77777777" w:rsidR="000556A1" w:rsidRPr="00C97275" w:rsidRDefault="000556A1" w:rsidP="00B042D4">
            <w:pPr>
              <w:rPr>
                <w:rFonts w:ascii="Georgia" w:hAnsi="Georgia"/>
                <w:b w:val="0"/>
                <w:sz w:val="20"/>
                <w:szCs w:val="20"/>
              </w:rPr>
            </w:pPr>
            <w:r w:rsidRPr="00C97275">
              <w:rPr>
                <w:rFonts w:ascii="Georgia" w:hAnsi="Georgia"/>
                <w:sz w:val="20"/>
                <w:szCs w:val="20"/>
              </w:rPr>
              <w:t xml:space="preserve">Investuojamų ESI fondų lėšų suma: 280,9 mln. </w:t>
            </w:r>
            <w:r w:rsidRPr="00C97275">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3BDF8694" w14:textId="3B56CAE0" w:rsidR="000556A1" w:rsidRPr="00C97275" w:rsidRDefault="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 xml:space="preserve">Kaip numatyta pradinėje ataskaitoje </w:t>
            </w:r>
            <w:r w:rsidR="000556A1" w:rsidRPr="00C97275">
              <w:rPr>
                <w:rFonts w:ascii="Georgia" w:hAnsi="Georgia"/>
                <w:sz w:val="20"/>
              </w:rPr>
              <w:t xml:space="preserve">280,9 mln. eurų 2014-2020 m. ESI fondų lėšų skiriama </w:t>
            </w:r>
            <w:r w:rsidR="00BC5B4B" w:rsidRPr="00C97275">
              <w:rPr>
                <w:rFonts w:ascii="Georgia" w:hAnsi="Georgia"/>
                <w:sz w:val="20"/>
              </w:rPr>
              <w:t>įnašui į fondą.</w:t>
            </w:r>
          </w:p>
        </w:tc>
      </w:tr>
      <w:tr w:rsidR="000556A1" w:rsidRPr="00C97275" w14:paraId="05585B8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9730E38" w14:textId="77777777" w:rsidR="000556A1" w:rsidRPr="00C97275" w:rsidRDefault="000556A1" w:rsidP="00B042D4">
            <w:pPr>
              <w:rPr>
                <w:rFonts w:ascii="Georgia" w:hAnsi="Georgia"/>
                <w:sz w:val="20"/>
                <w:szCs w:val="20"/>
              </w:rPr>
            </w:pPr>
            <w:r w:rsidRPr="00C97275">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3DF544AC"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rPr>
              <w:t>2007-2013 m. periodo grįžtančios lėšos, kurios sudarytų apie 67,2 mln. eurų.</w:t>
            </w:r>
          </w:p>
        </w:tc>
      </w:tr>
      <w:tr w:rsidR="000556A1" w:rsidRPr="00C97275" w14:paraId="13CECCB1"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9BBB969" w14:textId="6855DE37" w:rsidR="000556A1" w:rsidRPr="00C97275" w:rsidRDefault="000556A1" w:rsidP="00B042D4">
            <w:pPr>
              <w:rPr>
                <w:rFonts w:ascii="Georgia" w:hAnsi="Georgia"/>
                <w:b w:val="0"/>
                <w:sz w:val="20"/>
                <w:szCs w:val="20"/>
              </w:rPr>
            </w:pPr>
            <w:r w:rsidRPr="00C97275">
              <w:rPr>
                <w:rFonts w:ascii="Georgia" w:hAnsi="Georgia"/>
                <w:sz w:val="20"/>
                <w:szCs w:val="20"/>
              </w:rPr>
              <w:t>Galimų pritraukti privačių lėšų suma: 655,4</w:t>
            </w:r>
            <w:r w:rsidR="00BC5B4B" w:rsidRPr="00C97275">
              <w:rPr>
                <w:rFonts w:ascii="Georgia" w:hAnsi="Georgia"/>
                <w:sz w:val="20"/>
                <w:szCs w:val="20"/>
              </w:rPr>
              <w:t xml:space="preserve"> </w:t>
            </w:r>
            <w:r w:rsidR="00BC5B4B" w:rsidRPr="00C97275">
              <w:rPr>
                <w:rFonts w:ascii="Georgia" w:hAnsi="Georgia"/>
                <w:sz w:val="20"/>
              </w:rPr>
              <w:t>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21C4BE8C"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Remiantis prielaidą, kad bendroje fondo apimtyje privačios lėšos gali sudaryti apie 70 proc. visų lėšų, numatoma jog privačios lėšos sudarys - 655,4 mln. </w:t>
            </w:r>
            <w:r w:rsidRPr="00C97275">
              <w:rPr>
                <w:rFonts w:ascii="Georgia" w:hAnsi="Georgia"/>
                <w:sz w:val="20"/>
              </w:rPr>
              <w:t>eurų</w:t>
            </w:r>
            <w:r w:rsidRPr="00C97275">
              <w:rPr>
                <w:rFonts w:ascii="Georgia" w:hAnsi="Georgia"/>
                <w:sz w:val="20"/>
                <w:szCs w:val="20"/>
              </w:rPr>
              <w:t>.</w:t>
            </w:r>
          </w:p>
        </w:tc>
      </w:tr>
      <w:tr w:rsidR="000556A1" w:rsidRPr="00C97275" w14:paraId="10DDC35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F8F4EE1" w14:textId="4B1A5CCF" w:rsidR="000556A1" w:rsidRPr="00C97275" w:rsidRDefault="000556A1" w:rsidP="0071393C">
            <w:pPr>
              <w:jc w:val="both"/>
              <w:rPr>
                <w:rFonts w:ascii="Georgia" w:hAnsi="Georgia"/>
                <w:sz w:val="20"/>
              </w:rPr>
            </w:pPr>
            <w:r w:rsidRPr="00C97275">
              <w:rPr>
                <w:rFonts w:ascii="Georgia" w:hAnsi="Georgia"/>
                <w:sz w:val="20"/>
              </w:rPr>
              <w:t xml:space="preserve">Siektinas įgyvendinamų projektų skaičius: </w:t>
            </w:r>
            <w:r w:rsidR="0071393C" w:rsidRPr="00C97275">
              <w:rPr>
                <w:rFonts w:ascii="Georgia" w:hAnsi="Georgia"/>
                <w:sz w:val="20"/>
              </w:rPr>
              <w:t xml:space="preserve">apie 420 </w:t>
            </w:r>
            <w:r w:rsidRPr="00C97275">
              <w:rPr>
                <w:rFonts w:ascii="Georgia" w:hAnsi="Georgia"/>
                <w:sz w:val="20"/>
              </w:rPr>
              <w:t>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37D210DD" w14:textId="0E2F7663" w:rsidR="000556A1" w:rsidRPr="00C97275" w:rsidRDefault="000556A1"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 xml:space="preserve">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w:t>
            </w:r>
            <w:r w:rsidR="0071393C" w:rsidRPr="00C97275">
              <w:rPr>
                <w:rFonts w:ascii="Georgia" w:hAnsi="Georgia"/>
                <w:sz w:val="20"/>
              </w:rPr>
              <w:t xml:space="preserve">420 </w:t>
            </w:r>
            <w:r w:rsidRPr="00C97275">
              <w:rPr>
                <w:rFonts w:ascii="Georgia" w:hAnsi="Georgia"/>
                <w:sz w:val="20"/>
              </w:rPr>
              <w:t>naujų projektų</w:t>
            </w:r>
            <w:r w:rsidR="0071393C" w:rsidRPr="00C97275">
              <w:rPr>
                <w:rFonts w:ascii="Georgia" w:hAnsi="Georgia"/>
                <w:sz w:val="20"/>
              </w:rPr>
              <w:t>, kurio vieno investicijų vertė 330 tūkst.eurų</w:t>
            </w:r>
            <w:r w:rsidRPr="00C97275">
              <w:rPr>
                <w:rFonts w:ascii="Georgia" w:hAnsi="Georgia"/>
                <w:sz w:val="20"/>
              </w:rPr>
              <w:t>.</w:t>
            </w:r>
          </w:p>
        </w:tc>
      </w:tr>
      <w:tr w:rsidR="000556A1" w:rsidRPr="00C97275" w14:paraId="0E271740"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69B4D93" w14:textId="77777777" w:rsidR="000556A1" w:rsidRPr="00C97275" w:rsidRDefault="000556A1" w:rsidP="00B042D4">
            <w:pPr>
              <w:jc w:val="both"/>
              <w:rPr>
                <w:rFonts w:ascii="Georgia" w:hAnsi="Georgia"/>
                <w:sz w:val="20"/>
              </w:rPr>
            </w:pPr>
            <w:r w:rsidRPr="00C97275">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2EFBD4FF"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556A1" w:rsidRPr="00C97275" w14:paraId="3785897C"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CB3B936" w14:textId="77777777" w:rsidR="000556A1" w:rsidRPr="00C97275" w:rsidRDefault="000556A1" w:rsidP="00B042D4">
            <w:pPr>
              <w:rPr>
                <w:rFonts w:ascii="Georgia" w:hAnsi="Georgia"/>
                <w:b w:val="0"/>
                <w:i/>
                <w:sz w:val="20"/>
                <w:szCs w:val="20"/>
              </w:rPr>
            </w:pPr>
            <w:r w:rsidRPr="00C97275">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65D5009E"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rPr>
              <w:t>Remiantis šiuo metu įgyvendinamų projektų duomenimis nustatyta vidutinė projekto įgyvendinimo trukmė – 1 metai nuo paskolos sutarties pasirašymo dienos.</w:t>
            </w:r>
          </w:p>
        </w:tc>
      </w:tr>
      <w:tr w:rsidR="000556A1" w:rsidRPr="00C97275" w14:paraId="73A8EDD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8F83CF4" w14:textId="77777777" w:rsidR="000556A1" w:rsidRPr="00C97275" w:rsidRDefault="000556A1" w:rsidP="00B042D4">
            <w:pPr>
              <w:rPr>
                <w:rFonts w:ascii="Georgia" w:hAnsi="Georgia"/>
                <w:b w:val="0"/>
                <w:i/>
                <w:sz w:val="20"/>
                <w:szCs w:val="20"/>
              </w:rPr>
            </w:pPr>
            <w:r w:rsidRPr="00C97275">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bottom w:val="single" w:sz="6" w:space="0" w:color="C0504D" w:themeColor="accent2"/>
            </w:tcBorders>
          </w:tcPr>
          <w:p w14:paraId="06472D7E" w14:textId="77777777" w:rsidR="000556A1" w:rsidRPr="00C97275" w:rsidRDefault="000556A1" w:rsidP="00B042D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C97275">
              <w:rPr>
                <w:rFonts w:ascii="Georgia" w:hAnsi="Georgia"/>
                <w:sz w:val="20"/>
              </w:rPr>
              <w:t>Daroma prielaida, jog grįžtančios lėšos pakartotinai panaudojamos projektų finansavimui tomis pačiomis sąlygomis po 2 metų.</w:t>
            </w:r>
          </w:p>
        </w:tc>
      </w:tr>
    </w:tbl>
    <w:p w14:paraId="32BA7F92" w14:textId="77777777" w:rsidR="000556A1" w:rsidRPr="00C97275" w:rsidRDefault="000556A1" w:rsidP="000556A1">
      <w:pPr>
        <w:rPr>
          <w:rFonts w:ascii="Georgia" w:hAnsi="Georgia"/>
          <w:sz w:val="20"/>
          <w:szCs w:val="20"/>
          <w:lang w:val="lt-LT"/>
        </w:rPr>
      </w:pPr>
    </w:p>
    <w:p w14:paraId="37BCCBBF" w14:textId="2F0FD410" w:rsidR="000556A1" w:rsidRPr="00C97275" w:rsidRDefault="000556A1" w:rsidP="000556A1">
      <w:pPr>
        <w:pStyle w:val="Antrat"/>
        <w:jc w:val="both"/>
        <w:rPr>
          <w:lang w:val="lt-LT"/>
        </w:rPr>
      </w:pPr>
      <w:bookmarkStart w:id="188" w:name="_Toc19105270"/>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57</w:t>
      </w:r>
      <w:r w:rsidRPr="00C97275">
        <w:rPr>
          <w:lang w:val="lt-LT"/>
        </w:rPr>
        <w:fldChar w:fldCharType="end"/>
      </w:r>
      <w:r w:rsidRPr="00C97275">
        <w:rPr>
          <w:lang w:val="lt-LT"/>
        </w:rPr>
        <w:t xml:space="preserve">. Scenarijaus Nr. </w:t>
      </w:r>
      <w:r w:rsidR="00BC5B4B" w:rsidRPr="00C97275">
        <w:rPr>
          <w:lang w:val="en-US"/>
        </w:rPr>
        <w:t>4</w:t>
      </w:r>
      <w:r w:rsidRPr="00C97275">
        <w:rPr>
          <w:lang w:val="lt-LT"/>
        </w:rPr>
        <w:t xml:space="preserve"> įgyvendinimo prognozė</w:t>
      </w:r>
      <w:bookmarkEnd w:id="188"/>
    </w:p>
    <w:p w14:paraId="60E131B5" w14:textId="420CC944" w:rsidR="000556A1" w:rsidRPr="00C97275" w:rsidRDefault="000556A1" w:rsidP="000556A1">
      <w:pPr>
        <w:pStyle w:val="Antrat"/>
        <w:rPr>
          <w:lang w:val="lt-LT"/>
        </w:rPr>
      </w:pPr>
    </w:p>
    <w:p w14:paraId="38B9EAAA" w14:textId="658D5BA0" w:rsidR="0071393C" w:rsidRPr="00C97275" w:rsidRDefault="0071393C" w:rsidP="008D155F">
      <w:pPr>
        <w:rPr>
          <w:rFonts w:ascii="Georgia" w:hAnsi="Georgia"/>
          <w:lang w:val="lt-LT"/>
        </w:rPr>
      </w:pPr>
    </w:p>
    <w:p w14:paraId="7B01032F" w14:textId="5D76620A" w:rsidR="0071393C" w:rsidRPr="00C97275" w:rsidRDefault="0071393C" w:rsidP="008D155F">
      <w:pPr>
        <w:rPr>
          <w:rFonts w:ascii="Georgia" w:hAnsi="Georgia"/>
          <w:lang w:val="lt-LT"/>
        </w:rPr>
      </w:pPr>
      <w:r w:rsidRPr="00C97275">
        <w:rPr>
          <w:rFonts w:ascii="Georgia" w:hAnsi="Georgia"/>
          <w:noProof/>
          <w:lang w:val="lt-LT" w:eastAsia="lt-LT"/>
        </w:rPr>
        <w:drawing>
          <wp:inline distT="0" distB="0" distL="0" distR="0" wp14:anchorId="219C05C2" wp14:editId="73594272">
            <wp:extent cx="6114415" cy="3023336"/>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3565" cy="3027860"/>
                    </a:xfrm>
                    <a:prstGeom prst="rect">
                      <a:avLst/>
                    </a:prstGeom>
                  </pic:spPr>
                </pic:pic>
              </a:graphicData>
            </a:graphic>
          </wp:inline>
        </w:drawing>
      </w:r>
    </w:p>
    <w:p w14:paraId="3A3CC5FF" w14:textId="31FC63CD" w:rsidR="000556A1" w:rsidRPr="00C97275" w:rsidRDefault="000556A1" w:rsidP="000556A1">
      <w:pPr>
        <w:pStyle w:val="Antrat"/>
        <w:rPr>
          <w:lang w:val="lt-LT"/>
        </w:rPr>
      </w:pPr>
      <w:bookmarkStart w:id="189" w:name="_Toc19105271"/>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58</w:t>
      </w:r>
      <w:r w:rsidRPr="00C97275">
        <w:rPr>
          <w:lang w:val="lt-LT"/>
        </w:rPr>
        <w:fldChar w:fldCharType="end"/>
      </w:r>
      <w:r w:rsidRPr="00C97275">
        <w:rPr>
          <w:lang w:val="lt-LT"/>
        </w:rPr>
        <w:t xml:space="preserve">. </w:t>
      </w:r>
      <w:r w:rsidRPr="00C97275">
        <w:rPr>
          <w:szCs w:val="20"/>
          <w:lang w:val="lt-LT"/>
        </w:rPr>
        <w:t xml:space="preserve">Scenarijaus Nr. </w:t>
      </w:r>
      <w:r w:rsidR="00BC5B4B" w:rsidRPr="00C97275">
        <w:rPr>
          <w:szCs w:val="20"/>
          <w:lang w:val="lt-LT"/>
        </w:rPr>
        <w:t xml:space="preserve">4 </w:t>
      </w:r>
      <w:r w:rsidRPr="00C97275">
        <w:rPr>
          <w:szCs w:val="20"/>
          <w:lang w:val="lt-LT"/>
        </w:rPr>
        <w:t>rezultatai</w:t>
      </w:r>
      <w:bookmarkEnd w:id="189"/>
    </w:p>
    <w:tbl>
      <w:tblPr>
        <w:tblStyle w:val="viesussraas2parykinimas"/>
        <w:tblW w:w="0" w:type="auto"/>
        <w:tblLook w:val="04A0" w:firstRow="1" w:lastRow="0" w:firstColumn="1" w:lastColumn="0" w:noHBand="0" w:noVBand="1"/>
      </w:tblPr>
      <w:tblGrid>
        <w:gridCol w:w="6651"/>
        <w:gridCol w:w="2591"/>
      </w:tblGrid>
      <w:tr w:rsidR="000556A1" w:rsidRPr="00C97275" w14:paraId="29695AF3" w14:textId="77777777" w:rsidTr="00B04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488487ED" w14:textId="77777777" w:rsidR="000556A1" w:rsidRPr="00C97275" w:rsidRDefault="000556A1" w:rsidP="00A23E59">
            <w:pPr>
              <w:rPr>
                <w:rFonts w:ascii="Georgia" w:hAnsi="Georgia"/>
                <w:sz w:val="20"/>
                <w:szCs w:val="20"/>
              </w:rPr>
            </w:pPr>
            <w:r w:rsidRPr="00C97275">
              <w:rPr>
                <w:rFonts w:ascii="Georgia" w:hAnsi="Georgia"/>
                <w:sz w:val="20"/>
                <w:szCs w:val="20"/>
              </w:rPr>
              <w:t>Fondas</w:t>
            </w:r>
          </w:p>
        </w:tc>
        <w:tc>
          <w:tcPr>
            <w:tcW w:w="2591" w:type="dxa"/>
          </w:tcPr>
          <w:p w14:paraId="1F5F6318" w14:textId="412B87D0" w:rsidR="000556A1" w:rsidRPr="00C97275" w:rsidRDefault="00A23E59" w:rsidP="00A23E59">
            <w:pPr>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Reikšmė</w:t>
            </w:r>
          </w:p>
        </w:tc>
      </w:tr>
      <w:tr w:rsidR="000556A1" w:rsidRPr="00C97275" w14:paraId="316FEBDB"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49D2DDD7" w14:textId="15E83988" w:rsidR="000556A1" w:rsidRPr="00C97275" w:rsidRDefault="000556A1" w:rsidP="00B042D4">
            <w:pPr>
              <w:rPr>
                <w:rFonts w:ascii="Georgia" w:hAnsi="Georgia"/>
                <w:sz w:val="20"/>
                <w:szCs w:val="20"/>
              </w:rPr>
            </w:pPr>
            <w:r w:rsidRPr="00C97275">
              <w:rPr>
                <w:rFonts w:ascii="Georgia" w:hAnsi="Georgia"/>
                <w:sz w:val="20"/>
                <w:szCs w:val="20"/>
              </w:rPr>
              <w:t>Galutinius naudos gavėjus pasiekusios lėšos</w:t>
            </w:r>
            <w:r w:rsidR="00A23E59" w:rsidRPr="00C97275">
              <w:rPr>
                <w:rFonts w:ascii="Georgia" w:hAnsi="Georgia"/>
                <w:sz w:val="20"/>
                <w:szCs w:val="20"/>
              </w:rPr>
              <w:t>, mln. Eurų</w:t>
            </w:r>
          </w:p>
        </w:tc>
        <w:tc>
          <w:tcPr>
            <w:tcW w:w="2591" w:type="dxa"/>
          </w:tcPr>
          <w:p w14:paraId="39955879" w14:textId="77777777" w:rsidR="000556A1" w:rsidRPr="00C97275" w:rsidRDefault="000556A1"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832,0</w:t>
            </w:r>
          </w:p>
        </w:tc>
      </w:tr>
      <w:tr w:rsidR="000556A1" w:rsidRPr="00C97275" w14:paraId="675F2917" w14:textId="77777777" w:rsidTr="00B042D4">
        <w:tc>
          <w:tcPr>
            <w:cnfStyle w:val="001000000000" w:firstRow="0" w:lastRow="0" w:firstColumn="1" w:lastColumn="0" w:oddVBand="0" w:evenVBand="0" w:oddHBand="0" w:evenHBand="0" w:firstRowFirstColumn="0" w:firstRowLastColumn="0" w:lastRowFirstColumn="0" w:lastRowLastColumn="0"/>
            <w:tcW w:w="6651" w:type="dxa"/>
          </w:tcPr>
          <w:p w14:paraId="2DB7F87E" w14:textId="7C4D7663" w:rsidR="000556A1" w:rsidRPr="00C97275" w:rsidRDefault="000556A1" w:rsidP="00B042D4">
            <w:pPr>
              <w:rPr>
                <w:rFonts w:ascii="Georgia" w:hAnsi="Georgia"/>
                <w:sz w:val="20"/>
                <w:szCs w:val="20"/>
              </w:rPr>
            </w:pPr>
            <w:r w:rsidRPr="00C97275">
              <w:rPr>
                <w:rFonts w:ascii="Georgia" w:hAnsi="Georgia"/>
                <w:sz w:val="20"/>
                <w:szCs w:val="20"/>
              </w:rPr>
              <w:t>Pritrauktos investuotojų lėšos</w:t>
            </w:r>
            <w:r w:rsidR="00A23E59" w:rsidRPr="00C97275">
              <w:rPr>
                <w:rFonts w:ascii="Georgia" w:hAnsi="Georgia"/>
                <w:sz w:val="20"/>
                <w:szCs w:val="20"/>
              </w:rPr>
              <w:t xml:space="preserve">, </w:t>
            </w:r>
            <w:r w:rsidR="00D9139B" w:rsidRPr="00C97275">
              <w:rPr>
                <w:rFonts w:ascii="Georgia" w:hAnsi="Georgia"/>
                <w:sz w:val="20"/>
                <w:szCs w:val="20"/>
              </w:rPr>
              <w:t>mln. eurų</w:t>
            </w:r>
          </w:p>
        </w:tc>
        <w:tc>
          <w:tcPr>
            <w:tcW w:w="2591" w:type="dxa"/>
          </w:tcPr>
          <w:p w14:paraId="05C4BBA4" w14:textId="77777777" w:rsidR="000556A1" w:rsidRPr="00C97275" w:rsidRDefault="000556A1" w:rsidP="00A23E59">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655,4</w:t>
            </w:r>
          </w:p>
        </w:tc>
      </w:tr>
      <w:tr w:rsidR="000556A1" w:rsidRPr="00C97275" w14:paraId="383C06CC"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48B83F22" w14:textId="77777777" w:rsidR="000556A1" w:rsidRPr="00C97275" w:rsidRDefault="000556A1" w:rsidP="00B042D4">
            <w:pPr>
              <w:rPr>
                <w:rFonts w:ascii="Georgia" w:hAnsi="Georgia"/>
                <w:sz w:val="20"/>
                <w:szCs w:val="20"/>
              </w:rPr>
            </w:pPr>
            <w:r w:rsidRPr="00C97275">
              <w:rPr>
                <w:rFonts w:ascii="Georgia" w:hAnsi="Georgia"/>
                <w:sz w:val="20"/>
                <w:szCs w:val="20"/>
              </w:rPr>
              <w:t>Renovuotų pastatų skaičius</w:t>
            </w:r>
          </w:p>
        </w:tc>
        <w:tc>
          <w:tcPr>
            <w:tcW w:w="2591" w:type="dxa"/>
          </w:tcPr>
          <w:p w14:paraId="5F5AC4C8" w14:textId="6AB38BB5" w:rsidR="000556A1" w:rsidRPr="00C97275" w:rsidRDefault="0071393C"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2 522</w:t>
            </w:r>
          </w:p>
        </w:tc>
      </w:tr>
    </w:tbl>
    <w:p w14:paraId="71DD874A" w14:textId="77777777" w:rsidR="000556A1" w:rsidRPr="00C97275" w:rsidRDefault="000556A1" w:rsidP="000556A1">
      <w:pPr>
        <w:rPr>
          <w:rFonts w:ascii="Georgia" w:hAnsi="Georgia"/>
          <w:lang w:val="lt-LT"/>
        </w:rPr>
      </w:pPr>
    </w:p>
    <w:p w14:paraId="5A9C1126" w14:textId="77777777" w:rsidR="000556A1" w:rsidRPr="00C97275" w:rsidRDefault="000556A1" w:rsidP="000556A1">
      <w:pPr>
        <w:rPr>
          <w:rFonts w:ascii="Georgia" w:hAnsi="Georgia"/>
          <w:lang w:val="lt-LT"/>
        </w:rPr>
      </w:pPr>
    </w:p>
    <w:p w14:paraId="304AD4F8" w14:textId="42C3A8C7" w:rsidR="000556A1" w:rsidRPr="00C97275" w:rsidRDefault="000556A1" w:rsidP="00D17A57">
      <w:pPr>
        <w:keepNext/>
        <w:rPr>
          <w:rFonts w:ascii="Georgia" w:hAnsi="Georgia"/>
          <w:b/>
          <w:i/>
          <w:sz w:val="28"/>
          <w:szCs w:val="28"/>
          <w:lang w:val="lt-LT"/>
        </w:rPr>
      </w:pPr>
      <w:r w:rsidRPr="00C97275">
        <w:rPr>
          <w:rFonts w:ascii="Georgia" w:hAnsi="Georgia"/>
          <w:b/>
          <w:i/>
          <w:sz w:val="28"/>
          <w:szCs w:val="28"/>
          <w:lang w:val="lt-LT"/>
        </w:rPr>
        <w:t xml:space="preserve">Scenarijus Nr. </w:t>
      </w:r>
      <w:r w:rsidR="00BC5B4B" w:rsidRPr="00C97275">
        <w:rPr>
          <w:rFonts w:ascii="Georgia" w:hAnsi="Georgia"/>
          <w:b/>
          <w:i/>
          <w:sz w:val="28"/>
          <w:szCs w:val="28"/>
          <w:lang w:val="lt-LT"/>
        </w:rPr>
        <w:t>5</w:t>
      </w:r>
      <w:r w:rsidRPr="00C97275">
        <w:rPr>
          <w:rFonts w:ascii="Georgia" w:hAnsi="Georgia"/>
          <w:b/>
          <w:i/>
          <w:sz w:val="28"/>
          <w:szCs w:val="28"/>
          <w:lang w:val="lt-LT"/>
        </w:rPr>
        <w:t>: Dalis finansinės priemonės lėšų nukreipiama į paskolų modelį, o dalis į garantijų priemonę su galimybe išpirkti ateities finansinius srautus</w:t>
      </w:r>
    </w:p>
    <w:p w14:paraId="3AE4B219" w14:textId="510AE3D5" w:rsidR="000556A1" w:rsidRPr="00C97275" w:rsidRDefault="000556A1" w:rsidP="0063781D">
      <w:pPr>
        <w:jc w:val="both"/>
        <w:rPr>
          <w:rFonts w:ascii="Georgia" w:hAnsi="Georgia"/>
          <w:lang w:val="lt-LT"/>
        </w:rPr>
      </w:pPr>
      <w:r w:rsidRPr="00C97275">
        <w:rPr>
          <w:rFonts w:ascii="Georgia" w:hAnsi="Georgia"/>
          <w:sz w:val="20"/>
          <w:szCs w:val="20"/>
          <w:lang w:val="lt-LT"/>
        </w:rPr>
        <w:t xml:space="preserve">Šio scenarijaus skaičiavimai atitinka scenarijaus Nr. 3 prielaidas, kai 200 mln. eurų ESI fondų lėšų skiriama paskolų priemonei, o kita dalis lėšų – 80,9 mln. eurų garantijų priemonei. </w:t>
      </w:r>
      <w:r w:rsidR="00447EB9" w:rsidRPr="00C97275">
        <w:rPr>
          <w:rFonts w:ascii="Georgia" w:hAnsi="Georgia"/>
          <w:sz w:val="20"/>
          <w:szCs w:val="20"/>
          <w:lang w:val="lt-LT"/>
        </w:rPr>
        <w:t xml:space="preserve">Siekiant pritraukti papildomas lėšas galima būtų paskolų priemonės pinigų srautą/paskolas parduoti pritraukiant papildomą finansavimą.  </w:t>
      </w:r>
      <w:r w:rsidR="00247D53" w:rsidRPr="00C97275">
        <w:rPr>
          <w:rFonts w:ascii="Georgia" w:hAnsi="Georgia"/>
          <w:sz w:val="20"/>
          <w:szCs w:val="20"/>
          <w:lang w:val="lt-LT"/>
        </w:rPr>
        <w:t>Vienas iš tokio modelio pavyzdžių</w:t>
      </w:r>
      <w:r w:rsidR="00247D53" w:rsidRPr="00C97275">
        <w:rPr>
          <w:rStyle w:val="Puslapioinaosnuoroda"/>
          <w:rFonts w:ascii="Georgia" w:hAnsi="Georgia"/>
          <w:sz w:val="20"/>
          <w:szCs w:val="20"/>
          <w:lang w:val="lt-LT"/>
        </w:rPr>
        <w:footnoteReference w:id="127"/>
      </w:r>
      <w:r w:rsidR="00247D53" w:rsidRPr="00C97275">
        <w:rPr>
          <w:rFonts w:ascii="Georgia" w:hAnsi="Georgia"/>
          <w:sz w:val="20"/>
          <w:szCs w:val="20"/>
          <w:lang w:val="lt-LT"/>
        </w:rPr>
        <w:t xml:space="preserve"> galėtų būti privatus investicinis fondas, kuris išpirktų apie 70 proc. finansinės priemonės paskolų (investiciniam fondui būtų parduodamos gerosios paskolos), taip daug greičiau grąžinant išmokėtas lėšas ir jas investuojant į papildomus renovacijos projektus.</w:t>
      </w:r>
    </w:p>
    <w:p w14:paraId="463D71E3" w14:textId="1720CCEE" w:rsidR="000556A1" w:rsidRPr="00C97275" w:rsidRDefault="000556A1" w:rsidP="000556A1">
      <w:pPr>
        <w:pStyle w:val="Antrat"/>
        <w:rPr>
          <w:szCs w:val="20"/>
          <w:lang w:val="lt-LT"/>
        </w:rPr>
      </w:pPr>
      <w:bookmarkStart w:id="190" w:name="_Toc19105272"/>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59</w:t>
      </w:r>
      <w:r w:rsidRPr="00C97275">
        <w:rPr>
          <w:lang w:val="lt-LT"/>
        </w:rPr>
        <w:fldChar w:fldCharType="end"/>
      </w:r>
      <w:r w:rsidRPr="00C97275">
        <w:rPr>
          <w:lang w:val="lt-LT"/>
        </w:rPr>
        <w:t xml:space="preserve">. Scenarijaus Nr. </w:t>
      </w:r>
      <w:r w:rsidR="00BC5B4B" w:rsidRPr="00C97275">
        <w:rPr>
          <w:lang w:val="lt-LT"/>
        </w:rPr>
        <w:t>5</w:t>
      </w:r>
      <w:r w:rsidRPr="00C97275">
        <w:rPr>
          <w:lang w:val="lt-LT"/>
        </w:rPr>
        <w:t xml:space="preserve"> prielaidos</w:t>
      </w:r>
      <w:r w:rsidRPr="00C97275">
        <w:rPr>
          <w:szCs w:val="20"/>
          <w:lang w:val="lt-LT"/>
        </w:rPr>
        <w:t>:</w:t>
      </w:r>
      <w:bookmarkEnd w:id="190"/>
    </w:p>
    <w:tbl>
      <w:tblPr>
        <w:tblStyle w:val="viesussraas2parykinimas"/>
        <w:tblW w:w="5000" w:type="pct"/>
        <w:tblLook w:val="04A0" w:firstRow="1" w:lastRow="0" w:firstColumn="1" w:lastColumn="0" w:noHBand="0" w:noVBand="1"/>
      </w:tblPr>
      <w:tblGrid>
        <w:gridCol w:w="3164"/>
        <w:gridCol w:w="6078"/>
      </w:tblGrid>
      <w:tr w:rsidR="000556A1" w:rsidRPr="00C97275" w14:paraId="61F7FCC3"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3E46DC78" w14:textId="77777777" w:rsidR="000556A1" w:rsidRPr="00C97275" w:rsidRDefault="000556A1" w:rsidP="00B042D4">
            <w:pPr>
              <w:keepNext/>
              <w:jc w:val="center"/>
              <w:rPr>
                <w:rFonts w:ascii="Georgia" w:hAnsi="Georgia"/>
                <w:sz w:val="20"/>
                <w:szCs w:val="20"/>
              </w:rPr>
            </w:pPr>
            <w:r w:rsidRPr="00C97275">
              <w:rPr>
                <w:rFonts w:ascii="Georgia" w:hAnsi="Georgia"/>
                <w:sz w:val="20"/>
                <w:szCs w:val="20"/>
              </w:rPr>
              <w:t>Prielaidos</w:t>
            </w:r>
          </w:p>
        </w:tc>
        <w:tc>
          <w:tcPr>
            <w:tcW w:w="3288" w:type="pct"/>
            <w:tcBorders>
              <w:bottom w:val="single" w:sz="8" w:space="0" w:color="C0504D" w:themeColor="accent2"/>
            </w:tcBorders>
          </w:tcPr>
          <w:p w14:paraId="3F84BA9D" w14:textId="77777777" w:rsidR="000556A1" w:rsidRPr="00C97275" w:rsidRDefault="000556A1" w:rsidP="00B042D4">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Komentaras</w:t>
            </w:r>
          </w:p>
        </w:tc>
      </w:tr>
      <w:tr w:rsidR="000556A1" w:rsidRPr="00C97275" w14:paraId="57BD54B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01A8BBFB" w14:textId="77777777" w:rsidR="000556A1" w:rsidRPr="00C97275" w:rsidRDefault="000556A1" w:rsidP="00B042D4">
            <w:pPr>
              <w:rPr>
                <w:rFonts w:ascii="Georgia" w:hAnsi="Georgia"/>
                <w:b w:val="0"/>
                <w:sz w:val="20"/>
                <w:szCs w:val="20"/>
              </w:rPr>
            </w:pPr>
            <w:r w:rsidRPr="00C97275">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41403851"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Maksimalus paskolos suteikimo terminas 20 metų.</w:t>
            </w:r>
          </w:p>
        </w:tc>
      </w:tr>
      <w:tr w:rsidR="000556A1" w:rsidRPr="00C97275" w14:paraId="3F881DC8"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568CFBF" w14:textId="1D296F52" w:rsidR="000556A1" w:rsidRPr="00C97275" w:rsidRDefault="000556A1" w:rsidP="00B042D4">
            <w:pPr>
              <w:rPr>
                <w:rFonts w:ascii="Georgia" w:hAnsi="Georgia"/>
                <w:b w:val="0"/>
                <w:sz w:val="20"/>
                <w:szCs w:val="20"/>
              </w:rPr>
            </w:pPr>
            <w:r w:rsidRPr="00C97275">
              <w:rPr>
                <w:rFonts w:ascii="Georgia" w:hAnsi="Georgia"/>
                <w:sz w:val="20"/>
                <w:szCs w:val="20"/>
              </w:rPr>
              <w:t xml:space="preserve">Subsidija: </w:t>
            </w:r>
            <w:r w:rsidR="00247D53" w:rsidRPr="00C97275">
              <w:rPr>
                <w:rFonts w:ascii="Georgia" w:hAnsi="Georgia"/>
                <w:sz w:val="20"/>
                <w:szCs w:val="20"/>
              </w:rPr>
              <w:t>30</w:t>
            </w:r>
            <w:r w:rsidRPr="00C97275">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70F69A3E" w14:textId="79A96A8A" w:rsidR="000556A1" w:rsidRPr="00C97275" w:rsidRDefault="000556A1">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 xml:space="preserve">Projektams, pasiekusiems ne mažesnį kaip 40 proc. sutaupymą, suteikiama </w:t>
            </w:r>
            <w:r w:rsidR="00BC5B4B" w:rsidRPr="00C97275">
              <w:rPr>
                <w:rFonts w:ascii="Georgia" w:hAnsi="Georgia"/>
                <w:sz w:val="20"/>
              </w:rPr>
              <w:t xml:space="preserve">30 </w:t>
            </w:r>
            <w:r w:rsidRPr="00C97275">
              <w:rPr>
                <w:rFonts w:ascii="Georgia" w:hAnsi="Georgia"/>
                <w:sz w:val="20"/>
              </w:rPr>
              <w:t>% subsidija (papildoma valstybės parama) biudžeto lėšomis</w:t>
            </w:r>
            <w:r w:rsidR="00BC5B4B" w:rsidRPr="00C97275">
              <w:rPr>
                <w:rFonts w:ascii="Georgia" w:hAnsi="Georgia"/>
                <w:sz w:val="20"/>
              </w:rPr>
              <w:t>.</w:t>
            </w:r>
            <w:r w:rsidRPr="00C97275">
              <w:rPr>
                <w:rFonts w:ascii="Georgia" w:hAnsi="Georgia"/>
                <w:sz w:val="20"/>
              </w:rPr>
              <w:t>.</w:t>
            </w:r>
          </w:p>
        </w:tc>
      </w:tr>
      <w:tr w:rsidR="000556A1" w:rsidRPr="00C97275" w14:paraId="566C9C6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859E590" w14:textId="77777777" w:rsidR="000556A1" w:rsidRPr="00C97275" w:rsidRDefault="000556A1" w:rsidP="00B042D4">
            <w:pPr>
              <w:rPr>
                <w:rFonts w:ascii="Georgia" w:hAnsi="Georgia"/>
                <w:b w:val="0"/>
                <w:sz w:val="20"/>
                <w:szCs w:val="20"/>
              </w:rPr>
            </w:pPr>
            <w:r w:rsidRPr="00C97275">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7BC88393"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Blogų paskolų dalis buvo nustatyta remiantis ekspertų ir komercinių bankų vertinimu</w:t>
            </w:r>
            <w:r w:rsidRPr="00C97275">
              <w:rPr>
                <w:rFonts w:ascii="Georgia" w:hAnsi="Georgia"/>
                <w:sz w:val="20"/>
                <w:szCs w:val="20"/>
              </w:rPr>
              <w:t>. Garantijų priemonės atveju daroma prielaida, kad iki 2022 metų reikės išmokėti 50% garantijų bankams nuo planuojamų blogų paskolų.</w:t>
            </w:r>
          </w:p>
        </w:tc>
      </w:tr>
      <w:tr w:rsidR="0071393C" w:rsidRPr="00C97275" w14:paraId="521262F2"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1760303" w14:textId="77777777" w:rsidR="0071393C" w:rsidRPr="00C97275" w:rsidRDefault="0071393C" w:rsidP="0071393C">
            <w:pPr>
              <w:rPr>
                <w:rFonts w:ascii="Georgia" w:hAnsi="Georgia"/>
                <w:sz w:val="20"/>
              </w:rPr>
            </w:pPr>
            <w:r w:rsidRPr="00C97275">
              <w:rPr>
                <w:rFonts w:ascii="Georgia" w:hAnsi="Georgia"/>
                <w:sz w:val="20"/>
              </w:rPr>
              <w:t>Modernizavimo procese dalyvaujančio vidutinio pastato projekto investicijų vertė: 330 000 eurų</w:t>
            </w:r>
          </w:p>
          <w:p w14:paraId="075E6787" w14:textId="77777777" w:rsidR="0071393C" w:rsidRPr="00C97275" w:rsidRDefault="0071393C" w:rsidP="0071393C">
            <w:pPr>
              <w:rPr>
                <w:rFonts w:ascii="Georgia" w:hAnsi="Georgia"/>
                <w:sz w:val="20"/>
              </w:rPr>
            </w:pPr>
          </w:p>
          <w:p w14:paraId="40E6447C" w14:textId="08675B3A" w:rsidR="0071393C" w:rsidRPr="00C97275" w:rsidRDefault="0071393C" w:rsidP="0071393C">
            <w:pPr>
              <w:rPr>
                <w:rFonts w:ascii="Georgia" w:hAnsi="Georgia"/>
                <w:b w:val="0"/>
                <w:sz w:val="20"/>
                <w:szCs w:val="20"/>
              </w:rPr>
            </w:pPr>
          </w:p>
        </w:tc>
        <w:tc>
          <w:tcPr>
            <w:tcW w:w="3288" w:type="pct"/>
            <w:tcBorders>
              <w:top w:val="single" w:sz="6" w:space="0" w:color="C0504D" w:themeColor="accent2"/>
              <w:left w:val="single" w:sz="6" w:space="0" w:color="C0504D" w:themeColor="accent2"/>
              <w:bottom w:val="single" w:sz="6" w:space="0" w:color="C0504D" w:themeColor="accent2"/>
            </w:tcBorders>
          </w:tcPr>
          <w:p w14:paraId="5C9028FB" w14:textId="77777777" w:rsidR="0071393C" w:rsidRPr="00C97275"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Pradinėje ataskaitoje vidutinė tipinio daugiabučio renovacijos kaina buvo nustatyta remiantis vidutinio daugiabučio plotu (paskaičiuota remiantis registrų centro duomenimis). Vidutinė statybos darbų kaina nustatyta pagal BETA pateiktus duomenis.</w:t>
            </w:r>
          </w:p>
          <w:p w14:paraId="218107B7" w14:textId="77777777" w:rsidR="0071393C" w:rsidRPr="00C97275"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p>
          <w:p w14:paraId="6E11CBD9" w14:textId="77777777" w:rsidR="0071393C" w:rsidRPr="00C97275"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C97275">
              <w:rPr>
                <w:rFonts w:ascii="Georgia" w:hAnsi="Georgia"/>
                <w:sz w:val="20"/>
                <w:vertAlign w:val="superscript"/>
              </w:rPr>
              <w:t xml:space="preserve">2 </w:t>
            </w:r>
            <w:r w:rsidRPr="00C97275">
              <w:rPr>
                <w:rFonts w:ascii="Georgia" w:hAnsi="Georgia"/>
                <w:sz w:val="20"/>
              </w:rPr>
              <w:t>(šildomas plotas 1 770-1 920 m</w:t>
            </w:r>
            <w:r w:rsidRPr="00C97275">
              <w:rPr>
                <w:rFonts w:ascii="Georgia" w:hAnsi="Georgia"/>
                <w:sz w:val="20"/>
                <w:vertAlign w:val="superscript"/>
              </w:rPr>
              <w:t>2</w:t>
            </w:r>
            <w:r w:rsidRPr="00C97275">
              <w:rPr>
                <w:rFonts w:ascii="Georgia" w:hAnsi="Georgia"/>
                <w:sz w:val="20"/>
              </w:rPr>
              <w:t>) tai yra bendras plotas daugiau nei 1 000 m</w:t>
            </w:r>
            <w:r w:rsidRPr="00C97275">
              <w:rPr>
                <w:rFonts w:ascii="Georgia" w:hAnsi="Georgia"/>
                <w:sz w:val="20"/>
                <w:vertAlign w:val="superscript"/>
              </w:rPr>
              <w:t>2</w:t>
            </w:r>
            <w:r w:rsidRPr="00C97275">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C97275">
              <w:rPr>
                <w:rFonts w:ascii="Georgia" w:hAnsi="Georgia"/>
                <w:sz w:val="20"/>
                <w:vertAlign w:val="superscript"/>
              </w:rPr>
              <w:t>2</w:t>
            </w:r>
            <w:r w:rsidRPr="00C97275">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5CDE2A87" w14:textId="6DA6D5EA" w:rsidR="0071393C" w:rsidRPr="00C97275"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0556A1" w:rsidRPr="00C97275" w14:paraId="0BADEEA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66AB8F4" w14:textId="77777777" w:rsidR="000556A1" w:rsidRPr="00C97275" w:rsidRDefault="000556A1" w:rsidP="00B042D4">
            <w:pPr>
              <w:rPr>
                <w:rFonts w:ascii="Georgia" w:hAnsi="Georgia"/>
                <w:b w:val="0"/>
                <w:sz w:val="20"/>
                <w:szCs w:val="20"/>
              </w:rPr>
            </w:pPr>
            <w:r w:rsidRPr="00C97275">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674636B7"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Paskolų ir garantijų priemonių atvejais galutiniams naudos gavėjams taikoma palūkanų norma 3 proc. Garantijų priemonės atveju numatoma bankams kompensuoti palūkanų skirtumą viršijantį 3 proc. palūkanų normą.</w:t>
            </w:r>
          </w:p>
        </w:tc>
      </w:tr>
      <w:tr w:rsidR="000556A1" w:rsidRPr="00C97275" w14:paraId="3A1C6D8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AA99D9E" w14:textId="73692C96" w:rsidR="000556A1" w:rsidRPr="00C97275" w:rsidRDefault="000556A1" w:rsidP="00B042D4">
            <w:pPr>
              <w:rPr>
                <w:rFonts w:ascii="Georgia" w:hAnsi="Georgia"/>
                <w:b w:val="0"/>
                <w:sz w:val="20"/>
                <w:szCs w:val="20"/>
              </w:rPr>
            </w:pPr>
            <w:r w:rsidRPr="00C97275">
              <w:rPr>
                <w:rFonts w:ascii="Georgia" w:hAnsi="Georgia"/>
                <w:sz w:val="20"/>
                <w:szCs w:val="20"/>
              </w:rPr>
              <w:t xml:space="preserve">Bankų palūkanos: </w:t>
            </w:r>
            <w:r w:rsidR="00BC5B4B" w:rsidRPr="00C97275">
              <w:rPr>
                <w:rFonts w:ascii="Georgia" w:hAnsi="Georgia"/>
                <w:sz w:val="20"/>
                <w:szCs w:val="20"/>
                <w:lang w:val="en-US"/>
              </w:rPr>
              <w:t>5,8</w:t>
            </w:r>
            <w:r w:rsidRPr="00C97275">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691A8991" w14:textId="6BE96C8E" w:rsidR="000556A1" w:rsidRPr="00C97275" w:rsidRDefault="00BC5B4B"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Daroma prielaida, jog, garantijų priemonės atveju, komercinių bankų fiksuota paskolų palūkanų norma (20-ies metų laikotarpiui) sudarys 5,8 proc. Ši palūkanų norma įvertinta remiantis šiais duomenimis:</w:t>
            </w:r>
            <w:r w:rsidRPr="00C97275">
              <w:rPr>
                <w:rFonts w:ascii="Georgia" w:hAnsi="Georgia"/>
                <w:sz w:val="20"/>
                <w:szCs w:val="20"/>
              </w:rPr>
              <w:br/>
              <w:t>1) Prognozuojamas suderintas vartotojų kainų indekso (SVKI) vidurkis Lietuvoje 2017-2019 (2,9%);</w:t>
            </w:r>
            <w:r w:rsidRPr="00C97275">
              <w:rPr>
                <w:rFonts w:ascii="Georgia" w:hAnsi="Georgia"/>
                <w:sz w:val="20"/>
                <w:szCs w:val="20"/>
              </w:rPr>
              <w:br/>
              <w:t xml:space="preserve">2) vidutinės Lietuvos Respublikos Vyriausybės obligacijų emisijos (2536 dienų trukmės) palūkanos 2014 rugsėjo mėnesį (0,8%); </w:t>
            </w:r>
            <w:r w:rsidRPr="00C97275">
              <w:rPr>
                <w:rFonts w:ascii="Georgia" w:hAnsi="Georgia"/>
                <w:sz w:val="20"/>
                <w:szCs w:val="20"/>
              </w:rPr>
              <w:br/>
              <w:t>3) Galima komercinių bankų marža (2,1%).</w:t>
            </w:r>
          </w:p>
        </w:tc>
      </w:tr>
      <w:tr w:rsidR="000556A1" w:rsidRPr="00C97275" w14:paraId="718B6F60"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5BE1EFC" w14:textId="77777777" w:rsidR="000556A1" w:rsidRPr="00C97275" w:rsidRDefault="000556A1" w:rsidP="00B042D4">
            <w:pPr>
              <w:rPr>
                <w:rFonts w:ascii="Georgia" w:hAnsi="Georgia"/>
                <w:sz w:val="20"/>
                <w:szCs w:val="20"/>
              </w:rPr>
            </w:pPr>
            <w:r w:rsidRPr="00C97275">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59B78C3A"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 xml:space="preserve"> 2007-2013 m. JESSICA KF grįžtančios lėšos (iki 2020 metų) sudaro apie 67,2 mln. eurų.</w:t>
            </w:r>
          </w:p>
        </w:tc>
      </w:tr>
      <w:tr w:rsidR="000556A1" w:rsidRPr="00C97275" w14:paraId="6ECB2F57"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D3C9BB5" w14:textId="77777777" w:rsidR="000556A1" w:rsidRPr="00C97275" w:rsidRDefault="000556A1" w:rsidP="00B042D4">
            <w:pPr>
              <w:rPr>
                <w:rFonts w:ascii="Georgia" w:hAnsi="Georgia"/>
                <w:b w:val="0"/>
                <w:sz w:val="20"/>
                <w:szCs w:val="20"/>
              </w:rPr>
            </w:pPr>
            <w:r w:rsidRPr="00C97275">
              <w:rPr>
                <w:rFonts w:ascii="Georgia" w:hAnsi="Georgia"/>
                <w:sz w:val="20"/>
                <w:szCs w:val="20"/>
              </w:rPr>
              <w:t xml:space="preserve">Investuojamų ESI fondų lėšų suma: 280,9 mln. </w:t>
            </w:r>
            <w:r w:rsidRPr="00C97275">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692E1C88" w14:textId="25B9CDD0" w:rsidR="000556A1" w:rsidRPr="00C97275" w:rsidRDefault="0071393C"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rPr>
              <w:t xml:space="preserve">Kaip numatyta Pradinėje ataskaitoje </w:t>
            </w:r>
            <w:r w:rsidR="000556A1" w:rsidRPr="00C97275">
              <w:rPr>
                <w:rFonts w:ascii="Georgia" w:hAnsi="Georgia"/>
                <w:sz w:val="20"/>
              </w:rPr>
              <w:t>280,9 mln. eurų 2014-2020 m. ESI fondų lėšų</w:t>
            </w:r>
            <w:r w:rsidR="000556A1" w:rsidRPr="00C97275">
              <w:rPr>
                <w:rFonts w:ascii="Georgia" w:hAnsi="Georgia"/>
                <w:sz w:val="20"/>
                <w:szCs w:val="20"/>
              </w:rPr>
              <w:t xml:space="preserve"> skirstomos, taip:</w:t>
            </w:r>
          </w:p>
          <w:p w14:paraId="29098CF0" w14:textId="77777777" w:rsidR="000556A1" w:rsidRPr="00C97275" w:rsidRDefault="000556A1" w:rsidP="000556A1">
            <w:pPr>
              <w:pStyle w:val="Sraopastraipa"/>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paskolų finansinei priemonei skiriama 200 mln. eurų  bei grįžtančios lėšos skiriamos paskolų finansinei priemonei;</w:t>
            </w:r>
          </w:p>
          <w:p w14:paraId="6E708C81" w14:textId="77777777" w:rsidR="000556A1" w:rsidRPr="00C97275" w:rsidRDefault="000556A1" w:rsidP="000556A1">
            <w:pPr>
              <w:pStyle w:val="Sraopastraipa"/>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garantijų finansinei priemonei skiriama 80,9 mln. eurų.</w:t>
            </w:r>
          </w:p>
        </w:tc>
      </w:tr>
      <w:tr w:rsidR="000556A1" w:rsidRPr="00C97275" w14:paraId="2FA52424"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3E40DD3" w14:textId="77777777" w:rsidR="000556A1" w:rsidRPr="00C97275" w:rsidRDefault="000556A1" w:rsidP="00B042D4">
            <w:pPr>
              <w:rPr>
                <w:rFonts w:ascii="Georgia" w:hAnsi="Georgia"/>
                <w:sz w:val="20"/>
                <w:szCs w:val="20"/>
              </w:rPr>
            </w:pPr>
            <w:r w:rsidRPr="00C97275">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14:paraId="5EF31CCF" w14:textId="08AF1679" w:rsidR="000556A1" w:rsidRPr="00C97275" w:rsidRDefault="000556A1">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 xml:space="preserve">Fondo garantiniams įsipareigojimams vykdyti rezervuojama 10% nuo garantinės priemonės atveju bankų suteiktų paskolų sumos galutiniams naudos gavėjams. </w:t>
            </w:r>
          </w:p>
        </w:tc>
      </w:tr>
      <w:tr w:rsidR="000556A1" w:rsidRPr="00C97275" w14:paraId="172136BA"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D6844FA" w14:textId="34695AC3" w:rsidR="000556A1" w:rsidRPr="00C97275" w:rsidRDefault="000556A1" w:rsidP="0071393C">
            <w:pPr>
              <w:jc w:val="both"/>
              <w:rPr>
                <w:rFonts w:ascii="Georgia" w:hAnsi="Georgia"/>
                <w:sz w:val="20"/>
              </w:rPr>
            </w:pPr>
            <w:r w:rsidRPr="00C97275">
              <w:rPr>
                <w:rFonts w:ascii="Georgia" w:hAnsi="Georgia"/>
                <w:sz w:val="20"/>
              </w:rPr>
              <w:lastRenderedPageBreak/>
              <w:t xml:space="preserve">Siektinas įgyvendinamų projektų skaičius: </w:t>
            </w:r>
            <w:r w:rsidR="0071393C" w:rsidRPr="00C97275">
              <w:rPr>
                <w:rFonts w:ascii="Georgia" w:hAnsi="Georgia"/>
                <w:sz w:val="20"/>
              </w:rPr>
              <w:t xml:space="preserve">340 </w:t>
            </w:r>
            <w:r w:rsidRPr="00C97275">
              <w:rPr>
                <w:rFonts w:ascii="Georgia" w:hAnsi="Georgia"/>
                <w:sz w:val="20"/>
              </w:rPr>
              <w:t>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542B2B19" w14:textId="48CBAA27" w:rsidR="000556A1" w:rsidRPr="00C97275" w:rsidRDefault="000556A1"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 xml:space="preserve">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w:t>
            </w:r>
            <w:r w:rsidR="0071393C" w:rsidRPr="00C97275">
              <w:rPr>
                <w:rFonts w:ascii="Georgia" w:hAnsi="Georgia"/>
                <w:sz w:val="20"/>
              </w:rPr>
              <w:t xml:space="preserve">340 </w:t>
            </w:r>
            <w:r w:rsidRPr="00C97275">
              <w:rPr>
                <w:rFonts w:ascii="Georgia" w:hAnsi="Georgia"/>
                <w:sz w:val="20"/>
              </w:rPr>
              <w:t>naujų projektų</w:t>
            </w:r>
            <w:r w:rsidR="0071393C" w:rsidRPr="00C97275">
              <w:rPr>
                <w:rFonts w:ascii="Georgia" w:hAnsi="Georgia"/>
                <w:sz w:val="20"/>
              </w:rPr>
              <w:t>, kurio kiekvieno invest</w:t>
            </w:r>
            <w:r w:rsidR="009B2CAB" w:rsidRPr="00C97275">
              <w:rPr>
                <w:rFonts w:ascii="Georgia" w:hAnsi="Georgia"/>
                <w:sz w:val="20"/>
              </w:rPr>
              <w:t>i</w:t>
            </w:r>
            <w:r w:rsidR="0071393C" w:rsidRPr="00C97275">
              <w:rPr>
                <w:rFonts w:ascii="Georgia" w:hAnsi="Georgia"/>
                <w:sz w:val="20"/>
              </w:rPr>
              <w:t>cijų vertė apie 330 tūkst. eurų.s</w:t>
            </w:r>
            <w:r w:rsidRPr="00C97275">
              <w:rPr>
                <w:rFonts w:ascii="Georgia" w:hAnsi="Georgia"/>
                <w:sz w:val="20"/>
              </w:rPr>
              <w:t>.</w:t>
            </w:r>
          </w:p>
        </w:tc>
      </w:tr>
      <w:tr w:rsidR="000556A1" w:rsidRPr="00C97275" w14:paraId="3042B00B"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03D2C79" w14:textId="77777777" w:rsidR="000556A1" w:rsidRPr="00C97275" w:rsidRDefault="000556A1" w:rsidP="00B042D4">
            <w:pPr>
              <w:rPr>
                <w:rFonts w:ascii="Georgia" w:hAnsi="Georgia"/>
                <w:sz w:val="20"/>
              </w:rPr>
            </w:pPr>
            <w:r w:rsidRPr="00C97275">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75E012EB" w14:textId="2A928325"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 xml:space="preserve">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w:t>
            </w:r>
            <w:r w:rsidR="00BC5B4B" w:rsidRPr="00C97275">
              <w:rPr>
                <w:rFonts w:ascii="Georgia" w:hAnsi="Georgia"/>
                <w:sz w:val="20"/>
                <w:szCs w:val="20"/>
              </w:rPr>
              <w:t>1,5 % programos įnašų, pagal Reglamento (ES) Nr. 1303/2013 42 straipsnio 1 dalies b punktą skirtų galiojančioms garantijų sutartims</w:t>
            </w:r>
          </w:p>
        </w:tc>
      </w:tr>
      <w:tr w:rsidR="000556A1" w:rsidRPr="00C97275" w14:paraId="4963F5EA"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968546A" w14:textId="77777777" w:rsidR="000556A1" w:rsidRPr="00C97275" w:rsidRDefault="000556A1" w:rsidP="00B042D4">
            <w:pPr>
              <w:rPr>
                <w:rFonts w:ascii="Georgia" w:hAnsi="Georgia"/>
                <w:b w:val="0"/>
                <w:sz w:val="20"/>
                <w:szCs w:val="20"/>
              </w:rPr>
            </w:pPr>
            <w:r w:rsidRPr="00C97275">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027B25C0" w14:textId="77777777"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Remiantis šiuo metu įgyvendinamų projektų duomenimis nustatyta vidutinė projekto įgyvendinimo trukmė – 1 metai nuo paskolos sutarties pasirašymo dienos.</w:t>
            </w:r>
          </w:p>
        </w:tc>
      </w:tr>
      <w:tr w:rsidR="000556A1" w:rsidRPr="00C97275" w14:paraId="1FDF76A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1ADDF092" w14:textId="77777777" w:rsidR="000556A1" w:rsidRPr="00C97275" w:rsidRDefault="000556A1" w:rsidP="00B042D4">
            <w:pPr>
              <w:rPr>
                <w:rFonts w:ascii="Georgia" w:hAnsi="Georgia"/>
                <w:b w:val="0"/>
                <w:sz w:val="20"/>
                <w:szCs w:val="20"/>
              </w:rPr>
            </w:pPr>
            <w:r w:rsidRPr="00C97275">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14:paraId="4F62E45C" w14:textId="77777777" w:rsidR="000556A1" w:rsidRPr="00C97275"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 xml:space="preserve">Daroma prielaida, jog grįžtančios lėšos pakartotinai panaudojamos projektų finansavimui tomis pačiomis sąlygomis po 2 metų. </w:t>
            </w:r>
          </w:p>
        </w:tc>
      </w:tr>
      <w:tr w:rsidR="000556A1" w:rsidRPr="00C97275" w14:paraId="608D6649"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5AD8180C" w14:textId="77777777" w:rsidR="000556A1" w:rsidRPr="00C97275" w:rsidRDefault="000556A1" w:rsidP="00B042D4">
            <w:pPr>
              <w:rPr>
                <w:rFonts w:ascii="Georgia" w:hAnsi="Georgia"/>
                <w:sz w:val="20"/>
              </w:rPr>
            </w:pPr>
            <w:r w:rsidRPr="00C97275">
              <w:rPr>
                <w:rFonts w:ascii="Georgia" w:hAnsi="Georgia"/>
                <w:sz w:val="20"/>
                <w:szCs w:val="20"/>
              </w:rPr>
              <w:t>Privataus investicinio fondo išperkamos paskolos: 70 %</w:t>
            </w:r>
          </w:p>
        </w:tc>
        <w:tc>
          <w:tcPr>
            <w:tcW w:w="3288" w:type="pct"/>
            <w:tcBorders>
              <w:top w:val="single" w:sz="6" w:space="0" w:color="C0504D" w:themeColor="accent2"/>
              <w:left w:val="single" w:sz="6" w:space="0" w:color="C0504D" w:themeColor="accent2"/>
            </w:tcBorders>
          </w:tcPr>
          <w:p w14:paraId="2F1F585B" w14:textId="51BDEB7F" w:rsidR="000556A1" w:rsidRPr="00C97275"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cs="Georgia"/>
                <w:sz w:val="20"/>
                <w:szCs w:val="20"/>
              </w:rPr>
              <w:t xml:space="preserve">Daroma prielaida, kad </w:t>
            </w:r>
            <w:r w:rsidR="00247D53" w:rsidRPr="00C97275">
              <w:rPr>
                <w:rFonts w:ascii="Georgia" w:hAnsi="Georgia" w:cs="Georgia"/>
                <w:sz w:val="20"/>
                <w:szCs w:val="20"/>
              </w:rPr>
              <w:t xml:space="preserve">susidarius tinkamai situacijai </w:t>
            </w:r>
            <w:r w:rsidRPr="00C97275">
              <w:rPr>
                <w:rFonts w:ascii="Georgia" w:hAnsi="Georgia" w:cs="Georgia"/>
                <w:sz w:val="20"/>
                <w:szCs w:val="20"/>
              </w:rPr>
              <w:t xml:space="preserve">privatus investicinis fondas galėtų išpirkti apie 70 proc. visų paskolų portfelio. </w:t>
            </w:r>
          </w:p>
        </w:tc>
      </w:tr>
    </w:tbl>
    <w:p w14:paraId="2B99E672" w14:textId="77777777" w:rsidR="000556A1" w:rsidRPr="00C97275" w:rsidRDefault="000556A1" w:rsidP="000556A1">
      <w:pPr>
        <w:rPr>
          <w:rFonts w:ascii="Georgia" w:hAnsi="Georgia"/>
          <w:sz w:val="20"/>
          <w:szCs w:val="20"/>
          <w:lang w:val="lt-LT"/>
        </w:rPr>
      </w:pPr>
    </w:p>
    <w:p w14:paraId="4A2A7AC8" w14:textId="406E2231" w:rsidR="000556A1" w:rsidRPr="00C97275" w:rsidRDefault="000556A1" w:rsidP="000556A1">
      <w:pPr>
        <w:pStyle w:val="Antrat"/>
        <w:jc w:val="both"/>
        <w:rPr>
          <w:szCs w:val="20"/>
          <w:lang w:val="lt-LT"/>
        </w:rPr>
      </w:pPr>
      <w:bookmarkStart w:id="191" w:name="_Toc19105273"/>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60</w:t>
      </w:r>
      <w:r w:rsidRPr="00C97275">
        <w:rPr>
          <w:lang w:val="lt-LT"/>
        </w:rPr>
        <w:fldChar w:fldCharType="end"/>
      </w:r>
      <w:r w:rsidRPr="00C97275">
        <w:rPr>
          <w:lang w:val="lt-LT"/>
        </w:rPr>
        <w:t xml:space="preserve">. Scenarijaus Nr. </w:t>
      </w:r>
      <w:r w:rsidR="00BC5B4B" w:rsidRPr="00C97275">
        <w:rPr>
          <w:lang w:val="lt-LT"/>
        </w:rPr>
        <w:t>5</w:t>
      </w:r>
      <w:r w:rsidRPr="00C97275">
        <w:rPr>
          <w:lang w:val="lt-LT"/>
        </w:rPr>
        <w:t xml:space="preserve"> </w:t>
      </w:r>
      <w:r w:rsidRPr="00C97275">
        <w:rPr>
          <w:szCs w:val="20"/>
          <w:lang w:val="lt-LT"/>
        </w:rPr>
        <w:t>paskolų finansinės priemonės įgyvendinimo prognozė</w:t>
      </w:r>
      <w:bookmarkEnd w:id="191"/>
    </w:p>
    <w:p w14:paraId="5AB51C8D" w14:textId="147A0233" w:rsidR="000556A1" w:rsidRPr="00C97275" w:rsidRDefault="000556A1" w:rsidP="000556A1">
      <w:pPr>
        <w:pStyle w:val="Antrat"/>
        <w:jc w:val="both"/>
        <w:rPr>
          <w:lang w:val="lt-LT"/>
        </w:rPr>
      </w:pPr>
    </w:p>
    <w:p w14:paraId="71153B84" w14:textId="79C6A036" w:rsidR="000556A1" w:rsidRPr="00C97275" w:rsidRDefault="0071393C" w:rsidP="000556A1">
      <w:pPr>
        <w:rPr>
          <w:rFonts w:ascii="Georgia" w:hAnsi="Georgia"/>
          <w:lang w:val="lt-LT"/>
        </w:rPr>
      </w:pPr>
      <w:r w:rsidRPr="00C97275">
        <w:rPr>
          <w:rFonts w:ascii="Georgia" w:hAnsi="Georgia"/>
          <w:noProof/>
          <w:lang w:val="lt-LT" w:eastAsia="lt-LT"/>
        </w:rPr>
        <w:drawing>
          <wp:inline distT="0" distB="0" distL="0" distR="0" wp14:anchorId="53FD3951" wp14:editId="74C1D78D">
            <wp:extent cx="6107502" cy="3386666"/>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3017" cy="3389724"/>
                    </a:xfrm>
                    <a:prstGeom prst="rect">
                      <a:avLst/>
                    </a:prstGeom>
                  </pic:spPr>
                </pic:pic>
              </a:graphicData>
            </a:graphic>
          </wp:inline>
        </w:drawing>
      </w:r>
    </w:p>
    <w:p w14:paraId="56991F2D" w14:textId="6ACA2E19" w:rsidR="000556A1" w:rsidRPr="00C97275" w:rsidRDefault="000556A1" w:rsidP="000556A1">
      <w:pPr>
        <w:pStyle w:val="Antrat"/>
        <w:jc w:val="both"/>
        <w:rPr>
          <w:szCs w:val="20"/>
          <w:lang w:val="lt-LT"/>
        </w:rPr>
      </w:pPr>
      <w:bookmarkStart w:id="192" w:name="_Toc19105274"/>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61</w:t>
      </w:r>
      <w:r w:rsidRPr="00C97275">
        <w:rPr>
          <w:lang w:val="lt-LT"/>
        </w:rPr>
        <w:fldChar w:fldCharType="end"/>
      </w:r>
      <w:r w:rsidRPr="00C97275">
        <w:rPr>
          <w:lang w:val="lt-LT"/>
        </w:rPr>
        <w:t xml:space="preserve">. Scenarijaus Nr. </w:t>
      </w:r>
      <w:r w:rsidR="00BC5B4B" w:rsidRPr="00C97275">
        <w:rPr>
          <w:lang w:val="lt-LT"/>
        </w:rPr>
        <w:t>5</w:t>
      </w:r>
      <w:r w:rsidRPr="00C97275">
        <w:rPr>
          <w:lang w:val="lt-LT"/>
        </w:rPr>
        <w:t xml:space="preserve"> g</w:t>
      </w:r>
      <w:r w:rsidRPr="00C97275">
        <w:rPr>
          <w:szCs w:val="20"/>
          <w:lang w:val="lt-LT"/>
        </w:rPr>
        <w:t>arantijų finansinės priemonės įgyvendinimo prognozė</w:t>
      </w:r>
      <w:bookmarkEnd w:id="192"/>
    </w:p>
    <w:p w14:paraId="4B4DF4A9" w14:textId="1D281221" w:rsidR="000556A1" w:rsidRPr="00C97275" w:rsidRDefault="000556A1" w:rsidP="000556A1">
      <w:pPr>
        <w:rPr>
          <w:rFonts w:ascii="Georgia" w:hAnsi="Georgia"/>
          <w:color w:val="1F497D"/>
          <w:lang w:val="lt-LT"/>
        </w:rPr>
      </w:pPr>
    </w:p>
    <w:p w14:paraId="5C7A76FB" w14:textId="25DC11E8" w:rsidR="0071393C" w:rsidRPr="00C97275" w:rsidRDefault="0071393C" w:rsidP="000556A1">
      <w:pPr>
        <w:rPr>
          <w:rFonts w:ascii="Georgia" w:hAnsi="Georgia"/>
          <w:color w:val="1F497D"/>
          <w:lang w:val="lt-LT"/>
        </w:rPr>
      </w:pPr>
      <w:r w:rsidRPr="00C97275">
        <w:rPr>
          <w:rFonts w:ascii="Georgia" w:hAnsi="Georgia"/>
          <w:noProof/>
          <w:lang w:val="lt-LT" w:eastAsia="lt-LT"/>
        </w:rPr>
        <w:lastRenderedPageBreak/>
        <w:drawing>
          <wp:inline distT="0" distB="0" distL="0" distR="0" wp14:anchorId="06A7CA26" wp14:editId="1A8EAF88">
            <wp:extent cx="6083629" cy="29548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87644" cy="2956817"/>
                    </a:xfrm>
                    <a:prstGeom prst="rect">
                      <a:avLst/>
                    </a:prstGeom>
                  </pic:spPr>
                </pic:pic>
              </a:graphicData>
            </a:graphic>
          </wp:inline>
        </w:drawing>
      </w:r>
    </w:p>
    <w:p w14:paraId="183D45D2" w14:textId="77777777" w:rsidR="0071393C" w:rsidRPr="00C97275" w:rsidRDefault="0071393C" w:rsidP="000556A1">
      <w:pPr>
        <w:rPr>
          <w:rFonts w:ascii="Georgia" w:hAnsi="Georgia"/>
          <w:color w:val="1F497D"/>
          <w:lang w:val="lt-LT"/>
        </w:rPr>
      </w:pPr>
    </w:p>
    <w:p w14:paraId="08AFE624" w14:textId="71CFFCAB" w:rsidR="000556A1" w:rsidRPr="00C97275" w:rsidRDefault="000556A1" w:rsidP="000556A1">
      <w:pPr>
        <w:pStyle w:val="Antrat"/>
        <w:rPr>
          <w:szCs w:val="20"/>
          <w:lang w:val="lt-LT"/>
        </w:rPr>
      </w:pPr>
      <w:bookmarkStart w:id="193" w:name="_Toc19105275"/>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62</w:t>
      </w:r>
      <w:r w:rsidRPr="00C97275">
        <w:rPr>
          <w:lang w:val="lt-LT"/>
        </w:rPr>
        <w:fldChar w:fldCharType="end"/>
      </w:r>
      <w:r w:rsidRPr="00C97275">
        <w:rPr>
          <w:lang w:val="lt-LT"/>
        </w:rPr>
        <w:t xml:space="preserve">. </w:t>
      </w:r>
      <w:r w:rsidRPr="00C97275">
        <w:rPr>
          <w:szCs w:val="20"/>
          <w:lang w:val="lt-LT"/>
        </w:rPr>
        <w:t xml:space="preserve">Scenarijaus Nr. </w:t>
      </w:r>
      <w:r w:rsidR="00BC5B4B" w:rsidRPr="00C97275">
        <w:rPr>
          <w:szCs w:val="20"/>
          <w:lang w:val="lt-LT"/>
        </w:rPr>
        <w:t>5</w:t>
      </w:r>
      <w:r w:rsidRPr="00C97275">
        <w:rPr>
          <w:szCs w:val="20"/>
          <w:lang w:val="lt-LT"/>
        </w:rPr>
        <w:t xml:space="preserve"> rezultatai</w:t>
      </w:r>
      <w:bookmarkEnd w:id="193"/>
    </w:p>
    <w:tbl>
      <w:tblPr>
        <w:tblStyle w:val="viesussraas2parykinimas"/>
        <w:tblW w:w="5000" w:type="pct"/>
        <w:tblLook w:val="04A0" w:firstRow="1" w:lastRow="0" w:firstColumn="1" w:lastColumn="0" w:noHBand="0" w:noVBand="1"/>
      </w:tblPr>
      <w:tblGrid>
        <w:gridCol w:w="7053"/>
        <w:gridCol w:w="2189"/>
      </w:tblGrid>
      <w:tr w:rsidR="000556A1" w:rsidRPr="00C97275" w14:paraId="39B29A58" w14:textId="77777777" w:rsidTr="00A23E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6" w:type="pct"/>
            <w:tcBorders>
              <w:top w:val="single" w:sz="8" w:space="0" w:color="C0504D" w:themeColor="accent2"/>
              <w:left w:val="single" w:sz="8" w:space="0" w:color="C0504D" w:themeColor="accent2"/>
              <w:bottom w:val="nil"/>
              <w:right w:val="nil"/>
            </w:tcBorders>
            <w:hideMark/>
          </w:tcPr>
          <w:p w14:paraId="5F1CB863" w14:textId="77777777" w:rsidR="000556A1" w:rsidRPr="00C97275" w:rsidRDefault="000556A1" w:rsidP="00A23E59">
            <w:pPr>
              <w:keepNext/>
              <w:rPr>
                <w:rFonts w:ascii="Georgia" w:hAnsi="Georgia"/>
                <w:sz w:val="20"/>
                <w:szCs w:val="20"/>
              </w:rPr>
            </w:pPr>
            <w:r w:rsidRPr="00C97275">
              <w:rPr>
                <w:rFonts w:ascii="Georgia" w:hAnsi="Georgia"/>
                <w:sz w:val="20"/>
                <w:szCs w:val="20"/>
              </w:rPr>
              <w:t>Fondas</w:t>
            </w:r>
          </w:p>
        </w:tc>
        <w:tc>
          <w:tcPr>
            <w:tcW w:w="1184" w:type="pct"/>
            <w:tcBorders>
              <w:top w:val="single" w:sz="8" w:space="0" w:color="C0504D" w:themeColor="accent2"/>
              <w:left w:val="nil"/>
              <w:bottom w:val="nil"/>
              <w:right w:val="single" w:sz="8" w:space="0" w:color="C0504D" w:themeColor="accent2"/>
            </w:tcBorders>
            <w:hideMark/>
          </w:tcPr>
          <w:p w14:paraId="6BDA887A" w14:textId="395E1D38" w:rsidR="000556A1" w:rsidRPr="00C97275" w:rsidRDefault="00A23E59" w:rsidP="00A23E59">
            <w:pPr>
              <w:keepNext/>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Reikšmė</w:t>
            </w:r>
          </w:p>
        </w:tc>
      </w:tr>
      <w:tr w:rsidR="000556A1" w:rsidRPr="00C97275" w14:paraId="750F0C16" w14:textId="77777777" w:rsidTr="00A2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right w:val="nil"/>
            </w:tcBorders>
            <w:hideMark/>
          </w:tcPr>
          <w:p w14:paraId="13D7FCB6" w14:textId="757F9B73" w:rsidR="000556A1" w:rsidRPr="00C97275" w:rsidRDefault="000556A1" w:rsidP="00B042D4">
            <w:pPr>
              <w:rPr>
                <w:rFonts w:ascii="Georgia" w:hAnsi="Georgia"/>
                <w:sz w:val="20"/>
                <w:szCs w:val="20"/>
              </w:rPr>
            </w:pPr>
            <w:r w:rsidRPr="00C97275">
              <w:rPr>
                <w:rFonts w:ascii="Georgia" w:hAnsi="Georgia"/>
                <w:sz w:val="20"/>
                <w:szCs w:val="20"/>
              </w:rPr>
              <w:t>Galutinius naudos gavėjus pasiekusios lėšos</w:t>
            </w:r>
            <w:r w:rsidR="00A23E59" w:rsidRPr="00C97275">
              <w:rPr>
                <w:rFonts w:ascii="Georgia" w:hAnsi="Georgia"/>
                <w:sz w:val="20"/>
                <w:szCs w:val="20"/>
              </w:rPr>
              <w:t>, mln. eurų</w:t>
            </w:r>
          </w:p>
        </w:tc>
        <w:tc>
          <w:tcPr>
            <w:tcW w:w="1184" w:type="pct"/>
            <w:tcBorders>
              <w:left w:val="nil"/>
            </w:tcBorders>
            <w:hideMark/>
          </w:tcPr>
          <w:p w14:paraId="60068451" w14:textId="77777777" w:rsidR="000556A1" w:rsidRPr="00C97275" w:rsidRDefault="000556A1"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502,3+ 161,8 = 664,1</w:t>
            </w:r>
          </w:p>
        </w:tc>
      </w:tr>
      <w:tr w:rsidR="000556A1" w:rsidRPr="00C97275" w14:paraId="73B93A84" w14:textId="77777777" w:rsidTr="00A23E59">
        <w:tc>
          <w:tcPr>
            <w:cnfStyle w:val="001000000000" w:firstRow="0" w:lastRow="0" w:firstColumn="1" w:lastColumn="0" w:oddVBand="0" w:evenVBand="0" w:oddHBand="0" w:evenHBand="0" w:firstRowFirstColumn="0" w:firstRowLastColumn="0" w:lastRowFirstColumn="0" w:lastRowLastColumn="0"/>
            <w:tcW w:w="3816" w:type="pct"/>
            <w:tcBorders>
              <w:top w:val="nil"/>
              <w:left w:val="single" w:sz="8" w:space="0" w:color="C0504D" w:themeColor="accent2"/>
              <w:bottom w:val="nil"/>
              <w:right w:val="nil"/>
            </w:tcBorders>
            <w:hideMark/>
          </w:tcPr>
          <w:p w14:paraId="5D4FA113" w14:textId="0D024A60" w:rsidR="000556A1" w:rsidRPr="00C97275" w:rsidRDefault="000556A1" w:rsidP="00B042D4">
            <w:pPr>
              <w:rPr>
                <w:rFonts w:ascii="Georgia" w:hAnsi="Georgia"/>
                <w:b w:val="0"/>
                <w:sz w:val="20"/>
                <w:szCs w:val="20"/>
              </w:rPr>
            </w:pPr>
            <w:r w:rsidRPr="00C97275">
              <w:rPr>
                <w:rFonts w:ascii="Georgia" w:hAnsi="Georgia"/>
                <w:sz w:val="20"/>
                <w:szCs w:val="20"/>
              </w:rPr>
              <w:t>Į fondą grįžusios paskolos lėšos iki 2019 metų (įskaitant subsidijas bei iš JESSICA KF grįžtančias lėšas)</w:t>
            </w:r>
            <w:r w:rsidR="00A23E59" w:rsidRPr="00C97275">
              <w:rPr>
                <w:rFonts w:ascii="Georgia" w:hAnsi="Georgia"/>
                <w:sz w:val="20"/>
                <w:szCs w:val="20"/>
              </w:rPr>
              <w:t>, mln. eurų</w:t>
            </w:r>
          </w:p>
        </w:tc>
        <w:tc>
          <w:tcPr>
            <w:tcW w:w="1184" w:type="pct"/>
            <w:tcBorders>
              <w:top w:val="nil"/>
              <w:left w:val="nil"/>
              <w:bottom w:val="nil"/>
              <w:right w:val="single" w:sz="8" w:space="0" w:color="C0504D" w:themeColor="accent2"/>
            </w:tcBorders>
            <w:hideMark/>
          </w:tcPr>
          <w:p w14:paraId="52E3441F" w14:textId="77777777" w:rsidR="000556A1" w:rsidRPr="00C97275" w:rsidRDefault="000556A1" w:rsidP="00A23E59">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148,6</w:t>
            </w:r>
          </w:p>
        </w:tc>
      </w:tr>
      <w:tr w:rsidR="000556A1" w:rsidRPr="00C97275" w14:paraId="65AB6F0D" w14:textId="77777777" w:rsidTr="00A2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right w:val="nil"/>
            </w:tcBorders>
            <w:hideMark/>
          </w:tcPr>
          <w:p w14:paraId="2406D151" w14:textId="3265652D" w:rsidR="000556A1" w:rsidRPr="00C97275" w:rsidRDefault="000556A1" w:rsidP="00B042D4">
            <w:pPr>
              <w:rPr>
                <w:rFonts w:ascii="Georgia" w:hAnsi="Georgia"/>
                <w:sz w:val="20"/>
                <w:szCs w:val="20"/>
              </w:rPr>
            </w:pPr>
            <w:r w:rsidRPr="00C97275">
              <w:rPr>
                <w:rFonts w:ascii="Georgia" w:hAnsi="Georgia"/>
                <w:sz w:val="20"/>
                <w:szCs w:val="20"/>
              </w:rPr>
              <w:t>Komercinių bankų išmokėtos lėšos</w:t>
            </w:r>
            <w:r w:rsidR="00A23E59" w:rsidRPr="00C97275">
              <w:rPr>
                <w:rFonts w:ascii="Georgia" w:hAnsi="Georgia"/>
                <w:sz w:val="20"/>
                <w:szCs w:val="20"/>
              </w:rPr>
              <w:t>, mln. eurų</w:t>
            </w:r>
          </w:p>
        </w:tc>
        <w:tc>
          <w:tcPr>
            <w:tcW w:w="1184" w:type="pct"/>
            <w:tcBorders>
              <w:left w:val="nil"/>
            </w:tcBorders>
            <w:hideMark/>
          </w:tcPr>
          <w:p w14:paraId="3498D18A" w14:textId="77777777" w:rsidR="000556A1" w:rsidRPr="00C97275" w:rsidRDefault="000556A1"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137,5</w:t>
            </w:r>
          </w:p>
        </w:tc>
      </w:tr>
      <w:tr w:rsidR="000556A1" w:rsidRPr="00C97275" w14:paraId="56974C98" w14:textId="77777777" w:rsidTr="00A23E59">
        <w:tc>
          <w:tcPr>
            <w:cnfStyle w:val="001000000000" w:firstRow="0" w:lastRow="0" w:firstColumn="1" w:lastColumn="0" w:oddVBand="0" w:evenVBand="0" w:oddHBand="0" w:evenHBand="0" w:firstRowFirstColumn="0" w:firstRowLastColumn="0" w:lastRowFirstColumn="0" w:lastRowLastColumn="0"/>
            <w:tcW w:w="3816" w:type="pct"/>
            <w:tcBorders>
              <w:top w:val="nil"/>
              <w:left w:val="single" w:sz="8" w:space="0" w:color="C0504D" w:themeColor="accent2"/>
              <w:bottom w:val="nil"/>
              <w:right w:val="nil"/>
            </w:tcBorders>
          </w:tcPr>
          <w:p w14:paraId="7CD03058" w14:textId="6D36AAC4" w:rsidR="000556A1" w:rsidRPr="00C97275" w:rsidRDefault="000556A1" w:rsidP="00B042D4">
            <w:pPr>
              <w:rPr>
                <w:rFonts w:ascii="Georgia" w:hAnsi="Georgia"/>
                <w:sz w:val="20"/>
                <w:szCs w:val="20"/>
              </w:rPr>
            </w:pPr>
            <w:r w:rsidRPr="00C97275">
              <w:rPr>
                <w:rFonts w:ascii="Georgia" w:hAnsi="Georgia"/>
                <w:sz w:val="20"/>
                <w:szCs w:val="20"/>
              </w:rPr>
              <w:t>Privataus investicinio fondo nupirktos paskolos iki 2019 metų</w:t>
            </w:r>
            <w:r w:rsidR="00A23E59" w:rsidRPr="00C97275">
              <w:rPr>
                <w:rFonts w:ascii="Georgia" w:hAnsi="Georgia"/>
                <w:sz w:val="20"/>
                <w:szCs w:val="20"/>
              </w:rPr>
              <w:t xml:space="preserve">, </w:t>
            </w:r>
            <w:r w:rsidR="00D9139B" w:rsidRPr="00C97275">
              <w:rPr>
                <w:rFonts w:ascii="Georgia" w:hAnsi="Georgia"/>
                <w:sz w:val="20"/>
                <w:szCs w:val="20"/>
              </w:rPr>
              <w:t>mln. eurų</w:t>
            </w:r>
          </w:p>
        </w:tc>
        <w:tc>
          <w:tcPr>
            <w:tcW w:w="1184" w:type="pct"/>
            <w:tcBorders>
              <w:top w:val="nil"/>
              <w:left w:val="nil"/>
              <w:bottom w:val="nil"/>
              <w:right w:val="single" w:sz="8" w:space="0" w:color="C0504D" w:themeColor="accent2"/>
            </w:tcBorders>
          </w:tcPr>
          <w:p w14:paraId="59DB8C04" w14:textId="77777777" w:rsidR="000556A1" w:rsidRPr="00C97275" w:rsidRDefault="000556A1" w:rsidP="00A23E59">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124,4</w:t>
            </w:r>
          </w:p>
        </w:tc>
      </w:tr>
      <w:tr w:rsidR="000556A1" w:rsidRPr="00C97275" w14:paraId="252A18C4" w14:textId="77777777" w:rsidTr="00A2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right w:val="nil"/>
            </w:tcBorders>
          </w:tcPr>
          <w:p w14:paraId="05624694" w14:textId="77777777" w:rsidR="000556A1" w:rsidRPr="00C97275" w:rsidRDefault="000556A1" w:rsidP="00B042D4">
            <w:pPr>
              <w:rPr>
                <w:rFonts w:ascii="Georgia" w:hAnsi="Georgia"/>
                <w:sz w:val="20"/>
                <w:szCs w:val="20"/>
              </w:rPr>
            </w:pPr>
            <w:r w:rsidRPr="00C97275">
              <w:rPr>
                <w:rFonts w:ascii="Georgia" w:hAnsi="Georgia"/>
                <w:sz w:val="20"/>
                <w:szCs w:val="20"/>
              </w:rPr>
              <w:t>Renovuotų pastatų skaičius</w:t>
            </w:r>
          </w:p>
        </w:tc>
        <w:tc>
          <w:tcPr>
            <w:tcW w:w="1184" w:type="pct"/>
            <w:tcBorders>
              <w:left w:val="nil"/>
            </w:tcBorders>
          </w:tcPr>
          <w:p w14:paraId="263A49B3" w14:textId="18370C08" w:rsidR="000556A1" w:rsidRPr="00C97275" w:rsidRDefault="003028C4"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1</w:t>
            </w:r>
            <w:r w:rsidR="00D876D9" w:rsidRPr="00C97275">
              <w:rPr>
                <w:rFonts w:ascii="Georgia" w:hAnsi="Georgia"/>
                <w:sz w:val="20"/>
                <w:szCs w:val="20"/>
              </w:rPr>
              <w:t xml:space="preserve"> </w:t>
            </w:r>
            <w:r w:rsidRPr="00C97275">
              <w:rPr>
                <w:rFonts w:ascii="Georgia" w:hAnsi="Georgia"/>
                <w:sz w:val="20"/>
                <w:szCs w:val="20"/>
              </w:rPr>
              <w:t xml:space="preserve">522+491 </w:t>
            </w:r>
            <w:r w:rsidRPr="00C97275">
              <w:rPr>
                <w:rFonts w:ascii="Georgia" w:hAnsi="Georgia"/>
                <w:sz w:val="20"/>
                <w:szCs w:val="20"/>
                <w:lang w:val="en-US"/>
              </w:rPr>
              <w:t>=</w:t>
            </w:r>
            <w:r w:rsidRPr="00C97275">
              <w:rPr>
                <w:rFonts w:ascii="Georgia" w:hAnsi="Georgia"/>
                <w:sz w:val="20"/>
                <w:szCs w:val="20"/>
              </w:rPr>
              <w:t>2</w:t>
            </w:r>
            <w:r w:rsidR="00D876D9" w:rsidRPr="00C97275">
              <w:rPr>
                <w:rFonts w:ascii="Georgia" w:hAnsi="Georgia"/>
                <w:sz w:val="20"/>
                <w:szCs w:val="20"/>
              </w:rPr>
              <w:t xml:space="preserve"> </w:t>
            </w:r>
            <w:r w:rsidRPr="00C97275">
              <w:rPr>
                <w:rFonts w:ascii="Georgia" w:hAnsi="Georgia"/>
                <w:sz w:val="20"/>
                <w:szCs w:val="20"/>
              </w:rPr>
              <w:t>013</w:t>
            </w:r>
          </w:p>
        </w:tc>
      </w:tr>
    </w:tbl>
    <w:p w14:paraId="15BE94E4" w14:textId="7A50C9F6" w:rsidR="00AC15D5" w:rsidRPr="00C97275" w:rsidRDefault="00AC15D5" w:rsidP="000556A1">
      <w:pPr>
        <w:rPr>
          <w:rFonts w:ascii="Georgia" w:hAnsi="Georgia"/>
          <w:sz w:val="20"/>
          <w:szCs w:val="20"/>
          <w:lang w:val="lt-LT"/>
        </w:rPr>
      </w:pPr>
    </w:p>
    <w:p w14:paraId="3FEB3570" w14:textId="7D7CE344" w:rsidR="00AC15D5" w:rsidRPr="00C97275" w:rsidRDefault="00AC15D5" w:rsidP="00AC15D5">
      <w:pPr>
        <w:keepNext/>
        <w:rPr>
          <w:rFonts w:ascii="Georgia" w:hAnsi="Georgia"/>
          <w:b/>
          <w:i/>
          <w:sz w:val="28"/>
          <w:szCs w:val="28"/>
          <w:lang w:val="lt-LT"/>
        </w:rPr>
      </w:pPr>
      <w:r w:rsidRPr="00C97275">
        <w:rPr>
          <w:rFonts w:ascii="Georgia" w:hAnsi="Georgia"/>
          <w:b/>
          <w:i/>
          <w:sz w:val="28"/>
          <w:szCs w:val="28"/>
          <w:lang w:val="lt-LT"/>
        </w:rPr>
        <w:t xml:space="preserve">Scenarijus Nr. 6: </w:t>
      </w:r>
      <w:r w:rsidR="00861A5D" w:rsidRPr="00C97275">
        <w:rPr>
          <w:rFonts w:ascii="Georgia" w:hAnsi="Georgia"/>
          <w:b/>
          <w:i/>
          <w:sz w:val="28"/>
          <w:szCs w:val="28"/>
          <w:lang w:val="lt-LT"/>
        </w:rPr>
        <w:t>Modernizavimo paskolų teikimas per platformą</w:t>
      </w:r>
      <w:r w:rsidRPr="00C97275" w:rsidDel="00AD7E1C">
        <w:rPr>
          <w:rFonts w:ascii="Georgia" w:hAnsi="Georgia"/>
          <w:b/>
          <w:i/>
          <w:sz w:val="28"/>
          <w:szCs w:val="28"/>
          <w:lang w:val="lt-LT"/>
        </w:rPr>
        <w:t xml:space="preserve"> </w:t>
      </w:r>
    </w:p>
    <w:p w14:paraId="222A126E" w14:textId="3BB23C14" w:rsidR="00D13E15" w:rsidRPr="00C97275" w:rsidRDefault="00D13E15" w:rsidP="00553F5A">
      <w:pPr>
        <w:keepNext/>
        <w:jc w:val="both"/>
        <w:rPr>
          <w:rFonts w:ascii="Georgia" w:eastAsia="PMingLiU" w:hAnsi="Georgia" w:cs="Times New Roman"/>
          <w:sz w:val="20"/>
          <w:szCs w:val="20"/>
          <w:lang w:val="lt-LT"/>
        </w:rPr>
      </w:pPr>
      <w:r w:rsidRPr="00C97275">
        <w:rPr>
          <w:rFonts w:ascii="Georgia" w:eastAsia="PMingLiU" w:hAnsi="Georgia" w:cs="Times New Roman"/>
          <w:sz w:val="20"/>
          <w:szCs w:val="20"/>
          <w:lang w:val="lt-LT"/>
        </w:rPr>
        <w:t>Asimetrinis rizikų pasidalijimo modelis taikomas siekiant pritraukti papildomą privačių investuotojų finansavimą, išlaikant aukštą sverto efektą. Šiame scenarijuje ESI fondų lėšos yra nukreipiamos į naujai sukurtą juridinio asmens statusą turinčią paskolų teikimo platformą, veikiančią suformuojant tris nuostolių ir rizikos pasidalinimo lygius.</w:t>
      </w:r>
    </w:p>
    <w:p w14:paraId="1DA165B8" w14:textId="3FB7A7F4" w:rsidR="00D13E15" w:rsidRPr="00C97275" w:rsidRDefault="00D13E15" w:rsidP="00553F5A">
      <w:pPr>
        <w:keepNext/>
        <w:jc w:val="both"/>
        <w:rPr>
          <w:rFonts w:ascii="Georgia" w:eastAsia="PMingLiU" w:hAnsi="Georgia" w:cs="Times New Roman"/>
          <w:sz w:val="20"/>
          <w:szCs w:val="20"/>
          <w:lang w:val="lt-LT"/>
        </w:rPr>
      </w:pPr>
      <w:r w:rsidRPr="00C97275">
        <w:rPr>
          <w:rFonts w:ascii="Georgia" w:eastAsia="PMingLiU" w:hAnsi="Georgia" w:cs="Times New Roman"/>
          <w:sz w:val="20"/>
          <w:szCs w:val="20"/>
          <w:lang w:val="lt-LT"/>
        </w:rPr>
        <w:t>Paskolų teikimo platformą pagal naują Scenarijų Nr. 6 galėtų kontroliuoti Fondų fondo valdytojo atrinktas finansinis tarpininkas („Finansinis tarpininkas“). ESI fondų lėšos būtų naudojamos formuojant šio juridinio asmens kapitalą ir būtų skirtos pirmo nuostolio padengimui (pirmo nuostolio padengimo lygio lėšos). Atrinktam Finansiniam tarpininkui taip pat galėtų būti taikomas reikalavimas prisidėti nuosavomis lėšomis formuojant šio juridinio asmens (platformos) kapitalą. Finansinio tarpininko nuosavos lėšos taip pat būtų naudojamos pirmo nuostolio padengimui, t.y. būtų vertinamos kaip prisiimančios didžiausią riziką.</w:t>
      </w:r>
    </w:p>
    <w:p w14:paraId="44C7B8B3" w14:textId="6FDB9C6F" w:rsidR="00D13E15" w:rsidRPr="00C97275" w:rsidRDefault="00D13E15" w:rsidP="00553F5A">
      <w:pPr>
        <w:pStyle w:val="Antrat"/>
        <w:jc w:val="both"/>
        <w:rPr>
          <w:color w:val="auto"/>
          <w:lang w:val="lt-LT"/>
        </w:rPr>
      </w:pPr>
      <w:r w:rsidRPr="00C97275">
        <w:rPr>
          <w:b w:val="0"/>
          <w:bCs w:val="0"/>
          <w:color w:val="auto"/>
          <w:szCs w:val="20"/>
          <w:lang w:val="lt-LT"/>
        </w:rPr>
        <w:t xml:space="preserve">Siekiant pritraukti privačius investuotojus, paskolų teikimo platformos antro nuostolio padengimo lėšų sluoksnis galėtų būti formuojamas iš tarptautinių finansinių institucijų paskolų naujai sukurtam juridiniam asmeniui, tokiu būdu užtikrinant paskolų teikimo platformos veikimo stabilumą ir patikimumą bei gerą reputaciją. Atitinkamai privačių skolintojų lėšos sudarytų trečią, mažiausiai rizikingą, nuostolio padengimo sluoksnį ir nereikalautų nei papildomų administracinių, nei techninių </w:t>
      </w:r>
      <w:r w:rsidRPr="00C97275">
        <w:rPr>
          <w:b w:val="0"/>
          <w:bCs w:val="0"/>
          <w:color w:val="auto"/>
          <w:szCs w:val="20"/>
          <w:lang w:val="lt-LT"/>
        </w:rPr>
        <w:lastRenderedPageBreak/>
        <w:t xml:space="preserve">sprendimų ar kaštų, nes atitiktų finansų įstaigų kasdienės veiklos – paskolų teikimo projektų finansavimui – modelį. </w:t>
      </w:r>
      <w:r w:rsidR="00AC15D5" w:rsidRPr="00C97275">
        <w:rPr>
          <w:noProof/>
          <w:color w:val="auto"/>
          <w:lang w:val="lt-LT" w:eastAsia="lt-LT"/>
        </w:rPr>
        <mc:AlternateContent>
          <mc:Choice Requires="wps">
            <w:drawing>
              <wp:anchor distT="0" distB="0" distL="114300" distR="114300" simplePos="0" relativeHeight="251719168" behindDoc="0" locked="0" layoutInCell="1" allowOverlap="1" wp14:anchorId="7B8D3BA7" wp14:editId="0766CFD7">
                <wp:simplePos x="0" y="0"/>
                <wp:positionH relativeFrom="column">
                  <wp:posOffset>2049780</wp:posOffset>
                </wp:positionH>
                <wp:positionV relativeFrom="paragraph">
                  <wp:posOffset>194945</wp:posOffset>
                </wp:positionV>
                <wp:extent cx="2042160" cy="5181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42160" cy="518160"/>
                        </a:xfrm>
                        <a:prstGeom prst="rect">
                          <a:avLst/>
                        </a:prstGeom>
                        <a:solidFill>
                          <a:schemeClr val="lt1"/>
                        </a:solidFill>
                        <a:ln w="6350">
                          <a:noFill/>
                        </a:ln>
                      </wps:spPr>
                      <wps:txbx>
                        <w:txbxContent>
                          <w:p w14:paraId="541DD077" w14:textId="77777777" w:rsidR="00D1128E" w:rsidRPr="00ED5553" w:rsidRDefault="00D1128E" w:rsidP="00AC15D5">
                            <w:pPr>
                              <w:jc w:val="center"/>
                              <w:rPr>
                                <w:rFonts w:ascii="Georgia" w:hAnsi="Georgia"/>
                                <w:lang w:val="lt-L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91" type="#_x0000_t202" style="position:absolute;left:0;text-align:left;margin-left:161.4pt;margin-top:15.35pt;width:160.8pt;height:40.8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" fillcolor="white [3201]" stroked="f" strokeweight=".5pt">
                <v:textbox inset="0,0,0,0">
                  <w:txbxContent>
                    <w:p w14:paraId="541DD077" w14:textId="77777777" w:rsidR="00D1128E" w:rsidRPr="00ED5553" w:rsidRDefault="00D1128E" w:rsidP="00AC15D5">
                      <w:pPr>
                        <w:jc w:val="center"/>
                        <w:rPr>
                          <w:rFonts w:ascii="Georgia" w:hAnsi="Georgia"/>
                          <w:lang w:val="lt-LT"/>
                        </w:rPr>
                      </w:pPr>
                    </w:p>
                  </w:txbxContent>
                </v:textbox>
              </v:shape>
            </w:pict>
          </mc:Fallback>
        </mc:AlternateContent>
      </w:r>
    </w:p>
    <w:p w14:paraId="16DB54EE" w14:textId="570D36FF" w:rsidR="00D13E15" w:rsidRPr="00C97275" w:rsidRDefault="00D13E15" w:rsidP="00553F5A">
      <w:pPr>
        <w:rPr>
          <w:rFonts w:ascii="Georgia" w:hAnsi="Georgia"/>
          <w:lang w:val="lt-LT"/>
        </w:rPr>
      </w:pPr>
      <w:r w:rsidRPr="00C97275">
        <w:rPr>
          <w:rFonts w:ascii="Georgia" w:hAnsi="Georgia" w:cs="Arial"/>
          <w:noProof/>
          <w:sz w:val="20"/>
          <w:szCs w:val="20"/>
          <w:lang w:val="lt-LT" w:eastAsia="lt-LT"/>
        </w:rPr>
        <w:drawing>
          <wp:inline distT="0" distB="0" distL="0" distR="0" wp14:anchorId="339E934F" wp14:editId="17F5101E">
            <wp:extent cx="5514975" cy="2534285"/>
            <wp:effectExtent l="0" t="0" r="9525" b="0"/>
            <wp:docPr id="50179" name="Picture 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8111" cy="2535726"/>
                    </a:xfrm>
                    <a:prstGeom prst="rect">
                      <a:avLst/>
                    </a:prstGeom>
                    <a:noFill/>
                  </pic:spPr>
                </pic:pic>
              </a:graphicData>
            </a:graphic>
          </wp:inline>
        </w:drawing>
      </w:r>
    </w:p>
    <w:p w14:paraId="29BAF1A7" w14:textId="77777777" w:rsidR="00715D3C" w:rsidRPr="00C97275" w:rsidRDefault="00715D3C" w:rsidP="00AC15D5">
      <w:pPr>
        <w:pStyle w:val="Antrat"/>
        <w:rPr>
          <w:lang w:val="lt-LT"/>
        </w:rPr>
      </w:pPr>
    </w:p>
    <w:p w14:paraId="034E7FCF" w14:textId="5A29F730" w:rsidR="00AC15D5" w:rsidRPr="00C97275" w:rsidRDefault="00AC15D5" w:rsidP="00AC15D5">
      <w:pPr>
        <w:pStyle w:val="Antrat"/>
        <w:rPr>
          <w:lang w:val="lt-LT"/>
        </w:rPr>
      </w:pPr>
      <w:bookmarkStart w:id="194" w:name="_Hlk18990364"/>
      <w:bookmarkStart w:id="195" w:name="_Toc19105297"/>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13</w:t>
      </w:r>
      <w:r w:rsidRPr="00C97275">
        <w:rPr>
          <w:lang w:val="lt-LT"/>
        </w:rPr>
        <w:fldChar w:fldCharType="end"/>
      </w:r>
      <w:r w:rsidRPr="00C97275">
        <w:rPr>
          <w:lang w:val="lt-LT"/>
        </w:rPr>
        <w:t xml:space="preserve">. Daugiabučių scenarijaus Nr. </w:t>
      </w:r>
      <w:r w:rsidR="00D13E15" w:rsidRPr="00C97275">
        <w:rPr>
          <w:lang w:val="lt-LT"/>
        </w:rPr>
        <w:t>6</w:t>
      </w:r>
      <w:r w:rsidRPr="00C97275">
        <w:rPr>
          <w:lang w:val="lt-LT"/>
        </w:rPr>
        <w:t xml:space="preserve"> schema</w:t>
      </w:r>
      <w:bookmarkEnd w:id="194"/>
      <w:r w:rsidRPr="00C97275">
        <w:rPr>
          <w:lang w:val="lt-LT"/>
        </w:rPr>
        <w:t>.</w:t>
      </w:r>
      <w:bookmarkEnd w:id="195"/>
      <w:r w:rsidRPr="00C97275">
        <w:rPr>
          <w:lang w:val="lt-LT"/>
        </w:rPr>
        <w:t xml:space="preserve"> </w:t>
      </w:r>
    </w:p>
    <w:p w14:paraId="55E7BAF4" w14:textId="35FC180E" w:rsidR="00715D3C" w:rsidRPr="00C97275" w:rsidRDefault="00715D3C" w:rsidP="00377C17">
      <w:pPr>
        <w:rPr>
          <w:rFonts w:ascii="Georgia" w:hAnsi="Georgia"/>
          <w:lang w:val="lt-LT"/>
        </w:rPr>
      </w:pPr>
    </w:p>
    <w:p w14:paraId="23339CC4" w14:textId="0E11D037" w:rsidR="00715D3C" w:rsidRPr="00C97275" w:rsidRDefault="00715D3C" w:rsidP="00553F5A">
      <w:pPr>
        <w:rPr>
          <w:rFonts w:ascii="Georgia" w:hAnsi="Georgia"/>
          <w:lang w:val="lt-LT"/>
        </w:rPr>
      </w:pPr>
      <w:r w:rsidRPr="00C97275">
        <w:rPr>
          <w:rFonts w:ascii="Georgia" w:hAnsi="Georgia" w:cs="Arial"/>
          <w:noProof/>
          <w:szCs w:val="20"/>
          <w:lang w:val="lt-LT" w:eastAsia="lt-LT"/>
        </w:rPr>
        <w:drawing>
          <wp:inline distT="0" distB="0" distL="0" distR="0" wp14:anchorId="5C6D8C9E" wp14:editId="71B883E7">
            <wp:extent cx="5514975" cy="4080194"/>
            <wp:effectExtent l="0" t="0" r="0" b="0"/>
            <wp:docPr id="50181" name="Picture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4975" cy="4080194"/>
                    </a:xfrm>
                    <a:prstGeom prst="rect">
                      <a:avLst/>
                    </a:prstGeom>
                    <a:noFill/>
                  </pic:spPr>
                </pic:pic>
              </a:graphicData>
            </a:graphic>
          </wp:inline>
        </w:drawing>
      </w:r>
    </w:p>
    <w:p w14:paraId="53293417" w14:textId="37057D70" w:rsidR="00715D3C" w:rsidRPr="00C97275" w:rsidRDefault="00715D3C">
      <w:pPr>
        <w:jc w:val="both"/>
        <w:rPr>
          <w:rFonts w:ascii="Georgia" w:eastAsia="PMingLiU" w:hAnsi="Georgia" w:cs="Times New Roman"/>
          <w:b/>
          <w:bCs/>
          <w:color w:val="A32020"/>
          <w:sz w:val="20"/>
          <w:szCs w:val="18"/>
          <w:lang w:val="lt-LT"/>
        </w:rPr>
      </w:pPr>
      <w:r w:rsidRPr="00C97275">
        <w:rPr>
          <w:rFonts w:ascii="Georgia" w:eastAsia="PMingLiU" w:hAnsi="Georgia" w:cs="Times New Roman"/>
          <w:b/>
          <w:bCs/>
          <w:color w:val="A32020"/>
          <w:sz w:val="20"/>
          <w:szCs w:val="18"/>
          <w:lang w:val="lt-LT"/>
        </w:rPr>
        <w:t>Paveikslas 13. Daugiabučių scenarijaus Nr. 6 schema</w:t>
      </w:r>
    </w:p>
    <w:p w14:paraId="43224004" w14:textId="4A9D8D77" w:rsidR="00AC15D5" w:rsidRPr="00C97275" w:rsidRDefault="00D13E15" w:rsidP="00AC15D5">
      <w:pPr>
        <w:jc w:val="both"/>
        <w:rPr>
          <w:rFonts w:ascii="Georgia" w:hAnsi="Georgia"/>
          <w:sz w:val="20"/>
          <w:szCs w:val="20"/>
          <w:lang w:val="lt-LT"/>
        </w:rPr>
      </w:pPr>
      <w:r w:rsidRPr="00C97275">
        <w:rPr>
          <w:rFonts w:ascii="Georgia" w:hAnsi="Georgia"/>
          <w:sz w:val="20"/>
          <w:szCs w:val="20"/>
          <w:lang w:val="lt-LT"/>
        </w:rPr>
        <w:t xml:space="preserve">Privačių investuotojų (įskaitant bankus) lėšų pritraukimo naujos platformos veikimui finansuoti ir daugiabučių namų modernizavimo paskolų tolesniam teikimui sėkmė priklausys nuo daugelio tokios </w:t>
      </w:r>
      <w:r w:rsidRPr="00C97275">
        <w:rPr>
          <w:rFonts w:ascii="Georgia" w:hAnsi="Georgia"/>
          <w:sz w:val="20"/>
          <w:szCs w:val="20"/>
          <w:lang w:val="lt-LT"/>
        </w:rPr>
        <w:lastRenderedPageBreak/>
        <w:t xml:space="preserve">platformos veiklą įtakojančių aplinkybių, įskaitant, bet neapsiribojant, ekonomine situacija, teisinės bazės stabilumu, valstybės institucijų ir finansinių tarpininkų veiklos efektyvumu, valstybės paramos dydžiu ir jo pasikeitimais. </w:t>
      </w:r>
      <w:r w:rsidR="00AC15D5" w:rsidRPr="00C97275">
        <w:rPr>
          <w:rFonts w:ascii="Georgia" w:hAnsi="Georgia"/>
          <w:sz w:val="20"/>
          <w:szCs w:val="20"/>
          <w:lang w:val="lt-LT"/>
        </w:rPr>
        <w:t>maksimalios galutinius naudos gavėjus pasiekusios lėšos ir maksimalus galimas projektų skaičius.</w:t>
      </w:r>
    </w:p>
    <w:p w14:paraId="13FEB159" w14:textId="16FCCF6C" w:rsidR="00AC15D5" w:rsidRPr="00C97275" w:rsidRDefault="00AC15D5" w:rsidP="00AC15D5">
      <w:pPr>
        <w:pStyle w:val="Antrat"/>
        <w:rPr>
          <w:szCs w:val="20"/>
          <w:lang w:val="lt-LT"/>
        </w:rPr>
      </w:pPr>
      <w:bookmarkStart w:id="196" w:name="_Toc19105276"/>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63</w:t>
      </w:r>
      <w:r w:rsidRPr="00C97275">
        <w:rPr>
          <w:lang w:val="lt-LT"/>
        </w:rPr>
        <w:fldChar w:fldCharType="end"/>
      </w:r>
      <w:r w:rsidRPr="00C97275">
        <w:rPr>
          <w:lang w:val="lt-LT"/>
        </w:rPr>
        <w:t xml:space="preserve">. Scenarijaus Nr. </w:t>
      </w:r>
      <w:r w:rsidR="00715D3C" w:rsidRPr="00C97275">
        <w:rPr>
          <w:lang w:val="lt-LT"/>
        </w:rPr>
        <w:t>6</w:t>
      </w:r>
      <w:r w:rsidRPr="00C97275">
        <w:rPr>
          <w:lang w:val="lt-LT"/>
        </w:rPr>
        <w:t xml:space="preserve"> prielaidos</w:t>
      </w:r>
      <w:bookmarkEnd w:id="196"/>
    </w:p>
    <w:tbl>
      <w:tblPr>
        <w:tblStyle w:val="viesussraas2parykinimas"/>
        <w:tblW w:w="5000" w:type="pct"/>
        <w:tblLook w:val="04A0" w:firstRow="1" w:lastRow="0" w:firstColumn="1" w:lastColumn="0" w:noHBand="0" w:noVBand="1"/>
      </w:tblPr>
      <w:tblGrid>
        <w:gridCol w:w="3164"/>
        <w:gridCol w:w="6078"/>
      </w:tblGrid>
      <w:tr w:rsidR="00AC15D5" w:rsidRPr="00C97275" w14:paraId="2B4A2ECB" w14:textId="77777777" w:rsidTr="005D13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2CE65948" w14:textId="77777777" w:rsidR="00AC15D5" w:rsidRPr="00C97275" w:rsidRDefault="00AC15D5" w:rsidP="005D1338">
            <w:pPr>
              <w:keepNext/>
              <w:jc w:val="center"/>
              <w:rPr>
                <w:rFonts w:ascii="Georgia" w:hAnsi="Georgia"/>
                <w:sz w:val="20"/>
                <w:szCs w:val="20"/>
              </w:rPr>
            </w:pPr>
            <w:r w:rsidRPr="00C97275">
              <w:rPr>
                <w:rFonts w:ascii="Georgia" w:hAnsi="Georgia"/>
                <w:sz w:val="20"/>
                <w:szCs w:val="20"/>
              </w:rPr>
              <w:t>Prielaidos</w:t>
            </w:r>
          </w:p>
        </w:tc>
        <w:tc>
          <w:tcPr>
            <w:tcW w:w="3288" w:type="pct"/>
            <w:tcBorders>
              <w:bottom w:val="single" w:sz="8" w:space="0" w:color="C0504D" w:themeColor="accent2"/>
            </w:tcBorders>
          </w:tcPr>
          <w:p w14:paraId="1BFBF09B" w14:textId="77777777" w:rsidR="00AC15D5" w:rsidRPr="00C97275" w:rsidRDefault="00AC15D5" w:rsidP="005D1338">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Komentaras</w:t>
            </w:r>
          </w:p>
        </w:tc>
      </w:tr>
      <w:tr w:rsidR="00AC15D5" w:rsidRPr="00C97275" w14:paraId="7B3AF68D" w14:textId="77777777" w:rsidTr="005D13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57F1FC55" w14:textId="77777777" w:rsidR="00AC15D5" w:rsidRPr="00C97275" w:rsidRDefault="00AC15D5" w:rsidP="005D1338">
            <w:pPr>
              <w:rPr>
                <w:rFonts w:ascii="Georgia" w:hAnsi="Georgia"/>
                <w:b w:val="0"/>
                <w:sz w:val="20"/>
                <w:szCs w:val="20"/>
              </w:rPr>
            </w:pPr>
            <w:r w:rsidRPr="00C97275">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796A39DE" w14:textId="77777777" w:rsidR="00AC15D5" w:rsidRPr="00C97275" w:rsidRDefault="00AC15D5" w:rsidP="005D1338">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Maksimalus paskolos suteikimo terminas 20 metų.</w:t>
            </w:r>
          </w:p>
        </w:tc>
      </w:tr>
      <w:tr w:rsidR="00AC15D5" w:rsidRPr="00C97275" w14:paraId="555FEDB2" w14:textId="77777777" w:rsidTr="005D133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01177A2" w14:textId="77777777" w:rsidR="00AC15D5" w:rsidRPr="00C97275" w:rsidRDefault="00AC15D5" w:rsidP="005D1338">
            <w:pPr>
              <w:rPr>
                <w:rFonts w:ascii="Georgia" w:hAnsi="Georgia"/>
                <w:b w:val="0"/>
                <w:sz w:val="20"/>
                <w:szCs w:val="20"/>
              </w:rPr>
            </w:pPr>
            <w:r w:rsidRPr="00C97275">
              <w:rPr>
                <w:rFonts w:ascii="Georgia" w:hAnsi="Georgia"/>
                <w:sz w:val="20"/>
                <w:szCs w:val="20"/>
              </w:rPr>
              <w:t>Subsidija: 30 %</w:t>
            </w:r>
          </w:p>
        </w:tc>
        <w:tc>
          <w:tcPr>
            <w:tcW w:w="3288" w:type="pct"/>
            <w:tcBorders>
              <w:top w:val="single" w:sz="6" w:space="0" w:color="C0504D" w:themeColor="accent2"/>
              <w:left w:val="single" w:sz="6" w:space="0" w:color="C0504D" w:themeColor="accent2"/>
              <w:bottom w:val="single" w:sz="6" w:space="0" w:color="C0504D" w:themeColor="accent2"/>
            </w:tcBorders>
          </w:tcPr>
          <w:p w14:paraId="592757CB" w14:textId="77777777" w:rsidR="00AC15D5" w:rsidRPr="00C97275" w:rsidRDefault="00AC15D5" w:rsidP="005D1338">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Projektams, pasiekusiems ne mažesnį kaip 40 proc. sutaupymą, suteikiama 30 % subsidija (papildoma valstybės parama) biudžeto lėšomis.</w:t>
            </w:r>
          </w:p>
        </w:tc>
      </w:tr>
      <w:tr w:rsidR="00AC15D5" w:rsidRPr="00C97275" w14:paraId="4D4EA203" w14:textId="77777777" w:rsidTr="005D13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C2EB588" w14:textId="77777777" w:rsidR="00AC15D5" w:rsidRPr="00C97275" w:rsidRDefault="00AC15D5" w:rsidP="005D1338">
            <w:pPr>
              <w:rPr>
                <w:rFonts w:ascii="Georgia" w:hAnsi="Georgia"/>
                <w:b w:val="0"/>
                <w:sz w:val="20"/>
                <w:szCs w:val="20"/>
              </w:rPr>
            </w:pPr>
            <w:r w:rsidRPr="00C97275">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14:paraId="06F70384" w14:textId="1B2A212A" w:rsidR="00AC15D5" w:rsidRPr="00C97275" w:rsidRDefault="00AC15D5" w:rsidP="005D1338">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Prielaida, kad anksčiau laiko grįžtančios paskolos praėjus dvejiems metams po projekto įgyvendinimo sudarys 10 % paskolų portfelio, nustatyta remiantis komercinių bankų vertinimu.</w:t>
            </w:r>
          </w:p>
        </w:tc>
      </w:tr>
      <w:tr w:rsidR="00AC15D5" w:rsidRPr="00C97275" w14:paraId="41C731ED" w14:textId="77777777" w:rsidTr="005D133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CAA3CBB" w14:textId="77777777" w:rsidR="00AC15D5" w:rsidRPr="00C97275" w:rsidRDefault="00AC15D5" w:rsidP="005D1338">
            <w:pPr>
              <w:rPr>
                <w:rFonts w:ascii="Georgia" w:hAnsi="Georgia"/>
                <w:b w:val="0"/>
                <w:sz w:val="20"/>
                <w:szCs w:val="20"/>
              </w:rPr>
            </w:pPr>
            <w:r w:rsidRPr="00C97275">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09E8C481" w14:textId="3A470AB8" w:rsidR="00AC15D5" w:rsidRPr="00C97275" w:rsidRDefault="00AC15D5" w:rsidP="005D1338">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Blogų paskolų dalis buvo nustatyta remiantis komercinių bankų vertinimu.</w:t>
            </w:r>
          </w:p>
        </w:tc>
      </w:tr>
      <w:tr w:rsidR="00AC15D5" w:rsidRPr="00C97275" w14:paraId="300F593E" w14:textId="77777777" w:rsidTr="005D13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1D31942" w14:textId="5273131A" w:rsidR="00AC15D5" w:rsidRPr="00C97275" w:rsidRDefault="00AC15D5" w:rsidP="005D1338">
            <w:pPr>
              <w:rPr>
                <w:rFonts w:ascii="Georgia" w:hAnsi="Georgia"/>
                <w:sz w:val="20"/>
              </w:rPr>
            </w:pPr>
            <w:r w:rsidRPr="00C97275">
              <w:rPr>
                <w:rFonts w:ascii="Georgia" w:hAnsi="Georgia"/>
                <w:sz w:val="20"/>
              </w:rPr>
              <w:t xml:space="preserve">Modernizavimo procese dalyvaujančio vidutinio pastato projekto investicijų vertė: </w:t>
            </w:r>
            <w:r w:rsidR="00D13E15" w:rsidRPr="00C97275">
              <w:rPr>
                <w:rFonts w:ascii="Georgia" w:hAnsi="Georgia"/>
                <w:sz w:val="20"/>
              </w:rPr>
              <w:t>45</w:t>
            </w:r>
            <w:r w:rsidRPr="00C97275">
              <w:rPr>
                <w:rFonts w:ascii="Georgia" w:hAnsi="Georgia"/>
                <w:sz w:val="20"/>
              </w:rPr>
              <w:t>0 000 eurų</w:t>
            </w:r>
          </w:p>
          <w:p w14:paraId="6A7CA961" w14:textId="77777777" w:rsidR="00AC15D5" w:rsidRPr="00C97275" w:rsidRDefault="00AC15D5" w:rsidP="005D1338">
            <w:pPr>
              <w:rPr>
                <w:rFonts w:ascii="Georgia" w:hAnsi="Georgia"/>
                <w:sz w:val="20"/>
              </w:rPr>
            </w:pPr>
          </w:p>
          <w:p w14:paraId="4B7AD51D" w14:textId="77777777" w:rsidR="00AC15D5" w:rsidRPr="00C97275" w:rsidRDefault="00AC15D5" w:rsidP="005D1338">
            <w:pPr>
              <w:rPr>
                <w:rFonts w:ascii="Georgia" w:hAnsi="Georgia"/>
                <w:b w:val="0"/>
                <w:sz w:val="20"/>
                <w:szCs w:val="20"/>
              </w:rPr>
            </w:pPr>
          </w:p>
        </w:tc>
        <w:tc>
          <w:tcPr>
            <w:tcW w:w="3288" w:type="pct"/>
            <w:tcBorders>
              <w:top w:val="single" w:sz="6" w:space="0" w:color="C0504D" w:themeColor="accent2"/>
              <w:left w:val="single" w:sz="6" w:space="0" w:color="C0504D" w:themeColor="accent2"/>
              <w:bottom w:val="single" w:sz="6" w:space="0" w:color="C0504D" w:themeColor="accent2"/>
            </w:tcBorders>
          </w:tcPr>
          <w:p w14:paraId="13E4153C" w14:textId="4DAC2938" w:rsidR="00AC15D5" w:rsidRPr="00C97275" w:rsidRDefault="00AC15D5" w:rsidP="005D1338">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 xml:space="preserve">Pradinėje </w:t>
            </w:r>
            <w:r w:rsidR="00D13E15" w:rsidRPr="00C97275">
              <w:rPr>
                <w:rFonts w:ascii="Georgia" w:hAnsi="Georgia"/>
                <w:sz w:val="20"/>
              </w:rPr>
              <w:t xml:space="preserve">ataskaitoje buvo apskaičiuota 330 000 eurų vidutinė projekto vertė, tačiau pasikeitus rinkos sąlygoms, renovuojamų daugiabučių namų dydžiui ir pan., vidutinė projekto vertė sudarytų -450 000 eurų. Tikėtina, kad ateityje vidutinio pastato projekto investicijų vertė dėl siekiamo didesnio energijos sutaupymo ir toliau gali didėti. </w:t>
            </w:r>
          </w:p>
        </w:tc>
      </w:tr>
      <w:tr w:rsidR="00AC15D5" w:rsidRPr="00C97275" w14:paraId="092BA9D4" w14:textId="77777777" w:rsidTr="005D133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7DF6D13" w14:textId="77777777" w:rsidR="00AC15D5" w:rsidRPr="00C97275" w:rsidRDefault="00AC15D5" w:rsidP="005D1338">
            <w:pPr>
              <w:rPr>
                <w:rFonts w:ascii="Georgia" w:hAnsi="Georgia"/>
                <w:b w:val="0"/>
                <w:sz w:val="20"/>
                <w:szCs w:val="20"/>
              </w:rPr>
            </w:pPr>
            <w:r w:rsidRPr="00C97275">
              <w:rPr>
                <w:rFonts w:ascii="Georgia" w:hAnsi="Georgia"/>
                <w:sz w:val="20"/>
                <w:szCs w:val="20"/>
              </w:rPr>
              <w:t>Palūkanų norma: 3 %</w:t>
            </w:r>
          </w:p>
        </w:tc>
        <w:tc>
          <w:tcPr>
            <w:tcW w:w="3288" w:type="pct"/>
            <w:tcBorders>
              <w:top w:val="single" w:sz="6" w:space="0" w:color="C0504D" w:themeColor="accent2"/>
              <w:left w:val="single" w:sz="6" w:space="0" w:color="C0504D" w:themeColor="accent2"/>
              <w:bottom w:val="single" w:sz="6" w:space="0" w:color="C0504D" w:themeColor="accent2"/>
            </w:tcBorders>
          </w:tcPr>
          <w:p w14:paraId="31684BAB" w14:textId="2651DC36" w:rsidR="00AC15D5" w:rsidRPr="00C97275" w:rsidRDefault="00D13E15" w:rsidP="005D1338">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Palūkanų norma pirmus 5 metus nuo paskolos išmokėjimo galutiniam naudos gavėjui neturėtų viršyti 3%.</w:t>
            </w:r>
          </w:p>
        </w:tc>
      </w:tr>
      <w:tr w:rsidR="00AC15D5" w:rsidRPr="00C97275" w14:paraId="0D12BF86" w14:textId="77777777" w:rsidTr="005D13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B1EE129" w14:textId="2D79D1C5" w:rsidR="00AC15D5" w:rsidRPr="00C97275" w:rsidRDefault="00AC15D5" w:rsidP="005D1338">
            <w:pPr>
              <w:rPr>
                <w:rFonts w:ascii="Georgia" w:hAnsi="Georgia"/>
                <w:b w:val="0"/>
                <w:sz w:val="20"/>
                <w:szCs w:val="20"/>
              </w:rPr>
            </w:pPr>
            <w:r w:rsidRPr="00C97275">
              <w:rPr>
                <w:rFonts w:ascii="Georgia" w:hAnsi="Georgia"/>
                <w:sz w:val="20"/>
                <w:szCs w:val="20"/>
              </w:rPr>
              <w:t xml:space="preserve">Investuojamų ESI fondų lėšų suma: </w:t>
            </w:r>
            <w:r w:rsidR="00D13E15" w:rsidRPr="00C97275">
              <w:rPr>
                <w:rFonts w:ascii="Georgia" w:hAnsi="Georgia"/>
                <w:sz w:val="20"/>
                <w:szCs w:val="20"/>
              </w:rPr>
              <w:t>ne mažiau kaip 50</w:t>
            </w:r>
            <w:r w:rsidRPr="00C97275">
              <w:rPr>
                <w:rFonts w:ascii="Georgia" w:hAnsi="Georgia"/>
                <w:sz w:val="20"/>
                <w:szCs w:val="20"/>
              </w:rPr>
              <w:t xml:space="preserve"> mln. </w:t>
            </w:r>
            <w:r w:rsidRPr="00C97275">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1AB0D61C" w14:textId="536547CB" w:rsidR="00AC15D5" w:rsidRPr="00C97275" w:rsidRDefault="00D13E15" w:rsidP="005D133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rPr>
              <w:t>Prielaida paremta Fondų fondo valdytojo ir ministerijų diskusijomis dėl galimybės perskirstyti Fondų fondo valdytojo valdomas ESI fondų lėšas ir dalį lėšų (apie 50 mln. Eurų) skirti šiame scenarijuje aprašytam finansavimo modeliui.</w:t>
            </w:r>
          </w:p>
        </w:tc>
      </w:tr>
      <w:tr w:rsidR="00AC15D5" w:rsidRPr="00C97275" w14:paraId="1C1AA946" w14:textId="77777777" w:rsidTr="005D133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34A38DF" w14:textId="6F801740" w:rsidR="00AC15D5" w:rsidRPr="00C97275" w:rsidRDefault="00AC15D5" w:rsidP="005D1338">
            <w:pPr>
              <w:rPr>
                <w:rFonts w:ascii="Georgia" w:hAnsi="Georgia"/>
                <w:sz w:val="20"/>
                <w:szCs w:val="20"/>
              </w:rPr>
            </w:pPr>
            <w:r w:rsidRPr="00C97275">
              <w:rPr>
                <w:rFonts w:ascii="Georgia" w:hAnsi="Georgia"/>
                <w:sz w:val="20"/>
              </w:rPr>
              <w:t xml:space="preserve">JESSICA KF grįžtančios lėšos: </w:t>
            </w:r>
            <w:r w:rsidR="00D13E15" w:rsidRPr="00C97275">
              <w:rPr>
                <w:rFonts w:ascii="Georgia" w:hAnsi="Georgia"/>
                <w:sz w:val="20"/>
              </w:rPr>
              <w:t>10</w:t>
            </w:r>
            <w:r w:rsidRPr="00C97275">
              <w:rPr>
                <w:rFonts w:ascii="Georgia" w:hAnsi="Georgia"/>
                <w:sz w:val="20"/>
              </w:rPr>
              <w:t xml:space="preserve">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71747789" w14:textId="120520FF" w:rsidR="00AC15D5" w:rsidRPr="00C97275" w:rsidRDefault="00AC15D5" w:rsidP="005D133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rPr>
              <w:t xml:space="preserve">2007-2013 m. periodo grįžtančios lėšos, kurios sudarytų apie </w:t>
            </w:r>
            <w:r w:rsidR="00D13E15" w:rsidRPr="00C97275">
              <w:rPr>
                <w:rFonts w:ascii="Georgia" w:hAnsi="Georgia"/>
                <w:sz w:val="20"/>
              </w:rPr>
              <w:t xml:space="preserve">10 </w:t>
            </w:r>
            <w:r w:rsidRPr="00C97275">
              <w:rPr>
                <w:rFonts w:ascii="Georgia" w:hAnsi="Georgia"/>
                <w:sz w:val="20"/>
              </w:rPr>
              <w:t>mln. eurų.</w:t>
            </w:r>
          </w:p>
        </w:tc>
      </w:tr>
      <w:tr w:rsidR="00AC15D5" w:rsidRPr="00C97275" w14:paraId="3F011CEA" w14:textId="77777777" w:rsidTr="005D13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5DCA87D" w14:textId="69CF8072" w:rsidR="00AC15D5" w:rsidRPr="00C97275" w:rsidRDefault="00AC15D5" w:rsidP="005D1338">
            <w:pPr>
              <w:rPr>
                <w:rFonts w:ascii="Georgia" w:hAnsi="Georgia"/>
                <w:b w:val="0"/>
                <w:sz w:val="20"/>
                <w:szCs w:val="20"/>
              </w:rPr>
            </w:pPr>
            <w:r w:rsidRPr="00C97275">
              <w:rPr>
                <w:rFonts w:ascii="Georgia" w:hAnsi="Georgia"/>
                <w:sz w:val="20"/>
                <w:szCs w:val="20"/>
              </w:rPr>
              <w:t xml:space="preserve">Galimų pritraukti privačių lėšų suma: </w:t>
            </w:r>
            <w:r w:rsidR="00D13E15" w:rsidRPr="00C97275">
              <w:rPr>
                <w:rFonts w:ascii="Georgia" w:hAnsi="Georgia"/>
                <w:sz w:val="20"/>
                <w:szCs w:val="20"/>
              </w:rPr>
              <w:t xml:space="preserve">200 </w:t>
            </w:r>
            <w:r w:rsidRPr="00C97275">
              <w:rPr>
                <w:rFonts w:ascii="Georgia" w:hAnsi="Georgia"/>
                <w:sz w:val="20"/>
              </w:rPr>
              <w:t>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3D3896E1" w14:textId="366934C6" w:rsidR="00AC15D5" w:rsidRPr="00C97275" w:rsidRDefault="00D13E15" w:rsidP="005D133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Remiamasi prielaida, kad privačios lėšos sudarys 80 proc. visų Scenarijuje Nr. 6 nurodyto finansinio instrumento lėšų, t.y. 200 mln. eurų.</w:t>
            </w:r>
          </w:p>
        </w:tc>
      </w:tr>
      <w:tr w:rsidR="00AC15D5" w:rsidRPr="00C97275" w14:paraId="7769ED95" w14:textId="77777777" w:rsidTr="005D133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8BF1B6B" w14:textId="7D1A66EB" w:rsidR="00AC15D5" w:rsidRPr="00C97275" w:rsidRDefault="00AC15D5" w:rsidP="005D1338">
            <w:pPr>
              <w:jc w:val="both"/>
              <w:rPr>
                <w:rFonts w:ascii="Georgia" w:hAnsi="Georgia"/>
                <w:sz w:val="20"/>
              </w:rPr>
            </w:pPr>
            <w:r w:rsidRPr="00C97275">
              <w:rPr>
                <w:rFonts w:ascii="Georgia" w:hAnsi="Georgia"/>
                <w:sz w:val="20"/>
              </w:rPr>
              <w:t xml:space="preserve">Siektinas įgyvendinamų projektų skaičius: apie </w:t>
            </w:r>
            <w:r w:rsidR="00D13E15" w:rsidRPr="00C97275">
              <w:rPr>
                <w:rFonts w:ascii="Georgia" w:hAnsi="Georgia"/>
                <w:sz w:val="20"/>
              </w:rPr>
              <w:t>185</w:t>
            </w:r>
            <w:r w:rsidRPr="00C97275">
              <w:rPr>
                <w:rFonts w:ascii="Georgia" w:hAnsi="Georgia"/>
                <w:sz w:val="20"/>
              </w:rPr>
              <w:t xml:space="preserve">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468BAC9D" w14:textId="7AB5D373" w:rsidR="00AC15D5" w:rsidRPr="00C97275" w:rsidRDefault="00D13E15" w:rsidP="005D1338">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97275">
              <w:rPr>
                <w:rFonts w:ascii="Georgia" w:hAnsi="Georgia"/>
                <w:sz w:val="20"/>
              </w:rPr>
              <w:t>Vertinant projektų kiekį, buvo paskaičiuota kiek projektų galima įgyvendinti turimomis lėšomis (pagal šį scenarijų) per 2019 - 2023 metus. Vertinama, kad šio scenarijaus atveju, per metus bus įgyvendinama apie 185 naujus projektus, kurio vieno investicijų vertė 450 tūkst. eurų.</w:t>
            </w:r>
          </w:p>
        </w:tc>
      </w:tr>
      <w:tr w:rsidR="00AC15D5" w:rsidRPr="00C97275" w14:paraId="4BEA4910" w14:textId="77777777" w:rsidTr="005D13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5CC5235" w14:textId="77777777" w:rsidR="00AC15D5" w:rsidRPr="00C97275" w:rsidRDefault="00AC15D5" w:rsidP="005D1338">
            <w:pPr>
              <w:jc w:val="both"/>
              <w:rPr>
                <w:rFonts w:ascii="Georgia" w:hAnsi="Georgia"/>
                <w:sz w:val="20"/>
              </w:rPr>
            </w:pPr>
            <w:r w:rsidRPr="00C97275">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7A7A9670" w14:textId="77777777" w:rsidR="00AC15D5" w:rsidRPr="00C97275" w:rsidRDefault="00AC15D5" w:rsidP="005D1338">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C97275">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AC15D5" w:rsidRPr="00C97275" w14:paraId="56B3D415" w14:textId="77777777" w:rsidTr="005D133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601C6BF" w14:textId="77777777" w:rsidR="00AC15D5" w:rsidRPr="00C97275" w:rsidRDefault="00AC15D5" w:rsidP="005D1338">
            <w:pPr>
              <w:rPr>
                <w:rFonts w:ascii="Georgia" w:hAnsi="Georgia"/>
                <w:b w:val="0"/>
                <w:i/>
                <w:sz w:val="20"/>
                <w:szCs w:val="20"/>
              </w:rPr>
            </w:pPr>
            <w:r w:rsidRPr="00C97275">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3D3288B8" w14:textId="5182F045" w:rsidR="00AC15D5" w:rsidRPr="00C97275" w:rsidRDefault="00AC15D5" w:rsidP="005D133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rPr>
              <w:t>Remiantis šiuo metu įgyvendinamų projektų duomenimis nustatyta vidutinė projekto įgyvendinimo trukmė – 1 metai nuo paskolos sutarties pasirašymo dienos</w:t>
            </w:r>
            <w:r w:rsidR="00E432B0" w:rsidRPr="00C97275">
              <w:rPr>
                <w:rStyle w:val="Puslapioinaosnuoroda"/>
                <w:rFonts w:ascii="Georgia" w:hAnsi="Georgia"/>
                <w:sz w:val="20"/>
              </w:rPr>
              <w:footnoteReference w:id="128"/>
            </w:r>
            <w:r w:rsidRPr="00C97275">
              <w:rPr>
                <w:rFonts w:ascii="Georgia" w:hAnsi="Georgia"/>
                <w:sz w:val="20"/>
              </w:rPr>
              <w:t>.</w:t>
            </w:r>
          </w:p>
        </w:tc>
      </w:tr>
    </w:tbl>
    <w:p w14:paraId="64109F9D" w14:textId="77777777" w:rsidR="00AC15D5" w:rsidRPr="00C97275" w:rsidRDefault="00AC15D5" w:rsidP="00AC15D5">
      <w:pPr>
        <w:rPr>
          <w:rFonts w:ascii="Georgia" w:hAnsi="Georgia"/>
          <w:sz w:val="20"/>
          <w:szCs w:val="20"/>
          <w:lang w:val="lt-LT"/>
        </w:rPr>
      </w:pPr>
    </w:p>
    <w:p w14:paraId="6CC847D6" w14:textId="7BAE13AF" w:rsidR="00AC15D5" w:rsidRPr="00C97275" w:rsidRDefault="00AC15D5" w:rsidP="00AC15D5">
      <w:pPr>
        <w:pStyle w:val="Antrat"/>
        <w:jc w:val="both"/>
        <w:rPr>
          <w:lang w:val="lt-LT"/>
        </w:rPr>
      </w:pPr>
      <w:bookmarkStart w:id="197" w:name="_Toc19105277"/>
      <w:r w:rsidRPr="00C97275">
        <w:rPr>
          <w:lang w:val="lt-LT"/>
        </w:rPr>
        <w:lastRenderedPageBreak/>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64</w:t>
      </w:r>
      <w:r w:rsidRPr="00C97275">
        <w:rPr>
          <w:lang w:val="lt-LT"/>
        </w:rPr>
        <w:fldChar w:fldCharType="end"/>
      </w:r>
      <w:r w:rsidRPr="00C97275">
        <w:rPr>
          <w:lang w:val="lt-LT"/>
        </w:rPr>
        <w:t xml:space="preserve">. Scenarijaus Nr. </w:t>
      </w:r>
      <w:r w:rsidR="00715D3C" w:rsidRPr="00C97275">
        <w:rPr>
          <w:lang w:val="nl-NL"/>
        </w:rPr>
        <w:t>6</w:t>
      </w:r>
      <w:r w:rsidRPr="00C97275">
        <w:rPr>
          <w:lang w:val="lt-LT"/>
        </w:rPr>
        <w:t xml:space="preserve"> įgyvendinimo prognozė</w:t>
      </w:r>
      <w:bookmarkEnd w:id="197"/>
    </w:p>
    <w:tbl>
      <w:tblPr>
        <w:tblStyle w:val="TableGrid11"/>
        <w:tblW w:w="9072" w:type="dxa"/>
        <w:tblInd w:w="-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4116"/>
        <w:gridCol w:w="987"/>
        <w:gridCol w:w="993"/>
        <w:gridCol w:w="992"/>
        <w:gridCol w:w="1134"/>
        <w:gridCol w:w="850"/>
      </w:tblGrid>
      <w:tr w:rsidR="00D13E15" w:rsidRPr="00C97275" w14:paraId="53C5FF7A" w14:textId="77777777" w:rsidTr="00553F5A">
        <w:trPr>
          <w:trHeight w:val="219"/>
        </w:trPr>
        <w:tc>
          <w:tcPr>
            <w:tcW w:w="4116" w:type="dxa"/>
          </w:tcPr>
          <w:p w14:paraId="16D901C7" w14:textId="77777777" w:rsidR="00D13E15" w:rsidRPr="00C97275" w:rsidRDefault="00D13E15" w:rsidP="00553F5A">
            <w:pPr>
              <w:rPr>
                <w:rFonts w:ascii="Georgia" w:hAnsi="Georgia"/>
                <w:b/>
                <w:bCs/>
                <w:color w:val="auto"/>
              </w:rPr>
            </w:pPr>
            <w:bookmarkStart w:id="198" w:name="_Hlk17882150"/>
            <w:r w:rsidRPr="00C97275">
              <w:rPr>
                <w:rFonts w:ascii="Georgia" w:hAnsi="Georgia"/>
                <w:b/>
                <w:bCs/>
              </w:rPr>
              <w:t>mln. eurų</w:t>
            </w:r>
          </w:p>
        </w:tc>
        <w:tc>
          <w:tcPr>
            <w:tcW w:w="987" w:type="dxa"/>
          </w:tcPr>
          <w:p w14:paraId="1E25EF82" w14:textId="77777777" w:rsidR="00D13E15" w:rsidRPr="00C97275" w:rsidRDefault="00D13E15" w:rsidP="00553F5A">
            <w:pPr>
              <w:ind w:right="-670"/>
              <w:rPr>
                <w:rFonts w:ascii="Georgia" w:hAnsi="Georgia"/>
                <w:color w:val="auto"/>
              </w:rPr>
            </w:pPr>
            <w:r w:rsidRPr="00C97275">
              <w:rPr>
                <w:rFonts w:ascii="Georgia" w:hAnsi="Georgia"/>
              </w:rPr>
              <w:t>2019 m</w:t>
            </w:r>
          </w:p>
        </w:tc>
        <w:tc>
          <w:tcPr>
            <w:tcW w:w="993" w:type="dxa"/>
          </w:tcPr>
          <w:p w14:paraId="30621B41" w14:textId="77777777" w:rsidR="00D13E15" w:rsidRPr="00C97275" w:rsidRDefault="00D13E15" w:rsidP="00553F5A">
            <w:pPr>
              <w:ind w:right="-670"/>
              <w:rPr>
                <w:rFonts w:ascii="Georgia" w:hAnsi="Georgia"/>
                <w:color w:val="auto"/>
              </w:rPr>
            </w:pPr>
            <w:r w:rsidRPr="00C97275">
              <w:rPr>
                <w:rFonts w:ascii="Georgia" w:hAnsi="Georgia"/>
              </w:rPr>
              <w:t>2020 m.</w:t>
            </w:r>
          </w:p>
        </w:tc>
        <w:tc>
          <w:tcPr>
            <w:tcW w:w="992" w:type="dxa"/>
          </w:tcPr>
          <w:p w14:paraId="3EBC5BF6" w14:textId="77777777" w:rsidR="00D13E15" w:rsidRPr="00C97275" w:rsidRDefault="00D13E15" w:rsidP="00553F5A">
            <w:pPr>
              <w:ind w:right="-976"/>
              <w:rPr>
                <w:rFonts w:ascii="Georgia" w:hAnsi="Georgia"/>
                <w:color w:val="auto"/>
              </w:rPr>
            </w:pPr>
            <w:r w:rsidRPr="00C97275">
              <w:rPr>
                <w:rFonts w:ascii="Georgia" w:hAnsi="Georgia"/>
              </w:rPr>
              <w:t>2021 m.</w:t>
            </w:r>
          </w:p>
        </w:tc>
        <w:tc>
          <w:tcPr>
            <w:tcW w:w="1134" w:type="dxa"/>
          </w:tcPr>
          <w:p w14:paraId="5B20D3EB" w14:textId="77777777" w:rsidR="00D13E15" w:rsidRPr="00C97275" w:rsidRDefault="00D13E15" w:rsidP="00553F5A">
            <w:pPr>
              <w:ind w:right="-1095"/>
              <w:rPr>
                <w:rFonts w:ascii="Georgia" w:hAnsi="Georgia"/>
                <w:color w:val="auto"/>
              </w:rPr>
            </w:pPr>
            <w:r w:rsidRPr="00C97275">
              <w:rPr>
                <w:rFonts w:ascii="Georgia" w:hAnsi="Georgia"/>
              </w:rPr>
              <w:t>2022 m.</w:t>
            </w:r>
          </w:p>
        </w:tc>
        <w:tc>
          <w:tcPr>
            <w:tcW w:w="850" w:type="dxa"/>
          </w:tcPr>
          <w:p w14:paraId="156EB943" w14:textId="77777777" w:rsidR="00D13E15" w:rsidRPr="00C97275" w:rsidRDefault="00D13E15" w:rsidP="00553F5A">
            <w:pPr>
              <w:ind w:right="-1095"/>
              <w:rPr>
                <w:rFonts w:ascii="Georgia" w:hAnsi="Georgia"/>
                <w:color w:val="auto"/>
              </w:rPr>
            </w:pPr>
            <w:r w:rsidRPr="00C97275">
              <w:rPr>
                <w:rFonts w:ascii="Georgia" w:hAnsi="Georgia"/>
              </w:rPr>
              <w:t>2023 m.</w:t>
            </w:r>
          </w:p>
        </w:tc>
      </w:tr>
      <w:tr w:rsidR="00D13E15" w:rsidRPr="00C97275" w14:paraId="4B366E4B" w14:textId="77777777" w:rsidTr="00553F5A">
        <w:trPr>
          <w:trHeight w:val="235"/>
        </w:trPr>
        <w:tc>
          <w:tcPr>
            <w:tcW w:w="4116" w:type="dxa"/>
          </w:tcPr>
          <w:p w14:paraId="6DE6D7BD" w14:textId="77777777" w:rsidR="00D13E15" w:rsidRPr="00C97275" w:rsidRDefault="00D13E15" w:rsidP="00553F5A">
            <w:pPr>
              <w:rPr>
                <w:rFonts w:ascii="Georgia" w:hAnsi="Georgia"/>
                <w:b/>
                <w:bCs/>
                <w:color w:val="auto"/>
              </w:rPr>
            </w:pPr>
            <w:r w:rsidRPr="00C97275">
              <w:rPr>
                <w:rFonts w:ascii="Georgia" w:hAnsi="Georgia"/>
                <w:b/>
                <w:bCs/>
              </w:rPr>
              <w:t xml:space="preserve">Projektų (vidutiniškai po </w:t>
            </w:r>
            <w:r w:rsidRPr="00C97275">
              <w:rPr>
                <w:rFonts w:ascii="Georgia" w:hAnsi="Georgia"/>
                <w:b/>
                <w:bCs/>
                <w:lang w:val="nl-NL"/>
              </w:rPr>
              <w:t>450</w:t>
            </w:r>
            <w:r w:rsidRPr="00C97275">
              <w:rPr>
                <w:rFonts w:ascii="Georgia" w:hAnsi="Georgia"/>
                <w:b/>
                <w:bCs/>
              </w:rPr>
              <w:t xml:space="preserve"> tūkst. Eurų) skaičius (per metus)</w:t>
            </w:r>
          </w:p>
        </w:tc>
        <w:tc>
          <w:tcPr>
            <w:tcW w:w="987" w:type="dxa"/>
          </w:tcPr>
          <w:p w14:paraId="4BEF677E" w14:textId="77777777" w:rsidR="00D13E15" w:rsidRPr="00C97275" w:rsidRDefault="00D13E15" w:rsidP="00553F5A">
            <w:pPr>
              <w:rPr>
                <w:rFonts w:ascii="Georgia" w:hAnsi="Georgia"/>
                <w:color w:val="auto"/>
              </w:rPr>
            </w:pPr>
            <w:r w:rsidRPr="00C97275">
              <w:rPr>
                <w:rFonts w:ascii="Georgia" w:hAnsi="Georgia"/>
              </w:rPr>
              <w:t>0</w:t>
            </w:r>
          </w:p>
        </w:tc>
        <w:tc>
          <w:tcPr>
            <w:tcW w:w="993" w:type="dxa"/>
          </w:tcPr>
          <w:p w14:paraId="3A62341A" w14:textId="77777777" w:rsidR="00D13E15" w:rsidRPr="00C97275" w:rsidRDefault="00D13E15" w:rsidP="00553F5A">
            <w:pPr>
              <w:rPr>
                <w:rFonts w:ascii="Georgia" w:hAnsi="Georgia"/>
                <w:color w:val="auto"/>
              </w:rPr>
            </w:pPr>
            <w:r w:rsidRPr="00C97275">
              <w:rPr>
                <w:rFonts w:ascii="Georgia" w:hAnsi="Georgia"/>
              </w:rPr>
              <w:t>70</w:t>
            </w:r>
          </w:p>
        </w:tc>
        <w:tc>
          <w:tcPr>
            <w:tcW w:w="992" w:type="dxa"/>
          </w:tcPr>
          <w:p w14:paraId="64758F6D" w14:textId="77777777" w:rsidR="00D13E15" w:rsidRPr="00C97275" w:rsidRDefault="00D13E15" w:rsidP="00553F5A">
            <w:pPr>
              <w:rPr>
                <w:rFonts w:ascii="Georgia" w:hAnsi="Georgia"/>
                <w:color w:val="auto"/>
              </w:rPr>
            </w:pPr>
            <w:r w:rsidRPr="00C97275">
              <w:rPr>
                <w:rFonts w:ascii="Georgia" w:hAnsi="Georgia"/>
              </w:rPr>
              <w:t>240</w:t>
            </w:r>
          </w:p>
        </w:tc>
        <w:tc>
          <w:tcPr>
            <w:tcW w:w="1134" w:type="dxa"/>
          </w:tcPr>
          <w:p w14:paraId="0D0C3B77" w14:textId="77777777" w:rsidR="00D13E15" w:rsidRPr="00C97275" w:rsidRDefault="00D13E15" w:rsidP="00553F5A">
            <w:pPr>
              <w:rPr>
                <w:rFonts w:ascii="Georgia" w:hAnsi="Georgia"/>
                <w:color w:val="auto"/>
              </w:rPr>
            </w:pPr>
            <w:r w:rsidRPr="00C97275">
              <w:rPr>
                <w:rFonts w:ascii="Georgia" w:hAnsi="Georgia"/>
              </w:rPr>
              <w:t>200</w:t>
            </w:r>
          </w:p>
        </w:tc>
        <w:tc>
          <w:tcPr>
            <w:tcW w:w="850" w:type="dxa"/>
          </w:tcPr>
          <w:p w14:paraId="2952092B" w14:textId="77777777" w:rsidR="00D13E15" w:rsidRPr="00C97275" w:rsidRDefault="00D13E15" w:rsidP="00553F5A">
            <w:pPr>
              <w:rPr>
                <w:rFonts w:ascii="Georgia" w:hAnsi="Georgia"/>
                <w:color w:val="auto"/>
              </w:rPr>
            </w:pPr>
            <w:r w:rsidRPr="00C97275">
              <w:rPr>
                <w:rFonts w:ascii="Georgia" w:hAnsi="Georgia"/>
              </w:rPr>
              <w:t>40</w:t>
            </w:r>
          </w:p>
        </w:tc>
      </w:tr>
      <w:tr w:rsidR="00D13E15" w:rsidRPr="00C97275" w14:paraId="3D969A66" w14:textId="77777777" w:rsidTr="00553F5A">
        <w:trPr>
          <w:trHeight w:val="250"/>
        </w:trPr>
        <w:tc>
          <w:tcPr>
            <w:tcW w:w="4116" w:type="dxa"/>
          </w:tcPr>
          <w:p w14:paraId="02320B84" w14:textId="77777777" w:rsidR="00D13E15" w:rsidRPr="00C97275" w:rsidRDefault="00D13E15" w:rsidP="00553F5A">
            <w:pPr>
              <w:rPr>
                <w:rFonts w:ascii="Georgia" w:hAnsi="Georgia"/>
                <w:b/>
                <w:bCs/>
                <w:color w:val="auto"/>
              </w:rPr>
            </w:pPr>
            <w:r w:rsidRPr="00C97275">
              <w:rPr>
                <w:rFonts w:ascii="Georgia" w:hAnsi="Georgia"/>
                <w:b/>
                <w:bCs/>
              </w:rPr>
              <w:t>Projektų skaičius (iš viso)</w:t>
            </w:r>
          </w:p>
        </w:tc>
        <w:tc>
          <w:tcPr>
            <w:tcW w:w="987" w:type="dxa"/>
          </w:tcPr>
          <w:p w14:paraId="54F07961" w14:textId="77777777" w:rsidR="00D13E15" w:rsidRPr="00C97275" w:rsidRDefault="00D13E15" w:rsidP="00553F5A">
            <w:pPr>
              <w:rPr>
                <w:rFonts w:ascii="Georgia" w:hAnsi="Georgia"/>
                <w:color w:val="auto"/>
              </w:rPr>
            </w:pPr>
            <w:r w:rsidRPr="00C97275">
              <w:rPr>
                <w:rFonts w:ascii="Georgia" w:hAnsi="Georgia"/>
              </w:rPr>
              <w:t>0</w:t>
            </w:r>
          </w:p>
        </w:tc>
        <w:tc>
          <w:tcPr>
            <w:tcW w:w="993" w:type="dxa"/>
          </w:tcPr>
          <w:p w14:paraId="286D6173" w14:textId="77777777" w:rsidR="00D13E15" w:rsidRPr="00C97275" w:rsidRDefault="00D13E15" w:rsidP="00553F5A">
            <w:pPr>
              <w:rPr>
                <w:rFonts w:ascii="Georgia" w:hAnsi="Georgia"/>
                <w:color w:val="auto"/>
              </w:rPr>
            </w:pPr>
            <w:r w:rsidRPr="00C97275">
              <w:rPr>
                <w:rFonts w:ascii="Georgia" w:hAnsi="Georgia"/>
              </w:rPr>
              <w:t>70</w:t>
            </w:r>
          </w:p>
        </w:tc>
        <w:tc>
          <w:tcPr>
            <w:tcW w:w="992" w:type="dxa"/>
          </w:tcPr>
          <w:p w14:paraId="07402FC7" w14:textId="77777777" w:rsidR="00D13E15" w:rsidRPr="00C97275" w:rsidRDefault="00D13E15" w:rsidP="00553F5A">
            <w:pPr>
              <w:rPr>
                <w:rFonts w:ascii="Georgia" w:hAnsi="Georgia"/>
                <w:color w:val="auto"/>
              </w:rPr>
            </w:pPr>
            <w:r w:rsidRPr="00C97275">
              <w:rPr>
                <w:rFonts w:ascii="Georgia" w:hAnsi="Georgia"/>
              </w:rPr>
              <w:t>310</w:t>
            </w:r>
          </w:p>
        </w:tc>
        <w:tc>
          <w:tcPr>
            <w:tcW w:w="1134" w:type="dxa"/>
          </w:tcPr>
          <w:p w14:paraId="4475A535" w14:textId="77777777" w:rsidR="00D13E15" w:rsidRPr="00C97275" w:rsidRDefault="00D13E15" w:rsidP="00553F5A">
            <w:pPr>
              <w:rPr>
                <w:rFonts w:ascii="Georgia" w:hAnsi="Georgia"/>
                <w:color w:val="auto"/>
              </w:rPr>
            </w:pPr>
            <w:r w:rsidRPr="00C97275">
              <w:rPr>
                <w:rFonts w:ascii="Georgia" w:hAnsi="Georgia"/>
              </w:rPr>
              <w:t>510</w:t>
            </w:r>
          </w:p>
        </w:tc>
        <w:tc>
          <w:tcPr>
            <w:tcW w:w="850" w:type="dxa"/>
          </w:tcPr>
          <w:p w14:paraId="704FB9C4" w14:textId="77777777" w:rsidR="00D13E15" w:rsidRPr="00C97275" w:rsidRDefault="00D13E15" w:rsidP="00553F5A">
            <w:pPr>
              <w:rPr>
                <w:rFonts w:ascii="Georgia" w:hAnsi="Georgia"/>
                <w:color w:val="auto"/>
              </w:rPr>
            </w:pPr>
            <w:r w:rsidRPr="00C97275">
              <w:rPr>
                <w:rFonts w:ascii="Georgia" w:hAnsi="Georgia"/>
              </w:rPr>
              <w:t>550</w:t>
            </w:r>
          </w:p>
        </w:tc>
      </w:tr>
      <w:tr w:rsidR="00D13E15" w:rsidRPr="00C97275" w14:paraId="2B113BF1" w14:textId="77777777" w:rsidTr="00553F5A">
        <w:trPr>
          <w:trHeight w:val="250"/>
        </w:trPr>
        <w:tc>
          <w:tcPr>
            <w:tcW w:w="4116" w:type="dxa"/>
          </w:tcPr>
          <w:p w14:paraId="55AE212E" w14:textId="77777777" w:rsidR="00D13E15" w:rsidRPr="00C97275" w:rsidRDefault="00D13E15" w:rsidP="00553F5A">
            <w:pPr>
              <w:rPr>
                <w:rFonts w:ascii="Georgia" w:hAnsi="Georgia"/>
                <w:b/>
                <w:bCs/>
                <w:color w:val="auto"/>
              </w:rPr>
            </w:pPr>
            <w:r w:rsidRPr="00C97275">
              <w:rPr>
                <w:rFonts w:ascii="Georgia" w:hAnsi="Georgia"/>
                <w:b/>
                <w:bCs/>
              </w:rPr>
              <w:t>Pasirašytos paskolų sutartys (per metus)</w:t>
            </w:r>
          </w:p>
        </w:tc>
        <w:tc>
          <w:tcPr>
            <w:tcW w:w="987" w:type="dxa"/>
          </w:tcPr>
          <w:p w14:paraId="143BD1A8" w14:textId="77777777" w:rsidR="00D13E15" w:rsidRPr="00C97275" w:rsidRDefault="00D13E15" w:rsidP="00553F5A">
            <w:pPr>
              <w:rPr>
                <w:rFonts w:ascii="Georgia" w:hAnsi="Georgia"/>
                <w:color w:val="auto"/>
              </w:rPr>
            </w:pPr>
            <w:r w:rsidRPr="00C97275">
              <w:rPr>
                <w:rFonts w:ascii="Georgia" w:hAnsi="Georgia"/>
              </w:rPr>
              <w:t>0</w:t>
            </w:r>
          </w:p>
        </w:tc>
        <w:tc>
          <w:tcPr>
            <w:tcW w:w="993" w:type="dxa"/>
          </w:tcPr>
          <w:p w14:paraId="55E6DBBE" w14:textId="77777777" w:rsidR="00D13E15" w:rsidRPr="00C97275" w:rsidRDefault="00D13E15" w:rsidP="00553F5A">
            <w:pPr>
              <w:rPr>
                <w:rFonts w:ascii="Georgia" w:hAnsi="Georgia"/>
                <w:color w:val="auto"/>
              </w:rPr>
            </w:pPr>
            <w:r w:rsidRPr="00C97275">
              <w:rPr>
                <w:rFonts w:ascii="Georgia" w:hAnsi="Georgia"/>
              </w:rPr>
              <w:t>70</w:t>
            </w:r>
          </w:p>
        </w:tc>
        <w:tc>
          <w:tcPr>
            <w:tcW w:w="992" w:type="dxa"/>
          </w:tcPr>
          <w:p w14:paraId="1488ED54" w14:textId="77777777" w:rsidR="00D13E15" w:rsidRPr="00C97275" w:rsidRDefault="00D13E15" w:rsidP="00553F5A">
            <w:pPr>
              <w:rPr>
                <w:rFonts w:ascii="Georgia" w:hAnsi="Georgia"/>
                <w:color w:val="auto"/>
              </w:rPr>
            </w:pPr>
            <w:r w:rsidRPr="00C97275">
              <w:rPr>
                <w:rFonts w:ascii="Georgia" w:hAnsi="Georgia"/>
              </w:rPr>
              <w:t>240</w:t>
            </w:r>
          </w:p>
        </w:tc>
        <w:tc>
          <w:tcPr>
            <w:tcW w:w="1134" w:type="dxa"/>
          </w:tcPr>
          <w:p w14:paraId="6405792B" w14:textId="77777777" w:rsidR="00D13E15" w:rsidRPr="00C97275" w:rsidRDefault="00D13E15" w:rsidP="00553F5A">
            <w:pPr>
              <w:rPr>
                <w:rFonts w:ascii="Georgia" w:hAnsi="Georgia"/>
                <w:color w:val="auto"/>
              </w:rPr>
            </w:pPr>
            <w:r w:rsidRPr="00C97275">
              <w:rPr>
                <w:rFonts w:ascii="Georgia" w:hAnsi="Georgia"/>
              </w:rPr>
              <w:t>200</w:t>
            </w:r>
          </w:p>
        </w:tc>
        <w:tc>
          <w:tcPr>
            <w:tcW w:w="850" w:type="dxa"/>
          </w:tcPr>
          <w:p w14:paraId="410655AA" w14:textId="77777777" w:rsidR="00D13E15" w:rsidRPr="00C97275" w:rsidRDefault="00D13E15" w:rsidP="00553F5A">
            <w:pPr>
              <w:rPr>
                <w:rFonts w:ascii="Georgia" w:hAnsi="Georgia"/>
                <w:color w:val="auto"/>
              </w:rPr>
            </w:pPr>
            <w:r w:rsidRPr="00C97275">
              <w:rPr>
                <w:rFonts w:ascii="Georgia" w:hAnsi="Georgia"/>
              </w:rPr>
              <w:t>40</w:t>
            </w:r>
          </w:p>
        </w:tc>
      </w:tr>
      <w:tr w:rsidR="00D13E15" w:rsidRPr="00C97275" w14:paraId="3B14E76C" w14:textId="77777777" w:rsidTr="00553F5A">
        <w:trPr>
          <w:trHeight w:val="250"/>
        </w:trPr>
        <w:tc>
          <w:tcPr>
            <w:tcW w:w="4116" w:type="dxa"/>
          </w:tcPr>
          <w:p w14:paraId="4F355694" w14:textId="77777777" w:rsidR="00D13E15" w:rsidRPr="00C97275" w:rsidRDefault="00D13E15" w:rsidP="00553F5A">
            <w:pPr>
              <w:rPr>
                <w:rFonts w:ascii="Georgia" w:hAnsi="Georgia"/>
                <w:b/>
                <w:bCs/>
                <w:color w:val="auto"/>
              </w:rPr>
            </w:pPr>
            <w:r w:rsidRPr="00C97275">
              <w:rPr>
                <w:rFonts w:ascii="Georgia" w:hAnsi="Georgia"/>
                <w:b/>
                <w:bCs/>
              </w:rPr>
              <w:t>Pasirašytos paskolų sutartys (iš viso)</w:t>
            </w:r>
          </w:p>
        </w:tc>
        <w:tc>
          <w:tcPr>
            <w:tcW w:w="987" w:type="dxa"/>
          </w:tcPr>
          <w:p w14:paraId="4C47574A" w14:textId="77777777" w:rsidR="00D13E15" w:rsidRPr="00C97275" w:rsidRDefault="00D13E15" w:rsidP="00553F5A">
            <w:pPr>
              <w:rPr>
                <w:rFonts w:ascii="Georgia" w:hAnsi="Georgia"/>
                <w:color w:val="auto"/>
              </w:rPr>
            </w:pPr>
            <w:r w:rsidRPr="00C97275">
              <w:rPr>
                <w:rFonts w:ascii="Georgia" w:hAnsi="Georgia"/>
              </w:rPr>
              <w:t>0</w:t>
            </w:r>
          </w:p>
        </w:tc>
        <w:tc>
          <w:tcPr>
            <w:tcW w:w="993" w:type="dxa"/>
          </w:tcPr>
          <w:p w14:paraId="67EC7E75" w14:textId="77777777" w:rsidR="00D13E15" w:rsidRPr="00C97275" w:rsidRDefault="00D13E15" w:rsidP="00553F5A">
            <w:pPr>
              <w:rPr>
                <w:rFonts w:ascii="Georgia" w:hAnsi="Georgia"/>
                <w:color w:val="auto"/>
              </w:rPr>
            </w:pPr>
            <w:r w:rsidRPr="00C97275">
              <w:rPr>
                <w:rFonts w:ascii="Georgia" w:hAnsi="Georgia"/>
              </w:rPr>
              <w:t>70</w:t>
            </w:r>
          </w:p>
        </w:tc>
        <w:tc>
          <w:tcPr>
            <w:tcW w:w="992" w:type="dxa"/>
          </w:tcPr>
          <w:p w14:paraId="76BC40C4" w14:textId="77777777" w:rsidR="00D13E15" w:rsidRPr="00C97275" w:rsidRDefault="00D13E15" w:rsidP="00553F5A">
            <w:pPr>
              <w:rPr>
                <w:rFonts w:ascii="Georgia" w:hAnsi="Georgia"/>
                <w:color w:val="auto"/>
              </w:rPr>
            </w:pPr>
            <w:r w:rsidRPr="00C97275">
              <w:rPr>
                <w:rFonts w:ascii="Georgia" w:hAnsi="Georgia"/>
              </w:rPr>
              <w:t>310</w:t>
            </w:r>
          </w:p>
        </w:tc>
        <w:tc>
          <w:tcPr>
            <w:tcW w:w="1134" w:type="dxa"/>
          </w:tcPr>
          <w:p w14:paraId="2F0D9F7B" w14:textId="77777777" w:rsidR="00D13E15" w:rsidRPr="00C97275" w:rsidRDefault="00D13E15" w:rsidP="00553F5A">
            <w:pPr>
              <w:rPr>
                <w:rFonts w:ascii="Georgia" w:hAnsi="Georgia"/>
                <w:color w:val="auto"/>
              </w:rPr>
            </w:pPr>
            <w:r w:rsidRPr="00C97275">
              <w:rPr>
                <w:rFonts w:ascii="Georgia" w:hAnsi="Georgia"/>
              </w:rPr>
              <w:t>510</w:t>
            </w:r>
          </w:p>
        </w:tc>
        <w:tc>
          <w:tcPr>
            <w:tcW w:w="850" w:type="dxa"/>
          </w:tcPr>
          <w:p w14:paraId="38AC0A53" w14:textId="77777777" w:rsidR="00D13E15" w:rsidRPr="00C97275" w:rsidRDefault="00D13E15" w:rsidP="00553F5A">
            <w:pPr>
              <w:rPr>
                <w:rFonts w:ascii="Georgia" w:hAnsi="Georgia"/>
                <w:color w:val="auto"/>
              </w:rPr>
            </w:pPr>
            <w:r w:rsidRPr="00C97275">
              <w:rPr>
                <w:rFonts w:ascii="Georgia" w:hAnsi="Georgia"/>
              </w:rPr>
              <w:t>550</w:t>
            </w:r>
          </w:p>
        </w:tc>
      </w:tr>
      <w:tr w:rsidR="00D13E15" w:rsidRPr="00C97275" w14:paraId="63518807" w14:textId="77777777" w:rsidTr="00553F5A">
        <w:trPr>
          <w:trHeight w:val="250"/>
        </w:trPr>
        <w:tc>
          <w:tcPr>
            <w:tcW w:w="4116" w:type="dxa"/>
          </w:tcPr>
          <w:p w14:paraId="2BFEE8D6" w14:textId="77777777" w:rsidR="00D13E15" w:rsidRPr="00C97275" w:rsidRDefault="00D13E15" w:rsidP="00553F5A">
            <w:pPr>
              <w:rPr>
                <w:rFonts w:ascii="Georgia" w:hAnsi="Georgia"/>
                <w:b/>
                <w:bCs/>
                <w:color w:val="auto"/>
              </w:rPr>
            </w:pPr>
            <w:r w:rsidRPr="00C97275">
              <w:rPr>
                <w:rFonts w:ascii="Georgia" w:hAnsi="Georgia"/>
                <w:b/>
                <w:bCs/>
              </w:rPr>
              <w:t>Galutiniams naudos gavėjams išmokėtos lėšos (per metus)</w:t>
            </w:r>
          </w:p>
        </w:tc>
        <w:tc>
          <w:tcPr>
            <w:tcW w:w="987" w:type="dxa"/>
          </w:tcPr>
          <w:p w14:paraId="6D3721F8" w14:textId="77777777" w:rsidR="00D13E15" w:rsidRPr="00C97275" w:rsidRDefault="00D13E15" w:rsidP="00553F5A">
            <w:pPr>
              <w:rPr>
                <w:rFonts w:ascii="Georgia" w:hAnsi="Georgia"/>
                <w:color w:val="auto"/>
              </w:rPr>
            </w:pPr>
            <w:r w:rsidRPr="00C97275">
              <w:rPr>
                <w:rFonts w:ascii="Georgia" w:hAnsi="Georgia"/>
              </w:rPr>
              <w:t>0</w:t>
            </w:r>
          </w:p>
        </w:tc>
        <w:tc>
          <w:tcPr>
            <w:tcW w:w="993" w:type="dxa"/>
          </w:tcPr>
          <w:p w14:paraId="771F2B30" w14:textId="77777777" w:rsidR="00D13E15" w:rsidRPr="00C97275" w:rsidRDefault="00D13E15" w:rsidP="00553F5A">
            <w:pPr>
              <w:rPr>
                <w:rFonts w:ascii="Georgia" w:hAnsi="Georgia"/>
                <w:color w:val="auto"/>
              </w:rPr>
            </w:pPr>
            <w:r w:rsidRPr="00C97275">
              <w:rPr>
                <w:rFonts w:ascii="Georgia" w:hAnsi="Georgia"/>
              </w:rPr>
              <w:t>18 mln. eurų</w:t>
            </w:r>
          </w:p>
        </w:tc>
        <w:tc>
          <w:tcPr>
            <w:tcW w:w="992" w:type="dxa"/>
          </w:tcPr>
          <w:p w14:paraId="01C8D9A3" w14:textId="77777777" w:rsidR="00D13E15" w:rsidRPr="00C97275" w:rsidRDefault="00D13E15" w:rsidP="00553F5A">
            <w:pPr>
              <w:rPr>
                <w:rFonts w:ascii="Georgia" w:hAnsi="Georgia"/>
                <w:color w:val="auto"/>
              </w:rPr>
            </w:pPr>
            <w:r w:rsidRPr="00C97275">
              <w:rPr>
                <w:rFonts w:ascii="Georgia" w:hAnsi="Georgia"/>
              </w:rPr>
              <w:t>68 mln. eurų</w:t>
            </w:r>
          </w:p>
        </w:tc>
        <w:tc>
          <w:tcPr>
            <w:tcW w:w="1134" w:type="dxa"/>
          </w:tcPr>
          <w:p w14:paraId="1151E5CF" w14:textId="77777777" w:rsidR="00D13E15" w:rsidRPr="00C97275" w:rsidRDefault="00D13E15" w:rsidP="00553F5A">
            <w:pPr>
              <w:rPr>
                <w:rFonts w:ascii="Georgia" w:hAnsi="Georgia"/>
                <w:color w:val="auto"/>
              </w:rPr>
            </w:pPr>
            <w:r w:rsidRPr="00C97275">
              <w:rPr>
                <w:rFonts w:ascii="Georgia" w:hAnsi="Georgia"/>
              </w:rPr>
              <w:t>65 mln. eurų</w:t>
            </w:r>
          </w:p>
        </w:tc>
        <w:tc>
          <w:tcPr>
            <w:tcW w:w="850" w:type="dxa"/>
          </w:tcPr>
          <w:p w14:paraId="0DE9F465" w14:textId="77777777" w:rsidR="00D13E15" w:rsidRPr="00C97275" w:rsidRDefault="00D13E15" w:rsidP="00553F5A">
            <w:pPr>
              <w:rPr>
                <w:rFonts w:ascii="Georgia" w:hAnsi="Georgia"/>
                <w:color w:val="auto"/>
              </w:rPr>
            </w:pPr>
            <w:r w:rsidRPr="00C97275">
              <w:rPr>
                <w:rFonts w:ascii="Georgia" w:hAnsi="Georgia"/>
              </w:rPr>
              <w:t>99 mln. eurų</w:t>
            </w:r>
          </w:p>
        </w:tc>
      </w:tr>
      <w:tr w:rsidR="00D13E15" w:rsidRPr="00C97275" w14:paraId="5B266EDB" w14:textId="77777777" w:rsidTr="00553F5A">
        <w:trPr>
          <w:trHeight w:val="250"/>
        </w:trPr>
        <w:tc>
          <w:tcPr>
            <w:tcW w:w="4116" w:type="dxa"/>
          </w:tcPr>
          <w:p w14:paraId="49DC5D5E" w14:textId="77777777" w:rsidR="00D13E15" w:rsidRPr="00C97275" w:rsidRDefault="00D13E15" w:rsidP="00553F5A">
            <w:pPr>
              <w:rPr>
                <w:rFonts w:ascii="Georgia" w:hAnsi="Georgia"/>
                <w:b/>
                <w:bCs/>
                <w:color w:val="auto"/>
              </w:rPr>
            </w:pPr>
            <w:r w:rsidRPr="00C97275">
              <w:rPr>
                <w:rFonts w:ascii="Georgia" w:hAnsi="Georgia"/>
                <w:b/>
                <w:bCs/>
              </w:rPr>
              <w:t>Galutiniams naudos gavėjams išmokėtos lėšos (iš viso)</w:t>
            </w:r>
          </w:p>
        </w:tc>
        <w:tc>
          <w:tcPr>
            <w:tcW w:w="987" w:type="dxa"/>
          </w:tcPr>
          <w:p w14:paraId="25F6BD69" w14:textId="77777777" w:rsidR="00D13E15" w:rsidRPr="00C97275" w:rsidRDefault="00D13E15" w:rsidP="00553F5A">
            <w:pPr>
              <w:rPr>
                <w:rFonts w:ascii="Georgia" w:hAnsi="Georgia"/>
                <w:color w:val="auto"/>
              </w:rPr>
            </w:pPr>
            <w:r w:rsidRPr="00C97275">
              <w:rPr>
                <w:rFonts w:ascii="Georgia" w:hAnsi="Georgia"/>
              </w:rPr>
              <w:t>0</w:t>
            </w:r>
          </w:p>
        </w:tc>
        <w:tc>
          <w:tcPr>
            <w:tcW w:w="993" w:type="dxa"/>
          </w:tcPr>
          <w:p w14:paraId="05CD2BF5" w14:textId="77777777" w:rsidR="00D13E15" w:rsidRPr="00C97275" w:rsidRDefault="00D13E15" w:rsidP="00553F5A">
            <w:pPr>
              <w:rPr>
                <w:rFonts w:ascii="Georgia" w:hAnsi="Georgia"/>
                <w:color w:val="auto"/>
              </w:rPr>
            </w:pPr>
            <w:r w:rsidRPr="00C97275">
              <w:rPr>
                <w:rFonts w:ascii="Georgia" w:hAnsi="Georgia"/>
              </w:rPr>
              <w:t>18 mln. eurų</w:t>
            </w:r>
          </w:p>
        </w:tc>
        <w:tc>
          <w:tcPr>
            <w:tcW w:w="992" w:type="dxa"/>
          </w:tcPr>
          <w:p w14:paraId="2B1BFC12" w14:textId="77777777" w:rsidR="00D13E15" w:rsidRPr="00C97275" w:rsidRDefault="00D13E15" w:rsidP="00553F5A">
            <w:pPr>
              <w:rPr>
                <w:rFonts w:ascii="Georgia" w:hAnsi="Georgia"/>
                <w:color w:val="auto"/>
              </w:rPr>
            </w:pPr>
            <w:r w:rsidRPr="00C97275">
              <w:rPr>
                <w:rFonts w:ascii="Georgia" w:hAnsi="Georgia"/>
              </w:rPr>
              <w:t>96 mln. eurų</w:t>
            </w:r>
          </w:p>
        </w:tc>
        <w:tc>
          <w:tcPr>
            <w:tcW w:w="1134" w:type="dxa"/>
          </w:tcPr>
          <w:p w14:paraId="6BA1FC81" w14:textId="77777777" w:rsidR="00D13E15" w:rsidRPr="00C97275" w:rsidRDefault="00D13E15" w:rsidP="00553F5A">
            <w:pPr>
              <w:rPr>
                <w:rFonts w:ascii="Georgia" w:hAnsi="Georgia"/>
                <w:color w:val="auto"/>
              </w:rPr>
            </w:pPr>
            <w:r w:rsidRPr="00C97275">
              <w:rPr>
                <w:rFonts w:ascii="Georgia" w:hAnsi="Georgia"/>
              </w:rPr>
              <w:t>161 mln. eurų</w:t>
            </w:r>
          </w:p>
        </w:tc>
        <w:tc>
          <w:tcPr>
            <w:tcW w:w="850" w:type="dxa"/>
          </w:tcPr>
          <w:p w14:paraId="4060C305" w14:textId="77777777" w:rsidR="00D13E15" w:rsidRPr="00C97275" w:rsidRDefault="00D13E15" w:rsidP="00553F5A">
            <w:pPr>
              <w:rPr>
                <w:rFonts w:ascii="Georgia" w:hAnsi="Georgia"/>
                <w:color w:val="auto"/>
              </w:rPr>
            </w:pPr>
            <w:r w:rsidRPr="00C97275">
              <w:rPr>
                <w:rFonts w:ascii="Georgia" w:hAnsi="Georgia"/>
              </w:rPr>
              <w:t>250 mln. eurų</w:t>
            </w:r>
          </w:p>
        </w:tc>
      </w:tr>
      <w:tr w:rsidR="00D13E15" w:rsidRPr="00C97275" w14:paraId="6A03E466" w14:textId="77777777" w:rsidTr="00553F5A">
        <w:trPr>
          <w:trHeight w:val="64"/>
        </w:trPr>
        <w:tc>
          <w:tcPr>
            <w:tcW w:w="4116" w:type="dxa"/>
          </w:tcPr>
          <w:p w14:paraId="6C77B1CE" w14:textId="77777777" w:rsidR="00D13E15" w:rsidRPr="00C97275" w:rsidRDefault="00D13E15" w:rsidP="00553F5A">
            <w:pPr>
              <w:rPr>
                <w:rFonts w:ascii="Georgia" w:hAnsi="Georgia"/>
                <w:b/>
                <w:bCs/>
                <w:color w:val="auto"/>
              </w:rPr>
            </w:pPr>
            <w:r w:rsidRPr="00C97275">
              <w:rPr>
                <w:rFonts w:ascii="Georgia" w:hAnsi="Georgia"/>
                <w:b/>
                <w:bCs/>
              </w:rPr>
              <w:t>Fondo likutis</w:t>
            </w:r>
          </w:p>
        </w:tc>
        <w:tc>
          <w:tcPr>
            <w:tcW w:w="987" w:type="dxa"/>
          </w:tcPr>
          <w:p w14:paraId="46ED1B67" w14:textId="77777777" w:rsidR="00D13E15" w:rsidRPr="00C97275" w:rsidRDefault="00D13E15" w:rsidP="00553F5A">
            <w:pPr>
              <w:rPr>
                <w:rFonts w:ascii="Georgia" w:hAnsi="Georgia"/>
                <w:b/>
                <w:bCs/>
                <w:color w:val="auto"/>
              </w:rPr>
            </w:pPr>
            <w:r w:rsidRPr="00C97275">
              <w:rPr>
                <w:rFonts w:ascii="Georgia" w:hAnsi="Georgia"/>
                <w:b/>
                <w:bCs/>
              </w:rPr>
              <w:t>250</w:t>
            </w:r>
          </w:p>
        </w:tc>
        <w:tc>
          <w:tcPr>
            <w:tcW w:w="993" w:type="dxa"/>
          </w:tcPr>
          <w:p w14:paraId="11412A18" w14:textId="77777777" w:rsidR="00D13E15" w:rsidRPr="00C97275" w:rsidRDefault="00D13E15" w:rsidP="00553F5A">
            <w:pPr>
              <w:rPr>
                <w:rFonts w:ascii="Georgia" w:hAnsi="Georgia"/>
                <w:b/>
                <w:bCs/>
                <w:color w:val="auto"/>
              </w:rPr>
            </w:pPr>
            <w:r w:rsidRPr="00C97275">
              <w:rPr>
                <w:rFonts w:ascii="Georgia" w:hAnsi="Georgia"/>
                <w:b/>
                <w:bCs/>
              </w:rPr>
              <w:t>232</w:t>
            </w:r>
          </w:p>
        </w:tc>
        <w:tc>
          <w:tcPr>
            <w:tcW w:w="992" w:type="dxa"/>
          </w:tcPr>
          <w:p w14:paraId="0BF88EDF" w14:textId="77777777" w:rsidR="00D13E15" w:rsidRPr="00C97275" w:rsidRDefault="00D13E15" w:rsidP="00553F5A">
            <w:pPr>
              <w:rPr>
                <w:rFonts w:ascii="Georgia" w:hAnsi="Georgia"/>
                <w:b/>
                <w:bCs/>
                <w:color w:val="auto"/>
              </w:rPr>
            </w:pPr>
            <w:r w:rsidRPr="00C97275">
              <w:rPr>
                <w:rFonts w:ascii="Georgia" w:hAnsi="Georgia"/>
                <w:b/>
                <w:bCs/>
              </w:rPr>
              <w:t>164</w:t>
            </w:r>
          </w:p>
        </w:tc>
        <w:tc>
          <w:tcPr>
            <w:tcW w:w="1134" w:type="dxa"/>
          </w:tcPr>
          <w:p w14:paraId="598DC4AC" w14:textId="77777777" w:rsidR="00D13E15" w:rsidRPr="00C97275" w:rsidRDefault="00D13E15" w:rsidP="00553F5A">
            <w:pPr>
              <w:rPr>
                <w:rFonts w:ascii="Georgia" w:hAnsi="Georgia"/>
                <w:b/>
                <w:bCs/>
                <w:color w:val="auto"/>
              </w:rPr>
            </w:pPr>
            <w:r w:rsidRPr="00C97275">
              <w:rPr>
                <w:rFonts w:ascii="Georgia" w:hAnsi="Georgia"/>
                <w:b/>
                <w:bCs/>
              </w:rPr>
              <w:t>99</w:t>
            </w:r>
          </w:p>
        </w:tc>
        <w:tc>
          <w:tcPr>
            <w:tcW w:w="850" w:type="dxa"/>
          </w:tcPr>
          <w:p w14:paraId="2EBED526" w14:textId="77777777" w:rsidR="00D13E15" w:rsidRPr="00C97275" w:rsidRDefault="00D13E15" w:rsidP="00553F5A">
            <w:pPr>
              <w:rPr>
                <w:rFonts w:ascii="Georgia" w:hAnsi="Georgia"/>
                <w:b/>
                <w:bCs/>
                <w:color w:val="auto"/>
              </w:rPr>
            </w:pPr>
            <w:r w:rsidRPr="00C97275">
              <w:rPr>
                <w:rFonts w:ascii="Georgia" w:hAnsi="Georgia"/>
                <w:b/>
                <w:bCs/>
              </w:rPr>
              <w:t>0</w:t>
            </w:r>
          </w:p>
        </w:tc>
      </w:tr>
      <w:bookmarkEnd w:id="198"/>
    </w:tbl>
    <w:p w14:paraId="12D9100C" w14:textId="752EA0DB" w:rsidR="00AC15D5" w:rsidRPr="00C97275" w:rsidRDefault="00AC15D5" w:rsidP="00AC15D5">
      <w:pPr>
        <w:rPr>
          <w:rFonts w:ascii="Georgia" w:hAnsi="Georgia"/>
          <w:lang w:val="lt-LT"/>
        </w:rPr>
      </w:pPr>
    </w:p>
    <w:p w14:paraId="2C495D79" w14:textId="60361C47" w:rsidR="00AC15D5" w:rsidRPr="00C97275" w:rsidRDefault="00AC15D5" w:rsidP="00AC15D5">
      <w:pPr>
        <w:pStyle w:val="Antrat"/>
        <w:rPr>
          <w:lang w:val="lt-LT"/>
        </w:rPr>
      </w:pPr>
      <w:bookmarkStart w:id="199" w:name="_Toc19105278"/>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65</w:t>
      </w:r>
      <w:r w:rsidRPr="00C97275">
        <w:rPr>
          <w:lang w:val="lt-LT"/>
        </w:rPr>
        <w:fldChar w:fldCharType="end"/>
      </w:r>
      <w:r w:rsidRPr="00C97275">
        <w:rPr>
          <w:lang w:val="lt-LT"/>
        </w:rPr>
        <w:t xml:space="preserve">. </w:t>
      </w:r>
      <w:r w:rsidRPr="00C97275">
        <w:rPr>
          <w:szCs w:val="20"/>
          <w:lang w:val="lt-LT"/>
        </w:rPr>
        <w:t xml:space="preserve">Scenarijaus Nr. </w:t>
      </w:r>
      <w:r w:rsidR="00D13E15" w:rsidRPr="00C97275">
        <w:rPr>
          <w:szCs w:val="20"/>
          <w:lang w:val="lt-LT"/>
        </w:rPr>
        <w:t>6</w:t>
      </w:r>
      <w:r w:rsidRPr="00C97275">
        <w:rPr>
          <w:szCs w:val="20"/>
          <w:lang w:val="lt-LT"/>
        </w:rPr>
        <w:t xml:space="preserve"> rezultatai</w:t>
      </w:r>
      <w:bookmarkEnd w:id="199"/>
    </w:p>
    <w:tbl>
      <w:tblPr>
        <w:tblStyle w:val="viesussraas2parykinimas"/>
        <w:tblW w:w="0" w:type="auto"/>
        <w:tblLook w:val="04A0" w:firstRow="1" w:lastRow="0" w:firstColumn="1" w:lastColumn="0" w:noHBand="0" w:noVBand="1"/>
      </w:tblPr>
      <w:tblGrid>
        <w:gridCol w:w="6651"/>
        <w:gridCol w:w="2591"/>
      </w:tblGrid>
      <w:tr w:rsidR="00AC15D5" w:rsidRPr="00C97275" w14:paraId="279DFFAF" w14:textId="77777777" w:rsidTr="005D1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1593BEE1" w14:textId="77777777" w:rsidR="00AC15D5" w:rsidRPr="00C97275" w:rsidRDefault="00AC15D5" w:rsidP="005D1338">
            <w:pPr>
              <w:rPr>
                <w:rFonts w:ascii="Georgia" w:hAnsi="Georgia"/>
                <w:sz w:val="20"/>
                <w:szCs w:val="20"/>
              </w:rPr>
            </w:pPr>
            <w:r w:rsidRPr="00C97275">
              <w:rPr>
                <w:rFonts w:ascii="Georgia" w:hAnsi="Georgia"/>
                <w:sz w:val="20"/>
                <w:szCs w:val="20"/>
              </w:rPr>
              <w:t>Fondas</w:t>
            </w:r>
          </w:p>
        </w:tc>
        <w:tc>
          <w:tcPr>
            <w:tcW w:w="2591" w:type="dxa"/>
          </w:tcPr>
          <w:p w14:paraId="600E81FF" w14:textId="77777777" w:rsidR="00AC15D5" w:rsidRPr="00C97275" w:rsidRDefault="00AC15D5" w:rsidP="005D1338">
            <w:pPr>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Reikšmė</w:t>
            </w:r>
          </w:p>
        </w:tc>
      </w:tr>
      <w:tr w:rsidR="00AC15D5" w:rsidRPr="00C97275" w14:paraId="12C85042" w14:textId="77777777" w:rsidTr="005D1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7366B390" w14:textId="77777777" w:rsidR="00AC15D5" w:rsidRPr="00C97275" w:rsidRDefault="00AC15D5" w:rsidP="005D1338">
            <w:pPr>
              <w:rPr>
                <w:rFonts w:ascii="Georgia" w:hAnsi="Georgia"/>
                <w:sz w:val="20"/>
                <w:szCs w:val="20"/>
              </w:rPr>
            </w:pPr>
            <w:r w:rsidRPr="00C97275">
              <w:rPr>
                <w:rFonts w:ascii="Georgia" w:hAnsi="Georgia"/>
                <w:sz w:val="20"/>
                <w:szCs w:val="20"/>
              </w:rPr>
              <w:t>Galutinius naudos gavėjus pasiekusios lėšos, mln. Eurų</w:t>
            </w:r>
          </w:p>
        </w:tc>
        <w:tc>
          <w:tcPr>
            <w:tcW w:w="2591" w:type="dxa"/>
          </w:tcPr>
          <w:p w14:paraId="46039718" w14:textId="132C5336" w:rsidR="00AC15D5" w:rsidRPr="00C97275" w:rsidRDefault="00D13E15" w:rsidP="005D1338">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250</w:t>
            </w:r>
          </w:p>
        </w:tc>
      </w:tr>
      <w:tr w:rsidR="00AC15D5" w:rsidRPr="00C97275" w14:paraId="4846BEB1" w14:textId="77777777" w:rsidTr="005D1338">
        <w:tc>
          <w:tcPr>
            <w:cnfStyle w:val="001000000000" w:firstRow="0" w:lastRow="0" w:firstColumn="1" w:lastColumn="0" w:oddVBand="0" w:evenVBand="0" w:oddHBand="0" w:evenHBand="0" w:firstRowFirstColumn="0" w:firstRowLastColumn="0" w:lastRowFirstColumn="0" w:lastRowLastColumn="0"/>
            <w:tcW w:w="6651" w:type="dxa"/>
          </w:tcPr>
          <w:p w14:paraId="29BBB3F8" w14:textId="77777777" w:rsidR="00AC15D5" w:rsidRPr="00C97275" w:rsidRDefault="00AC15D5" w:rsidP="005D1338">
            <w:pPr>
              <w:rPr>
                <w:rFonts w:ascii="Georgia" w:hAnsi="Georgia"/>
                <w:sz w:val="20"/>
                <w:szCs w:val="20"/>
              </w:rPr>
            </w:pPr>
            <w:r w:rsidRPr="00C97275">
              <w:rPr>
                <w:rFonts w:ascii="Georgia" w:hAnsi="Georgia"/>
                <w:sz w:val="20"/>
                <w:szCs w:val="20"/>
              </w:rPr>
              <w:t>Pritrauktos investuotojų lėšos, mln. eurų</w:t>
            </w:r>
          </w:p>
        </w:tc>
        <w:tc>
          <w:tcPr>
            <w:tcW w:w="2591" w:type="dxa"/>
          </w:tcPr>
          <w:p w14:paraId="20F3E938" w14:textId="2680FB03" w:rsidR="00AC15D5" w:rsidRPr="00C97275" w:rsidRDefault="00D13E15" w:rsidP="005D1338">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200</w:t>
            </w:r>
          </w:p>
        </w:tc>
      </w:tr>
      <w:tr w:rsidR="00AC15D5" w:rsidRPr="00C97275" w14:paraId="4E9CD0C5" w14:textId="77777777" w:rsidTr="005D1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5D0E72BA" w14:textId="77777777" w:rsidR="00AC15D5" w:rsidRPr="00C97275" w:rsidRDefault="00AC15D5" w:rsidP="005D1338">
            <w:pPr>
              <w:rPr>
                <w:rFonts w:ascii="Georgia" w:hAnsi="Georgia"/>
                <w:sz w:val="20"/>
                <w:szCs w:val="20"/>
              </w:rPr>
            </w:pPr>
            <w:r w:rsidRPr="00C97275">
              <w:rPr>
                <w:rFonts w:ascii="Georgia" w:hAnsi="Georgia"/>
                <w:sz w:val="20"/>
                <w:szCs w:val="20"/>
              </w:rPr>
              <w:t>Renovuotų pastatų skaičius</w:t>
            </w:r>
          </w:p>
        </w:tc>
        <w:tc>
          <w:tcPr>
            <w:tcW w:w="2591" w:type="dxa"/>
          </w:tcPr>
          <w:p w14:paraId="0E542F07" w14:textId="3D2A6500" w:rsidR="00AC15D5" w:rsidRPr="00C97275" w:rsidRDefault="00D13E15" w:rsidP="005D1338">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550</w:t>
            </w:r>
          </w:p>
        </w:tc>
      </w:tr>
    </w:tbl>
    <w:p w14:paraId="0860D8AF" w14:textId="77777777" w:rsidR="00AC15D5" w:rsidRPr="00C97275" w:rsidRDefault="00AC15D5" w:rsidP="000556A1">
      <w:pPr>
        <w:rPr>
          <w:rFonts w:ascii="Georgia" w:hAnsi="Georgia"/>
          <w:sz w:val="20"/>
          <w:szCs w:val="20"/>
          <w:lang w:val="lt-LT"/>
        </w:rPr>
      </w:pPr>
    </w:p>
    <w:p w14:paraId="31ED0887" w14:textId="1CE84B0B" w:rsidR="00280058" w:rsidRPr="00C97275" w:rsidRDefault="002C12CB" w:rsidP="00C03122">
      <w:pPr>
        <w:pStyle w:val="Antrat2"/>
        <w:numPr>
          <w:ilvl w:val="3"/>
          <w:numId w:val="2"/>
        </w:numPr>
        <w:rPr>
          <w:rFonts w:ascii="Georgia" w:hAnsi="Georgia"/>
          <w:lang w:val="lt-LT"/>
        </w:rPr>
      </w:pPr>
      <w:bookmarkStart w:id="200" w:name="_Toc503766108"/>
      <w:bookmarkStart w:id="201" w:name="_Toc503766784"/>
      <w:bookmarkStart w:id="202" w:name="_Toc503766982"/>
      <w:bookmarkStart w:id="203" w:name="_Toc25594685"/>
      <w:bookmarkEnd w:id="200"/>
      <w:bookmarkEnd w:id="201"/>
      <w:bookmarkEnd w:id="202"/>
      <w:r w:rsidRPr="00C97275">
        <w:rPr>
          <w:rFonts w:ascii="Georgia" w:hAnsi="Georgia"/>
          <w:lang w:val="lt-LT"/>
        </w:rPr>
        <w:t>Centrinės valdžios viešieji pastatai</w:t>
      </w:r>
      <w:bookmarkEnd w:id="167"/>
      <w:bookmarkEnd w:id="168"/>
      <w:bookmarkEnd w:id="203"/>
    </w:p>
    <w:p w14:paraId="20D07129" w14:textId="28AB7727" w:rsidR="001A6D55" w:rsidRPr="00C97275" w:rsidRDefault="001A6D55">
      <w:pPr>
        <w:rPr>
          <w:rFonts w:ascii="Georgia" w:hAnsi="Georgia"/>
          <w:sz w:val="20"/>
          <w:szCs w:val="20"/>
          <w:lang w:val="lt-LT"/>
        </w:rPr>
      </w:pPr>
      <w:r w:rsidRPr="00C97275">
        <w:rPr>
          <w:rFonts w:ascii="Georgia" w:hAnsi="Georgia"/>
          <w:sz w:val="20"/>
          <w:szCs w:val="20"/>
          <w:lang w:val="lt-LT"/>
        </w:rPr>
        <w:br w:type="page"/>
      </w:r>
    </w:p>
    <w:p w14:paraId="02B5A40C" w14:textId="2BB41F09" w:rsidR="00571034" w:rsidRPr="00C97275" w:rsidRDefault="00571034" w:rsidP="00A41801">
      <w:pPr>
        <w:pStyle w:val="Antrat2"/>
        <w:numPr>
          <w:ilvl w:val="3"/>
          <w:numId w:val="2"/>
        </w:numPr>
        <w:ind w:left="1134"/>
        <w:rPr>
          <w:rFonts w:ascii="Georgia" w:hAnsi="Georgia"/>
          <w:lang w:val="lt-LT"/>
        </w:rPr>
      </w:pPr>
      <w:bookmarkStart w:id="204" w:name="_Toc399924056"/>
      <w:bookmarkStart w:id="205" w:name="_Toc402352630"/>
      <w:bookmarkStart w:id="206" w:name="_Toc25594686"/>
      <w:r w:rsidRPr="00C97275">
        <w:rPr>
          <w:rFonts w:ascii="Georgia" w:hAnsi="Georgia"/>
          <w:lang w:val="lt-LT"/>
        </w:rPr>
        <w:lastRenderedPageBreak/>
        <w:t>Savivaldybių viešieji pastatai</w:t>
      </w:r>
      <w:bookmarkEnd w:id="206"/>
    </w:p>
    <w:p w14:paraId="5C644850" w14:textId="77777777" w:rsidR="00571034" w:rsidRPr="00C97275" w:rsidRDefault="00571034" w:rsidP="00571034">
      <w:pPr>
        <w:jc w:val="both"/>
        <w:rPr>
          <w:rFonts w:ascii="Georgia" w:hAnsi="Georgia"/>
          <w:sz w:val="20"/>
          <w:szCs w:val="20"/>
          <w:lang w:val="lt-LT"/>
        </w:rPr>
      </w:pPr>
    </w:p>
    <w:p w14:paraId="33867A45" w14:textId="5B606116" w:rsidR="00280058" w:rsidRPr="00C97275" w:rsidRDefault="006332E6" w:rsidP="00A41801">
      <w:pPr>
        <w:pStyle w:val="Antrat2"/>
        <w:numPr>
          <w:ilvl w:val="3"/>
          <w:numId w:val="2"/>
        </w:numPr>
        <w:ind w:left="1134"/>
        <w:rPr>
          <w:rFonts w:ascii="Georgia" w:hAnsi="Georgia"/>
          <w:lang w:val="lt-LT"/>
        </w:rPr>
      </w:pPr>
      <w:bookmarkStart w:id="207" w:name="_Toc25594687"/>
      <w:r w:rsidRPr="00C97275">
        <w:rPr>
          <w:rFonts w:ascii="Georgia" w:hAnsi="Georgia"/>
          <w:lang w:val="lt-LT"/>
        </w:rPr>
        <w:t>G</w:t>
      </w:r>
      <w:r w:rsidR="002C12CB" w:rsidRPr="00C97275">
        <w:rPr>
          <w:rFonts w:ascii="Georgia" w:hAnsi="Georgia"/>
          <w:lang w:val="lt-LT"/>
        </w:rPr>
        <w:t>atvių apšvietimas</w:t>
      </w:r>
      <w:bookmarkEnd w:id="204"/>
      <w:bookmarkEnd w:id="205"/>
      <w:bookmarkEnd w:id="207"/>
    </w:p>
    <w:p w14:paraId="490D7F4F" w14:textId="77777777" w:rsidR="00280058" w:rsidRPr="00C97275" w:rsidRDefault="00280058" w:rsidP="00280058">
      <w:pPr>
        <w:jc w:val="both"/>
        <w:rPr>
          <w:rFonts w:ascii="Georgia" w:hAnsi="Georgia"/>
          <w:sz w:val="20"/>
          <w:szCs w:val="20"/>
          <w:lang w:val="lt-LT"/>
        </w:rPr>
      </w:pPr>
    </w:p>
    <w:p w14:paraId="21DA0DE6" w14:textId="77777777" w:rsidR="00280058" w:rsidRPr="00C97275" w:rsidRDefault="00280058" w:rsidP="008E6FE5">
      <w:pPr>
        <w:pStyle w:val="Antrat2"/>
        <w:numPr>
          <w:ilvl w:val="1"/>
          <w:numId w:val="2"/>
        </w:numPr>
        <w:spacing w:after="240"/>
        <w:ind w:left="709"/>
        <w:rPr>
          <w:rFonts w:ascii="Georgia" w:hAnsi="Georgia"/>
          <w:lang w:val="lt-LT"/>
        </w:rPr>
      </w:pPr>
      <w:bookmarkStart w:id="208" w:name="_Toc402352631"/>
      <w:bookmarkStart w:id="209" w:name="_Toc25594688"/>
      <w:r w:rsidRPr="00C97275">
        <w:rPr>
          <w:rFonts w:ascii="Georgia" w:hAnsi="Georgia"/>
          <w:lang w:val="lt-LT"/>
        </w:rPr>
        <w:t>Kokybinis pridėtinės vertės vertinimas</w:t>
      </w:r>
      <w:bookmarkEnd w:id="208"/>
      <w:bookmarkEnd w:id="209"/>
    </w:p>
    <w:p w14:paraId="496BDD29" w14:textId="3E2593C6" w:rsidR="002E7A5C" w:rsidRPr="00C97275" w:rsidRDefault="002E7A5C" w:rsidP="00280058">
      <w:pPr>
        <w:jc w:val="both"/>
        <w:rPr>
          <w:rStyle w:val="hps"/>
          <w:rFonts w:ascii="Georgia" w:hAnsi="Georgia" w:cs="Arial"/>
          <w:color w:val="222222"/>
          <w:sz w:val="20"/>
          <w:szCs w:val="20"/>
          <w:lang w:val="lt-LT"/>
        </w:rPr>
      </w:pPr>
      <w:r w:rsidRPr="00C97275">
        <w:rPr>
          <w:rStyle w:val="hps"/>
          <w:rFonts w:ascii="Georgia" w:hAnsi="Georgia" w:cs="Arial"/>
          <w:color w:val="222222"/>
          <w:sz w:val="20"/>
          <w:szCs w:val="20"/>
          <w:lang w:val="lt-LT"/>
        </w:rPr>
        <w:t xml:space="preserve">Žemiau atliekamas kokybinis kiekvieno scenarijaus vertinimas </w:t>
      </w:r>
      <w:r w:rsidR="003574B9" w:rsidRPr="00C97275">
        <w:rPr>
          <w:rStyle w:val="hps"/>
          <w:rFonts w:ascii="Georgia" w:hAnsi="Georgia" w:cs="Arial"/>
          <w:color w:val="222222"/>
          <w:sz w:val="20"/>
          <w:szCs w:val="20"/>
          <w:lang w:val="lt-LT"/>
        </w:rPr>
        <w:t xml:space="preserve">daugiabučių namų modernizavimo, </w:t>
      </w:r>
      <w:r w:rsidR="00A9390E" w:rsidRPr="00C97275">
        <w:rPr>
          <w:rStyle w:val="hps"/>
          <w:rFonts w:ascii="Georgia" w:hAnsi="Georgia" w:cs="Arial"/>
          <w:color w:val="222222"/>
          <w:sz w:val="20"/>
          <w:szCs w:val="20"/>
          <w:lang w:val="lt-LT"/>
        </w:rPr>
        <w:t xml:space="preserve">viešųjų pastatų (centrinės valdžios ir savivaldybių) </w:t>
      </w:r>
      <w:r w:rsidRPr="00C97275">
        <w:rPr>
          <w:rStyle w:val="hps"/>
          <w:rFonts w:ascii="Georgia" w:hAnsi="Georgia" w:cs="Arial"/>
          <w:color w:val="222222"/>
          <w:sz w:val="20"/>
          <w:szCs w:val="20"/>
          <w:lang w:val="lt-LT"/>
        </w:rPr>
        <w:t xml:space="preserve">ir gatvių apšvietimo renovacijos sektoriuose, remiantis pasirinktais svarbiausiais kriterijais. </w:t>
      </w:r>
    </w:p>
    <w:p w14:paraId="4B5D9636" w14:textId="17E17889" w:rsidR="00702724" w:rsidRPr="00C97275" w:rsidRDefault="00702724" w:rsidP="002E7A5C">
      <w:pPr>
        <w:pStyle w:val="Antrat2"/>
        <w:numPr>
          <w:ilvl w:val="3"/>
          <w:numId w:val="2"/>
        </w:numPr>
        <w:ind w:left="1134"/>
        <w:rPr>
          <w:rFonts w:ascii="Georgia" w:hAnsi="Georgia"/>
          <w:lang w:val="lt-LT"/>
        </w:rPr>
      </w:pPr>
      <w:bookmarkStart w:id="210" w:name="_Toc25594689"/>
      <w:r w:rsidRPr="00C97275">
        <w:rPr>
          <w:rFonts w:ascii="Georgia" w:hAnsi="Georgia"/>
          <w:lang w:val="lt-LT"/>
        </w:rPr>
        <w:t>Daugiabuči</w:t>
      </w:r>
      <w:r w:rsidR="004872A4" w:rsidRPr="00C97275">
        <w:rPr>
          <w:rFonts w:ascii="Georgia" w:hAnsi="Georgia"/>
          <w:lang w:val="lt-LT"/>
        </w:rPr>
        <w:t>ų namų</w:t>
      </w:r>
      <w:r w:rsidR="00517619" w:rsidRPr="00C97275">
        <w:rPr>
          <w:rFonts w:ascii="Georgia" w:hAnsi="Georgia"/>
          <w:lang w:val="lt-LT"/>
        </w:rPr>
        <w:t xml:space="preserve"> modernizavimas</w:t>
      </w:r>
      <w:bookmarkEnd w:id="210"/>
    </w:p>
    <w:p w14:paraId="595ADACD" w14:textId="77777777" w:rsidR="003C7AA1" w:rsidRPr="00C97275" w:rsidRDefault="003C7AA1" w:rsidP="00971206">
      <w:pPr>
        <w:jc w:val="both"/>
        <w:rPr>
          <w:rStyle w:val="hps"/>
          <w:rFonts w:ascii="Georgia" w:hAnsi="Georgia" w:cs="Arial"/>
          <w:color w:val="222222"/>
          <w:sz w:val="20"/>
          <w:szCs w:val="20"/>
          <w:lang w:val="lt-LT"/>
        </w:rPr>
      </w:pPr>
    </w:p>
    <w:p w14:paraId="6C4E7A2D" w14:textId="52C9AB69" w:rsidR="00971206" w:rsidRPr="00C97275" w:rsidRDefault="00E128B6" w:rsidP="00971206">
      <w:pPr>
        <w:jc w:val="both"/>
        <w:rPr>
          <w:rStyle w:val="hps"/>
          <w:rFonts w:ascii="Georgia" w:hAnsi="Georgia" w:cs="Arial"/>
          <w:color w:val="222222"/>
          <w:sz w:val="20"/>
          <w:szCs w:val="20"/>
          <w:lang w:val="lt-LT"/>
        </w:rPr>
      </w:pPr>
      <w:r w:rsidRPr="00C97275">
        <w:rPr>
          <w:rStyle w:val="hps"/>
          <w:rFonts w:ascii="Georgia" w:hAnsi="Georgia" w:cs="Arial"/>
          <w:color w:val="222222"/>
          <w:sz w:val="20"/>
          <w:szCs w:val="20"/>
          <w:lang w:val="lt-LT"/>
        </w:rPr>
        <w:t>Daugiabučių modernizavimo projektuose kaip ir centrinės valdžios ir savivaldybių pastatų ir gatvių apšvietimo projektuose nagrinėjami keturi pagrindiniai finansinių produktų tipai, tai yra paskol</w:t>
      </w:r>
      <w:r w:rsidR="00063F36" w:rsidRPr="00C97275">
        <w:rPr>
          <w:rStyle w:val="hps"/>
          <w:rFonts w:ascii="Georgia" w:hAnsi="Georgia" w:cs="Arial"/>
          <w:color w:val="222222"/>
          <w:sz w:val="20"/>
          <w:szCs w:val="20"/>
          <w:lang w:val="lt-LT"/>
        </w:rPr>
        <w:t xml:space="preserve">ų </w:t>
      </w:r>
      <w:r w:rsidR="00BC5B4B" w:rsidRPr="00C97275">
        <w:rPr>
          <w:rStyle w:val="hps"/>
          <w:rFonts w:ascii="Georgia" w:hAnsi="Georgia" w:cs="Arial"/>
          <w:color w:val="222222"/>
          <w:sz w:val="20"/>
          <w:szCs w:val="20"/>
          <w:lang w:val="lt-LT"/>
        </w:rPr>
        <w:t>finansinės priemonės</w:t>
      </w:r>
      <w:r w:rsidRPr="00C97275">
        <w:rPr>
          <w:rStyle w:val="hps"/>
          <w:rFonts w:ascii="Georgia" w:hAnsi="Georgia" w:cs="Arial"/>
          <w:color w:val="222222"/>
          <w:sz w:val="20"/>
          <w:szCs w:val="20"/>
          <w:lang w:val="lt-LT"/>
        </w:rPr>
        <w:t>, paskolų teikimas</w:t>
      </w:r>
      <w:r w:rsidR="002263C7" w:rsidRPr="00C97275">
        <w:rPr>
          <w:rStyle w:val="hps"/>
          <w:rFonts w:ascii="Georgia" w:hAnsi="Georgia" w:cs="Arial"/>
          <w:color w:val="222222"/>
          <w:sz w:val="20"/>
          <w:szCs w:val="20"/>
          <w:lang w:val="lt-LT"/>
        </w:rPr>
        <w:t xml:space="preserve"> taikant paskolų išpirkimo modelį, taikomas asimetrinis rizikos pasidalijimo modelis bei siūlomos garantijų priemonės. Daugiabučių modernizavimo atveju nagrinėtos ir skirtingų finansinių</w:t>
      </w:r>
      <w:r w:rsidR="001B3CD0" w:rsidRPr="00C97275">
        <w:rPr>
          <w:rStyle w:val="hps"/>
          <w:rFonts w:ascii="Georgia" w:hAnsi="Georgia" w:cs="Arial"/>
          <w:color w:val="222222"/>
          <w:sz w:val="20"/>
          <w:szCs w:val="20"/>
          <w:lang w:val="lt-LT"/>
        </w:rPr>
        <w:t xml:space="preserve"> produktų derinimo alternatyvos.</w:t>
      </w:r>
    </w:p>
    <w:tbl>
      <w:tblPr>
        <w:tblStyle w:val="viesussraas2parykinimas1"/>
        <w:tblW w:w="9181" w:type="dxa"/>
        <w:tblLook w:val="04A0" w:firstRow="1" w:lastRow="0" w:firstColumn="1" w:lastColumn="0" w:noHBand="0" w:noVBand="1"/>
      </w:tblPr>
      <w:tblGrid>
        <w:gridCol w:w="2376"/>
        <w:gridCol w:w="3261"/>
        <w:gridCol w:w="3544"/>
      </w:tblGrid>
      <w:tr w:rsidR="00517619" w:rsidRPr="00C97275" w14:paraId="56474493" w14:textId="77777777" w:rsidTr="0063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CA862FE" w14:textId="4589FAA4" w:rsidR="00517619" w:rsidRPr="00C97275" w:rsidRDefault="00971206" w:rsidP="00E128B6">
            <w:pPr>
              <w:jc w:val="both"/>
              <w:rPr>
                <w:rStyle w:val="hps"/>
                <w:rFonts w:ascii="Georgia" w:hAnsi="Georgia" w:cs="Arial"/>
                <w:sz w:val="20"/>
                <w:szCs w:val="20"/>
              </w:rPr>
            </w:pPr>
            <w:r w:rsidRPr="00C97275">
              <w:rPr>
                <w:rStyle w:val="hps"/>
                <w:rFonts w:ascii="Georgia" w:hAnsi="Georgia" w:cs="Arial"/>
                <w:sz w:val="20"/>
                <w:szCs w:val="20"/>
              </w:rPr>
              <w:t>S</w:t>
            </w:r>
            <w:r w:rsidR="00517619" w:rsidRPr="00C97275">
              <w:rPr>
                <w:rStyle w:val="hps"/>
                <w:rFonts w:ascii="Georgia" w:hAnsi="Georgia" w:cs="Arial"/>
                <w:sz w:val="20"/>
                <w:szCs w:val="20"/>
              </w:rPr>
              <w:t>cenarijus</w:t>
            </w:r>
          </w:p>
        </w:tc>
        <w:tc>
          <w:tcPr>
            <w:tcW w:w="3261" w:type="dxa"/>
          </w:tcPr>
          <w:p w14:paraId="32EA56EF" w14:textId="77777777" w:rsidR="00517619" w:rsidRPr="00C97275" w:rsidRDefault="00517619" w:rsidP="00E128B6">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sz w:val="20"/>
                <w:szCs w:val="20"/>
              </w:rPr>
            </w:pPr>
            <w:r w:rsidRPr="00C97275">
              <w:rPr>
                <w:rStyle w:val="hps"/>
                <w:rFonts w:ascii="Georgia" w:hAnsi="Georgia" w:cs="Arial"/>
                <w:sz w:val="20"/>
                <w:szCs w:val="20"/>
              </w:rPr>
              <w:t>Privalumai</w:t>
            </w:r>
          </w:p>
        </w:tc>
        <w:tc>
          <w:tcPr>
            <w:tcW w:w="3544" w:type="dxa"/>
          </w:tcPr>
          <w:p w14:paraId="6315CC30" w14:textId="77777777" w:rsidR="00517619" w:rsidRPr="00C97275" w:rsidRDefault="00517619" w:rsidP="00E128B6">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sz w:val="20"/>
                <w:szCs w:val="20"/>
              </w:rPr>
            </w:pPr>
            <w:r w:rsidRPr="00C97275">
              <w:rPr>
                <w:rStyle w:val="hps"/>
                <w:rFonts w:ascii="Georgia" w:hAnsi="Georgia" w:cs="Arial"/>
                <w:sz w:val="20"/>
                <w:szCs w:val="20"/>
              </w:rPr>
              <w:t>Trūkumai</w:t>
            </w:r>
          </w:p>
        </w:tc>
      </w:tr>
      <w:tr w:rsidR="00517619" w:rsidRPr="00C97275" w14:paraId="30805B07"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71E8DE7" w14:textId="0C609658" w:rsidR="00517619" w:rsidRPr="00C97275" w:rsidRDefault="00517619" w:rsidP="00E22457">
            <w:pPr>
              <w:rPr>
                <w:rStyle w:val="hps"/>
                <w:rFonts w:ascii="Georgia" w:hAnsi="Georgia" w:cs="Arial"/>
                <w:color w:val="222222"/>
                <w:sz w:val="20"/>
                <w:szCs w:val="20"/>
              </w:rPr>
            </w:pPr>
            <w:r w:rsidRPr="00C97275">
              <w:rPr>
                <w:rStyle w:val="hps"/>
                <w:rFonts w:ascii="Georgia" w:hAnsi="Georgia" w:cs="Arial"/>
                <w:color w:val="222222"/>
                <w:sz w:val="20"/>
                <w:szCs w:val="20"/>
              </w:rPr>
              <w:t>Paskol</w:t>
            </w:r>
            <w:r w:rsidR="002263C7" w:rsidRPr="00C97275">
              <w:rPr>
                <w:rStyle w:val="hps"/>
                <w:rFonts w:ascii="Georgia" w:hAnsi="Georgia" w:cs="Arial"/>
                <w:color w:val="222222"/>
                <w:sz w:val="20"/>
                <w:szCs w:val="20"/>
              </w:rPr>
              <w:t>ų alternatyvos</w:t>
            </w:r>
          </w:p>
        </w:tc>
        <w:tc>
          <w:tcPr>
            <w:tcW w:w="3261" w:type="dxa"/>
          </w:tcPr>
          <w:p w14:paraId="3A3689DF"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Paprasčiausia, žinomiausia ir rinkoje suprantamiausia finansavimo forma</w:t>
            </w:r>
          </w:p>
          <w:p w14:paraId="5953F744"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Patirtis administruojant panašias finansines priemones (JESSICA)</w:t>
            </w:r>
          </w:p>
          <w:p w14:paraId="0541E1F2" w14:textId="77777777" w:rsidR="00517619" w:rsidRPr="00C97275" w:rsidRDefault="00517619" w:rsidP="00E128B6">
            <w:pPr>
              <w:ind w:left="360"/>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p>
        </w:tc>
        <w:tc>
          <w:tcPr>
            <w:tcW w:w="3544" w:type="dxa"/>
          </w:tcPr>
          <w:p w14:paraId="4B85A627"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Santykinai lėtas lėšų grįžimas ir pakartotinis panaudojimas</w:t>
            </w:r>
          </w:p>
          <w:p w14:paraId="1B8A3716" w14:textId="3AB1957E" w:rsidR="0088219E" w:rsidRPr="00C97275" w:rsidRDefault="0088219E"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Gali atsirasti prievolė vertinti kiekvieną namo savininką atskirai susiduriant su asmens duomenų valdymo reikalavimų iššūkiais</w:t>
            </w:r>
          </w:p>
          <w:p w14:paraId="0A566C2B" w14:textId="49C0E1DB" w:rsidR="00517619" w:rsidRPr="00C97275" w:rsidRDefault="0088219E"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Netaikant papildomų skaitinimo priemonių m</w:t>
            </w:r>
            <w:r w:rsidR="00517619" w:rsidRPr="00C97275">
              <w:rPr>
                <w:rStyle w:val="hps"/>
                <w:rFonts w:ascii="Georgia" w:hAnsi="Georgia" w:cs="Arial"/>
                <w:color w:val="222222"/>
                <w:sz w:val="20"/>
                <w:szCs w:val="20"/>
              </w:rPr>
              <w:t>ažesnis potencialas pritraukti papildomų lėšų dėl didesnės rizikos bankams</w:t>
            </w:r>
          </w:p>
        </w:tc>
      </w:tr>
      <w:tr w:rsidR="00517619" w:rsidRPr="00C97275" w14:paraId="4DBBE360" w14:textId="77777777" w:rsidTr="0063781D">
        <w:tc>
          <w:tcPr>
            <w:cnfStyle w:val="001000000000" w:firstRow="0" w:lastRow="0" w:firstColumn="1" w:lastColumn="0" w:oddVBand="0" w:evenVBand="0" w:oddHBand="0" w:evenHBand="0" w:firstRowFirstColumn="0" w:firstRowLastColumn="0" w:lastRowFirstColumn="0" w:lastRowLastColumn="0"/>
            <w:tcW w:w="2376" w:type="dxa"/>
          </w:tcPr>
          <w:p w14:paraId="4730F83B" w14:textId="77777777" w:rsidR="00517619" w:rsidRPr="00C97275" w:rsidRDefault="00517619" w:rsidP="00E22457">
            <w:pPr>
              <w:rPr>
                <w:rStyle w:val="hps"/>
                <w:rFonts w:ascii="Georgia" w:hAnsi="Georgia" w:cs="Arial"/>
                <w:color w:val="222222"/>
                <w:sz w:val="20"/>
                <w:szCs w:val="20"/>
              </w:rPr>
            </w:pPr>
            <w:r w:rsidRPr="00C97275">
              <w:rPr>
                <w:rStyle w:val="hps"/>
                <w:rFonts w:ascii="Georgia" w:hAnsi="Georgia" w:cs="Arial"/>
                <w:color w:val="222222"/>
                <w:sz w:val="20"/>
                <w:szCs w:val="20"/>
              </w:rPr>
              <w:t>Paskolos teikimas taikant paskolų išpirkimo modelį</w:t>
            </w:r>
          </w:p>
        </w:tc>
        <w:tc>
          <w:tcPr>
            <w:tcW w:w="3261" w:type="dxa"/>
          </w:tcPr>
          <w:p w14:paraId="3CAFBD5C"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Visi išvardinti aukščiau plius</w:t>
            </w:r>
          </w:p>
          <w:p w14:paraId="3D0048AA"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 xml:space="preserve">Paspartintas lėšų reinvestavimas  </w:t>
            </w:r>
          </w:p>
          <w:p w14:paraId="4EF07E38"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 xml:space="preserve">Sumažinama lėšų praradimo rizika </w:t>
            </w:r>
          </w:p>
        </w:tc>
        <w:tc>
          <w:tcPr>
            <w:tcW w:w="3544" w:type="dxa"/>
          </w:tcPr>
          <w:p w14:paraId="7B2709B9"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Privalo susiformuoti pakankamas projektų srautas norint taikyti tokį modelį</w:t>
            </w:r>
          </w:p>
          <w:p w14:paraId="23AD072E"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Reikalaujantis laiko procesas</w:t>
            </w:r>
          </w:p>
          <w:p w14:paraId="3FF924B0"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Lietuvoje nėra tokio modelio pavyzdžių</w:t>
            </w:r>
          </w:p>
          <w:p w14:paraId="54013786"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Reikalingas išankstinis investuotojų įtraukimas, siekiant, kad paskolos tiktų perpirkimui</w:t>
            </w:r>
          </w:p>
        </w:tc>
      </w:tr>
      <w:tr w:rsidR="00517619" w:rsidRPr="00C97275" w14:paraId="48E4CEE2"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C0EAF98" w14:textId="77777777" w:rsidR="00517619" w:rsidRPr="00C97275" w:rsidRDefault="00517619" w:rsidP="00E22457">
            <w:pPr>
              <w:rPr>
                <w:rStyle w:val="hps"/>
                <w:rFonts w:ascii="Georgia" w:hAnsi="Georgia" w:cs="Arial"/>
                <w:color w:val="222222"/>
                <w:sz w:val="20"/>
                <w:szCs w:val="20"/>
              </w:rPr>
            </w:pPr>
            <w:r w:rsidRPr="00C97275">
              <w:rPr>
                <w:rStyle w:val="hps"/>
                <w:rFonts w:ascii="Georgia" w:hAnsi="Georgia" w:cs="Arial"/>
                <w:color w:val="222222"/>
                <w:sz w:val="20"/>
                <w:szCs w:val="20"/>
              </w:rPr>
              <w:t>Paskolų teikimas taikant asimetrinės rizikos pasidalijimo modelį</w:t>
            </w:r>
          </w:p>
        </w:tc>
        <w:tc>
          <w:tcPr>
            <w:tcW w:w="3261" w:type="dxa"/>
          </w:tcPr>
          <w:p w14:paraId="1A732C45"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Skatina asimetrinį rizikų pasidalijimą, naudojant ESI lėšas pirmiems nuostoliams dengti, o tai leidžia lengviau pritraukti privatų kapitalą</w:t>
            </w:r>
          </w:p>
          <w:p w14:paraId="4F760292"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Dėl didesnio rizikų prisiėmimo viešosiomis lėšomis galima tikėtis geresnių rezultatų</w:t>
            </w:r>
          </w:p>
          <w:p w14:paraId="7D4D7B05"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 xml:space="preserve">Ribojama privačių rinkos dalyvių rizika skatina </w:t>
            </w:r>
            <w:r w:rsidRPr="00C97275">
              <w:rPr>
                <w:rStyle w:val="hps"/>
                <w:rFonts w:ascii="Georgia" w:hAnsi="Georgia" w:cs="Arial"/>
                <w:color w:val="222222"/>
                <w:sz w:val="20"/>
                <w:szCs w:val="20"/>
              </w:rPr>
              <w:lastRenderedPageBreak/>
              <w:t>papildomų lėšų pritraukimą</w:t>
            </w:r>
          </w:p>
          <w:p w14:paraId="207562CF" w14:textId="78CEAAE7" w:rsidR="00517619" w:rsidRPr="00C97275" w:rsidRDefault="00517619" w:rsidP="002263C7">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Lietuvoje yra sėkmingų tokio modelio pavyzdžių (Invega, J</w:t>
            </w:r>
            <w:r w:rsidR="002263C7" w:rsidRPr="00C97275">
              <w:rPr>
                <w:rStyle w:val="hps"/>
                <w:rFonts w:ascii="Georgia" w:hAnsi="Georgia" w:cs="Arial"/>
                <w:color w:val="222222"/>
                <w:sz w:val="20"/>
                <w:szCs w:val="20"/>
              </w:rPr>
              <w:t>ESSICA</w:t>
            </w:r>
            <w:r w:rsidRPr="00C97275">
              <w:rPr>
                <w:rStyle w:val="hps"/>
                <w:rFonts w:ascii="Georgia" w:hAnsi="Georgia" w:cs="Arial"/>
                <w:color w:val="222222"/>
                <w:sz w:val="20"/>
                <w:szCs w:val="20"/>
              </w:rPr>
              <w:t>)</w:t>
            </w:r>
          </w:p>
        </w:tc>
        <w:tc>
          <w:tcPr>
            <w:tcW w:w="3544" w:type="dxa"/>
          </w:tcPr>
          <w:p w14:paraId="525C5991"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lastRenderedPageBreak/>
              <w:t>Valstybė prisiima didžiausią projektų riziką, dėl ko atsiranda didesnis potencialas mažėti viešųjų lėšų apimčiai</w:t>
            </w:r>
          </w:p>
          <w:p w14:paraId="3BE4FC9F"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Sudėtingi valstybės pagalbos derinimo elementai</w:t>
            </w:r>
          </w:p>
          <w:p w14:paraId="5ABC3DA5" w14:textId="77777777" w:rsidR="00517619" w:rsidRPr="00C97275"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Nusprendus teikti subsidiją iš fondo lėšų, tikėtina, jog bankai mažintų savo prisidėjimo dalį</w:t>
            </w:r>
          </w:p>
          <w:p w14:paraId="0295D3A3" w14:textId="77777777" w:rsidR="00517619" w:rsidRPr="00C97275" w:rsidRDefault="00517619" w:rsidP="00E128B6">
            <w:p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 xml:space="preserve"> </w:t>
            </w:r>
          </w:p>
        </w:tc>
      </w:tr>
      <w:tr w:rsidR="00517619" w:rsidRPr="00C97275" w14:paraId="54F8FB22" w14:textId="77777777" w:rsidTr="0063781D">
        <w:tc>
          <w:tcPr>
            <w:cnfStyle w:val="001000000000" w:firstRow="0" w:lastRow="0" w:firstColumn="1" w:lastColumn="0" w:oddVBand="0" w:evenVBand="0" w:oddHBand="0" w:evenHBand="0" w:firstRowFirstColumn="0" w:firstRowLastColumn="0" w:lastRowFirstColumn="0" w:lastRowLastColumn="0"/>
            <w:tcW w:w="2376" w:type="dxa"/>
          </w:tcPr>
          <w:p w14:paraId="0CE19690" w14:textId="77777777" w:rsidR="00517619" w:rsidRPr="00C97275" w:rsidRDefault="00517619" w:rsidP="00E22457">
            <w:pPr>
              <w:rPr>
                <w:rStyle w:val="hps"/>
                <w:rFonts w:ascii="Georgia" w:hAnsi="Georgia" w:cs="Arial"/>
                <w:color w:val="222222"/>
                <w:sz w:val="20"/>
                <w:szCs w:val="20"/>
              </w:rPr>
            </w:pPr>
            <w:r w:rsidRPr="00C97275">
              <w:rPr>
                <w:rStyle w:val="hps"/>
                <w:rFonts w:ascii="Georgia" w:hAnsi="Georgia" w:cs="Arial"/>
                <w:color w:val="222222"/>
                <w:sz w:val="20"/>
                <w:szCs w:val="20"/>
              </w:rPr>
              <w:lastRenderedPageBreak/>
              <w:t>Garantijos</w:t>
            </w:r>
          </w:p>
        </w:tc>
        <w:tc>
          <w:tcPr>
            <w:tcW w:w="3261" w:type="dxa"/>
          </w:tcPr>
          <w:p w14:paraId="4559D05A"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Sumažina bankų riziką</w:t>
            </w:r>
          </w:p>
          <w:p w14:paraId="219AF5D2"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Lyginant su paskolomis reikalauja mažiausiai pradinių lėšų</w:t>
            </w:r>
          </w:p>
          <w:p w14:paraId="50D54D0F"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Nereikalauja iš galutinių naudos gavėjų pilno užstato</w:t>
            </w:r>
          </w:p>
        </w:tc>
        <w:tc>
          <w:tcPr>
            <w:tcW w:w="3544" w:type="dxa"/>
          </w:tcPr>
          <w:p w14:paraId="21FA1523"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Garantijų priemonė bankams nėra patraukli</w:t>
            </w:r>
          </w:p>
          <w:p w14:paraId="1209ADA5"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Įgyvendinimas galėtų ilgai užtrukti, dėl poreikio pertvarkyti vidinius bankų procesus</w:t>
            </w:r>
          </w:p>
          <w:p w14:paraId="185742D3"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Paskolų istorijos trūkumas</w:t>
            </w:r>
          </w:p>
          <w:p w14:paraId="66AB4EC0" w14:textId="77777777" w:rsidR="00517619" w:rsidRPr="00C97275"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Sunku įvertinti garantinį dydį</w:t>
            </w:r>
          </w:p>
        </w:tc>
      </w:tr>
      <w:tr w:rsidR="002263C7" w:rsidRPr="00C97275" w14:paraId="1ACEF55E" w14:textId="77777777" w:rsidTr="00ED4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0DB156B" w14:textId="1BFD71B9" w:rsidR="002263C7" w:rsidRPr="00C97275" w:rsidRDefault="002263C7" w:rsidP="00E22457">
            <w:pPr>
              <w:rPr>
                <w:rStyle w:val="hps"/>
                <w:rFonts w:ascii="Georgia" w:hAnsi="Georgia" w:cs="Arial"/>
                <w:color w:val="222222"/>
                <w:sz w:val="20"/>
                <w:szCs w:val="20"/>
              </w:rPr>
            </w:pPr>
            <w:r w:rsidRPr="00C97275">
              <w:rPr>
                <w:rStyle w:val="hps"/>
                <w:rFonts w:ascii="Georgia" w:hAnsi="Georgia" w:cs="Arial"/>
                <w:color w:val="222222"/>
                <w:sz w:val="20"/>
                <w:szCs w:val="20"/>
              </w:rPr>
              <w:t>Dalis lėšų nukreipiama  į paskolų modelį dalis į garantijų priemonę</w:t>
            </w:r>
          </w:p>
        </w:tc>
        <w:tc>
          <w:tcPr>
            <w:tcW w:w="3261" w:type="dxa"/>
          </w:tcPr>
          <w:p w14:paraId="61ECE364" w14:textId="07A57BA8" w:rsidR="002263C7" w:rsidRPr="00C97275" w:rsidRDefault="002263C7"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Galima taikyti „dviejų greičių“ metodą: pradžioje įgyvendinti rinkoje gerai žinomą paskolų priemonę ir pasitvirtinusią bei tinkamai pasirengti garantijų priemonės įgyvendin</w:t>
            </w:r>
            <w:r w:rsidR="00D9139B" w:rsidRPr="00C97275">
              <w:rPr>
                <w:rStyle w:val="hps"/>
                <w:rFonts w:ascii="Georgia" w:hAnsi="Georgia" w:cs="Arial"/>
                <w:color w:val="222222"/>
                <w:sz w:val="20"/>
                <w:szCs w:val="20"/>
              </w:rPr>
              <w:t>i</w:t>
            </w:r>
            <w:r w:rsidRPr="00C97275">
              <w:rPr>
                <w:rStyle w:val="hps"/>
                <w:rFonts w:ascii="Georgia" w:hAnsi="Georgia" w:cs="Arial"/>
                <w:color w:val="222222"/>
                <w:sz w:val="20"/>
                <w:szCs w:val="20"/>
              </w:rPr>
              <w:t>mui.</w:t>
            </w:r>
          </w:p>
          <w:p w14:paraId="7781DB7F" w14:textId="40521887" w:rsidR="002263C7" w:rsidRPr="00C97275" w:rsidRDefault="002263C7"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Bankai, kiti privatūs investuotojai gali pasirinkti sau priimtinesnę priemonę, kurioje norėtų dalyvauti</w:t>
            </w:r>
          </w:p>
          <w:p w14:paraId="7FD1808F" w14:textId="1D5F091A" w:rsidR="002263C7" w:rsidRPr="00C97275" w:rsidRDefault="002263C7" w:rsidP="002263C7">
            <w:p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p>
        </w:tc>
        <w:tc>
          <w:tcPr>
            <w:tcW w:w="3544" w:type="dxa"/>
          </w:tcPr>
          <w:p w14:paraId="40B734EC" w14:textId="7285A17D" w:rsidR="002263C7" w:rsidRPr="00C97275" w:rsidRDefault="00D9139B"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Pakankamai</w:t>
            </w:r>
            <w:r w:rsidR="002263C7" w:rsidRPr="00C97275">
              <w:rPr>
                <w:rStyle w:val="hps"/>
                <w:rFonts w:ascii="Georgia" w:hAnsi="Georgia" w:cs="Arial"/>
                <w:color w:val="222222"/>
                <w:sz w:val="20"/>
                <w:szCs w:val="20"/>
              </w:rPr>
              <w:t xml:space="preserve"> sudėtinga administravimo schema</w:t>
            </w:r>
          </w:p>
          <w:p w14:paraId="233DF439" w14:textId="22991A5F" w:rsidR="002263C7" w:rsidRPr="00C97275" w:rsidRDefault="002263C7"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Atskiroms dalims taikomi tiek anksčiau nagrinėti paskolų, tiek garantijų trūkumai.</w:t>
            </w:r>
          </w:p>
        </w:tc>
      </w:tr>
      <w:tr w:rsidR="00E22457" w:rsidRPr="00C97275" w14:paraId="66A0E53B" w14:textId="77777777" w:rsidTr="00ED4ADE">
        <w:tc>
          <w:tcPr>
            <w:cnfStyle w:val="001000000000" w:firstRow="0" w:lastRow="0" w:firstColumn="1" w:lastColumn="0" w:oddVBand="0" w:evenVBand="0" w:oddHBand="0" w:evenHBand="0" w:firstRowFirstColumn="0" w:firstRowLastColumn="0" w:lastRowFirstColumn="0" w:lastRowLastColumn="0"/>
            <w:tcW w:w="2376" w:type="dxa"/>
          </w:tcPr>
          <w:p w14:paraId="0EFA3A4F" w14:textId="37D72D46" w:rsidR="00E22457" w:rsidRPr="00C97275" w:rsidRDefault="00E22457" w:rsidP="00E22457">
            <w:pPr>
              <w:rPr>
                <w:rStyle w:val="hps"/>
                <w:rFonts w:ascii="Georgia" w:hAnsi="Georgia" w:cs="Arial"/>
                <w:color w:val="222222"/>
                <w:sz w:val="20"/>
                <w:szCs w:val="20"/>
              </w:rPr>
            </w:pPr>
            <w:r w:rsidRPr="00C97275">
              <w:rPr>
                <w:rStyle w:val="hps"/>
                <w:rFonts w:ascii="Georgia" w:hAnsi="Georgia" w:cs="Arial"/>
                <w:color w:val="222222"/>
                <w:sz w:val="20"/>
                <w:szCs w:val="20"/>
              </w:rPr>
              <w:t>Dalis lėšų nukreipiama  į paskolų modelį dalis į garantijų priemonę su galimybę ateityje išpirkti ateities fina</w:t>
            </w:r>
            <w:r w:rsidR="00927881" w:rsidRPr="00C97275">
              <w:rPr>
                <w:rStyle w:val="hps"/>
                <w:rFonts w:ascii="Georgia" w:hAnsi="Georgia" w:cs="Arial"/>
                <w:color w:val="222222"/>
                <w:sz w:val="20"/>
                <w:szCs w:val="20"/>
              </w:rPr>
              <w:t>n</w:t>
            </w:r>
            <w:r w:rsidRPr="00C97275">
              <w:rPr>
                <w:rStyle w:val="hps"/>
                <w:rFonts w:ascii="Georgia" w:hAnsi="Georgia" w:cs="Arial"/>
                <w:color w:val="222222"/>
                <w:sz w:val="20"/>
                <w:szCs w:val="20"/>
              </w:rPr>
              <w:t>sinius srautus</w:t>
            </w:r>
          </w:p>
        </w:tc>
        <w:tc>
          <w:tcPr>
            <w:tcW w:w="3261" w:type="dxa"/>
          </w:tcPr>
          <w:p w14:paraId="6E65D419" w14:textId="552C6BB4" w:rsidR="00927881" w:rsidRPr="00C97275" w:rsidRDefault="00927881" w:rsidP="00927881">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Išnaudoja tiek paskolų ir garantijų priemonių privalomus</w:t>
            </w:r>
          </w:p>
          <w:p w14:paraId="4321C36A" w14:textId="7FD37614" w:rsidR="00927881" w:rsidRPr="00C97275" w:rsidRDefault="00927881" w:rsidP="00927881">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 xml:space="preserve">Paspartintas lėšų reinvestavimas  (paskolų dalies) </w:t>
            </w:r>
          </w:p>
          <w:p w14:paraId="309B93EF" w14:textId="1200C8BD" w:rsidR="00E22457" w:rsidRPr="00C97275" w:rsidRDefault="00E22457" w:rsidP="00927881">
            <w:pPr>
              <w:pStyle w:val="Sraopastraipa"/>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p>
        </w:tc>
        <w:tc>
          <w:tcPr>
            <w:tcW w:w="3544" w:type="dxa"/>
          </w:tcPr>
          <w:p w14:paraId="7A5EF33E" w14:textId="0B9120DD" w:rsidR="00E22457" w:rsidRPr="00C97275" w:rsidRDefault="00927881"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 xml:space="preserve">Papildoma </w:t>
            </w:r>
            <w:r w:rsidR="00D9139B" w:rsidRPr="00C97275">
              <w:rPr>
                <w:rStyle w:val="hps"/>
                <w:rFonts w:ascii="Georgia" w:hAnsi="Georgia" w:cs="Arial"/>
                <w:color w:val="222222"/>
                <w:sz w:val="20"/>
                <w:szCs w:val="20"/>
              </w:rPr>
              <w:t>administracinė</w:t>
            </w:r>
            <w:r w:rsidRPr="00C97275">
              <w:rPr>
                <w:rStyle w:val="hps"/>
                <w:rFonts w:ascii="Georgia" w:hAnsi="Georgia" w:cs="Arial"/>
                <w:color w:val="222222"/>
                <w:sz w:val="20"/>
                <w:szCs w:val="20"/>
              </w:rPr>
              <w:t xml:space="preserve"> našta dėl sudėtingos administravimo schemos. </w:t>
            </w:r>
          </w:p>
          <w:p w14:paraId="5B870A3E" w14:textId="49AB0B53" w:rsidR="00927881" w:rsidRPr="00C97275" w:rsidRDefault="00927881"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C97275">
              <w:rPr>
                <w:rStyle w:val="hps"/>
                <w:rFonts w:ascii="Georgia" w:hAnsi="Georgia" w:cs="Arial"/>
                <w:color w:val="222222"/>
                <w:sz w:val="20"/>
                <w:szCs w:val="20"/>
              </w:rPr>
              <w:t>Būtų susidurta su visais tiek paskolų, tiek garantijų priemonių tiek ir pas</w:t>
            </w:r>
            <w:r w:rsidR="00ED4ADE" w:rsidRPr="00C97275">
              <w:rPr>
                <w:rStyle w:val="hps"/>
                <w:rFonts w:ascii="Georgia" w:hAnsi="Georgia" w:cs="Arial"/>
                <w:color w:val="222222"/>
                <w:sz w:val="20"/>
                <w:szCs w:val="20"/>
              </w:rPr>
              <w:t>kolų išpirkimo modelių trūkumais nagrinėtais</w:t>
            </w:r>
            <w:r w:rsidRPr="00C97275">
              <w:rPr>
                <w:rStyle w:val="hps"/>
                <w:rFonts w:ascii="Georgia" w:hAnsi="Georgia" w:cs="Arial"/>
                <w:color w:val="222222"/>
                <w:sz w:val="20"/>
                <w:szCs w:val="20"/>
              </w:rPr>
              <w:t xml:space="preserve"> anksčiau.</w:t>
            </w:r>
          </w:p>
        </w:tc>
      </w:tr>
    </w:tbl>
    <w:p w14:paraId="6EC729F4" w14:textId="77777777" w:rsidR="00517619" w:rsidRPr="00C97275" w:rsidRDefault="00517619" w:rsidP="0063781D">
      <w:pPr>
        <w:spacing w:after="160" w:line="240" w:lineRule="auto"/>
        <w:jc w:val="both"/>
        <w:rPr>
          <w:rFonts w:ascii="Georgia" w:eastAsia="Georgia" w:hAnsi="Georgia" w:cs="Arial Unicode MS"/>
          <w:i/>
          <w:iCs/>
          <w:color w:val="821A1A"/>
        </w:rPr>
      </w:pPr>
      <w:r w:rsidRPr="00C97275">
        <w:rPr>
          <w:rFonts w:ascii="Georgia" w:eastAsia="Georgia" w:hAnsi="Georgia" w:cs="Arial Unicode MS"/>
          <w:i/>
          <w:iCs/>
          <w:color w:val="821A1A"/>
        </w:rPr>
        <w:t>Šaltinis: sudaryta autorių</w:t>
      </w:r>
    </w:p>
    <w:p w14:paraId="6CE8CB40" w14:textId="77777777" w:rsidR="00517619" w:rsidRPr="00C97275" w:rsidRDefault="00517619" w:rsidP="00517619">
      <w:pPr>
        <w:rPr>
          <w:rFonts w:ascii="Georgia" w:hAnsi="Georgia"/>
          <w:lang w:val="lt-LT"/>
        </w:rPr>
      </w:pPr>
    </w:p>
    <w:p w14:paraId="42F115C8" w14:textId="3AF3F705" w:rsidR="002E7A5C" w:rsidRPr="00C97275" w:rsidRDefault="002E7A5C" w:rsidP="002E7A5C">
      <w:pPr>
        <w:pStyle w:val="Antrat2"/>
        <w:numPr>
          <w:ilvl w:val="3"/>
          <w:numId w:val="2"/>
        </w:numPr>
        <w:ind w:left="1134"/>
        <w:rPr>
          <w:rFonts w:ascii="Georgia" w:hAnsi="Georgia"/>
          <w:lang w:val="lt-LT"/>
        </w:rPr>
      </w:pPr>
      <w:bookmarkStart w:id="211" w:name="_Toc503766300"/>
      <w:bookmarkStart w:id="212" w:name="_Toc503766856"/>
      <w:bookmarkStart w:id="213" w:name="_Toc503766988"/>
      <w:bookmarkStart w:id="214" w:name="_Toc25594690"/>
      <w:bookmarkEnd w:id="211"/>
      <w:bookmarkEnd w:id="212"/>
      <w:bookmarkEnd w:id="213"/>
      <w:r w:rsidRPr="00C97275">
        <w:rPr>
          <w:rFonts w:ascii="Georgia" w:hAnsi="Georgia"/>
          <w:lang w:val="lt-LT"/>
        </w:rPr>
        <w:t xml:space="preserve">Centrinės valdžios </w:t>
      </w:r>
      <w:r w:rsidR="00A9390E" w:rsidRPr="00C97275">
        <w:rPr>
          <w:rFonts w:ascii="Georgia" w:hAnsi="Georgia"/>
          <w:lang w:val="lt-LT"/>
        </w:rPr>
        <w:t xml:space="preserve">ir savivaldybių </w:t>
      </w:r>
      <w:r w:rsidRPr="00C97275">
        <w:rPr>
          <w:rFonts w:ascii="Georgia" w:hAnsi="Georgia"/>
          <w:lang w:val="lt-LT"/>
        </w:rPr>
        <w:t>viešieji pastatai</w:t>
      </w:r>
      <w:bookmarkEnd w:id="214"/>
    </w:p>
    <w:p w14:paraId="11D03457" w14:textId="1DC1C8FE" w:rsidR="003E1E7C" w:rsidRPr="00C97275" w:rsidRDefault="009079A6" w:rsidP="00280058">
      <w:pPr>
        <w:jc w:val="both"/>
        <w:rPr>
          <w:rStyle w:val="hps"/>
          <w:rFonts w:ascii="Georgia" w:hAnsi="Georgia" w:cs="Arial"/>
          <w:color w:val="222222"/>
          <w:sz w:val="20"/>
          <w:szCs w:val="20"/>
          <w:lang w:val="lt-LT"/>
        </w:rPr>
      </w:pPr>
      <w:r w:rsidRPr="00C97275">
        <w:rPr>
          <w:rStyle w:val="hps"/>
          <w:rFonts w:ascii="Georgia" w:hAnsi="Georgia" w:cs="Arial"/>
          <w:color w:val="222222"/>
          <w:sz w:val="20"/>
          <w:szCs w:val="20"/>
          <w:lang w:val="lt-LT"/>
        </w:rPr>
        <w:t xml:space="preserve"> </w:t>
      </w:r>
    </w:p>
    <w:p w14:paraId="2CBB610F" w14:textId="73561B08" w:rsidR="002E7A5C" w:rsidRPr="00C97275" w:rsidRDefault="002E7A5C" w:rsidP="002E7A5C">
      <w:pPr>
        <w:pStyle w:val="Antrat2"/>
        <w:numPr>
          <w:ilvl w:val="3"/>
          <w:numId w:val="2"/>
        </w:numPr>
        <w:ind w:left="1134"/>
        <w:rPr>
          <w:rFonts w:ascii="Georgia" w:hAnsi="Georgia"/>
          <w:lang w:val="lt-LT"/>
        </w:rPr>
      </w:pPr>
      <w:bookmarkStart w:id="215" w:name="_Toc25594691"/>
      <w:r w:rsidRPr="00C97275">
        <w:rPr>
          <w:rFonts w:ascii="Georgia" w:hAnsi="Georgia"/>
          <w:lang w:val="lt-LT"/>
        </w:rPr>
        <w:t>Gatvių apšvietimas</w:t>
      </w:r>
      <w:bookmarkEnd w:id="215"/>
    </w:p>
    <w:p w14:paraId="2E4876B1" w14:textId="77777777" w:rsidR="001B3CD0" w:rsidRPr="00C97275" w:rsidRDefault="001B3CD0" w:rsidP="001B3CD0">
      <w:pPr>
        <w:rPr>
          <w:rFonts w:ascii="Georgia" w:hAnsi="Georgia"/>
          <w:lang w:val="lt-LT"/>
        </w:rPr>
      </w:pPr>
    </w:p>
    <w:p w14:paraId="2CFE238B" w14:textId="77777777" w:rsidR="001B3CD0" w:rsidRPr="00C97275" w:rsidRDefault="001B3CD0" w:rsidP="001B3CD0">
      <w:pPr>
        <w:rPr>
          <w:rFonts w:ascii="Georgia" w:hAnsi="Georgia"/>
          <w:lang w:val="lt-LT"/>
        </w:rPr>
      </w:pPr>
    </w:p>
    <w:p w14:paraId="2CA64AAA" w14:textId="77777777" w:rsidR="001B3CD0" w:rsidRPr="00C97275" w:rsidRDefault="001B3CD0" w:rsidP="001B3CD0">
      <w:pPr>
        <w:rPr>
          <w:rFonts w:ascii="Georgia" w:hAnsi="Georgia"/>
          <w:lang w:val="lt-LT"/>
        </w:rPr>
      </w:pPr>
    </w:p>
    <w:p w14:paraId="04DC8C9D" w14:textId="77777777" w:rsidR="00FD5FAE" w:rsidRPr="00C97275" w:rsidRDefault="00FD5FAE" w:rsidP="00C57355">
      <w:pPr>
        <w:pStyle w:val="Antrat2"/>
        <w:numPr>
          <w:ilvl w:val="1"/>
          <w:numId w:val="2"/>
        </w:numPr>
        <w:spacing w:after="240"/>
        <w:ind w:left="709"/>
        <w:rPr>
          <w:rFonts w:ascii="Georgia" w:hAnsi="Georgia"/>
          <w:lang w:val="lt-LT"/>
        </w:rPr>
      </w:pPr>
      <w:bookmarkStart w:id="216" w:name="_Toc402352635"/>
      <w:bookmarkStart w:id="217" w:name="_Toc25594692"/>
      <w:r w:rsidRPr="00C97275">
        <w:rPr>
          <w:rFonts w:ascii="Georgia" w:hAnsi="Georgia"/>
          <w:lang w:val="lt-LT"/>
        </w:rPr>
        <w:lastRenderedPageBreak/>
        <w:t>Sverto efekto skaičiavimas</w:t>
      </w:r>
      <w:bookmarkEnd w:id="216"/>
      <w:bookmarkEnd w:id="217"/>
    </w:p>
    <w:p w14:paraId="1C0B24D3" w14:textId="7BD7DF4B" w:rsidR="00C812CA" w:rsidRPr="00C97275" w:rsidRDefault="00C812CA" w:rsidP="00C812CA">
      <w:pPr>
        <w:jc w:val="both"/>
        <w:rPr>
          <w:rFonts w:ascii="Georgia" w:hAnsi="Georgia"/>
          <w:sz w:val="20"/>
          <w:szCs w:val="20"/>
          <w:lang w:val="lt-LT"/>
        </w:rPr>
      </w:pPr>
      <w:r w:rsidRPr="00C97275">
        <w:rPr>
          <w:rFonts w:ascii="Georgia" w:hAnsi="Georgia"/>
          <w:sz w:val="20"/>
          <w:szCs w:val="20"/>
          <w:lang w:val="lt-LT"/>
        </w:rPr>
        <w:t>Remiantis Bendrųjų nuostatų reglamentu sverto efektas privalo būti skaičiuojamas kaip lėšų galutiniams naudos gavėjams sumos santykis su asignuotomis ESI lėšomis specifinei finansinei priemonei.</w:t>
      </w:r>
    </w:p>
    <w:p w14:paraId="26CC5BD0" w14:textId="4C2B1055" w:rsidR="00927881" w:rsidRPr="00C97275" w:rsidRDefault="00927881" w:rsidP="00927881">
      <w:pPr>
        <w:autoSpaceDE w:val="0"/>
        <w:autoSpaceDN w:val="0"/>
        <w:adjustRightInd w:val="0"/>
        <w:spacing w:after="120"/>
        <w:jc w:val="both"/>
        <w:rPr>
          <w:rFonts w:ascii="Georgia" w:hAnsi="Georgia" w:cs="Georgia"/>
          <w:sz w:val="20"/>
          <w:szCs w:val="20"/>
          <w:lang w:val="lt-LT"/>
        </w:rPr>
      </w:pPr>
      <w:r w:rsidRPr="00C97275">
        <w:rPr>
          <w:rFonts w:ascii="Georgia" w:hAnsi="Georgia"/>
          <w:sz w:val="20"/>
          <w:szCs w:val="20"/>
          <w:lang w:val="lt-LT"/>
        </w:rPr>
        <w:t>4.1.4.1 skyriuje apskaičiuoti d</w:t>
      </w:r>
      <w:r w:rsidRPr="00C97275">
        <w:rPr>
          <w:rFonts w:ascii="Georgia" w:hAnsi="Georgia" w:cs="Georgia"/>
          <w:sz w:val="20"/>
          <w:szCs w:val="20"/>
          <w:lang w:val="lt-LT"/>
        </w:rPr>
        <w:t>augiabučių modernizavimo scenarijų sverto efekto pateikiami lentelėje žemiau.</w:t>
      </w:r>
    </w:p>
    <w:p w14:paraId="04484347" w14:textId="63A646A7" w:rsidR="00927881" w:rsidRPr="00C97275" w:rsidRDefault="00927881" w:rsidP="00927881">
      <w:pPr>
        <w:pStyle w:val="Antrat"/>
        <w:jc w:val="both"/>
        <w:rPr>
          <w:rFonts w:cs="Georgia"/>
          <w:szCs w:val="20"/>
          <w:lang w:val="lt-LT"/>
        </w:rPr>
      </w:pPr>
      <w:bookmarkStart w:id="218" w:name="_Toc19105279"/>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66</w:t>
      </w:r>
      <w:r w:rsidRPr="00C97275">
        <w:rPr>
          <w:lang w:val="lt-LT"/>
        </w:rPr>
        <w:fldChar w:fldCharType="end"/>
      </w:r>
      <w:r w:rsidRPr="00C97275">
        <w:rPr>
          <w:lang w:val="lt-LT"/>
        </w:rPr>
        <w:t>. Daugiabučių modernizavimo</w:t>
      </w:r>
      <w:r w:rsidRPr="00C97275">
        <w:rPr>
          <w:rFonts w:cs="Georgia"/>
          <w:szCs w:val="20"/>
          <w:lang w:val="lt-LT"/>
        </w:rPr>
        <w:t xml:space="preserve"> finansavimo sverto efekto rodikliai pagal atskirus scenarijus</w:t>
      </w:r>
      <w:bookmarkEnd w:id="218"/>
      <w:r w:rsidRPr="00C97275">
        <w:rPr>
          <w:rFonts w:cs="Georgia"/>
          <w:szCs w:val="20"/>
          <w:lang w:val="lt-LT"/>
        </w:rPr>
        <w:t xml:space="preserve"> </w:t>
      </w:r>
    </w:p>
    <w:tbl>
      <w:tblPr>
        <w:tblStyle w:val="viesussraas2parykinimas1"/>
        <w:tblW w:w="0" w:type="auto"/>
        <w:tblLook w:val="04A0" w:firstRow="1" w:lastRow="0" w:firstColumn="1" w:lastColumn="0" w:noHBand="0" w:noVBand="1"/>
      </w:tblPr>
      <w:tblGrid>
        <w:gridCol w:w="6970"/>
        <w:gridCol w:w="2036"/>
      </w:tblGrid>
      <w:tr w:rsidR="00927881" w:rsidRPr="00C97275" w14:paraId="47779C81" w14:textId="77777777" w:rsidTr="0063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0" w:type="dxa"/>
            <w:hideMark/>
          </w:tcPr>
          <w:p w14:paraId="3F1C279C" w14:textId="77777777" w:rsidR="00927881" w:rsidRPr="00C97275" w:rsidRDefault="00927881" w:rsidP="00A3268D">
            <w:pPr>
              <w:keepNext/>
              <w:tabs>
                <w:tab w:val="left" w:pos="614"/>
                <w:tab w:val="center" w:pos="3341"/>
              </w:tabs>
              <w:rPr>
                <w:rFonts w:ascii="Georgia" w:hAnsi="Georgia"/>
                <w:sz w:val="20"/>
                <w:szCs w:val="20"/>
              </w:rPr>
            </w:pPr>
            <w:r w:rsidRPr="00C97275">
              <w:rPr>
                <w:rFonts w:ascii="Georgia" w:hAnsi="Georgia"/>
                <w:sz w:val="20"/>
                <w:szCs w:val="20"/>
              </w:rPr>
              <w:t>Scenarijai</w:t>
            </w:r>
          </w:p>
        </w:tc>
        <w:tc>
          <w:tcPr>
            <w:tcW w:w="2036" w:type="dxa"/>
          </w:tcPr>
          <w:p w14:paraId="36286A02" w14:textId="77777777" w:rsidR="00927881" w:rsidRPr="00C97275" w:rsidRDefault="00927881" w:rsidP="00A3268D">
            <w:pPr>
              <w:keepNext/>
              <w:tabs>
                <w:tab w:val="left" w:pos="614"/>
                <w:tab w:val="center" w:pos="3341"/>
              </w:tabs>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Sverto efektas</w:t>
            </w:r>
          </w:p>
        </w:tc>
      </w:tr>
      <w:tr w:rsidR="00927881" w:rsidRPr="00C97275" w14:paraId="5FB95DC9"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0" w:type="dxa"/>
            <w:hideMark/>
          </w:tcPr>
          <w:p w14:paraId="52BBC92B" w14:textId="78962BE2" w:rsidR="00927881" w:rsidRPr="00C97275" w:rsidRDefault="00927881" w:rsidP="00927881">
            <w:pPr>
              <w:keepNext/>
              <w:rPr>
                <w:rFonts w:ascii="Georgia" w:hAnsi="Georgia"/>
                <w:b w:val="0"/>
                <w:sz w:val="20"/>
                <w:szCs w:val="20"/>
              </w:rPr>
            </w:pPr>
            <w:r w:rsidRPr="00C97275">
              <w:rPr>
                <w:rFonts w:ascii="Georgia" w:hAnsi="Georgia"/>
                <w:b w:val="0"/>
                <w:sz w:val="20"/>
                <w:szCs w:val="20"/>
              </w:rPr>
              <w:t xml:space="preserve">Lengvatinių paskolų teikimas </w:t>
            </w:r>
          </w:p>
        </w:tc>
        <w:tc>
          <w:tcPr>
            <w:tcW w:w="2036" w:type="dxa"/>
          </w:tcPr>
          <w:p w14:paraId="09215B54" w14:textId="4EFAB9AC" w:rsidR="00927881" w:rsidRPr="00C97275" w:rsidRDefault="00927881" w:rsidP="00927881">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1,</w:t>
            </w:r>
            <w:r w:rsidR="00F43818" w:rsidRPr="00C97275">
              <w:rPr>
                <w:rFonts w:ascii="Georgia" w:hAnsi="Georgia"/>
                <w:sz w:val="20"/>
                <w:szCs w:val="20"/>
              </w:rPr>
              <w:t>24</w:t>
            </w:r>
          </w:p>
        </w:tc>
      </w:tr>
      <w:tr w:rsidR="00927881" w:rsidRPr="00C97275" w14:paraId="06612317" w14:textId="77777777" w:rsidTr="0063781D">
        <w:tc>
          <w:tcPr>
            <w:cnfStyle w:val="001000000000" w:firstRow="0" w:lastRow="0" w:firstColumn="1" w:lastColumn="0" w:oddVBand="0" w:evenVBand="0" w:oddHBand="0" w:evenHBand="0" w:firstRowFirstColumn="0" w:firstRowLastColumn="0" w:lastRowFirstColumn="0" w:lastRowLastColumn="0"/>
            <w:tcW w:w="6970" w:type="dxa"/>
            <w:hideMark/>
          </w:tcPr>
          <w:p w14:paraId="7069FFAE" w14:textId="2325574C" w:rsidR="00927881" w:rsidRPr="00C97275" w:rsidRDefault="00927881" w:rsidP="00927881">
            <w:pPr>
              <w:rPr>
                <w:rFonts w:ascii="Georgia" w:hAnsi="Georgia"/>
                <w:b w:val="0"/>
                <w:sz w:val="20"/>
                <w:szCs w:val="20"/>
              </w:rPr>
            </w:pPr>
            <w:r w:rsidRPr="00C97275">
              <w:rPr>
                <w:rFonts w:ascii="Georgia" w:hAnsi="Georgia"/>
                <w:b w:val="0"/>
                <w:sz w:val="20"/>
                <w:szCs w:val="20"/>
              </w:rPr>
              <w:t>Dalis finansinės priemonės lėšų nukreipiama į paskolų modelį, o dalis į garantijų priemonę</w:t>
            </w:r>
            <w:r w:rsidR="00EA4DE9" w:rsidRPr="00C97275">
              <w:rPr>
                <w:rFonts w:ascii="Georgia" w:hAnsi="Georgia"/>
                <w:b w:val="0"/>
                <w:sz w:val="20"/>
                <w:szCs w:val="20"/>
              </w:rPr>
              <w:t xml:space="preserve"> (palyginamosios prielaidos)</w:t>
            </w:r>
          </w:p>
        </w:tc>
        <w:tc>
          <w:tcPr>
            <w:tcW w:w="2036" w:type="dxa"/>
          </w:tcPr>
          <w:p w14:paraId="2D829A2B" w14:textId="202485F8" w:rsidR="00927881" w:rsidRPr="00C97275" w:rsidRDefault="00F43818" w:rsidP="0092788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2,64</w:t>
            </w:r>
          </w:p>
        </w:tc>
      </w:tr>
      <w:tr w:rsidR="00927881" w:rsidRPr="00C97275" w14:paraId="156B5789" w14:textId="77777777" w:rsidTr="007935A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970" w:type="dxa"/>
            <w:hideMark/>
          </w:tcPr>
          <w:p w14:paraId="578BD710" w14:textId="28165A69" w:rsidR="00927881" w:rsidRPr="00C97275" w:rsidRDefault="00927881" w:rsidP="00927881">
            <w:pPr>
              <w:rPr>
                <w:rFonts w:ascii="Georgia" w:hAnsi="Georgia"/>
                <w:b w:val="0"/>
                <w:sz w:val="20"/>
                <w:szCs w:val="20"/>
              </w:rPr>
            </w:pPr>
            <w:r w:rsidRPr="00C97275">
              <w:rPr>
                <w:rFonts w:ascii="Georgia" w:hAnsi="Georgia"/>
                <w:b w:val="0"/>
                <w:sz w:val="20"/>
                <w:szCs w:val="20"/>
              </w:rPr>
              <w:t>Visos lėšos panaudojamos garantijoms</w:t>
            </w:r>
          </w:p>
        </w:tc>
        <w:tc>
          <w:tcPr>
            <w:tcW w:w="2036" w:type="dxa"/>
          </w:tcPr>
          <w:p w14:paraId="2AC65303" w14:textId="30907208" w:rsidR="00927881" w:rsidRPr="00C97275" w:rsidRDefault="00927881" w:rsidP="0092788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3,</w:t>
            </w:r>
            <w:r w:rsidR="00F43818" w:rsidRPr="00C97275">
              <w:rPr>
                <w:rFonts w:ascii="Georgia" w:hAnsi="Georgia"/>
                <w:sz w:val="20"/>
                <w:szCs w:val="20"/>
              </w:rPr>
              <w:t>14</w:t>
            </w:r>
          </w:p>
        </w:tc>
      </w:tr>
      <w:tr w:rsidR="00927881" w:rsidRPr="00C97275" w14:paraId="05E8FB4C" w14:textId="77777777" w:rsidTr="0063781D">
        <w:tc>
          <w:tcPr>
            <w:cnfStyle w:val="001000000000" w:firstRow="0" w:lastRow="0" w:firstColumn="1" w:lastColumn="0" w:oddVBand="0" w:evenVBand="0" w:oddHBand="0" w:evenHBand="0" w:firstRowFirstColumn="0" w:firstRowLastColumn="0" w:lastRowFirstColumn="0" w:lastRowLastColumn="0"/>
            <w:tcW w:w="6970" w:type="dxa"/>
          </w:tcPr>
          <w:p w14:paraId="1FB3BDCD" w14:textId="5FF6608A" w:rsidR="00927881" w:rsidRPr="00C97275" w:rsidRDefault="0088219E" w:rsidP="00927881">
            <w:pPr>
              <w:rPr>
                <w:rFonts w:ascii="Georgia" w:hAnsi="Georgia"/>
                <w:b w:val="0"/>
                <w:sz w:val="20"/>
                <w:szCs w:val="20"/>
              </w:rPr>
            </w:pPr>
            <w:r w:rsidRPr="00C97275">
              <w:rPr>
                <w:rFonts w:ascii="Georgia" w:hAnsi="Georgia"/>
                <w:b w:val="0"/>
                <w:sz w:val="20"/>
                <w:szCs w:val="20"/>
              </w:rPr>
              <w:t>Paskolų teikimas taikant asimetrinį rizikos pasidalijimo modelį</w:t>
            </w:r>
          </w:p>
        </w:tc>
        <w:tc>
          <w:tcPr>
            <w:tcW w:w="2036" w:type="dxa"/>
          </w:tcPr>
          <w:p w14:paraId="4D8517A5" w14:textId="2AE56E74" w:rsidR="00927881" w:rsidRPr="00C97275" w:rsidRDefault="00F43818" w:rsidP="0092788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3,57</w:t>
            </w:r>
          </w:p>
        </w:tc>
      </w:tr>
      <w:tr w:rsidR="00927881" w:rsidRPr="00C97275" w14:paraId="3B8A5B20"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0" w:type="dxa"/>
          </w:tcPr>
          <w:p w14:paraId="1591CE5F" w14:textId="395F7D40" w:rsidR="00927881" w:rsidRPr="00C97275" w:rsidRDefault="00927881" w:rsidP="00927881">
            <w:pPr>
              <w:rPr>
                <w:rFonts w:ascii="Georgia" w:hAnsi="Georgia"/>
                <w:b w:val="0"/>
                <w:sz w:val="20"/>
                <w:szCs w:val="20"/>
              </w:rPr>
            </w:pPr>
            <w:r w:rsidRPr="00C97275">
              <w:rPr>
                <w:rFonts w:ascii="Georgia" w:hAnsi="Georgia"/>
                <w:b w:val="0"/>
                <w:sz w:val="20"/>
                <w:szCs w:val="20"/>
              </w:rPr>
              <w:t>Dalis finansinės priemonės lėšų nukreipiama į paskolų modelį, o dalis į garantijų priemonę su galimybe išpirkti ateities finansinius srautus</w:t>
            </w:r>
          </w:p>
        </w:tc>
        <w:tc>
          <w:tcPr>
            <w:tcW w:w="2036" w:type="dxa"/>
          </w:tcPr>
          <w:p w14:paraId="15A6D01B" w14:textId="44C99169" w:rsidR="00927881" w:rsidRPr="00C97275" w:rsidRDefault="00F43818" w:rsidP="0092788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2,59</w:t>
            </w:r>
          </w:p>
        </w:tc>
      </w:tr>
      <w:tr w:rsidR="00D13E15" w:rsidRPr="00C97275" w14:paraId="1733EC63" w14:textId="77777777" w:rsidTr="0063781D">
        <w:tc>
          <w:tcPr>
            <w:cnfStyle w:val="001000000000" w:firstRow="0" w:lastRow="0" w:firstColumn="1" w:lastColumn="0" w:oddVBand="0" w:evenVBand="0" w:oddHBand="0" w:evenHBand="0" w:firstRowFirstColumn="0" w:firstRowLastColumn="0" w:lastRowFirstColumn="0" w:lastRowLastColumn="0"/>
            <w:tcW w:w="6970" w:type="dxa"/>
          </w:tcPr>
          <w:p w14:paraId="7129ABB4" w14:textId="3CECB3A6" w:rsidR="00D13E15" w:rsidRPr="00C97275" w:rsidRDefault="00D13E15" w:rsidP="00927881">
            <w:pPr>
              <w:rPr>
                <w:rFonts w:ascii="Georgia" w:hAnsi="Georgia"/>
                <w:b w:val="0"/>
                <w:sz w:val="20"/>
                <w:szCs w:val="20"/>
              </w:rPr>
            </w:pPr>
            <w:r w:rsidRPr="00C97275">
              <w:rPr>
                <w:rFonts w:ascii="Georgia" w:hAnsi="Georgia"/>
                <w:b w:val="0"/>
                <w:sz w:val="20"/>
                <w:szCs w:val="20"/>
              </w:rPr>
              <w:t>Modernizavimo paskolų teikimas per platformą</w:t>
            </w:r>
          </w:p>
        </w:tc>
        <w:tc>
          <w:tcPr>
            <w:tcW w:w="2036" w:type="dxa"/>
          </w:tcPr>
          <w:p w14:paraId="66AD08B5" w14:textId="22733E5B" w:rsidR="00D13E15" w:rsidRPr="00C97275" w:rsidRDefault="00D13E15" w:rsidP="0092788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5,00</w:t>
            </w:r>
          </w:p>
        </w:tc>
      </w:tr>
    </w:tbl>
    <w:p w14:paraId="147C35C7" w14:textId="77777777" w:rsidR="00F43818" w:rsidRPr="00C97275" w:rsidRDefault="00F43818" w:rsidP="0063781D">
      <w:pPr>
        <w:spacing w:after="160" w:line="240" w:lineRule="auto"/>
        <w:jc w:val="both"/>
        <w:rPr>
          <w:rFonts w:ascii="Georgia" w:eastAsia="Georgia" w:hAnsi="Georgia" w:cs="Arial Unicode MS"/>
          <w:i/>
          <w:iCs/>
          <w:color w:val="821A1A"/>
          <w:sz w:val="20"/>
          <w:szCs w:val="20"/>
          <w:lang w:val="lt-LT"/>
        </w:rPr>
      </w:pPr>
      <w:r w:rsidRPr="00C97275">
        <w:rPr>
          <w:rFonts w:ascii="Georgia" w:eastAsia="Georgia" w:hAnsi="Georgia" w:cs="Arial Unicode MS"/>
          <w:i/>
          <w:iCs/>
          <w:color w:val="821A1A"/>
          <w:sz w:val="20"/>
          <w:szCs w:val="20"/>
          <w:lang w:val="lt-LT"/>
        </w:rPr>
        <w:t>Šaltinis: sudaryta autorių</w:t>
      </w:r>
    </w:p>
    <w:p w14:paraId="6491279D" w14:textId="09E277A3" w:rsidR="00FD5FAE" w:rsidRPr="00C97275" w:rsidRDefault="00FD5FAE" w:rsidP="00FD5FAE">
      <w:pPr>
        <w:autoSpaceDE w:val="0"/>
        <w:autoSpaceDN w:val="0"/>
        <w:adjustRightInd w:val="0"/>
        <w:spacing w:after="120"/>
        <w:jc w:val="both"/>
        <w:rPr>
          <w:rFonts w:ascii="Georgia" w:hAnsi="Georgia" w:cs="Georgia"/>
          <w:sz w:val="20"/>
          <w:szCs w:val="20"/>
          <w:lang w:val="lt-LT"/>
        </w:rPr>
      </w:pPr>
      <w:r w:rsidRPr="00C97275">
        <w:rPr>
          <w:rFonts w:ascii="Georgia" w:hAnsi="Georgia" w:cs="Georgia"/>
          <w:sz w:val="20"/>
          <w:szCs w:val="20"/>
          <w:lang w:val="lt-LT"/>
        </w:rPr>
        <w:t xml:space="preserve">Pagal </w:t>
      </w:r>
      <w:r w:rsidRPr="00C97275">
        <w:rPr>
          <w:rFonts w:ascii="Georgia" w:hAnsi="Georgia"/>
          <w:sz w:val="20"/>
          <w:szCs w:val="20"/>
          <w:lang w:val="lt-LT"/>
        </w:rPr>
        <w:t>4.1.</w:t>
      </w:r>
      <w:r w:rsidR="00927881" w:rsidRPr="00C97275">
        <w:rPr>
          <w:rFonts w:ascii="Georgia" w:hAnsi="Georgia"/>
          <w:sz w:val="20"/>
          <w:szCs w:val="20"/>
          <w:lang w:val="lt-LT"/>
        </w:rPr>
        <w:t>4</w:t>
      </w:r>
      <w:r w:rsidRPr="00C97275">
        <w:rPr>
          <w:rFonts w:ascii="Georgia" w:hAnsi="Georgia"/>
          <w:sz w:val="20"/>
          <w:szCs w:val="20"/>
          <w:lang w:val="lt-LT"/>
        </w:rPr>
        <w:t>.</w:t>
      </w:r>
      <w:r w:rsidR="00927881" w:rsidRPr="00C97275">
        <w:rPr>
          <w:rFonts w:ascii="Georgia" w:hAnsi="Georgia"/>
          <w:sz w:val="20"/>
          <w:szCs w:val="20"/>
          <w:lang w:val="lt-LT"/>
        </w:rPr>
        <w:t>2</w:t>
      </w:r>
      <w:r w:rsidRPr="00C97275">
        <w:rPr>
          <w:rFonts w:ascii="Georgia" w:hAnsi="Georgia"/>
          <w:sz w:val="20"/>
          <w:szCs w:val="20"/>
          <w:lang w:val="lt-LT"/>
        </w:rPr>
        <w:t xml:space="preserve"> </w:t>
      </w:r>
      <w:r w:rsidR="00086FC2" w:rsidRPr="00C97275">
        <w:rPr>
          <w:rFonts w:ascii="Georgia" w:hAnsi="Georgia"/>
          <w:sz w:val="20"/>
          <w:szCs w:val="20"/>
          <w:lang w:val="lt-LT"/>
        </w:rPr>
        <w:t>ir 4.1.</w:t>
      </w:r>
      <w:r w:rsidR="00927881" w:rsidRPr="00C97275">
        <w:rPr>
          <w:rFonts w:ascii="Georgia" w:hAnsi="Georgia"/>
          <w:sz w:val="20"/>
          <w:szCs w:val="20"/>
          <w:lang w:val="lt-LT"/>
        </w:rPr>
        <w:t>4</w:t>
      </w:r>
      <w:r w:rsidR="00086FC2" w:rsidRPr="00C97275">
        <w:rPr>
          <w:rFonts w:ascii="Georgia" w:hAnsi="Georgia"/>
          <w:sz w:val="20"/>
          <w:szCs w:val="20"/>
          <w:lang w:val="lt-LT"/>
        </w:rPr>
        <w:t>.</w:t>
      </w:r>
      <w:r w:rsidR="00927881" w:rsidRPr="00C97275">
        <w:rPr>
          <w:rFonts w:ascii="Georgia" w:hAnsi="Georgia"/>
          <w:sz w:val="20"/>
          <w:szCs w:val="20"/>
          <w:lang w:val="lt-LT"/>
        </w:rPr>
        <w:t>4</w:t>
      </w:r>
      <w:r w:rsidR="00086FC2" w:rsidRPr="00C97275">
        <w:rPr>
          <w:rFonts w:ascii="Georgia" w:hAnsi="Georgia"/>
          <w:sz w:val="20"/>
          <w:szCs w:val="20"/>
          <w:lang w:val="lt-LT"/>
        </w:rPr>
        <w:t xml:space="preserve"> </w:t>
      </w:r>
      <w:r w:rsidRPr="00C97275">
        <w:rPr>
          <w:rFonts w:ascii="Georgia" w:hAnsi="Georgia"/>
          <w:sz w:val="20"/>
          <w:szCs w:val="20"/>
          <w:lang w:val="lt-LT"/>
        </w:rPr>
        <w:t>skyriu</w:t>
      </w:r>
      <w:r w:rsidR="00086FC2" w:rsidRPr="00C97275">
        <w:rPr>
          <w:rFonts w:ascii="Georgia" w:hAnsi="Georgia"/>
          <w:sz w:val="20"/>
          <w:szCs w:val="20"/>
          <w:lang w:val="lt-LT"/>
        </w:rPr>
        <w:t>ose</w:t>
      </w:r>
      <w:r w:rsidRPr="00C97275">
        <w:rPr>
          <w:rFonts w:ascii="Georgia" w:hAnsi="Georgia"/>
          <w:sz w:val="20"/>
          <w:szCs w:val="20"/>
          <w:lang w:val="lt-LT"/>
        </w:rPr>
        <w:t xml:space="preserve"> identifikuotu</w:t>
      </w:r>
      <w:r w:rsidR="00086FC2" w:rsidRPr="00C97275">
        <w:rPr>
          <w:rFonts w:ascii="Georgia" w:hAnsi="Georgia"/>
          <w:sz w:val="20"/>
          <w:szCs w:val="20"/>
          <w:lang w:val="lt-LT"/>
        </w:rPr>
        <w:t>s</w:t>
      </w:r>
      <w:r w:rsidRPr="00C97275">
        <w:rPr>
          <w:rFonts w:ascii="Georgia" w:hAnsi="Georgia"/>
          <w:sz w:val="20"/>
          <w:szCs w:val="20"/>
          <w:lang w:val="lt-LT"/>
        </w:rPr>
        <w:t xml:space="preserve"> </w:t>
      </w:r>
      <w:r w:rsidRPr="00C97275">
        <w:rPr>
          <w:rFonts w:ascii="Georgia" w:hAnsi="Georgia" w:cs="Georgia"/>
          <w:sz w:val="20"/>
          <w:szCs w:val="20"/>
          <w:lang w:val="lt-LT"/>
        </w:rPr>
        <w:t>scenarijus</w:t>
      </w:r>
      <w:r w:rsidR="00086FC2" w:rsidRPr="00C97275">
        <w:rPr>
          <w:rFonts w:ascii="Georgia" w:hAnsi="Georgia" w:cs="Georgia"/>
          <w:sz w:val="20"/>
          <w:szCs w:val="20"/>
          <w:lang w:val="lt-LT"/>
        </w:rPr>
        <w:t xml:space="preserve"> </w:t>
      </w:r>
      <w:r w:rsidRPr="00C97275">
        <w:rPr>
          <w:rFonts w:ascii="Georgia" w:hAnsi="Georgia" w:cs="Georgia"/>
          <w:sz w:val="20"/>
          <w:szCs w:val="20"/>
          <w:lang w:val="lt-LT"/>
        </w:rPr>
        <w:t xml:space="preserve">apskaičiuoti sverto efekto rodikliai centrinės valdžios viešiesiems pastatų </w:t>
      </w:r>
      <w:r w:rsidR="00086FC2" w:rsidRPr="00C97275">
        <w:rPr>
          <w:rFonts w:ascii="Georgia" w:hAnsi="Georgia" w:cs="Georgia"/>
          <w:sz w:val="20"/>
          <w:szCs w:val="20"/>
          <w:lang w:val="lt-LT"/>
        </w:rPr>
        <w:t xml:space="preserve">gatvių apšvietimo </w:t>
      </w:r>
      <w:r w:rsidRPr="00C97275">
        <w:rPr>
          <w:rFonts w:ascii="Georgia" w:hAnsi="Georgia" w:cs="Georgia"/>
          <w:sz w:val="20"/>
          <w:szCs w:val="20"/>
          <w:lang w:val="lt-LT"/>
        </w:rPr>
        <w:t>renovacijai pateikiami žemiau esančio</w:t>
      </w:r>
      <w:r w:rsidR="00086FC2" w:rsidRPr="00C97275">
        <w:rPr>
          <w:rFonts w:ascii="Georgia" w:hAnsi="Georgia" w:cs="Georgia"/>
          <w:sz w:val="20"/>
          <w:szCs w:val="20"/>
          <w:lang w:val="lt-LT"/>
        </w:rPr>
        <w:t>se</w:t>
      </w:r>
      <w:r w:rsidRPr="00C97275">
        <w:rPr>
          <w:rFonts w:ascii="Georgia" w:hAnsi="Georgia" w:cs="Georgia"/>
          <w:sz w:val="20"/>
          <w:szCs w:val="20"/>
          <w:lang w:val="lt-LT"/>
        </w:rPr>
        <w:t xml:space="preserve"> lentelė</w:t>
      </w:r>
      <w:r w:rsidR="00086FC2" w:rsidRPr="00C97275">
        <w:rPr>
          <w:rFonts w:ascii="Georgia" w:hAnsi="Georgia" w:cs="Georgia"/>
          <w:sz w:val="20"/>
          <w:szCs w:val="20"/>
          <w:lang w:val="lt-LT"/>
        </w:rPr>
        <w:t>se</w:t>
      </w:r>
      <w:r w:rsidRPr="00C97275">
        <w:rPr>
          <w:rFonts w:ascii="Georgia" w:hAnsi="Georgia" w:cs="Georgia"/>
          <w:sz w:val="20"/>
          <w:szCs w:val="20"/>
          <w:lang w:val="lt-LT"/>
        </w:rPr>
        <w:t>.</w:t>
      </w:r>
    </w:p>
    <w:p w14:paraId="2FA9982A" w14:textId="5D6CC5E5" w:rsidR="00FD5FAE" w:rsidRPr="00C97275" w:rsidRDefault="00FD5FAE" w:rsidP="00FD5FAE">
      <w:pPr>
        <w:pStyle w:val="Antrat"/>
        <w:jc w:val="both"/>
        <w:rPr>
          <w:rFonts w:cs="Georgia"/>
          <w:szCs w:val="20"/>
          <w:lang w:val="lt-LT"/>
        </w:rPr>
      </w:pPr>
      <w:bookmarkStart w:id="219" w:name="_Toc19105280"/>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67</w:t>
      </w:r>
      <w:r w:rsidRPr="00C97275">
        <w:rPr>
          <w:lang w:val="lt-LT"/>
        </w:rPr>
        <w:fldChar w:fldCharType="end"/>
      </w:r>
      <w:r w:rsidRPr="00C97275">
        <w:rPr>
          <w:lang w:val="lt-LT"/>
        </w:rPr>
        <w:t xml:space="preserve">. </w:t>
      </w:r>
      <w:r w:rsidRPr="00C97275">
        <w:rPr>
          <w:rFonts w:cs="Georgia"/>
          <w:szCs w:val="20"/>
          <w:lang w:val="lt-LT"/>
        </w:rPr>
        <w:t xml:space="preserve">Centrinės valdžios pastatų </w:t>
      </w:r>
      <w:r w:rsidR="002C256F" w:rsidRPr="00C97275">
        <w:rPr>
          <w:rFonts w:cs="Georgia"/>
          <w:szCs w:val="20"/>
          <w:lang w:val="lt-LT"/>
        </w:rPr>
        <w:t xml:space="preserve">ir gatvių apšvietimo </w:t>
      </w:r>
      <w:r w:rsidRPr="00C97275">
        <w:rPr>
          <w:rFonts w:cs="Georgia"/>
          <w:szCs w:val="20"/>
          <w:lang w:val="lt-LT"/>
        </w:rPr>
        <w:t>renovacijos finansavimo sverto efekto rodikliai pagal atskirus scenarijus</w:t>
      </w:r>
      <w:bookmarkEnd w:id="219"/>
      <w:r w:rsidRPr="00C97275">
        <w:rPr>
          <w:rFonts w:cs="Georgia"/>
          <w:szCs w:val="20"/>
          <w:lang w:val="lt-LT"/>
        </w:rPr>
        <w:t xml:space="preserve"> </w:t>
      </w:r>
    </w:p>
    <w:tbl>
      <w:tblPr>
        <w:tblStyle w:val="LightList-Accent21"/>
        <w:tblW w:w="0" w:type="auto"/>
        <w:tblLook w:val="04A0" w:firstRow="1" w:lastRow="0" w:firstColumn="1" w:lastColumn="0" w:noHBand="0" w:noVBand="1"/>
      </w:tblPr>
      <w:tblGrid>
        <w:gridCol w:w="4786"/>
        <w:gridCol w:w="2126"/>
        <w:gridCol w:w="2126"/>
      </w:tblGrid>
      <w:tr w:rsidR="002C256F" w:rsidRPr="00C97275" w14:paraId="2047583B" w14:textId="53FF0237" w:rsidTr="00F43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hideMark/>
          </w:tcPr>
          <w:p w14:paraId="183F4CD7" w14:textId="07DC6CD1" w:rsidR="002C256F" w:rsidRPr="00C97275" w:rsidRDefault="002C256F" w:rsidP="00BF3EBD">
            <w:pPr>
              <w:keepNext/>
              <w:tabs>
                <w:tab w:val="left" w:pos="614"/>
                <w:tab w:val="center" w:pos="3341"/>
              </w:tabs>
              <w:rPr>
                <w:rFonts w:ascii="Georgia" w:hAnsi="Georgia"/>
                <w:sz w:val="20"/>
                <w:szCs w:val="20"/>
              </w:rPr>
            </w:pPr>
            <w:r w:rsidRPr="00C97275">
              <w:rPr>
                <w:rFonts w:ascii="Georgia" w:hAnsi="Georgia"/>
                <w:sz w:val="20"/>
                <w:szCs w:val="20"/>
              </w:rPr>
              <w:t>Scenarijai</w:t>
            </w:r>
          </w:p>
        </w:tc>
        <w:tc>
          <w:tcPr>
            <w:tcW w:w="4252" w:type="dxa"/>
            <w:gridSpan w:val="2"/>
          </w:tcPr>
          <w:p w14:paraId="7904CA79" w14:textId="3CD732FF" w:rsidR="002C256F" w:rsidRPr="00C97275" w:rsidDel="00BF3EBD" w:rsidRDefault="002C256F" w:rsidP="003112C5">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Sverto rodiklis</w:t>
            </w:r>
          </w:p>
        </w:tc>
      </w:tr>
      <w:tr w:rsidR="002C256F" w:rsidRPr="00C97275" w14:paraId="629F17E8" w14:textId="47D883A2" w:rsidTr="00F43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D62E1C"/>
          </w:tcPr>
          <w:p w14:paraId="2B7C7BBD" w14:textId="77777777" w:rsidR="002C256F" w:rsidRPr="00C97275" w:rsidRDefault="002C256F" w:rsidP="00BF3EBD">
            <w:pPr>
              <w:keepNext/>
              <w:tabs>
                <w:tab w:val="left" w:pos="614"/>
                <w:tab w:val="center" w:pos="3341"/>
              </w:tabs>
              <w:rPr>
                <w:rFonts w:ascii="Georgia" w:hAnsi="Georgia"/>
                <w:color w:val="FFFFFF"/>
                <w:sz w:val="20"/>
                <w:szCs w:val="20"/>
              </w:rPr>
            </w:pPr>
          </w:p>
        </w:tc>
        <w:tc>
          <w:tcPr>
            <w:tcW w:w="2126" w:type="dxa"/>
            <w:shd w:val="clear" w:color="auto" w:fill="D62E1C"/>
          </w:tcPr>
          <w:p w14:paraId="61A3C3E5" w14:textId="0AC38432" w:rsidR="002C256F" w:rsidRPr="00C97275" w:rsidRDefault="002C256F" w:rsidP="005B31C6">
            <w:pPr>
              <w:keepNext/>
              <w:tabs>
                <w:tab w:val="left" w:pos="614"/>
                <w:tab w:val="center" w:pos="3341"/>
              </w:tabs>
              <w:jc w:val="center"/>
              <w:cnfStyle w:val="000000100000" w:firstRow="0" w:lastRow="0" w:firstColumn="0" w:lastColumn="0" w:oddVBand="0" w:evenVBand="0" w:oddHBand="1" w:evenHBand="0" w:firstRowFirstColumn="0" w:firstRowLastColumn="0" w:lastRowFirstColumn="0" w:lastRowLastColumn="0"/>
              <w:rPr>
                <w:rFonts w:ascii="Georgia" w:hAnsi="Georgia"/>
                <w:b/>
                <w:color w:val="FFFFFF" w:themeColor="background1"/>
                <w:sz w:val="20"/>
                <w:szCs w:val="20"/>
              </w:rPr>
            </w:pPr>
            <w:r w:rsidRPr="00C97275">
              <w:rPr>
                <w:rFonts w:ascii="Georgia" w:hAnsi="Georgia"/>
                <w:b/>
                <w:color w:val="FFFFFF" w:themeColor="background1"/>
                <w:sz w:val="20"/>
                <w:szCs w:val="20"/>
              </w:rPr>
              <w:t>Centrinės valdžios pastatai</w:t>
            </w:r>
          </w:p>
        </w:tc>
        <w:tc>
          <w:tcPr>
            <w:tcW w:w="2126" w:type="dxa"/>
            <w:shd w:val="clear" w:color="auto" w:fill="D62E1C"/>
          </w:tcPr>
          <w:p w14:paraId="583ECB78" w14:textId="678FBBBD" w:rsidR="002C256F" w:rsidRPr="00C97275" w:rsidRDefault="002C256F" w:rsidP="003112C5">
            <w:pPr>
              <w:keepNext/>
              <w:tabs>
                <w:tab w:val="left" w:pos="614"/>
                <w:tab w:val="center" w:pos="3341"/>
              </w:tabs>
              <w:jc w:val="center"/>
              <w:cnfStyle w:val="000000100000" w:firstRow="0" w:lastRow="0" w:firstColumn="0" w:lastColumn="0" w:oddVBand="0" w:evenVBand="0" w:oddHBand="1" w:evenHBand="0" w:firstRowFirstColumn="0" w:firstRowLastColumn="0" w:lastRowFirstColumn="0" w:lastRowLastColumn="0"/>
              <w:rPr>
                <w:rFonts w:ascii="Georgia" w:hAnsi="Georgia"/>
                <w:b/>
                <w:color w:val="FFFFFF" w:themeColor="background1"/>
                <w:sz w:val="20"/>
                <w:szCs w:val="20"/>
              </w:rPr>
            </w:pPr>
            <w:r w:rsidRPr="00C97275">
              <w:rPr>
                <w:rFonts w:ascii="Georgia" w:hAnsi="Georgia"/>
                <w:b/>
                <w:color w:val="FFFFFF" w:themeColor="background1"/>
                <w:sz w:val="20"/>
                <w:szCs w:val="20"/>
              </w:rPr>
              <w:t>Gatvių apšvietimas</w:t>
            </w:r>
          </w:p>
        </w:tc>
      </w:tr>
      <w:tr w:rsidR="002C256F" w:rsidRPr="00C97275" w14:paraId="19B2CA9B" w14:textId="7C10B0D4" w:rsidTr="00F43818">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6C109916" w14:textId="3823B211" w:rsidR="002C256F" w:rsidRPr="00C97275" w:rsidRDefault="002C256F" w:rsidP="00DE277E">
            <w:pPr>
              <w:keepNext/>
              <w:rPr>
                <w:rFonts w:ascii="Georgia" w:hAnsi="Georgia"/>
                <w:b w:val="0"/>
                <w:sz w:val="20"/>
                <w:szCs w:val="20"/>
              </w:rPr>
            </w:pPr>
            <w:r w:rsidRPr="00C97275">
              <w:rPr>
                <w:rFonts w:ascii="Georgia" w:hAnsi="Georgia"/>
                <w:b w:val="0"/>
                <w:sz w:val="20"/>
                <w:szCs w:val="20"/>
              </w:rPr>
              <w:t>Paskola</w:t>
            </w:r>
          </w:p>
        </w:tc>
        <w:tc>
          <w:tcPr>
            <w:tcW w:w="2126" w:type="dxa"/>
            <w:vAlign w:val="center"/>
          </w:tcPr>
          <w:p w14:paraId="314071FC" w14:textId="4C730A8B" w:rsidR="002C256F" w:rsidRPr="00C97275" w:rsidDel="00BF3EBD" w:rsidRDefault="002C256F" w:rsidP="00DE277E">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C97275">
              <w:rPr>
                <w:rFonts w:ascii="Georgia" w:hAnsi="Georgia"/>
                <w:sz w:val="18"/>
                <w:szCs w:val="18"/>
              </w:rPr>
              <w:t>1,0</w:t>
            </w:r>
            <w:r w:rsidR="008D1284" w:rsidRPr="00C97275">
              <w:rPr>
                <w:rFonts w:ascii="Georgia" w:hAnsi="Georgia"/>
                <w:sz w:val="18"/>
                <w:szCs w:val="18"/>
              </w:rPr>
              <w:t>5</w:t>
            </w:r>
          </w:p>
        </w:tc>
        <w:tc>
          <w:tcPr>
            <w:tcW w:w="2126" w:type="dxa"/>
            <w:vAlign w:val="center"/>
          </w:tcPr>
          <w:p w14:paraId="275CA6FC" w14:textId="0C6D6C56" w:rsidR="002C256F" w:rsidRPr="00C97275" w:rsidRDefault="00873D7C">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C97275">
              <w:rPr>
                <w:rFonts w:ascii="Georgia" w:hAnsi="Georgia"/>
                <w:sz w:val="18"/>
                <w:szCs w:val="18"/>
              </w:rPr>
              <w:t>1,05</w:t>
            </w:r>
          </w:p>
        </w:tc>
      </w:tr>
      <w:tr w:rsidR="002C256F" w:rsidRPr="00C97275" w14:paraId="68FC3F7F" w14:textId="287ECFAA" w:rsidTr="00F43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7B134DE8" w14:textId="2B78CCE1" w:rsidR="002C256F" w:rsidRPr="00C97275" w:rsidRDefault="002C256F" w:rsidP="00DE277E">
            <w:pPr>
              <w:keepNext/>
              <w:rPr>
                <w:rFonts w:ascii="Georgia" w:hAnsi="Georgia"/>
                <w:b w:val="0"/>
                <w:sz w:val="20"/>
                <w:szCs w:val="20"/>
              </w:rPr>
            </w:pPr>
            <w:r w:rsidRPr="00C97275">
              <w:rPr>
                <w:rFonts w:ascii="Georgia" w:hAnsi="Georgia"/>
                <w:b w:val="0"/>
                <w:sz w:val="20"/>
                <w:szCs w:val="20"/>
              </w:rPr>
              <w:t>Paskolų teikimas taikant paskolų išpirkimo modelį</w:t>
            </w:r>
          </w:p>
        </w:tc>
        <w:tc>
          <w:tcPr>
            <w:tcW w:w="2126" w:type="dxa"/>
            <w:vAlign w:val="center"/>
          </w:tcPr>
          <w:p w14:paraId="0D0372F4" w14:textId="6533A489" w:rsidR="002C256F" w:rsidRPr="00C97275" w:rsidDel="00BF3EBD" w:rsidRDefault="008D1284" w:rsidP="00DE277E">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C97275">
              <w:rPr>
                <w:rFonts w:ascii="Georgia" w:hAnsi="Georgia"/>
                <w:sz w:val="18"/>
                <w:szCs w:val="18"/>
              </w:rPr>
              <w:t>2</w:t>
            </w:r>
            <w:r w:rsidR="002C256F" w:rsidRPr="00C97275">
              <w:rPr>
                <w:rFonts w:ascii="Georgia" w:hAnsi="Georgia"/>
                <w:sz w:val="18"/>
                <w:szCs w:val="18"/>
              </w:rPr>
              <w:t>,</w:t>
            </w:r>
            <w:r w:rsidRPr="00C97275">
              <w:rPr>
                <w:rFonts w:ascii="Georgia" w:hAnsi="Georgia"/>
                <w:sz w:val="18"/>
                <w:szCs w:val="18"/>
              </w:rPr>
              <w:t>03</w:t>
            </w:r>
          </w:p>
        </w:tc>
        <w:tc>
          <w:tcPr>
            <w:tcW w:w="2126" w:type="dxa"/>
            <w:vAlign w:val="center"/>
          </w:tcPr>
          <w:p w14:paraId="23F1767D" w14:textId="093C0D5D" w:rsidR="002C256F" w:rsidRPr="00C97275" w:rsidRDefault="00873D7C">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C97275">
              <w:rPr>
                <w:rFonts w:ascii="Georgia" w:hAnsi="Georgia"/>
                <w:sz w:val="18"/>
                <w:szCs w:val="18"/>
              </w:rPr>
              <w:t>1,8</w:t>
            </w:r>
            <w:r w:rsidR="00397955" w:rsidRPr="00C97275">
              <w:rPr>
                <w:rFonts w:ascii="Georgia" w:hAnsi="Georgia"/>
                <w:sz w:val="18"/>
                <w:szCs w:val="18"/>
              </w:rPr>
              <w:t>2</w:t>
            </w:r>
          </w:p>
        </w:tc>
      </w:tr>
      <w:tr w:rsidR="002C256F" w:rsidRPr="00C97275" w14:paraId="63A04E60" w14:textId="015B6910" w:rsidTr="00F43818">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0DE76DDD" w14:textId="20C44708" w:rsidR="002C256F" w:rsidRPr="00C97275" w:rsidRDefault="002C256F" w:rsidP="00DE277E">
            <w:pPr>
              <w:rPr>
                <w:rFonts w:ascii="Georgia" w:hAnsi="Georgia"/>
                <w:b w:val="0"/>
                <w:sz w:val="20"/>
                <w:szCs w:val="20"/>
              </w:rPr>
            </w:pPr>
            <w:r w:rsidRPr="00C97275">
              <w:rPr>
                <w:rFonts w:ascii="Georgia" w:hAnsi="Georgia"/>
                <w:b w:val="0"/>
                <w:sz w:val="20"/>
                <w:szCs w:val="20"/>
              </w:rPr>
              <w:t xml:space="preserve">Paskolų teikimas taikant asimetrinio rizikos pasidalijimo modelį </w:t>
            </w:r>
          </w:p>
        </w:tc>
        <w:tc>
          <w:tcPr>
            <w:tcW w:w="2126" w:type="dxa"/>
            <w:vAlign w:val="center"/>
          </w:tcPr>
          <w:p w14:paraId="1B5558F0" w14:textId="24E5BFC5" w:rsidR="002C256F" w:rsidRPr="00C97275" w:rsidDel="00BF3EBD" w:rsidRDefault="008D1284" w:rsidP="00DE277E">
            <w:pPr>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C97275">
              <w:rPr>
                <w:rFonts w:ascii="Georgia" w:hAnsi="Georgia"/>
                <w:sz w:val="18"/>
                <w:szCs w:val="18"/>
              </w:rPr>
              <w:t>1,71</w:t>
            </w:r>
          </w:p>
        </w:tc>
        <w:tc>
          <w:tcPr>
            <w:tcW w:w="2126" w:type="dxa"/>
            <w:vAlign w:val="center"/>
          </w:tcPr>
          <w:p w14:paraId="2ADA4183" w14:textId="1CFAB572" w:rsidR="002C256F" w:rsidRPr="00C97275" w:rsidRDefault="00873D7C">
            <w:pPr>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C97275">
              <w:rPr>
                <w:rFonts w:ascii="Georgia" w:hAnsi="Georgia"/>
                <w:sz w:val="18"/>
                <w:szCs w:val="18"/>
              </w:rPr>
              <w:t>3,2</w:t>
            </w:r>
            <w:r w:rsidR="00397955" w:rsidRPr="00C97275">
              <w:rPr>
                <w:rFonts w:ascii="Georgia" w:hAnsi="Georgia"/>
                <w:sz w:val="18"/>
                <w:szCs w:val="18"/>
              </w:rPr>
              <w:t>6</w:t>
            </w:r>
          </w:p>
        </w:tc>
      </w:tr>
      <w:tr w:rsidR="002C256F" w:rsidRPr="00C97275" w14:paraId="0097C5D9" w14:textId="121008FF" w:rsidTr="00F43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6B09E12A" w14:textId="46406972" w:rsidR="002C256F" w:rsidRPr="00C97275" w:rsidRDefault="002C256F" w:rsidP="00DE277E">
            <w:pPr>
              <w:rPr>
                <w:rFonts w:ascii="Georgia" w:hAnsi="Georgia"/>
                <w:b w:val="0"/>
                <w:sz w:val="20"/>
                <w:szCs w:val="20"/>
              </w:rPr>
            </w:pPr>
            <w:r w:rsidRPr="00C97275">
              <w:rPr>
                <w:rFonts w:ascii="Georgia" w:hAnsi="Georgia"/>
                <w:b w:val="0"/>
                <w:sz w:val="20"/>
                <w:szCs w:val="20"/>
              </w:rPr>
              <w:t>Garantija</w:t>
            </w:r>
          </w:p>
        </w:tc>
        <w:tc>
          <w:tcPr>
            <w:tcW w:w="2126" w:type="dxa"/>
            <w:vAlign w:val="center"/>
          </w:tcPr>
          <w:p w14:paraId="566E9564" w14:textId="301A148E" w:rsidR="002C256F" w:rsidRPr="00C97275" w:rsidDel="00BF3EBD" w:rsidRDefault="002C256F" w:rsidP="00DE277E">
            <w:pPr>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C97275">
              <w:rPr>
                <w:rFonts w:ascii="Georgia" w:hAnsi="Georgia"/>
                <w:sz w:val="18"/>
                <w:szCs w:val="18"/>
              </w:rPr>
              <w:t>3,</w:t>
            </w:r>
            <w:r w:rsidR="008D1284" w:rsidRPr="00C97275">
              <w:rPr>
                <w:rFonts w:ascii="Georgia" w:hAnsi="Georgia"/>
                <w:sz w:val="18"/>
                <w:szCs w:val="18"/>
              </w:rPr>
              <w:t>13</w:t>
            </w:r>
          </w:p>
        </w:tc>
        <w:tc>
          <w:tcPr>
            <w:tcW w:w="2126" w:type="dxa"/>
            <w:vAlign w:val="center"/>
          </w:tcPr>
          <w:p w14:paraId="0C35EBC7" w14:textId="739352C4" w:rsidR="002C256F" w:rsidRPr="00C97275" w:rsidRDefault="00873D7C">
            <w:pPr>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C97275">
              <w:rPr>
                <w:rFonts w:ascii="Georgia" w:hAnsi="Georgia"/>
                <w:sz w:val="18"/>
                <w:szCs w:val="18"/>
              </w:rPr>
              <w:t>3,</w:t>
            </w:r>
            <w:r w:rsidR="00397955" w:rsidRPr="00C97275">
              <w:rPr>
                <w:rFonts w:ascii="Georgia" w:hAnsi="Georgia"/>
                <w:sz w:val="18"/>
                <w:szCs w:val="18"/>
              </w:rPr>
              <w:t>42</w:t>
            </w:r>
          </w:p>
        </w:tc>
      </w:tr>
    </w:tbl>
    <w:p w14:paraId="515FAC18" w14:textId="05C8B7C8" w:rsidR="00571034" w:rsidRPr="00C97275" w:rsidRDefault="00571034" w:rsidP="00F43818">
      <w:pPr>
        <w:spacing w:after="160" w:line="240" w:lineRule="auto"/>
        <w:jc w:val="both"/>
        <w:rPr>
          <w:rFonts w:ascii="Georgia" w:eastAsia="Georgia" w:hAnsi="Georgia" w:cs="Arial Unicode MS"/>
          <w:i/>
          <w:iCs/>
          <w:color w:val="821A1A"/>
          <w:sz w:val="20"/>
          <w:szCs w:val="20"/>
          <w:lang w:val="lt-LT"/>
        </w:rPr>
      </w:pPr>
      <w:r w:rsidRPr="00C97275">
        <w:rPr>
          <w:rFonts w:ascii="Georgia" w:eastAsia="Georgia" w:hAnsi="Georgia" w:cs="Arial Unicode MS"/>
          <w:i/>
          <w:iCs/>
          <w:color w:val="821A1A"/>
          <w:sz w:val="20"/>
          <w:szCs w:val="20"/>
          <w:lang w:val="lt-LT"/>
        </w:rPr>
        <w:t>Šaltinis: sudaryta autorių</w:t>
      </w:r>
      <w:r w:rsidR="00ED4ADE" w:rsidRPr="00C97275">
        <w:rPr>
          <w:rFonts w:ascii="Georgia" w:eastAsia="Georgia" w:hAnsi="Georgia" w:cs="Arial Unicode MS"/>
          <w:i/>
          <w:iCs/>
          <w:color w:val="821A1A"/>
          <w:sz w:val="20"/>
          <w:szCs w:val="20"/>
          <w:lang w:val="lt-LT"/>
        </w:rPr>
        <w:t>4</w:t>
      </w:r>
    </w:p>
    <w:p w14:paraId="09521832" w14:textId="77777777" w:rsidR="00571034" w:rsidRPr="00C97275" w:rsidRDefault="00571034" w:rsidP="00571034">
      <w:pPr>
        <w:keepNext/>
        <w:autoSpaceDE w:val="0"/>
        <w:autoSpaceDN w:val="0"/>
        <w:adjustRightInd w:val="0"/>
        <w:spacing w:after="120"/>
        <w:jc w:val="both"/>
        <w:rPr>
          <w:rFonts w:ascii="Georgia" w:hAnsi="Georgia" w:cs="Georgia"/>
          <w:sz w:val="20"/>
          <w:szCs w:val="20"/>
          <w:lang w:val="lt-LT"/>
        </w:rPr>
      </w:pPr>
    </w:p>
    <w:p w14:paraId="25EF2D97" w14:textId="6E3532D6" w:rsidR="00571034" w:rsidRPr="00C97275" w:rsidRDefault="00571034" w:rsidP="00571034">
      <w:pPr>
        <w:keepNext/>
        <w:autoSpaceDE w:val="0"/>
        <w:autoSpaceDN w:val="0"/>
        <w:adjustRightInd w:val="0"/>
        <w:spacing w:after="120"/>
        <w:jc w:val="both"/>
        <w:rPr>
          <w:rFonts w:ascii="Georgia" w:hAnsi="Georgia" w:cs="Georgia"/>
          <w:sz w:val="20"/>
          <w:szCs w:val="20"/>
          <w:lang w:val="lt-LT"/>
        </w:rPr>
      </w:pPr>
      <w:r w:rsidRPr="00C97275">
        <w:rPr>
          <w:rFonts w:ascii="Georgia" w:hAnsi="Georgia" w:cs="Georgia"/>
          <w:sz w:val="20"/>
          <w:szCs w:val="20"/>
          <w:lang w:val="lt-LT"/>
        </w:rPr>
        <w:t xml:space="preserve">Pagal </w:t>
      </w:r>
      <w:r w:rsidRPr="00C97275">
        <w:rPr>
          <w:rFonts w:ascii="Georgia" w:hAnsi="Georgia"/>
          <w:sz w:val="20"/>
          <w:szCs w:val="20"/>
          <w:lang w:val="lt-LT"/>
        </w:rPr>
        <w:t>4.1.3.</w:t>
      </w:r>
      <w:r w:rsidR="00927881" w:rsidRPr="00C97275">
        <w:rPr>
          <w:rFonts w:ascii="Georgia" w:hAnsi="Georgia"/>
          <w:sz w:val="20"/>
          <w:szCs w:val="20"/>
          <w:lang w:val="lt-LT"/>
        </w:rPr>
        <w:t>3</w:t>
      </w:r>
      <w:r w:rsidRPr="00C97275">
        <w:rPr>
          <w:rFonts w:ascii="Georgia" w:hAnsi="Georgia"/>
          <w:sz w:val="20"/>
          <w:szCs w:val="20"/>
          <w:lang w:val="lt-LT"/>
        </w:rPr>
        <w:t xml:space="preserve"> skyriuje identifikuotus </w:t>
      </w:r>
      <w:r w:rsidRPr="00C97275">
        <w:rPr>
          <w:rFonts w:ascii="Georgia" w:hAnsi="Georgia" w:cs="Georgia"/>
          <w:sz w:val="20"/>
          <w:szCs w:val="20"/>
          <w:lang w:val="lt-LT"/>
        </w:rPr>
        <w:t>scenarijus apskaičiuoti sverto efekto rodikliai savivaldybių viešųjų pastatų modernizavimui pateikiami žemiau esančioje lentelėje.</w:t>
      </w:r>
    </w:p>
    <w:p w14:paraId="63B4AEAE" w14:textId="591CD571" w:rsidR="00571034" w:rsidRPr="00C97275" w:rsidRDefault="00571034" w:rsidP="00571034">
      <w:pPr>
        <w:pStyle w:val="Antrat"/>
        <w:jc w:val="both"/>
        <w:rPr>
          <w:rFonts w:cs="Georgia"/>
          <w:szCs w:val="20"/>
          <w:lang w:val="lt-LT"/>
        </w:rPr>
      </w:pPr>
      <w:bookmarkStart w:id="220" w:name="_Toc19105281"/>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68</w:t>
      </w:r>
      <w:r w:rsidRPr="00C97275">
        <w:rPr>
          <w:lang w:val="lt-LT"/>
        </w:rPr>
        <w:fldChar w:fldCharType="end"/>
      </w:r>
      <w:r w:rsidRPr="00C97275">
        <w:rPr>
          <w:lang w:val="lt-LT"/>
        </w:rPr>
        <w:t xml:space="preserve">. </w:t>
      </w:r>
      <w:r w:rsidRPr="00C97275">
        <w:rPr>
          <w:rFonts w:cs="Georgia"/>
          <w:szCs w:val="20"/>
          <w:lang w:val="lt-LT"/>
        </w:rPr>
        <w:t>Savivaldybių viešųjų pastatų modernizavimo finansinio sverto efekto rodikliai pagal atskirus scenarijus</w:t>
      </w:r>
      <w:bookmarkEnd w:id="220"/>
      <w:r w:rsidRPr="00C97275">
        <w:rPr>
          <w:rFonts w:cs="Georgia"/>
          <w:szCs w:val="20"/>
          <w:lang w:val="lt-LT"/>
        </w:rPr>
        <w:t xml:space="preserve"> </w:t>
      </w:r>
    </w:p>
    <w:tbl>
      <w:tblPr>
        <w:tblStyle w:val="LightList-Accent21"/>
        <w:tblW w:w="0" w:type="auto"/>
        <w:tblLook w:val="04A0" w:firstRow="1" w:lastRow="0" w:firstColumn="1" w:lastColumn="0" w:noHBand="0" w:noVBand="1"/>
      </w:tblPr>
      <w:tblGrid>
        <w:gridCol w:w="6998"/>
        <w:gridCol w:w="2244"/>
      </w:tblGrid>
      <w:tr w:rsidR="00571034" w:rsidRPr="00C97275" w14:paraId="048BA9EA" w14:textId="77777777" w:rsidTr="00F33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hideMark/>
          </w:tcPr>
          <w:p w14:paraId="259E253A" w14:textId="77777777" w:rsidR="00571034" w:rsidRPr="00C97275" w:rsidRDefault="00571034" w:rsidP="00F338B2">
            <w:pPr>
              <w:keepNext/>
              <w:tabs>
                <w:tab w:val="left" w:pos="614"/>
                <w:tab w:val="center" w:pos="3341"/>
              </w:tabs>
              <w:rPr>
                <w:rFonts w:ascii="Georgia" w:hAnsi="Georgia"/>
                <w:sz w:val="20"/>
                <w:szCs w:val="20"/>
              </w:rPr>
            </w:pPr>
            <w:r w:rsidRPr="00C97275">
              <w:rPr>
                <w:rFonts w:ascii="Georgia" w:hAnsi="Georgia"/>
                <w:sz w:val="20"/>
                <w:szCs w:val="20"/>
              </w:rPr>
              <w:t>Scenarijai</w:t>
            </w:r>
          </w:p>
        </w:tc>
        <w:tc>
          <w:tcPr>
            <w:tcW w:w="2262" w:type="dxa"/>
          </w:tcPr>
          <w:p w14:paraId="3F06D7A5" w14:textId="77777777" w:rsidR="00571034" w:rsidRPr="00C97275" w:rsidRDefault="00571034" w:rsidP="00F338B2">
            <w:pPr>
              <w:keepNext/>
              <w:tabs>
                <w:tab w:val="left" w:pos="614"/>
                <w:tab w:val="center" w:pos="3341"/>
              </w:tabs>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Sverto efektas</w:t>
            </w:r>
          </w:p>
        </w:tc>
      </w:tr>
      <w:tr w:rsidR="00571034" w:rsidRPr="00C97275" w14:paraId="25EB8854" w14:textId="77777777" w:rsidTr="00F33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7D0228BB" w14:textId="77777777" w:rsidR="00571034" w:rsidRPr="00C97275" w:rsidRDefault="00571034" w:rsidP="00F338B2">
            <w:pPr>
              <w:keepNext/>
              <w:rPr>
                <w:rFonts w:ascii="Georgia" w:hAnsi="Georgia"/>
                <w:b w:val="0"/>
                <w:sz w:val="20"/>
                <w:szCs w:val="20"/>
              </w:rPr>
            </w:pPr>
            <w:r w:rsidRPr="00C97275">
              <w:rPr>
                <w:rFonts w:ascii="Georgia" w:hAnsi="Georgia"/>
                <w:b w:val="0"/>
                <w:sz w:val="20"/>
                <w:szCs w:val="20"/>
              </w:rPr>
              <w:t>Paskola</w:t>
            </w:r>
          </w:p>
        </w:tc>
        <w:tc>
          <w:tcPr>
            <w:tcW w:w="2262" w:type="dxa"/>
            <w:vAlign w:val="center"/>
          </w:tcPr>
          <w:p w14:paraId="56E18D03" w14:textId="77777777" w:rsidR="00571034" w:rsidRPr="00C97275" w:rsidRDefault="00571034" w:rsidP="00F338B2">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1,13</w:t>
            </w:r>
          </w:p>
        </w:tc>
      </w:tr>
      <w:tr w:rsidR="00571034" w:rsidRPr="00C97275" w14:paraId="091CCFBE" w14:textId="77777777" w:rsidTr="00F338B2">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57D9C8FE" w14:textId="77777777" w:rsidR="00571034" w:rsidRPr="00C97275" w:rsidRDefault="00571034" w:rsidP="00F338B2">
            <w:pPr>
              <w:keepNext/>
              <w:rPr>
                <w:rFonts w:ascii="Georgia" w:hAnsi="Georgia"/>
                <w:b w:val="0"/>
                <w:sz w:val="20"/>
                <w:szCs w:val="20"/>
              </w:rPr>
            </w:pPr>
            <w:r w:rsidRPr="00C97275">
              <w:rPr>
                <w:rFonts w:ascii="Georgia" w:hAnsi="Georgia"/>
                <w:b w:val="0"/>
                <w:sz w:val="20"/>
                <w:szCs w:val="20"/>
              </w:rPr>
              <w:t>Paskolų teikimas taikant paskolų išpirkimo modelį</w:t>
            </w:r>
          </w:p>
        </w:tc>
        <w:tc>
          <w:tcPr>
            <w:tcW w:w="2262" w:type="dxa"/>
            <w:vAlign w:val="center"/>
          </w:tcPr>
          <w:p w14:paraId="5900A73E" w14:textId="77777777" w:rsidR="00571034" w:rsidRPr="00C97275" w:rsidRDefault="00571034" w:rsidP="00F338B2">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1,45</w:t>
            </w:r>
          </w:p>
        </w:tc>
      </w:tr>
      <w:tr w:rsidR="00571034" w:rsidRPr="00C97275" w14:paraId="5BE2816E" w14:textId="77777777" w:rsidTr="00F33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315A53D0" w14:textId="77777777" w:rsidR="00571034" w:rsidRPr="00C97275" w:rsidRDefault="00571034" w:rsidP="00F338B2">
            <w:pPr>
              <w:rPr>
                <w:rFonts w:ascii="Georgia" w:hAnsi="Georgia"/>
                <w:b w:val="0"/>
                <w:sz w:val="20"/>
                <w:szCs w:val="20"/>
              </w:rPr>
            </w:pPr>
            <w:r w:rsidRPr="00C97275">
              <w:rPr>
                <w:rFonts w:ascii="Georgia" w:hAnsi="Georgia"/>
                <w:b w:val="0"/>
                <w:sz w:val="20"/>
                <w:szCs w:val="20"/>
              </w:rPr>
              <w:t xml:space="preserve">Paskolų teikimas taikant asimetrinio rizikos pasidalijimo modelį </w:t>
            </w:r>
          </w:p>
        </w:tc>
        <w:tc>
          <w:tcPr>
            <w:tcW w:w="2262" w:type="dxa"/>
            <w:vAlign w:val="center"/>
          </w:tcPr>
          <w:p w14:paraId="714E1758" w14:textId="77777777" w:rsidR="00571034" w:rsidRPr="00C97275" w:rsidRDefault="00571034" w:rsidP="00F338B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97275">
              <w:rPr>
                <w:rFonts w:ascii="Georgia" w:hAnsi="Georgia"/>
                <w:sz w:val="20"/>
                <w:szCs w:val="20"/>
              </w:rPr>
              <w:t>2,02</w:t>
            </w:r>
          </w:p>
        </w:tc>
      </w:tr>
      <w:tr w:rsidR="00571034" w:rsidRPr="00C97275" w14:paraId="251E02FE" w14:textId="77777777" w:rsidTr="00F338B2">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1B8C398C" w14:textId="77777777" w:rsidR="00571034" w:rsidRPr="00C97275" w:rsidRDefault="00571034" w:rsidP="00F338B2">
            <w:pPr>
              <w:rPr>
                <w:rFonts w:ascii="Georgia" w:hAnsi="Georgia"/>
                <w:b w:val="0"/>
                <w:sz w:val="20"/>
                <w:szCs w:val="20"/>
              </w:rPr>
            </w:pPr>
            <w:r w:rsidRPr="00C97275">
              <w:rPr>
                <w:rFonts w:ascii="Georgia" w:hAnsi="Georgia"/>
                <w:b w:val="0"/>
                <w:sz w:val="20"/>
                <w:szCs w:val="20"/>
              </w:rPr>
              <w:t>Garantija</w:t>
            </w:r>
          </w:p>
        </w:tc>
        <w:tc>
          <w:tcPr>
            <w:tcW w:w="2262" w:type="dxa"/>
            <w:vAlign w:val="center"/>
          </w:tcPr>
          <w:p w14:paraId="6D886881" w14:textId="77777777" w:rsidR="00571034" w:rsidRPr="00C97275" w:rsidRDefault="00571034" w:rsidP="00F338B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97275">
              <w:rPr>
                <w:rFonts w:ascii="Georgia" w:hAnsi="Georgia"/>
                <w:sz w:val="20"/>
                <w:szCs w:val="20"/>
              </w:rPr>
              <w:t>3,77</w:t>
            </w:r>
          </w:p>
        </w:tc>
      </w:tr>
    </w:tbl>
    <w:p w14:paraId="0B6593EE" w14:textId="77777777" w:rsidR="00571034" w:rsidRPr="00C97275" w:rsidRDefault="00571034" w:rsidP="00571034">
      <w:pPr>
        <w:autoSpaceDE w:val="0"/>
        <w:autoSpaceDN w:val="0"/>
        <w:adjustRightInd w:val="0"/>
        <w:spacing w:after="0" w:line="240" w:lineRule="auto"/>
        <w:jc w:val="both"/>
        <w:rPr>
          <w:rFonts w:ascii="Georgia" w:hAnsi="Georgia" w:cs="Georgia"/>
          <w:sz w:val="20"/>
          <w:szCs w:val="20"/>
          <w:lang w:val="lt-LT"/>
        </w:rPr>
      </w:pPr>
      <w:r w:rsidRPr="00C97275">
        <w:rPr>
          <w:rFonts w:ascii="Georgia" w:hAnsi="Georgia" w:cs="Georgia"/>
          <w:sz w:val="20"/>
          <w:szCs w:val="20"/>
          <w:lang w:val="lt-LT"/>
        </w:rPr>
        <w:t>Šaltinis: sudaryta autorių</w:t>
      </w:r>
    </w:p>
    <w:p w14:paraId="52E8DA24" w14:textId="77777777" w:rsidR="00571034" w:rsidRPr="00C97275" w:rsidRDefault="00571034" w:rsidP="00571034">
      <w:pPr>
        <w:autoSpaceDE w:val="0"/>
        <w:autoSpaceDN w:val="0"/>
        <w:adjustRightInd w:val="0"/>
        <w:spacing w:after="0" w:line="240" w:lineRule="auto"/>
        <w:jc w:val="both"/>
        <w:rPr>
          <w:rFonts w:ascii="Georgia" w:hAnsi="Georgia" w:cs="Georgia"/>
          <w:sz w:val="20"/>
          <w:szCs w:val="20"/>
          <w:lang w:val="lt-LT"/>
        </w:rPr>
      </w:pPr>
    </w:p>
    <w:p w14:paraId="4A057843" w14:textId="77777777" w:rsidR="00571034" w:rsidRPr="00C97275" w:rsidRDefault="00571034" w:rsidP="00571034">
      <w:pPr>
        <w:autoSpaceDE w:val="0"/>
        <w:autoSpaceDN w:val="0"/>
        <w:adjustRightInd w:val="0"/>
        <w:spacing w:after="120"/>
        <w:jc w:val="both"/>
        <w:rPr>
          <w:rFonts w:ascii="Georgia" w:hAnsi="Georgia" w:cs="Georgia"/>
          <w:sz w:val="20"/>
          <w:szCs w:val="20"/>
          <w:lang w:val="lt-LT"/>
        </w:rPr>
      </w:pPr>
      <w:r w:rsidRPr="00C97275">
        <w:rPr>
          <w:rFonts w:ascii="Georgia" w:hAnsi="Georgia" w:cs="Georgia"/>
          <w:sz w:val="20"/>
          <w:szCs w:val="20"/>
          <w:lang w:val="lt-LT"/>
        </w:rPr>
        <w:t>Skaičiavimai rodo, jog savivaldybių viešųjų pastatų renovacijos atveju didžiausias sverto efekto rodiklis pasiekiamas visas lėšas nukreipus garantijų priemonės (detalus aprašymas pateikiamas 4.1.3.2 skyriuje – 4 scenarijus) įgyvendinimui (sverto efekto rodiklis 3,77). Antras pagal dydį sverto efekto rodiklis pasiekiamas, kai turimo lėšos įnešamos į rizikos pasidalijimo fondą. Pasirinkimas vertinant tik pagal sverto efektą nėra racionalus, todėl vertinamas tik kaip vienas iš kriterijų.</w:t>
      </w:r>
    </w:p>
    <w:p w14:paraId="3281EE9B" w14:textId="743EE397" w:rsidR="007435EC" w:rsidRPr="00C97275" w:rsidRDefault="007435EC" w:rsidP="007435EC">
      <w:pPr>
        <w:pStyle w:val="Antrat2"/>
        <w:numPr>
          <w:ilvl w:val="1"/>
          <w:numId w:val="2"/>
        </w:numPr>
        <w:spacing w:after="240"/>
        <w:ind w:left="709"/>
        <w:rPr>
          <w:rFonts w:ascii="Georgia" w:hAnsi="Georgia"/>
          <w:lang w:val="lt-LT"/>
        </w:rPr>
      </w:pPr>
      <w:bookmarkStart w:id="221" w:name="_Toc399924067"/>
      <w:bookmarkStart w:id="222" w:name="_Toc402352638"/>
      <w:bookmarkStart w:id="223" w:name="_Toc25594693"/>
      <w:r w:rsidRPr="00C97275">
        <w:rPr>
          <w:rFonts w:ascii="Georgia" w:hAnsi="Georgia"/>
          <w:lang w:val="lt-LT"/>
        </w:rPr>
        <w:lastRenderedPageBreak/>
        <w:t>Alternatyvų palyginimas</w:t>
      </w:r>
      <w:bookmarkEnd w:id="223"/>
    </w:p>
    <w:p w14:paraId="0777E64D" w14:textId="6BAB25B4" w:rsidR="00247C5A" w:rsidRPr="00C97275" w:rsidRDefault="00247C5A" w:rsidP="00242D25">
      <w:pPr>
        <w:pStyle w:val="Antrat2"/>
        <w:numPr>
          <w:ilvl w:val="2"/>
          <w:numId w:val="2"/>
        </w:numPr>
        <w:spacing w:after="240"/>
        <w:ind w:left="993" w:hanging="993"/>
        <w:rPr>
          <w:rFonts w:ascii="Georgia" w:hAnsi="Georgia"/>
          <w:lang w:val="lt-LT"/>
        </w:rPr>
      </w:pPr>
      <w:bookmarkStart w:id="224" w:name="_Toc25594694"/>
      <w:r w:rsidRPr="00C97275">
        <w:rPr>
          <w:rFonts w:ascii="Georgia" w:hAnsi="Georgia"/>
          <w:lang w:val="lt-LT"/>
        </w:rPr>
        <w:t xml:space="preserve">Daugiabučių </w:t>
      </w:r>
      <w:r w:rsidR="00CB0800" w:rsidRPr="00C97275">
        <w:rPr>
          <w:rFonts w:ascii="Georgia" w:hAnsi="Georgia"/>
          <w:lang w:val="lt-LT"/>
        </w:rPr>
        <w:t xml:space="preserve">namų </w:t>
      </w:r>
      <w:r w:rsidR="00100995" w:rsidRPr="00C97275">
        <w:rPr>
          <w:rFonts w:ascii="Georgia" w:hAnsi="Georgia"/>
          <w:lang w:val="lt-LT"/>
        </w:rPr>
        <w:t>modernizacijos</w:t>
      </w:r>
      <w:r w:rsidRPr="00C97275">
        <w:rPr>
          <w:rFonts w:ascii="Georgia" w:hAnsi="Georgia"/>
          <w:lang w:val="lt-LT"/>
        </w:rPr>
        <w:t xml:space="preserve"> scenarijų palyginimas</w:t>
      </w:r>
      <w:bookmarkEnd w:id="224"/>
    </w:p>
    <w:p w14:paraId="219044EB" w14:textId="759D1982" w:rsidR="00715D3C" w:rsidRPr="00C97275" w:rsidRDefault="005F6E95" w:rsidP="00AA1DCF">
      <w:pPr>
        <w:jc w:val="both"/>
        <w:rPr>
          <w:rFonts w:ascii="Georgia" w:hAnsi="Georgia"/>
          <w:sz w:val="20"/>
          <w:szCs w:val="20"/>
          <w:lang w:val="lt-LT"/>
        </w:rPr>
      </w:pPr>
      <w:r w:rsidRPr="00C97275">
        <w:rPr>
          <w:rFonts w:ascii="Georgia" w:hAnsi="Georgia"/>
          <w:sz w:val="20"/>
          <w:szCs w:val="20"/>
          <w:lang w:val="lt-LT"/>
        </w:rPr>
        <w:t>D</w:t>
      </w:r>
      <w:r w:rsidR="00715D3C" w:rsidRPr="00C97275">
        <w:rPr>
          <w:rFonts w:ascii="Georgia" w:hAnsi="Georgia"/>
          <w:sz w:val="20"/>
          <w:szCs w:val="20"/>
          <w:lang w:val="lt-LT"/>
        </w:rPr>
        <w:t>idžiausi sverto rodikliai pasiekiami, kai yra taikomas asimetrinio rizikos pasidalijimo modeliu paremtas Scenarijus Nr. 6. Kaip matyti, vieno scenarijaus pasirinkimas vertinant tik pagal sverto efektą nėra racionalus, todėl sukuriamas sverto efektas vertinamas tik kaip vienas iš scenarijaus naudingumo kriterijų.</w:t>
      </w:r>
    </w:p>
    <w:p w14:paraId="5B322D4D" w14:textId="42FC7D81" w:rsidR="00715D3C" w:rsidRPr="00C97275" w:rsidRDefault="00715D3C" w:rsidP="00E81E8F">
      <w:pPr>
        <w:jc w:val="both"/>
        <w:rPr>
          <w:rFonts w:ascii="Georgia" w:hAnsi="Georgia"/>
          <w:sz w:val="20"/>
          <w:szCs w:val="20"/>
          <w:lang w:val="lt-LT"/>
        </w:rPr>
      </w:pPr>
      <w:r w:rsidRPr="00C97275">
        <w:rPr>
          <w:rFonts w:ascii="Georgia" w:hAnsi="Georgia"/>
          <w:sz w:val="20"/>
          <w:szCs w:val="20"/>
          <w:lang w:val="lt-LT"/>
        </w:rPr>
        <w:t>Renkantis scenarijus reikia įvertinti rinkos pasirengimą naudoti vieną ar kitą scenarijų, nes nepaisant empirinių skaičiavimų, paremtų statistinėmis prielaidomis, jie ne visada atspindi realią rinkos situaciją ir potencialą dalyvauti jų įgyvendinime. Sukurtas Rizikos pasidalijimo fondas, kuris teikia pirmojo nuostolio garantijas bankams už jų nuosavomis lėšomis teikiamas paskolas daugiabučių namų renovacijai, taip sudarant galimybę pritraukti dar daugiau privataus finansavimo instrumentu, atitinka ex ante reikalavimus. Tačiau įvertinant pakankamai mažą rinkos susidomėjimą (pagal garantijos priemonę Modernizavimo paskolas teikia tik vienas bankas) garantijos finansiniu instrumentu, būtina ieškoti sprendimo, kaip, nekeičiant galutinio naudos gavėjams tenkančio produkto, pritraukti daugiau privataus finansavimo, nei su garantijos finansine priemone.</w:t>
      </w:r>
    </w:p>
    <w:p w14:paraId="2E58BE74" w14:textId="6B679321" w:rsidR="00377C17" w:rsidRPr="00C97275" w:rsidRDefault="00377C17" w:rsidP="00377C17">
      <w:pPr>
        <w:jc w:val="both"/>
        <w:rPr>
          <w:rFonts w:ascii="Georgia" w:hAnsi="Georgia"/>
          <w:sz w:val="20"/>
          <w:szCs w:val="20"/>
          <w:lang w:val="lt-LT"/>
        </w:rPr>
      </w:pPr>
      <w:r w:rsidRPr="00C97275">
        <w:rPr>
          <w:rFonts w:ascii="Georgia" w:hAnsi="Georgia"/>
          <w:sz w:val="20"/>
          <w:szCs w:val="20"/>
          <w:lang w:val="lt-LT"/>
        </w:rPr>
        <w:t xml:space="preserve">Pažymėtina, jog atsiradus garantijų priemonei, paskolų priemonė, kuri ir siūloma nauju </w:t>
      </w:r>
      <w:r w:rsidR="000226F2" w:rsidRPr="00C97275">
        <w:rPr>
          <w:rFonts w:ascii="Georgia" w:hAnsi="Georgia"/>
          <w:sz w:val="20"/>
          <w:szCs w:val="20"/>
          <w:lang w:val="lt-LT"/>
        </w:rPr>
        <w:t>Daugiabučių s</w:t>
      </w:r>
      <w:r w:rsidRPr="00C97275">
        <w:rPr>
          <w:rFonts w:ascii="Georgia" w:hAnsi="Georgia"/>
          <w:sz w:val="20"/>
          <w:szCs w:val="20"/>
          <w:lang w:val="lt-LT"/>
        </w:rPr>
        <w:t xml:space="preserve">cenarijumi Nr. 6 gali egzistuoti paraleliai, tokiu būdu, atsižvelgiat į valstybės galimybes, suteikiant valstybei pasirinkimo alternatyvą įgyvendinti tą priemonę, kuri labiau atitinka tuo metu esančius rinkos interesus. </w:t>
      </w:r>
    </w:p>
    <w:p w14:paraId="1D8F23B6" w14:textId="77777777" w:rsidR="00377C17" w:rsidRPr="00C97275" w:rsidRDefault="00377C17" w:rsidP="00377C17">
      <w:pPr>
        <w:jc w:val="both"/>
        <w:rPr>
          <w:rFonts w:ascii="Georgia" w:hAnsi="Georgia"/>
          <w:sz w:val="20"/>
          <w:szCs w:val="20"/>
          <w:lang w:val="lt-LT"/>
        </w:rPr>
      </w:pPr>
      <w:r w:rsidRPr="00C97275">
        <w:rPr>
          <w:rFonts w:ascii="Georgia" w:hAnsi="Georgia"/>
          <w:sz w:val="20"/>
          <w:szCs w:val="20"/>
          <w:lang w:val="lt-LT"/>
        </w:rPr>
        <w:t xml:space="preserve">Atsižvelgus į visų alternatyvų kiekybinės ir kokybinės analizės aspektus, ir siekiant maksimaliai suderinti alternatyvų privalumus ir minimizuoti jų trūkumus, rekomenduojama taikyti vieno ar kelių modelių derinį, t.y. atsižvelgdamos į besikeičiančią situaciją atsakingos institucijos galėtų taikyti: </w:t>
      </w:r>
    </w:p>
    <w:p w14:paraId="1759C01B" w14:textId="77777777" w:rsidR="00377C17" w:rsidRPr="00C97275" w:rsidRDefault="00377C17" w:rsidP="00377C17">
      <w:pPr>
        <w:jc w:val="both"/>
        <w:rPr>
          <w:rFonts w:ascii="Georgia" w:hAnsi="Georgia"/>
          <w:sz w:val="20"/>
          <w:szCs w:val="20"/>
          <w:lang w:val="lt-LT"/>
        </w:rPr>
      </w:pPr>
      <w:r w:rsidRPr="00C97275">
        <w:rPr>
          <w:rFonts w:ascii="Georgia" w:hAnsi="Georgia"/>
          <w:sz w:val="20"/>
          <w:szCs w:val="20"/>
          <w:lang w:val="lt-LT"/>
        </w:rPr>
        <w:t xml:space="preserve">- paskolų finansines priemones taikant asimetrinės rizikos pasidalijimo modelį; </w:t>
      </w:r>
    </w:p>
    <w:p w14:paraId="20E6C7E9" w14:textId="692B8E1E" w:rsidR="00377C17" w:rsidRPr="00C97275" w:rsidRDefault="00377C17" w:rsidP="00377C17">
      <w:pPr>
        <w:jc w:val="both"/>
        <w:rPr>
          <w:rFonts w:ascii="Georgia" w:hAnsi="Georgia"/>
          <w:sz w:val="20"/>
          <w:szCs w:val="20"/>
          <w:lang w:val="lt-LT"/>
        </w:rPr>
      </w:pPr>
      <w:r w:rsidRPr="00C97275">
        <w:rPr>
          <w:rFonts w:ascii="Georgia" w:hAnsi="Georgia"/>
          <w:sz w:val="20"/>
          <w:szCs w:val="20"/>
          <w:lang w:val="lt-LT"/>
        </w:rPr>
        <w:t>- atsiradus didesniam rinkos susidomėjimui – ir garantijų modelį.</w:t>
      </w:r>
    </w:p>
    <w:p w14:paraId="69215CC4" w14:textId="680A04CF" w:rsidR="00DC3EB6" w:rsidRPr="00C97275" w:rsidRDefault="00917895" w:rsidP="0063781D">
      <w:pPr>
        <w:jc w:val="both"/>
        <w:rPr>
          <w:rFonts w:ascii="Georgia" w:hAnsi="Georgia"/>
          <w:sz w:val="20"/>
          <w:szCs w:val="20"/>
          <w:lang w:val="lt-LT"/>
        </w:rPr>
      </w:pPr>
      <w:r w:rsidRPr="00C97275">
        <w:rPr>
          <w:rFonts w:ascii="Georgia" w:hAnsi="Georgia"/>
          <w:sz w:val="20"/>
          <w:szCs w:val="20"/>
          <w:lang w:val="lt-LT"/>
        </w:rPr>
        <w:t>P</w:t>
      </w:r>
      <w:r w:rsidR="00DC3EB6" w:rsidRPr="00C97275">
        <w:rPr>
          <w:rFonts w:ascii="Georgia" w:hAnsi="Georgia"/>
          <w:sz w:val="20"/>
          <w:szCs w:val="20"/>
          <w:lang w:val="lt-LT"/>
        </w:rPr>
        <w:t xml:space="preserve">ažymėtina, kad </w:t>
      </w:r>
      <w:r w:rsidR="005D62ED" w:rsidRPr="00C97275">
        <w:rPr>
          <w:rFonts w:ascii="Georgia" w:hAnsi="Georgia"/>
          <w:sz w:val="20"/>
          <w:szCs w:val="20"/>
          <w:lang w:val="lt-LT"/>
        </w:rPr>
        <w:t xml:space="preserve">nekeičiant šio ex ante vertinimo </w:t>
      </w:r>
      <w:r w:rsidR="00DC3EB6" w:rsidRPr="00C97275">
        <w:rPr>
          <w:rFonts w:ascii="Georgia" w:hAnsi="Georgia"/>
          <w:sz w:val="20"/>
          <w:szCs w:val="20"/>
          <w:lang w:val="lt-LT"/>
        </w:rPr>
        <w:t>ministerijos</w:t>
      </w:r>
      <w:r w:rsidR="005D62ED" w:rsidRPr="00C97275">
        <w:rPr>
          <w:rFonts w:ascii="Georgia" w:hAnsi="Georgia"/>
          <w:sz w:val="20"/>
          <w:szCs w:val="20"/>
          <w:lang w:val="lt-LT"/>
        </w:rPr>
        <w:t xml:space="preserve"> galėtų</w:t>
      </w:r>
      <w:r w:rsidR="00DC3EB6" w:rsidRPr="00C97275">
        <w:rPr>
          <w:rFonts w:ascii="Georgia" w:hAnsi="Georgia"/>
          <w:sz w:val="20"/>
          <w:szCs w:val="20"/>
          <w:lang w:val="lt-LT"/>
        </w:rPr>
        <w:t xml:space="preserve"> taikyti </w:t>
      </w:r>
      <w:r w:rsidR="005D62ED" w:rsidRPr="00C97275">
        <w:rPr>
          <w:rFonts w:ascii="Georgia" w:hAnsi="Georgia"/>
          <w:sz w:val="20"/>
          <w:szCs w:val="20"/>
          <w:lang w:val="lt-LT"/>
        </w:rPr>
        <w:t xml:space="preserve">ir </w:t>
      </w:r>
      <w:r w:rsidR="00DC3EB6" w:rsidRPr="00C97275">
        <w:rPr>
          <w:rFonts w:ascii="Georgia" w:hAnsi="Georgia"/>
          <w:sz w:val="20"/>
          <w:szCs w:val="20"/>
          <w:lang w:val="lt-LT"/>
        </w:rPr>
        <w:t>kitas pri</w:t>
      </w:r>
      <w:r w:rsidR="005D62ED" w:rsidRPr="00C97275">
        <w:rPr>
          <w:rFonts w:ascii="Georgia" w:hAnsi="Georgia"/>
          <w:sz w:val="20"/>
          <w:szCs w:val="20"/>
          <w:lang w:val="lt-LT"/>
        </w:rPr>
        <w:t>emones, kurios leistų</w:t>
      </w:r>
      <w:r w:rsidR="00DC3EB6" w:rsidRPr="00C97275">
        <w:rPr>
          <w:rFonts w:ascii="Georgia" w:hAnsi="Georgia"/>
          <w:sz w:val="20"/>
          <w:szCs w:val="20"/>
          <w:lang w:val="lt-LT"/>
        </w:rPr>
        <w:t xml:space="preserve"> pasiekti panašius rezultatus</w:t>
      </w:r>
      <w:r w:rsidR="00DC3EB6" w:rsidRPr="00C97275">
        <w:rPr>
          <w:rStyle w:val="Puslapioinaosnuoroda"/>
          <w:rFonts w:ascii="Georgia" w:hAnsi="Georgia"/>
          <w:sz w:val="20"/>
          <w:szCs w:val="20"/>
          <w:lang w:val="lt-LT"/>
        </w:rPr>
        <w:footnoteReference w:id="129"/>
      </w:r>
      <w:r w:rsidR="00DC3EB6" w:rsidRPr="00C97275">
        <w:rPr>
          <w:rFonts w:ascii="Georgia" w:hAnsi="Georgia"/>
          <w:sz w:val="20"/>
          <w:szCs w:val="20"/>
          <w:lang w:val="lt-LT"/>
        </w:rPr>
        <w:t>.</w:t>
      </w:r>
    </w:p>
    <w:p w14:paraId="6A57504D" w14:textId="77777777" w:rsidR="00DC3EB6" w:rsidRPr="00C97275" w:rsidRDefault="00DC3EB6">
      <w:pPr>
        <w:jc w:val="both"/>
        <w:rPr>
          <w:rFonts w:ascii="Georgia" w:hAnsi="Georgia"/>
          <w:sz w:val="20"/>
          <w:szCs w:val="20"/>
          <w:lang w:val="lt-LT"/>
        </w:rPr>
      </w:pPr>
    </w:p>
    <w:p w14:paraId="16FCC5E1" w14:textId="18CAE0D8" w:rsidR="00FD5FAE" w:rsidRPr="00C97275" w:rsidRDefault="00FD5FAE" w:rsidP="00242D25">
      <w:pPr>
        <w:pStyle w:val="Antrat2"/>
        <w:numPr>
          <w:ilvl w:val="2"/>
          <w:numId w:val="2"/>
        </w:numPr>
        <w:spacing w:after="240"/>
        <w:ind w:left="993" w:hanging="993"/>
        <w:rPr>
          <w:rFonts w:ascii="Georgia" w:hAnsi="Georgia"/>
          <w:lang w:val="lt-LT"/>
        </w:rPr>
      </w:pPr>
      <w:bookmarkStart w:id="225" w:name="_Toc25594695"/>
      <w:r w:rsidRPr="00C97275">
        <w:rPr>
          <w:rFonts w:ascii="Georgia" w:hAnsi="Georgia"/>
          <w:lang w:val="lt-LT"/>
        </w:rPr>
        <w:t>Centrinės valdžios pastatų renovavimo modelių palyginimas</w:t>
      </w:r>
      <w:bookmarkEnd w:id="221"/>
      <w:bookmarkEnd w:id="222"/>
      <w:bookmarkEnd w:id="225"/>
    </w:p>
    <w:p w14:paraId="1D3FFA97" w14:textId="01515685" w:rsidR="00C812CA" w:rsidRPr="00C97275" w:rsidRDefault="00C812CA" w:rsidP="00FD5FAE">
      <w:pPr>
        <w:jc w:val="both"/>
        <w:rPr>
          <w:rFonts w:ascii="Georgia" w:hAnsi="Georgia"/>
          <w:sz w:val="20"/>
          <w:szCs w:val="20"/>
          <w:lang w:val="lt-LT"/>
        </w:rPr>
      </w:pPr>
    </w:p>
    <w:p w14:paraId="029D4D69" w14:textId="20C5CE16" w:rsidR="0098376F" w:rsidRPr="00C97275" w:rsidRDefault="0098376F" w:rsidP="00C57355">
      <w:pPr>
        <w:pStyle w:val="Antrat2"/>
        <w:numPr>
          <w:ilvl w:val="2"/>
          <w:numId w:val="2"/>
        </w:numPr>
        <w:spacing w:after="240"/>
        <w:ind w:left="851" w:hanging="851"/>
        <w:rPr>
          <w:rFonts w:ascii="Georgia" w:hAnsi="Georgia"/>
          <w:lang w:val="lt-LT"/>
        </w:rPr>
      </w:pPr>
      <w:bookmarkStart w:id="226" w:name="_Toc399924068"/>
      <w:bookmarkStart w:id="227" w:name="_Toc402352639"/>
      <w:bookmarkStart w:id="228" w:name="_Toc25594696"/>
      <w:r w:rsidRPr="00C97275">
        <w:rPr>
          <w:rFonts w:ascii="Georgia" w:hAnsi="Georgia"/>
          <w:lang w:val="lt-LT"/>
        </w:rPr>
        <w:t>Savivaldybių pastatų modernizavimo modelių palyginimas</w:t>
      </w:r>
      <w:bookmarkEnd w:id="228"/>
    </w:p>
    <w:p w14:paraId="3B45BD55" w14:textId="77777777" w:rsidR="00C27103" w:rsidRPr="00C97275" w:rsidRDefault="00C27103" w:rsidP="00C27103">
      <w:pPr>
        <w:rPr>
          <w:rFonts w:ascii="Georgia" w:hAnsi="Georgia"/>
          <w:lang w:val="lt-LT"/>
        </w:rPr>
      </w:pPr>
    </w:p>
    <w:p w14:paraId="3A7D2642" w14:textId="3EC40FC2" w:rsidR="00FD5FAE" w:rsidRPr="00C97275" w:rsidRDefault="00FD5FAE" w:rsidP="00C57355">
      <w:pPr>
        <w:pStyle w:val="Antrat2"/>
        <w:numPr>
          <w:ilvl w:val="2"/>
          <w:numId w:val="2"/>
        </w:numPr>
        <w:spacing w:after="240"/>
        <w:ind w:left="851" w:hanging="851"/>
        <w:rPr>
          <w:rFonts w:ascii="Georgia" w:hAnsi="Georgia"/>
          <w:lang w:val="lt-LT"/>
        </w:rPr>
      </w:pPr>
      <w:bookmarkStart w:id="229" w:name="_Toc25594697"/>
      <w:r w:rsidRPr="00C97275">
        <w:rPr>
          <w:rFonts w:ascii="Georgia" w:hAnsi="Georgia"/>
          <w:lang w:val="lt-LT"/>
        </w:rPr>
        <w:lastRenderedPageBreak/>
        <w:t>Gatvių apšvietimo modernizavimo scenarijų palyginimas</w:t>
      </w:r>
      <w:bookmarkEnd w:id="226"/>
      <w:bookmarkEnd w:id="227"/>
      <w:bookmarkEnd w:id="229"/>
    </w:p>
    <w:p w14:paraId="7D7D3766" w14:textId="77777777" w:rsidR="00C27103" w:rsidRPr="00C97275" w:rsidRDefault="00C27103" w:rsidP="00C27103">
      <w:pPr>
        <w:rPr>
          <w:rFonts w:ascii="Georgia" w:hAnsi="Georgia"/>
          <w:lang w:val="lt-LT"/>
        </w:rPr>
      </w:pPr>
    </w:p>
    <w:p w14:paraId="47C335DF" w14:textId="77777777" w:rsidR="00C27103" w:rsidRPr="00C97275" w:rsidRDefault="00C27103" w:rsidP="00C27103">
      <w:pPr>
        <w:rPr>
          <w:rFonts w:ascii="Georgia" w:hAnsi="Georgia"/>
          <w:lang w:val="lt-LT"/>
        </w:rPr>
      </w:pPr>
    </w:p>
    <w:p w14:paraId="26F6828E" w14:textId="77777777" w:rsidR="00C27103" w:rsidRPr="00C97275" w:rsidRDefault="00C27103" w:rsidP="00C27103">
      <w:pPr>
        <w:rPr>
          <w:rFonts w:ascii="Georgia" w:hAnsi="Georgia"/>
          <w:lang w:val="lt-LT"/>
        </w:rPr>
      </w:pPr>
    </w:p>
    <w:p w14:paraId="59FB538E" w14:textId="77777777" w:rsidR="00C27103" w:rsidRPr="00C97275" w:rsidRDefault="00C27103" w:rsidP="00C27103">
      <w:pPr>
        <w:rPr>
          <w:rFonts w:ascii="Georgia" w:hAnsi="Georgia"/>
          <w:lang w:val="lt-LT"/>
        </w:rPr>
      </w:pPr>
    </w:p>
    <w:p w14:paraId="19C163DA" w14:textId="77777777" w:rsidR="00C27103" w:rsidRPr="00C97275" w:rsidRDefault="00C27103" w:rsidP="00C27103">
      <w:pPr>
        <w:rPr>
          <w:rFonts w:ascii="Georgia" w:hAnsi="Georgia"/>
          <w:lang w:val="lt-LT"/>
        </w:rPr>
      </w:pPr>
    </w:p>
    <w:p w14:paraId="2B205FF0" w14:textId="77777777" w:rsidR="00C27103" w:rsidRPr="00C97275" w:rsidRDefault="00C27103" w:rsidP="00C27103">
      <w:pPr>
        <w:rPr>
          <w:rFonts w:ascii="Georgia" w:hAnsi="Georgia"/>
          <w:lang w:val="lt-LT"/>
        </w:rPr>
      </w:pPr>
    </w:p>
    <w:p w14:paraId="140D4771" w14:textId="77777777" w:rsidR="00C27103" w:rsidRPr="00C97275" w:rsidRDefault="00C27103" w:rsidP="00C27103">
      <w:pPr>
        <w:rPr>
          <w:rFonts w:ascii="Georgia" w:hAnsi="Georgia"/>
          <w:lang w:val="lt-LT"/>
        </w:rPr>
      </w:pPr>
    </w:p>
    <w:p w14:paraId="5C7A77F1" w14:textId="77777777" w:rsidR="00C27103" w:rsidRPr="00C97275" w:rsidRDefault="00C27103" w:rsidP="00C27103">
      <w:pPr>
        <w:rPr>
          <w:rFonts w:ascii="Georgia" w:hAnsi="Georgia"/>
          <w:lang w:val="lt-LT"/>
        </w:rPr>
      </w:pPr>
    </w:p>
    <w:p w14:paraId="75A4FE82" w14:textId="77777777" w:rsidR="00280058" w:rsidRPr="00C97275" w:rsidRDefault="00280058" w:rsidP="00C57355">
      <w:pPr>
        <w:pStyle w:val="Antrat2"/>
        <w:numPr>
          <w:ilvl w:val="1"/>
          <w:numId w:val="2"/>
        </w:numPr>
        <w:spacing w:after="240"/>
        <w:ind w:left="709"/>
        <w:rPr>
          <w:rFonts w:ascii="Georgia" w:hAnsi="Georgia"/>
          <w:lang w:val="lt-LT"/>
        </w:rPr>
      </w:pPr>
      <w:bookmarkStart w:id="230" w:name="_Toc402352640"/>
      <w:bookmarkStart w:id="231" w:name="_Toc25594698"/>
      <w:r w:rsidRPr="00C97275">
        <w:rPr>
          <w:rFonts w:ascii="Georgia" w:hAnsi="Georgia"/>
          <w:lang w:val="lt-LT"/>
        </w:rPr>
        <w:t>Finansinės priemonės darna su kitomis viešųjų intervencijų formomis</w:t>
      </w:r>
      <w:bookmarkEnd w:id="230"/>
      <w:bookmarkEnd w:id="231"/>
    </w:p>
    <w:p w14:paraId="55C4CA92" w14:textId="608DA48E" w:rsidR="00280058" w:rsidRPr="00C97275" w:rsidRDefault="00280058" w:rsidP="00280058">
      <w:pPr>
        <w:jc w:val="both"/>
        <w:rPr>
          <w:rFonts w:ascii="Georgia" w:hAnsi="Georgia"/>
          <w:sz w:val="20"/>
          <w:lang w:val="lt-LT"/>
        </w:rPr>
      </w:pPr>
      <w:r w:rsidRPr="00C97275">
        <w:rPr>
          <w:rFonts w:ascii="Georgia" w:hAnsi="Georgia"/>
          <w:sz w:val="20"/>
          <w:lang w:val="lt-LT"/>
        </w:rPr>
        <w:t>Šio skyriaus tikslas yra išsiaiškinti, kaip siūlomos finansinės priemonės dera su kitomis viešųjų intervencijų formomis, ar toje pačioje rinkoje finansinės priemonės nepersidengia su kitomis viešųjų intervencijų formomis, o jei persidengia, ar neatsiranda prieštaravimai ir ar skirtingos viešosios intervencijos formos viena kitai nekliudo ir nedaro reikšmingos įtakos.</w:t>
      </w:r>
    </w:p>
    <w:p w14:paraId="72202015" w14:textId="3071EE5C" w:rsidR="00E37214" w:rsidRPr="00C97275" w:rsidRDefault="00E37214" w:rsidP="00E37214">
      <w:pPr>
        <w:spacing w:after="0"/>
        <w:jc w:val="both"/>
        <w:rPr>
          <w:rFonts w:ascii="Georgia" w:hAnsi="Georgia"/>
          <w:b/>
          <w:sz w:val="20"/>
          <w:lang w:val="lt-LT"/>
        </w:rPr>
      </w:pPr>
      <w:r w:rsidRPr="00C97275">
        <w:rPr>
          <w:rFonts w:ascii="Georgia" w:hAnsi="Georgia"/>
          <w:b/>
          <w:sz w:val="20"/>
          <w:lang w:val="lt-LT"/>
        </w:rPr>
        <w:t>Daugiabučių modernizavimas</w:t>
      </w:r>
    </w:p>
    <w:p w14:paraId="487982FE" w14:textId="77777777" w:rsidR="00E37214" w:rsidRPr="00C97275" w:rsidRDefault="00E37214" w:rsidP="00E37214">
      <w:pPr>
        <w:jc w:val="both"/>
        <w:rPr>
          <w:rFonts w:ascii="Georgia" w:hAnsi="Georgia"/>
          <w:sz w:val="20"/>
          <w:lang w:val="lt-LT"/>
        </w:rPr>
      </w:pPr>
    </w:p>
    <w:p w14:paraId="1D0B204E" w14:textId="5E5129BF" w:rsidR="00E37214" w:rsidRPr="00C97275" w:rsidRDefault="00E37214" w:rsidP="00E37214">
      <w:pPr>
        <w:jc w:val="both"/>
        <w:rPr>
          <w:rFonts w:ascii="Georgia" w:hAnsi="Georgia"/>
          <w:sz w:val="20"/>
          <w:lang w:val="lt-LT"/>
        </w:rPr>
      </w:pPr>
      <w:r w:rsidRPr="00C97275">
        <w:rPr>
          <w:rFonts w:ascii="Georgia" w:hAnsi="Georgia"/>
          <w:sz w:val="20"/>
          <w:lang w:val="lt-LT"/>
        </w:rPr>
        <w:t xml:space="preserve">Viešųjų intervencijų formos, kurios buvo nukreiptos į būsto sektorių, yra aptariamos žemiau: </w:t>
      </w:r>
    </w:p>
    <w:p w14:paraId="4EE30E87" w14:textId="225CEA9D" w:rsidR="00E37214" w:rsidRPr="00C97275" w:rsidRDefault="00E37214" w:rsidP="00E37214">
      <w:pPr>
        <w:jc w:val="both"/>
        <w:rPr>
          <w:rFonts w:ascii="Georgia" w:hAnsi="Georgia"/>
          <w:sz w:val="20"/>
          <w:lang w:val="lt-LT"/>
        </w:rPr>
      </w:pPr>
      <w:r w:rsidRPr="00C97275">
        <w:rPr>
          <w:rFonts w:ascii="Georgia" w:hAnsi="Georgia"/>
          <w:sz w:val="20"/>
          <w:lang w:val="lt-LT"/>
        </w:rPr>
        <w:t>1. Galutiniams naudos gavėjams kompensuojama 100% faktinių išlaidų, tenkančių atnaujinimo (modernizavimo) projektui ar jo daliai parengti, jeigu atnaujinimo (modernizavimo) projekto ar jo dalies parengimo sutartis sudaryta iki 2015 m. spalio 1 d. Jeigu atnaujinimo (modernizavimo) projekto ar jo dalies parengimo sutartis sudaryta po 2015 m. spalio 1 d., butų ir kitų patalpų savininkams apmokama arba kompensuojama 50% išlaidų. Už statybos techninę priežiūrą, vykdytą daugiabučio namo atnaujinimo (modernizavimo) projekto įgyvendinimo laikotarpiu iki 2016 m. gruodžio 31 d., butų ir kitų patalpų savininkams apmokama arba kompensuojama 100% faktinių išlaidų.  Valstybės paramos daugiabučiams namams atnaujinti (modernizuoti) redakcijoje, galiojančioje nuo 2017-11-01 d. numatyta, kad valstybės parama teikiama „apmokant  arba kompensuojant 100 procentu ne didesnę kaip Vyriausybės nustatyto dydžio išlaidų dalį atnaujinimo projektui ar jo daliai parengti, įskaitant atnaujinimo projekto vykdymo priežiūrą ir atnaujinimo projekto ekspertizės, kai ji privaloma pagal Statybos įstatymą, atlikimą, kai Vyriausybės ar jos įgaliotos institucijos nustatyta tvarka parengtą investicijų planą patvirtina butų ir kitų patalpų savininkai“.</w:t>
      </w:r>
    </w:p>
    <w:p w14:paraId="6168418D" w14:textId="77777777" w:rsidR="00E37214" w:rsidRPr="00C97275" w:rsidRDefault="00E37214" w:rsidP="00E37214">
      <w:pPr>
        <w:jc w:val="both"/>
        <w:rPr>
          <w:rFonts w:ascii="Georgia" w:hAnsi="Georgia"/>
          <w:sz w:val="20"/>
          <w:lang w:val="lt-LT"/>
        </w:rPr>
      </w:pPr>
      <w:r w:rsidRPr="00C97275">
        <w:rPr>
          <w:rFonts w:ascii="Georgia" w:hAnsi="Georgia"/>
          <w:sz w:val="20"/>
          <w:lang w:val="lt-LT"/>
        </w:rPr>
        <w:t xml:space="preserve">2. Kompensuojamos paskolų įmokos asmenims, turintiems teisę į būsto šildymo išlaidų kompensaciją, ir savivaldybėms, turinčioms nuosavybės teisę į gyvenamąsias patalpas atnaujinamame name. Be to, atsisakius dalyvauti renovacijos procese gyventojams, turintiems teisę gauti kompensaciją už šildymą, ji mažinama 50%, o nuo kito šildymo sezono būsto šildymo išlaidų kompensacija neskiriama, bet ne ilgiau kaip 3 metų šildymo sezonus nuo šių aplinkybių atsiradimo. Ši nuostata įtvirtinta Lietuvos Respublikos piniginės socialinės paramos nepasiturintiems gyventojams įstatymo 21 str. 12 d. </w:t>
      </w:r>
    </w:p>
    <w:p w14:paraId="287D57FB" w14:textId="7DF2C565" w:rsidR="00C27103" w:rsidRPr="00C97275" w:rsidRDefault="00E37214" w:rsidP="00C27103">
      <w:pPr>
        <w:jc w:val="both"/>
        <w:rPr>
          <w:rFonts w:ascii="Georgia" w:hAnsi="Georgia"/>
          <w:sz w:val="20"/>
          <w:lang w:val="lt-LT"/>
        </w:rPr>
      </w:pPr>
      <w:r w:rsidRPr="00C97275">
        <w:rPr>
          <w:rFonts w:ascii="Georgia" w:hAnsi="Georgia"/>
          <w:sz w:val="20"/>
          <w:lang w:val="lt-LT"/>
        </w:rPr>
        <w:lastRenderedPageBreak/>
        <w:t xml:space="preserve">3. Klimato kaitos specialiosios programos lėšomis teikiama papildoma valstybės parama, daugiabučio namo butų ir kitų patalpų savininkams įgyvendinantiems nuo 2009 rugsėjo 20 d. iki 2014 m. gruodžio 31 d. parengtą daugiabučio namo atnaujinimo (modernizavimo) projektą (investicinį planą), kompensuojant dalį energijos efektyvumo priemonių investicijų, jeigu įgyvendinus projektą pasiekiama ne mažesnė kaip D pastato energinio naudingumo klasė ir skaičiuojamosios šiluminės energijos sąnaudos sumažinamos ne mažiau kaip 40%. Kompensuojama nuo 20 iki 25% tokių investicijų. Taip pat Klimato kaitos specialiosios programos lėšomis teikiama papildoma valstybės parama, daugiabučio namo butų ir kitų patalpų savininkams nuo 2015 sausio 1 d. parengusiems ir įgyvendinantiems daugiabučio namo atnaujinimo (modernizavimo) projektą (investicinį planą), kompensuojant dalį energijos efektyvumo priemonių investicijų, jeigu įgyvendinus projektą pasiekiama ne mažesnė kaip C pastato energinio naudingumo klasė ir skaičiuojamosios šiluminės energijos sąnaudos sumažinamos ne mažiau kaip 40%. Kompensuojama 20% tokių investicijų, jei jeigu daugiabučio namo atnaujinimo (modernizavimo) projektas įgyvendintas iki 2017 m. gruodžio 31 d. ir 15% tokių investicijų, jei daugiabučio namo atnaujinimo (modernizavimo) projektas įgyvendintas po 2017 m. gruodžio 31 d., bet ne vėliau kaip iki 2020 m. gruodžio 31 d. </w:t>
      </w:r>
      <w:r w:rsidR="00C27103" w:rsidRPr="00C97275">
        <w:rPr>
          <w:rFonts w:ascii="Georgia" w:hAnsi="Georgia"/>
          <w:sz w:val="20"/>
          <w:lang w:val="lt-LT"/>
        </w:rPr>
        <w:t>(nuostata buvo pakeista 2017-11-01 patvritinus naują Valstybės paramos daugiabučiams namams atnaujinti (modernizuoti) įstatymo redakciją).</w:t>
      </w:r>
    </w:p>
    <w:p w14:paraId="4EC47D76" w14:textId="7671C336" w:rsidR="00E37214" w:rsidRPr="00C97275" w:rsidRDefault="00C80380" w:rsidP="00E37214">
      <w:pPr>
        <w:jc w:val="both"/>
        <w:rPr>
          <w:rFonts w:ascii="Georgia" w:hAnsi="Georgia"/>
          <w:sz w:val="20"/>
          <w:lang w:val="lt-LT"/>
        </w:rPr>
      </w:pPr>
      <w:r w:rsidRPr="00C97275">
        <w:rPr>
          <w:rFonts w:ascii="Georgia" w:hAnsi="Georgia"/>
          <w:sz w:val="20"/>
          <w:lang w:val="lt-LT"/>
        </w:rPr>
        <w:t>4. PVM lengvatinis tarifas</w:t>
      </w:r>
      <w:r w:rsidR="00E37214" w:rsidRPr="00C97275">
        <w:rPr>
          <w:rFonts w:ascii="Georgia" w:hAnsi="Georgia"/>
          <w:sz w:val="20"/>
          <w:lang w:val="lt-LT"/>
        </w:rPr>
        <w:t xml:space="preserve"> šildymui. </w:t>
      </w:r>
      <w:r w:rsidRPr="00C97275">
        <w:rPr>
          <w:rFonts w:ascii="Georgia" w:hAnsi="Georgia"/>
          <w:sz w:val="20"/>
          <w:lang w:val="lt-LT"/>
        </w:rPr>
        <w:t>T</w:t>
      </w:r>
      <w:r w:rsidR="00E37214" w:rsidRPr="00C97275">
        <w:rPr>
          <w:rFonts w:ascii="Georgia" w:hAnsi="Georgia"/>
          <w:sz w:val="20"/>
          <w:lang w:val="lt-LT"/>
        </w:rPr>
        <w:t xml:space="preserve">aikomas lengvatinis 9% PVM tarifas šilumos energijai, tiekiamai gyvenamosioms patalpoms šildyti pagal PVM įstatymo 19 str. 3 d. 1 p. </w:t>
      </w:r>
      <w:r w:rsidRPr="00C97275">
        <w:rPr>
          <w:rFonts w:ascii="Georgia" w:hAnsi="Georgia"/>
          <w:sz w:val="20"/>
          <w:lang w:val="lt-LT"/>
        </w:rPr>
        <w:t xml:space="preserve"> Po paskutinių PVM įstatymo pakeitimų PVM lengvatinis tarifas šildymui galioja neribotą laiką.</w:t>
      </w:r>
    </w:p>
    <w:p w14:paraId="2A1DF17F" w14:textId="77777777" w:rsidR="00E37214" w:rsidRPr="00C97275" w:rsidRDefault="00E37214" w:rsidP="00E37214">
      <w:pPr>
        <w:jc w:val="both"/>
        <w:rPr>
          <w:rFonts w:ascii="Georgia" w:hAnsi="Georgia"/>
          <w:sz w:val="20"/>
          <w:lang w:val="lt-LT"/>
        </w:rPr>
      </w:pPr>
      <w:r w:rsidRPr="00C97275">
        <w:rPr>
          <w:rFonts w:ascii="Georgia" w:hAnsi="Georgia"/>
          <w:sz w:val="20"/>
          <w:lang w:val="lt-LT"/>
        </w:rPr>
        <w:t xml:space="preserve">5. 2007-2013 m. ES finansiniu laikotarpiu per Vidaus reikalų ministerijos administruojamas ES SF priemones buvo remiama socialinio būsto plėtra ir daugiabučių namų renovacija probleminėse teritorijose. Šios VRM priemonės buvo įgyvendinamos subsidijų forma, tačiau pažymėtina, kad JESSICA KF ir VRM priemonės buvo įgyvendinamos skirtingose to paties sektoriaus srityse ir siekė skirtingų tikslų. </w:t>
      </w:r>
    </w:p>
    <w:p w14:paraId="2846B06A" w14:textId="05F0E9CC" w:rsidR="00E37214" w:rsidRPr="00C97275" w:rsidRDefault="00E37214" w:rsidP="00E37214">
      <w:pPr>
        <w:jc w:val="both"/>
        <w:rPr>
          <w:rFonts w:ascii="Georgia" w:hAnsi="Georgia"/>
          <w:sz w:val="20"/>
          <w:lang w:val="lt-LT"/>
        </w:rPr>
      </w:pPr>
      <w:r w:rsidRPr="00C97275">
        <w:rPr>
          <w:rFonts w:ascii="Georgia" w:hAnsi="Georgia"/>
          <w:sz w:val="20"/>
          <w:lang w:val="lt-LT"/>
        </w:rPr>
        <w:t>6. JESSICA KF paskolos daugiabučių modernizavimo projektų įgyvendinimui buvo teikiamos lengvatinėmis sąlygomis. 2014-2020 m. paskolų daugiabučių modernizavimo projektų įgyvendinimui teikimas tęsiamas JESSICA II</w:t>
      </w:r>
      <w:r w:rsidR="0078047C" w:rsidRPr="00C97275">
        <w:rPr>
          <w:rFonts w:ascii="Georgia" w:hAnsi="Georgia"/>
          <w:sz w:val="20"/>
          <w:lang w:val="lt-LT"/>
        </w:rPr>
        <w:t xml:space="preserve"> fondų</w:t>
      </w:r>
      <w:r w:rsidRPr="00C97275">
        <w:rPr>
          <w:rFonts w:ascii="Georgia" w:hAnsi="Georgia"/>
          <w:sz w:val="20"/>
          <w:lang w:val="lt-LT"/>
        </w:rPr>
        <w:t xml:space="preserve"> fondo bei DNMF lėšomis. Tai viešosios intervencijos forma, kadangi finansuotojai rinkoje daugiabučių modernizavimo </w:t>
      </w:r>
      <w:r w:rsidR="00A27A99" w:rsidRPr="00C97275">
        <w:rPr>
          <w:rFonts w:ascii="Georgia" w:hAnsi="Georgia"/>
          <w:sz w:val="20"/>
          <w:lang w:val="lt-LT"/>
        </w:rPr>
        <w:t xml:space="preserve">projektus laiko vartojamosiomis paskolomis, nereikalauja užstato, bet </w:t>
      </w:r>
      <w:r w:rsidRPr="00C97275">
        <w:rPr>
          <w:rFonts w:ascii="Georgia" w:hAnsi="Georgia"/>
          <w:sz w:val="20"/>
          <w:lang w:val="lt-LT"/>
        </w:rPr>
        <w:t>siūlo didesnes palūkanų normas</w:t>
      </w:r>
      <w:r w:rsidR="00A27A99" w:rsidRPr="00C97275">
        <w:rPr>
          <w:rFonts w:ascii="Georgia" w:hAnsi="Georgia"/>
          <w:sz w:val="20"/>
          <w:lang w:val="lt-LT"/>
        </w:rPr>
        <w:t>.</w:t>
      </w:r>
    </w:p>
    <w:p w14:paraId="289EDD3D" w14:textId="76B212E4" w:rsidR="002135DA" w:rsidRPr="00C97275" w:rsidRDefault="00280058" w:rsidP="00E37214">
      <w:pPr>
        <w:spacing w:after="0"/>
        <w:jc w:val="both"/>
        <w:rPr>
          <w:rFonts w:ascii="Georgia" w:hAnsi="Georgia"/>
          <w:b/>
          <w:sz w:val="20"/>
          <w:lang w:val="lt-LT"/>
        </w:rPr>
      </w:pPr>
      <w:r w:rsidRPr="00C97275">
        <w:rPr>
          <w:rFonts w:ascii="Georgia" w:hAnsi="Georgia"/>
          <w:b/>
          <w:sz w:val="20"/>
          <w:lang w:val="lt-LT"/>
        </w:rPr>
        <w:t>Viešųjų pastatų modernizavimas</w:t>
      </w:r>
    </w:p>
    <w:p w14:paraId="288BBAA7" w14:textId="77777777" w:rsidR="00E37214" w:rsidRPr="00C97275" w:rsidRDefault="00E37214" w:rsidP="00E37214">
      <w:pPr>
        <w:spacing w:after="0"/>
        <w:jc w:val="both"/>
        <w:rPr>
          <w:rFonts w:ascii="Georgia" w:hAnsi="Georgia"/>
          <w:b/>
          <w:sz w:val="20"/>
          <w:lang w:val="lt-LT"/>
        </w:rPr>
      </w:pPr>
    </w:p>
    <w:p w14:paraId="50BA4BDF" w14:textId="7B16DBF7" w:rsidR="009E0674" w:rsidRPr="00C97275" w:rsidRDefault="009E0674" w:rsidP="005B31C6">
      <w:pPr>
        <w:spacing w:after="0"/>
        <w:jc w:val="both"/>
        <w:rPr>
          <w:rFonts w:ascii="Georgia" w:hAnsi="Georgia"/>
          <w:sz w:val="20"/>
          <w:lang w:val="lt-LT"/>
        </w:rPr>
      </w:pPr>
    </w:p>
    <w:p w14:paraId="370198C7" w14:textId="60F535D4" w:rsidR="009F0D5C" w:rsidRPr="00C97275" w:rsidRDefault="009F0D5C" w:rsidP="005B31C6">
      <w:pPr>
        <w:spacing w:after="0"/>
        <w:jc w:val="both"/>
        <w:rPr>
          <w:rFonts w:ascii="Georgia" w:hAnsi="Georgia"/>
          <w:b/>
          <w:sz w:val="20"/>
          <w:lang w:val="lt-LT"/>
        </w:rPr>
      </w:pPr>
      <w:r w:rsidRPr="00C97275">
        <w:rPr>
          <w:rFonts w:ascii="Georgia" w:hAnsi="Georgia"/>
          <w:b/>
          <w:sz w:val="20"/>
          <w:lang w:val="lt-LT"/>
        </w:rPr>
        <w:t>Gatvių apšvietimas</w:t>
      </w:r>
    </w:p>
    <w:p w14:paraId="12DB3B0E" w14:textId="2FC60AA3" w:rsidR="00280058" w:rsidRPr="00C97275" w:rsidRDefault="00061A8D" w:rsidP="00280058">
      <w:pPr>
        <w:spacing w:after="0" w:line="240" w:lineRule="auto"/>
        <w:jc w:val="both"/>
        <w:rPr>
          <w:rFonts w:ascii="Georgia" w:hAnsi="Georgia" w:cs="Times New Roman"/>
          <w:sz w:val="24"/>
          <w:szCs w:val="24"/>
          <w:lang w:val="lt-LT" w:eastAsia="lt-LT"/>
        </w:rPr>
      </w:pPr>
      <w:r w:rsidRPr="00C97275">
        <w:rPr>
          <w:rFonts w:ascii="Georgia" w:hAnsi="Georgia" w:cs="Times New Roman"/>
          <w:sz w:val="24"/>
          <w:szCs w:val="24"/>
          <w:lang w:val="lt-LT" w:eastAsia="lt-LT"/>
        </w:rPr>
        <w:t xml:space="preserve">  </w:t>
      </w:r>
    </w:p>
    <w:p w14:paraId="5B92EF0C" w14:textId="77777777" w:rsidR="009F0D5C" w:rsidRPr="00C97275" w:rsidRDefault="009F0D5C" w:rsidP="00280058">
      <w:pPr>
        <w:spacing w:after="0" w:line="240" w:lineRule="auto"/>
        <w:jc w:val="both"/>
        <w:rPr>
          <w:rFonts w:ascii="Georgia" w:hAnsi="Georgia" w:cs="Times New Roman"/>
          <w:sz w:val="24"/>
          <w:szCs w:val="24"/>
          <w:lang w:val="lt-LT" w:eastAsia="lt-LT"/>
        </w:rPr>
      </w:pPr>
    </w:p>
    <w:p w14:paraId="2CAB5420" w14:textId="77777777" w:rsidR="00995FCE" w:rsidRPr="00C97275" w:rsidRDefault="00995FCE" w:rsidP="00C57355">
      <w:pPr>
        <w:pStyle w:val="Antrat2"/>
        <w:numPr>
          <w:ilvl w:val="1"/>
          <w:numId w:val="2"/>
        </w:numPr>
        <w:spacing w:after="240"/>
        <w:ind w:left="709"/>
        <w:rPr>
          <w:rFonts w:ascii="Georgia" w:hAnsi="Georgia"/>
          <w:lang w:val="lt-LT"/>
        </w:rPr>
      </w:pPr>
      <w:bookmarkStart w:id="232" w:name="_Toc25594699"/>
      <w:r w:rsidRPr="00C97275">
        <w:rPr>
          <w:rFonts w:ascii="Georgia" w:hAnsi="Georgia"/>
          <w:lang w:val="lt-LT"/>
        </w:rPr>
        <w:t>Finansinių priemonių poveikis valstybės biudžeto deficitui ir valstybės skolai</w:t>
      </w:r>
      <w:bookmarkEnd w:id="232"/>
    </w:p>
    <w:p w14:paraId="458C8595" w14:textId="77777777" w:rsidR="00D17B85" w:rsidRPr="00C97275" w:rsidRDefault="00995FCE" w:rsidP="00D17B85">
      <w:pPr>
        <w:spacing w:after="120"/>
        <w:jc w:val="both"/>
        <w:rPr>
          <w:rFonts w:ascii="Georgia" w:hAnsi="Georgia"/>
          <w:sz w:val="20"/>
          <w:szCs w:val="20"/>
          <w:lang w:val="lt-LT"/>
        </w:rPr>
      </w:pPr>
      <w:r w:rsidRPr="00C97275">
        <w:rPr>
          <w:rFonts w:ascii="Georgia" w:hAnsi="Georgia"/>
          <w:sz w:val="20"/>
          <w:szCs w:val="20"/>
          <w:lang w:val="lt-LT"/>
        </w:rPr>
        <w:t xml:space="preserve">Šiame ex-ante skyriuje išanalizuoti </w:t>
      </w:r>
      <w:r w:rsidR="00D17B85" w:rsidRPr="00C97275">
        <w:rPr>
          <w:rFonts w:ascii="Georgia" w:hAnsi="Georgia"/>
          <w:sz w:val="20"/>
          <w:szCs w:val="20"/>
          <w:lang w:val="lt-LT"/>
        </w:rPr>
        <w:t>du atvejai, koks yra siūlomų finansinių priemonių poveikis valstybės biudžeto deficitui ir valstybės skolai viešųjų pastatų ir gatvių apšvietimo modernizavimo atvejais:</w:t>
      </w:r>
    </w:p>
    <w:p w14:paraId="3AED7B13" w14:textId="77777777" w:rsidR="00D17B85" w:rsidRPr="00C97275" w:rsidRDefault="00995FCE" w:rsidP="00162BF5">
      <w:pPr>
        <w:pStyle w:val="Sraopastraipa"/>
        <w:numPr>
          <w:ilvl w:val="0"/>
          <w:numId w:val="51"/>
        </w:numPr>
        <w:jc w:val="both"/>
        <w:rPr>
          <w:rFonts w:ascii="Georgia" w:hAnsi="Georgia"/>
          <w:sz w:val="20"/>
          <w:szCs w:val="20"/>
          <w:lang w:val="lt-LT"/>
        </w:rPr>
      </w:pPr>
      <w:r w:rsidRPr="00C97275">
        <w:rPr>
          <w:rFonts w:ascii="Georgia" w:hAnsi="Georgia"/>
          <w:sz w:val="20"/>
          <w:szCs w:val="20"/>
          <w:lang w:val="lt-LT"/>
        </w:rPr>
        <w:t xml:space="preserve">finansinės priemonės; </w:t>
      </w:r>
    </w:p>
    <w:p w14:paraId="4397487E" w14:textId="77777777" w:rsidR="00995FCE" w:rsidRPr="00C97275" w:rsidRDefault="00995FCE" w:rsidP="00162BF5">
      <w:pPr>
        <w:pStyle w:val="Sraopastraipa"/>
        <w:numPr>
          <w:ilvl w:val="0"/>
          <w:numId w:val="51"/>
        </w:numPr>
        <w:jc w:val="both"/>
        <w:rPr>
          <w:rFonts w:ascii="Georgia" w:hAnsi="Georgia"/>
          <w:sz w:val="20"/>
          <w:szCs w:val="20"/>
          <w:lang w:val="lt-LT"/>
        </w:rPr>
      </w:pPr>
      <w:r w:rsidRPr="00C97275">
        <w:rPr>
          <w:rFonts w:ascii="Georgia" w:hAnsi="Georgia"/>
          <w:sz w:val="20"/>
          <w:szCs w:val="20"/>
          <w:lang w:val="lt-LT"/>
        </w:rPr>
        <w:t>ESCO modelis</w:t>
      </w:r>
      <w:r w:rsidR="00D17B85" w:rsidRPr="00C97275">
        <w:rPr>
          <w:rFonts w:ascii="Georgia" w:hAnsi="Georgia"/>
          <w:sz w:val="20"/>
          <w:szCs w:val="20"/>
          <w:lang w:val="lt-LT"/>
        </w:rPr>
        <w:t>.</w:t>
      </w:r>
    </w:p>
    <w:p w14:paraId="1DC4D348" w14:textId="77777777" w:rsidR="00D17B85" w:rsidRPr="00C97275" w:rsidRDefault="00D17B85" w:rsidP="00995FCE">
      <w:pPr>
        <w:jc w:val="both"/>
        <w:rPr>
          <w:rFonts w:ascii="Georgia" w:hAnsi="Georgia"/>
          <w:b/>
          <w:sz w:val="20"/>
          <w:szCs w:val="20"/>
          <w:lang w:val="lt-LT"/>
        </w:rPr>
      </w:pPr>
      <w:r w:rsidRPr="00C97275">
        <w:rPr>
          <w:rFonts w:ascii="Georgia" w:hAnsi="Georgia"/>
          <w:b/>
          <w:sz w:val="20"/>
          <w:szCs w:val="20"/>
          <w:lang w:val="lt-LT"/>
        </w:rPr>
        <w:t>Finansinės priemonės</w:t>
      </w:r>
    </w:p>
    <w:p w14:paraId="22EA2BE7" w14:textId="69041B17" w:rsidR="00995FCE" w:rsidRPr="00C97275" w:rsidRDefault="00D17B85" w:rsidP="00995FCE">
      <w:pPr>
        <w:jc w:val="both"/>
        <w:rPr>
          <w:rFonts w:ascii="Georgia" w:hAnsi="Georgia"/>
          <w:sz w:val="20"/>
          <w:szCs w:val="20"/>
          <w:lang w:val="lt-LT"/>
        </w:rPr>
      </w:pPr>
      <w:r w:rsidRPr="00C97275">
        <w:rPr>
          <w:rFonts w:ascii="Georgia" w:hAnsi="Georgia"/>
          <w:sz w:val="20"/>
          <w:szCs w:val="20"/>
          <w:lang w:val="lt-LT"/>
        </w:rPr>
        <w:lastRenderedPageBreak/>
        <w:t>T</w:t>
      </w:r>
      <w:r w:rsidR="00995FCE" w:rsidRPr="00C97275">
        <w:rPr>
          <w:rFonts w:ascii="Georgia" w:hAnsi="Georgia"/>
          <w:sz w:val="20"/>
          <w:szCs w:val="20"/>
          <w:lang w:val="lt-LT"/>
        </w:rPr>
        <w:t>arpininkaujant finansų įstaigoms fondų fonde esančios lėšos būtų skolinamos viešųjų pastatų valdytojams. Viešųjų pastatų valdytojų atžvilgiu pastatų atnaujinimo darbų finansavimo priemonė būtų aiškiai apibrėžta – paskola. Atitinkamai viešųjų pastatų valdytojai turėtų registruoti finansinį skolinį įsipareigojimą (finansinę skolą) apskaitoje. Statistinė valstybės skola irgi padidėtų paskolos dydžiu. Taigi nors viešųjų pastatų renovacijai skiriama didelė dalis ES</w:t>
      </w:r>
      <w:r w:rsidRPr="00C97275">
        <w:rPr>
          <w:rFonts w:ascii="Georgia" w:hAnsi="Georgia"/>
          <w:sz w:val="20"/>
          <w:szCs w:val="20"/>
          <w:lang w:val="lt-LT"/>
        </w:rPr>
        <w:t>I fondų</w:t>
      </w:r>
      <w:r w:rsidR="00995FCE" w:rsidRPr="00C97275">
        <w:rPr>
          <w:rFonts w:ascii="Georgia" w:hAnsi="Georgia"/>
          <w:sz w:val="20"/>
          <w:szCs w:val="20"/>
          <w:lang w:val="lt-LT"/>
        </w:rPr>
        <w:t xml:space="preserve"> lėšų valstybės skola vis tiek padidėtų viešųjų pastatų valdytojams skolinantis, nepaisant to, kad padidėtų ir valdžios sektoriaus turtas (ateityje – gautina-sugrįžusi suma iš fondo). Pažymėtina, kad, vadovaujantis L</w:t>
      </w:r>
      <w:r w:rsidR="000264DA" w:rsidRPr="00C97275">
        <w:rPr>
          <w:rFonts w:ascii="Georgia" w:hAnsi="Georgia"/>
          <w:sz w:val="20"/>
          <w:szCs w:val="20"/>
          <w:lang w:val="lt-LT"/>
        </w:rPr>
        <w:t xml:space="preserve">ietuvos </w:t>
      </w:r>
      <w:r w:rsidR="00995FCE" w:rsidRPr="00C97275">
        <w:rPr>
          <w:rFonts w:ascii="Georgia" w:hAnsi="Georgia"/>
          <w:sz w:val="20"/>
          <w:szCs w:val="20"/>
          <w:lang w:val="lt-LT"/>
        </w:rPr>
        <w:t>R</w:t>
      </w:r>
      <w:r w:rsidR="000264DA" w:rsidRPr="00C97275">
        <w:rPr>
          <w:rFonts w:ascii="Georgia" w:hAnsi="Georgia"/>
          <w:sz w:val="20"/>
          <w:szCs w:val="20"/>
          <w:lang w:val="lt-LT"/>
        </w:rPr>
        <w:t>espublikos</w:t>
      </w:r>
      <w:r w:rsidR="00995FCE" w:rsidRPr="00C97275">
        <w:rPr>
          <w:rFonts w:ascii="Georgia" w:hAnsi="Georgia"/>
          <w:sz w:val="20"/>
          <w:szCs w:val="20"/>
          <w:lang w:val="lt-LT"/>
        </w:rPr>
        <w:t xml:space="preserve"> biudžeto sandaros įstatymu, biudžetinės įstaigos savo vardu negali skolintis lėšų, prisiimti jokių skolinių įsipareigojimų (netaikoma viešosioms įstaigoms).</w:t>
      </w:r>
    </w:p>
    <w:p w14:paraId="0CA2FFFB" w14:textId="77777777" w:rsidR="00D17B85" w:rsidRPr="00C97275" w:rsidRDefault="00995FCE" w:rsidP="00995FCE">
      <w:pPr>
        <w:jc w:val="both"/>
        <w:rPr>
          <w:rFonts w:ascii="Georgia" w:hAnsi="Georgia"/>
          <w:sz w:val="20"/>
          <w:szCs w:val="20"/>
          <w:lang w:val="lt-LT"/>
        </w:rPr>
      </w:pPr>
      <w:r w:rsidRPr="00C97275">
        <w:rPr>
          <w:rFonts w:ascii="Georgia" w:hAnsi="Georgia"/>
          <w:i/>
          <w:sz w:val="20"/>
          <w:szCs w:val="20"/>
          <w:lang w:val="lt-LT"/>
        </w:rPr>
        <w:t>Įvertinta finansinių priemonių įtaka valdžios sektoriaus balansui (deficitui)</w:t>
      </w:r>
      <w:r w:rsidRPr="00C97275">
        <w:rPr>
          <w:rFonts w:ascii="Georgia" w:hAnsi="Georgia"/>
          <w:sz w:val="20"/>
          <w:szCs w:val="20"/>
          <w:lang w:val="lt-LT"/>
        </w:rPr>
        <w:t xml:space="preserve"> </w:t>
      </w:r>
    </w:p>
    <w:p w14:paraId="64430976" w14:textId="77777777" w:rsidR="00995FCE" w:rsidRPr="00C97275" w:rsidRDefault="00995FCE" w:rsidP="00995FCE">
      <w:pPr>
        <w:jc w:val="both"/>
        <w:rPr>
          <w:rFonts w:ascii="Georgia" w:hAnsi="Georgia"/>
          <w:sz w:val="20"/>
          <w:szCs w:val="20"/>
          <w:lang w:val="lt-LT"/>
        </w:rPr>
      </w:pPr>
      <w:r w:rsidRPr="00C97275">
        <w:rPr>
          <w:rFonts w:ascii="Georgia" w:hAnsi="Georgia"/>
          <w:sz w:val="20"/>
          <w:szCs w:val="20"/>
          <w:lang w:val="lt-LT"/>
        </w:rPr>
        <w:t xml:space="preserve">Viešųjų pastatų valdytojai, imdami paskolas </w:t>
      </w:r>
      <w:r w:rsidR="00EF6FC0" w:rsidRPr="00C97275">
        <w:rPr>
          <w:rFonts w:ascii="Georgia" w:hAnsi="Georgia"/>
          <w:sz w:val="20"/>
          <w:szCs w:val="20"/>
          <w:lang w:val="lt-LT"/>
        </w:rPr>
        <w:t>pastatų atnaujinimui</w:t>
      </w:r>
      <w:r w:rsidRPr="00C97275">
        <w:rPr>
          <w:rFonts w:ascii="Georgia" w:hAnsi="Georgia"/>
          <w:sz w:val="20"/>
          <w:szCs w:val="20"/>
          <w:lang w:val="lt-LT"/>
        </w:rPr>
        <w:t xml:space="preserve">, už paskolintas lėšas pirktų statybas ir susijusias paslaugas iš privačių subjektų. Pastatų </w:t>
      </w:r>
      <w:r w:rsidR="00EF6FC0" w:rsidRPr="00C97275">
        <w:rPr>
          <w:rFonts w:ascii="Georgia" w:hAnsi="Georgia"/>
          <w:sz w:val="20"/>
          <w:szCs w:val="20"/>
          <w:lang w:val="lt-LT"/>
        </w:rPr>
        <w:t>atnaujinimas</w:t>
      </w:r>
      <w:r w:rsidRPr="00C97275">
        <w:rPr>
          <w:rFonts w:ascii="Georgia" w:hAnsi="Georgia"/>
          <w:sz w:val="20"/>
          <w:szCs w:val="20"/>
          <w:lang w:val="lt-LT"/>
        </w:rPr>
        <w:t xml:space="preserve"> (pagerinimas) padidintų šių pastatų vertę. Finansinėje apskaitoje investicijų suma būtų pripažinta sąnaudomis dalimis per investicijos naudingo tarnavimo laiką (amortizuojant pastato vertės padidėjimą pamečiui). Rengiant statistinius duomenis visa suma būtų pripažinta sąnaudomis investavimo laikotarpiu ir didintų valdžios sektoriaus deficitą, nors didelė visos schemos finansavimo dalis šaltinio dalis ir yra ES</w:t>
      </w:r>
      <w:r w:rsidR="00EF6FC0" w:rsidRPr="00C97275">
        <w:rPr>
          <w:rFonts w:ascii="Georgia" w:hAnsi="Georgia"/>
          <w:sz w:val="20"/>
          <w:szCs w:val="20"/>
          <w:lang w:val="lt-LT"/>
        </w:rPr>
        <w:t>I fondų</w:t>
      </w:r>
      <w:r w:rsidRPr="00C97275">
        <w:rPr>
          <w:rFonts w:ascii="Georgia" w:hAnsi="Georgia"/>
          <w:sz w:val="20"/>
          <w:szCs w:val="20"/>
          <w:lang w:val="lt-LT"/>
        </w:rPr>
        <w:t xml:space="preserve"> lėšos, kurios, nesant sudėtingoms įsisavinimo schemoms ir, kai parama įsisavinama laikantis ES reglamentų nuostatų, yra neutralios valdžios sektoriaus deficitui (jo nedidina). Sudėtingesnė finansavimo schema (lyginant su tiesioginiu investavimu be tarpininkų) sąlygoja tai, kad sudėtingiau nustatyti, kuris investuotas į viešąjį pastatą piniginis vienetas yra iš ES</w:t>
      </w:r>
      <w:r w:rsidR="00EF6FC0" w:rsidRPr="00C97275">
        <w:rPr>
          <w:rFonts w:ascii="Georgia" w:hAnsi="Georgia"/>
          <w:sz w:val="20"/>
          <w:szCs w:val="20"/>
          <w:lang w:val="lt-LT"/>
        </w:rPr>
        <w:t>I fondų</w:t>
      </w:r>
      <w:r w:rsidRPr="00C97275">
        <w:rPr>
          <w:rFonts w:ascii="Georgia" w:hAnsi="Georgia"/>
          <w:sz w:val="20"/>
          <w:szCs w:val="20"/>
          <w:lang w:val="lt-LT"/>
        </w:rPr>
        <w:t xml:space="preserve"> lėšų, o kuris – ne. Siekiant, kad finansinių priemonių naudojimas </w:t>
      </w:r>
      <w:r w:rsidR="00EF6FC0" w:rsidRPr="00C97275">
        <w:rPr>
          <w:rFonts w:ascii="Georgia" w:hAnsi="Georgia"/>
          <w:sz w:val="20"/>
          <w:szCs w:val="20"/>
          <w:lang w:val="lt-LT"/>
        </w:rPr>
        <w:t>atnaujinant</w:t>
      </w:r>
      <w:r w:rsidRPr="00C97275">
        <w:rPr>
          <w:rFonts w:ascii="Georgia" w:hAnsi="Georgia"/>
          <w:sz w:val="20"/>
          <w:szCs w:val="20"/>
          <w:lang w:val="lt-LT"/>
        </w:rPr>
        <w:t xml:space="preserve"> viešuosius pastatus nedidintų paramos lėšų (kaip tai būtų taikant schemą, neapimančią privataus sektoriaus tarpininkų pritraukimo), nėra aišku, ar rengiant statistinius duomenis galima pripažinti valdžios sektoriaus pajamas, sumažinančias deficitą ir kuriuo laiku. </w:t>
      </w:r>
    </w:p>
    <w:p w14:paraId="7ACEE66E" w14:textId="77777777" w:rsidR="00EF6FC0" w:rsidRPr="00C97275" w:rsidRDefault="00995FCE" w:rsidP="00995FCE">
      <w:pPr>
        <w:jc w:val="both"/>
        <w:rPr>
          <w:rFonts w:ascii="Georgia" w:hAnsi="Georgia"/>
          <w:b/>
          <w:sz w:val="20"/>
          <w:szCs w:val="20"/>
          <w:lang w:val="lt-LT"/>
        </w:rPr>
      </w:pPr>
      <w:r w:rsidRPr="00C97275">
        <w:rPr>
          <w:rFonts w:ascii="Georgia" w:hAnsi="Georgia"/>
          <w:b/>
          <w:sz w:val="20"/>
          <w:szCs w:val="20"/>
          <w:lang w:val="lt-LT"/>
        </w:rPr>
        <w:t>ESCO modelis</w:t>
      </w:r>
    </w:p>
    <w:p w14:paraId="46826E9E" w14:textId="77777777" w:rsidR="00FA23FB" w:rsidRPr="00C97275" w:rsidRDefault="00EF6FC0" w:rsidP="00995FCE">
      <w:pPr>
        <w:jc w:val="both"/>
        <w:rPr>
          <w:rFonts w:ascii="Georgia" w:hAnsi="Georgia"/>
          <w:sz w:val="20"/>
          <w:szCs w:val="20"/>
          <w:lang w:val="lt-LT"/>
        </w:rPr>
      </w:pPr>
      <w:r w:rsidRPr="00C97275">
        <w:rPr>
          <w:rFonts w:ascii="Georgia" w:hAnsi="Georgia"/>
          <w:sz w:val="20"/>
          <w:szCs w:val="20"/>
          <w:lang w:val="lt-LT"/>
        </w:rPr>
        <w:t>T</w:t>
      </w:r>
      <w:r w:rsidR="00995FCE" w:rsidRPr="00C97275">
        <w:rPr>
          <w:rFonts w:ascii="Georgia" w:hAnsi="Georgia"/>
          <w:sz w:val="20"/>
          <w:szCs w:val="20"/>
          <w:lang w:val="lt-LT"/>
        </w:rPr>
        <w:t xml:space="preserve">arpininkaujant finansų įstaigoms fondų fonde esančios lėšos būtų skolinamos privataus sektoriaus įmonei – ESCO, kuri investuotų į viešuosius pastatus, galimai prisidėdama savo lėšomis. Tarp ESCO ir viešųjų pastatų valdytojo būtų pasirašyta </w:t>
      </w:r>
      <w:r w:rsidRPr="00C97275">
        <w:rPr>
          <w:rFonts w:ascii="Georgia" w:hAnsi="Georgia"/>
          <w:sz w:val="20"/>
          <w:szCs w:val="20"/>
          <w:lang w:val="lt-LT"/>
        </w:rPr>
        <w:t xml:space="preserve">energetinių </w:t>
      </w:r>
      <w:r w:rsidR="00995FCE" w:rsidRPr="00C97275">
        <w:rPr>
          <w:rFonts w:ascii="Georgia" w:hAnsi="Georgia"/>
          <w:sz w:val="20"/>
          <w:szCs w:val="20"/>
          <w:lang w:val="lt-LT"/>
        </w:rPr>
        <w:t xml:space="preserve">paslaugų teikimo sutartis. </w:t>
      </w:r>
    </w:p>
    <w:p w14:paraId="0362CA39" w14:textId="21F5D166" w:rsidR="007B20D7" w:rsidRPr="00C97275" w:rsidRDefault="002401E8" w:rsidP="00995FCE">
      <w:pPr>
        <w:jc w:val="both"/>
        <w:rPr>
          <w:rFonts w:ascii="Georgia" w:hAnsi="Georgia"/>
          <w:sz w:val="20"/>
          <w:szCs w:val="20"/>
          <w:lang w:val="lt-LT"/>
        </w:rPr>
      </w:pPr>
      <w:r w:rsidRPr="00C97275">
        <w:rPr>
          <w:rFonts w:ascii="Georgia" w:hAnsi="Georgia"/>
          <w:sz w:val="20"/>
          <w:szCs w:val="20"/>
          <w:lang w:val="lt-LT"/>
        </w:rPr>
        <w:t xml:space="preserve">Dažniausiai energijos vartojimo efektyvumo sutartyse </w:t>
      </w:r>
      <w:r w:rsidR="002B1E77" w:rsidRPr="00C97275">
        <w:rPr>
          <w:rFonts w:ascii="Georgia" w:hAnsi="Georgia"/>
          <w:sz w:val="20"/>
          <w:szCs w:val="20"/>
          <w:lang w:val="lt-LT"/>
        </w:rPr>
        <w:t>tuo pačiu metu galima rasti</w:t>
      </w:r>
      <w:r w:rsidRPr="00C97275">
        <w:rPr>
          <w:rFonts w:ascii="Georgia" w:hAnsi="Georgia"/>
          <w:sz w:val="20"/>
          <w:szCs w:val="20"/>
          <w:lang w:val="lt-LT"/>
        </w:rPr>
        <w:t xml:space="preserve"> nuomos, paslaug</w:t>
      </w:r>
      <w:r w:rsidR="002B1E77" w:rsidRPr="00C97275">
        <w:rPr>
          <w:rFonts w:ascii="Georgia" w:hAnsi="Georgia"/>
          <w:sz w:val="20"/>
          <w:szCs w:val="20"/>
          <w:lang w:val="lt-LT"/>
        </w:rPr>
        <w:t>ų, lizingo, pirkimo ir paskolos sutarties elementų, kas smarkiai apsunkina tokių sutarčių tinkamą apskaitą</w:t>
      </w:r>
      <w:r w:rsidR="006D4450" w:rsidRPr="00C97275">
        <w:rPr>
          <w:rFonts w:ascii="Georgia" w:hAnsi="Georgia"/>
          <w:sz w:val="20"/>
          <w:szCs w:val="20"/>
          <w:lang w:val="lt-LT"/>
        </w:rPr>
        <w:t xml:space="preserve">. </w:t>
      </w:r>
      <w:r w:rsidR="00C06C7A" w:rsidRPr="00C97275">
        <w:rPr>
          <w:rFonts w:ascii="Georgia" w:hAnsi="Georgia"/>
          <w:sz w:val="20"/>
          <w:szCs w:val="20"/>
          <w:lang w:val="lt-LT"/>
        </w:rPr>
        <w:t>Specialistai kvestionavo ar anksčiau pateiktas aiškinimas kaip apskaityti tokio tipo sutartis yra tinkamas. Taip pat</w:t>
      </w:r>
      <w:r w:rsidR="006D4450" w:rsidRPr="00C97275">
        <w:rPr>
          <w:rFonts w:ascii="Georgia" w:hAnsi="Georgia"/>
          <w:sz w:val="20"/>
          <w:szCs w:val="20"/>
          <w:lang w:val="lt-LT"/>
        </w:rPr>
        <w:t xml:space="preserve"> atsižvelg</w:t>
      </w:r>
      <w:r w:rsidR="00C06C7A" w:rsidRPr="00C97275">
        <w:rPr>
          <w:rFonts w:ascii="Georgia" w:hAnsi="Georgia"/>
          <w:sz w:val="20"/>
          <w:szCs w:val="20"/>
          <w:lang w:val="lt-LT"/>
        </w:rPr>
        <w:t>us</w:t>
      </w:r>
      <w:r w:rsidR="006D4450" w:rsidRPr="00C97275">
        <w:rPr>
          <w:rFonts w:ascii="Georgia" w:hAnsi="Georgia"/>
          <w:sz w:val="20"/>
          <w:szCs w:val="20"/>
          <w:lang w:val="lt-LT"/>
        </w:rPr>
        <w:t xml:space="preserve"> į </w:t>
      </w:r>
      <w:r w:rsidR="00C06C7A" w:rsidRPr="00C97275">
        <w:rPr>
          <w:rFonts w:ascii="Georgia" w:hAnsi="Georgia"/>
          <w:sz w:val="20"/>
          <w:szCs w:val="20"/>
          <w:lang w:val="lt-LT"/>
        </w:rPr>
        <w:t>besikeičiančius</w:t>
      </w:r>
      <w:r w:rsidR="006D4450" w:rsidRPr="00C97275">
        <w:rPr>
          <w:rFonts w:ascii="Georgia" w:hAnsi="Georgia"/>
          <w:sz w:val="20"/>
          <w:szCs w:val="20"/>
          <w:lang w:val="lt-LT"/>
        </w:rPr>
        <w:t xml:space="preserve"> sutarties sudarymo ypatumus energijos vartojimo efektyvumo sutartyse</w:t>
      </w:r>
      <w:r w:rsidR="00C06C7A" w:rsidRPr="00C97275">
        <w:rPr>
          <w:rFonts w:ascii="Georgia" w:hAnsi="Georgia"/>
          <w:sz w:val="20"/>
          <w:szCs w:val="20"/>
          <w:lang w:val="lt-LT"/>
        </w:rPr>
        <w:t xml:space="preserve">, </w:t>
      </w:r>
      <w:r w:rsidR="00826466" w:rsidRPr="00C97275">
        <w:rPr>
          <w:rFonts w:ascii="Georgia" w:hAnsi="Georgia"/>
          <w:sz w:val="20"/>
          <w:szCs w:val="20"/>
          <w:lang w:val="lt-LT"/>
        </w:rPr>
        <w:t xml:space="preserve">EUROSTAT </w:t>
      </w:r>
      <w:r w:rsidR="00C06C7A" w:rsidRPr="00C97275">
        <w:rPr>
          <w:rFonts w:ascii="Georgia" w:hAnsi="Georgia"/>
          <w:sz w:val="20"/>
          <w:szCs w:val="20"/>
          <w:lang w:val="lt-LT"/>
        </w:rPr>
        <w:t>išleido nauj</w:t>
      </w:r>
      <w:r w:rsidR="00E930BB" w:rsidRPr="00C97275">
        <w:rPr>
          <w:rFonts w:ascii="Georgia" w:hAnsi="Georgia"/>
          <w:sz w:val="20"/>
          <w:szCs w:val="20"/>
          <w:lang w:val="lt-LT"/>
        </w:rPr>
        <w:t>ą paaiškinimą</w:t>
      </w:r>
      <w:r w:rsidR="00C06C7A" w:rsidRPr="00C97275">
        <w:rPr>
          <w:rFonts w:ascii="Georgia" w:hAnsi="Georgia"/>
          <w:sz w:val="20"/>
          <w:szCs w:val="20"/>
          <w:lang w:val="lt-LT"/>
        </w:rPr>
        <w:t xml:space="preserve"> dėl tokio tipo sutarčių apskaitos</w:t>
      </w:r>
      <w:r w:rsidR="00E930BB" w:rsidRPr="00C97275">
        <w:rPr>
          <w:rStyle w:val="Puslapioinaosnuoroda"/>
          <w:rFonts w:ascii="Georgia" w:hAnsi="Georgia"/>
          <w:sz w:val="20"/>
          <w:szCs w:val="20"/>
          <w:lang w:val="lt-LT"/>
        </w:rPr>
        <w:footnoteReference w:id="130"/>
      </w:r>
      <w:r w:rsidR="00C06C7A" w:rsidRPr="00C97275">
        <w:rPr>
          <w:rFonts w:ascii="Georgia" w:hAnsi="Georgia"/>
          <w:sz w:val="20"/>
          <w:szCs w:val="20"/>
          <w:lang w:val="lt-LT"/>
        </w:rPr>
        <w:t>.</w:t>
      </w:r>
      <w:r w:rsidR="00E930BB" w:rsidRPr="00C97275">
        <w:rPr>
          <w:rFonts w:ascii="Georgia" w:hAnsi="Georgia"/>
          <w:sz w:val="20"/>
          <w:szCs w:val="20"/>
          <w:lang w:val="lt-LT"/>
        </w:rPr>
        <w:t xml:space="preserve"> Šis aiškinimas taikomas tik tokiom</w:t>
      </w:r>
      <w:r w:rsidR="007B20D7" w:rsidRPr="00C97275">
        <w:rPr>
          <w:rFonts w:ascii="Georgia" w:hAnsi="Georgia"/>
          <w:sz w:val="20"/>
          <w:szCs w:val="20"/>
          <w:lang w:val="lt-LT"/>
        </w:rPr>
        <w:t>s</w:t>
      </w:r>
      <w:r w:rsidR="00E930BB" w:rsidRPr="00C97275">
        <w:rPr>
          <w:rFonts w:ascii="Georgia" w:hAnsi="Georgia"/>
          <w:sz w:val="20"/>
          <w:szCs w:val="20"/>
          <w:lang w:val="lt-LT"/>
        </w:rPr>
        <w:t xml:space="preserve"> energijos vartojimo efektyvumo sutartims, kurios reikalauja pradinių kapitalinių investicijų siekiant pagerinti pastato energijos efektyvumo ypatybes</w:t>
      </w:r>
      <w:r w:rsidR="007B20D7" w:rsidRPr="00C97275">
        <w:rPr>
          <w:rFonts w:ascii="Georgia" w:hAnsi="Georgia"/>
          <w:sz w:val="20"/>
          <w:szCs w:val="20"/>
          <w:lang w:val="lt-LT"/>
        </w:rPr>
        <w:t>.</w:t>
      </w:r>
    </w:p>
    <w:p w14:paraId="4B19FEEB" w14:textId="08F0408C" w:rsidR="002401E8" w:rsidRPr="00C97275" w:rsidRDefault="007B20D7" w:rsidP="00995FCE">
      <w:pPr>
        <w:jc w:val="both"/>
        <w:rPr>
          <w:rFonts w:ascii="Georgia" w:hAnsi="Georgia"/>
          <w:sz w:val="20"/>
          <w:szCs w:val="20"/>
          <w:lang w:val="lt-LT"/>
        </w:rPr>
      </w:pPr>
      <w:r w:rsidRPr="00C97275">
        <w:rPr>
          <w:rFonts w:ascii="Georgia" w:hAnsi="Georgia"/>
          <w:sz w:val="20"/>
          <w:szCs w:val="20"/>
          <w:lang w:val="lt-LT"/>
        </w:rPr>
        <w:t xml:space="preserve">Šiame aiškinime pirmiausiai argumentuojama, jog </w:t>
      </w:r>
      <w:r w:rsidR="002359C1" w:rsidRPr="00C97275">
        <w:rPr>
          <w:rFonts w:ascii="Georgia" w:hAnsi="Georgia"/>
          <w:sz w:val="20"/>
          <w:szCs w:val="20"/>
          <w:lang w:val="lt-LT"/>
        </w:rPr>
        <w:t xml:space="preserve">pasirašius energijos vartojimo efektyvumo sutartį su pastato administratoriumi, </w:t>
      </w:r>
      <w:r w:rsidR="00830E36" w:rsidRPr="00C97275">
        <w:rPr>
          <w:rFonts w:ascii="Georgia" w:hAnsi="Georgia"/>
          <w:sz w:val="20"/>
          <w:szCs w:val="20"/>
          <w:lang w:val="lt-LT"/>
        </w:rPr>
        <w:t xml:space="preserve">ESCO </w:t>
      </w:r>
      <w:r w:rsidR="002359C1" w:rsidRPr="00C97275">
        <w:rPr>
          <w:rFonts w:ascii="Georgia" w:hAnsi="Georgia"/>
          <w:sz w:val="20"/>
          <w:szCs w:val="20"/>
          <w:lang w:val="lt-LT"/>
        </w:rPr>
        <w:t xml:space="preserve">įgyvendiną pradinę </w:t>
      </w:r>
      <w:r w:rsidR="00830E36" w:rsidRPr="00C97275">
        <w:rPr>
          <w:rFonts w:ascii="Georgia" w:hAnsi="Georgia"/>
          <w:sz w:val="20"/>
          <w:szCs w:val="20"/>
          <w:lang w:val="lt-LT"/>
        </w:rPr>
        <w:t>kapitalinę investiciją (</w:t>
      </w:r>
      <w:r w:rsidR="002359C1" w:rsidRPr="00C97275">
        <w:rPr>
          <w:rFonts w:ascii="Georgia" w:hAnsi="Georgia"/>
          <w:sz w:val="20"/>
          <w:szCs w:val="20"/>
          <w:lang w:val="lt-LT"/>
        </w:rPr>
        <w:t xml:space="preserve">pvz. pastato </w:t>
      </w:r>
      <w:r w:rsidR="00830E36" w:rsidRPr="00C97275">
        <w:rPr>
          <w:rFonts w:ascii="Georgia" w:hAnsi="Georgia"/>
          <w:sz w:val="20"/>
          <w:szCs w:val="20"/>
          <w:lang w:val="lt-LT"/>
        </w:rPr>
        <w:t>apšvietimas, šildymas, vėsinimas, oro kondicionavimas</w:t>
      </w:r>
      <w:r w:rsidR="002359C1" w:rsidRPr="00C97275">
        <w:rPr>
          <w:rFonts w:ascii="Georgia" w:hAnsi="Georgia"/>
          <w:sz w:val="20"/>
          <w:szCs w:val="20"/>
          <w:lang w:val="lt-LT"/>
        </w:rPr>
        <w:t>, katilai, stogas, sienos, langai ir kt.</w:t>
      </w:r>
      <w:r w:rsidR="00830E36" w:rsidRPr="00C97275">
        <w:rPr>
          <w:rFonts w:ascii="Georgia" w:hAnsi="Georgia"/>
          <w:sz w:val="20"/>
          <w:szCs w:val="20"/>
          <w:lang w:val="lt-LT"/>
        </w:rPr>
        <w:t>)</w:t>
      </w:r>
      <w:r w:rsidR="002359C1" w:rsidRPr="00C97275">
        <w:rPr>
          <w:rFonts w:ascii="Georgia" w:hAnsi="Georgia"/>
          <w:sz w:val="20"/>
          <w:szCs w:val="20"/>
          <w:lang w:val="lt-LT"/>
        </w:rPr>
        <w:t xml:space="preserve">. </w:t>
      </w:r>
      <w:r w:rsidR="008D1D67" w:rsidRPr="00C97275">
        <w:rPr>
          <w:rFonts w:ascii="Georgia" w:hAnsi="Georgia"/>
          <w:sz w:val="20"/>
          <w:szCs w:val="20"/>
          <w:lang w:val="lt-LT"/>
        </w:rPr>
        <w:t xml:space="preserve">Tuo tarpu ESCO apmokėjimas yra nustatomas pagal energijos sutaupymus pasiektus atlikus investiciją, o kapitalinės investicijos atperkamos prie visą sutarties laikotarpį. Jei laukiami sutaupymai nebuvo pasiekti, ESCO įmonė turi padengti skirtumą. </w:t>
      </w:r>
      <w:r w:rsidR="001B49BA" w:rsidRPr="00C97275">
        <w:rPr>
          <w:rFonts w:ascii="Georgia" w:hAnsi="Georgia"/>
          <w:sz w:val="20"/>
          <w:szCs w:val="20"/>
          <w:lang w:val="lt-LT"/>
        </w:rPr>
        <w:t>Tad kyla klausimas, kuriose nacionalinėse sąskaitose turėtų būti apskaityti šie nauji prietaisai ir įranga ir kokią reikšmę tai turės grynajai skolai.</w:t>
      </w:r>
    </w:p>
    <w:p w14:paraId="6C116AD9" w14:textId="73B76673" w:rsidR="00C450C0" w:rsidRPr="00C97275" w:rsidRDefault="005E190C" w:rsidP="00995FCE">
      <w:pPr>
        <w:jc w:val="both"/>
        <w:rPr>
          <w:rFonts w:ascii="Georgia" w:hAnsi="Georgia"/>
          <w:sz w:val="20"/>
          <w:szCs w:val="20"/>
          <w:lang w:val="lt-LT"/>
        </w:rPr>
      </w:pPr>
      <w:r w:rsidRPr="00C97275">
        <w:rPr>
          <w:rFonts w:ascii="Georgia" w:hAnsi="Georgia"/>
          <w:sz w:val="20"/>
          <w:szCs w:val="20"/>
          <w:lang w:val="lt-LT"/>
        </w:rPr>
        <w:t xml:space="preserve">Atsižvelgus į skirtingus argumentus, EK konstatuoja, jog iš tikrųjų ESCO patiria didžiausią riziką ir gauna didžiausią su ja susijusią naudą naudojant šį naujai sukurtą turtą, todėl </w:t>
      </w:r>
      <w:r w:rsidR="00565333" w:rsidRPr="00C97275">
        <w:rPr>
          <w:rFonts w:ascii="Georgia" w:hAnsi="Georgia"/>
          <w:sz w:val="20"/>
          <w:szCs w:val="20"/>
          <w:lang w:val="lt-LT"/>
        </w:rPr>
        <w:t xml:space="preserve">turto ekonominė </w:t>
      </w:r>
      <w:r w:rsidR="00565333" w:rsidRPr="00C97275">
        <w:rPr>
          <w:rFonts w:ascii="Georgia" w:hAnsi="Georgia"/>
          <w:sz w:val="20"/>
          <w:szCs w:val="20"/>
          <w:lang w:val="lt-LT"/>
        </w:rPr>
        <w:lastRenderedPageBreak/>
        <w:t>nuosavybė turėtų būti priskiriama ESCO.</w:t>
      </w:r>
      <w:r w:rsidRPr="00C97275">
        <w:rPr>
          <w:rFonts w:ascii="Georgia" w:hAnsi="Georgia"/>
          <w:sz w:val="20"/>
          <w:szCs w:val="20"/>
          <w:lang w:val="lt-LT"/>
        </w:rPr>
        <w:t xml:space="preserve"> </w:t>
      </w:r>
      <w:r w:rsidR="00565333" w:rsidRPr="00C97275">
        <w:rPr>
          <w:rFonts w:ascii="Georgia" w:hAnsi="Georgia"/>
          <w:sz w:val="20"/>
          <w:szCs w:val="20"/>
          <w:lang w:val="lt-LT"/>
        </w:rPr>
        <w:t>E</w:t>
      </w:r>
      <w:r w:rsidR="00DF52F4" w:rsidRPr="00C97275">
        <w:rPr>
          <w:rFonts w:ascii="Georgia" w:hAnsi="Georgia"/>
          <w:sz w:val="20"/>
          <w:szCs w:val="20"/>
          <w:lang w:val="lt-LT"/>
        </w:rPr>
        <w:t>nergijos vartojimo efektyvumo sutartys sudarytos tarp ESCO ir pastatų administratorių gali būti apskaitomos dviem būdais:</w:t>
      </w:r>
    </w:p>
    <w:p w14:paraId="44ED9855" w14:textId="05B5D4BC" w:rsidR="00DF52F4" w:rsidRPr="00C97275" w:rsidRDefault="00BE35D7" w:rsidP="00162BF5">
      <w:pPr>
        <w:pStyle w:val="Sraopastraipa"/>
        <w:numPr>
          <w:ilvl w:val="0"/>
          <w:numId w:val="80"/>
        </w:numPr>
        <w:rPr>
          <w:rFonts w:ascii="Georgia" w:hAnsi="Georgia"/>
          <w:sz w:val="20"/>
          <w:szCs w:val="20"/>
          <w:lang w:val="lt-LT"/>
        </w:rPr>
      </w:pPr>
      <w:r w:rsidRPr="00C97275">
        <w:rPr>
          <w:rFonts w:ascii="Georgia" w:hAnsi="Georgia"/>
          <w:sz w:val="20"/>
          <w:szCs w:val="20"/>
          <w:lang w:val="lt-LT"/>
        </w:rPr>
        <w:t xml:space="preserve">Veiklos nuoma. </w:t>
      </w:r>
      <w:r w:rsidR="00565333" w:rsidRPr="00C97275">
        <w:rPr>
          <w:rFonts w:ascii="Georgia" w:hAnsi="Georgia"/>
          <w:sz w:val="20"/>
          <w:szCs w:val="20"/>
          <w:lang w:val="lt-LT"/>
        </w:rPr>
        <w:t>Šis metodas gali būt</w:t>
      </w:r>
      <w:r w:rsidR="00EE7885" w:rsidRPr="00C97275">
        <w:rPr>
          <w:rFonts w:ascii="Georgia" w:hAnsi="Georgia"/>
          <w:sz w:val="20"/>
          <w:szCs w:val="20"/>
          <w:lang w:val="lt-LT"/>
        </w:rPr>
        <w:t xml:space="preserve">i naudojamas kai turto ekonominė nuosavybė priklauso ESCO ir taikoma kilnojamam bei nekilnojamam turtui. </w:t>
      </w:r>
      <w:r w:rsidR="00323252" w:rsidRPr="00C97275">
        <w:rPr>
          <w:rFonts w:ascii="Georgia" w:hAnsi="Georgia"/>
          <w:sz w:val="20"/>
          <w:szCs w:val="20"/>
          <w:lang w:val="lt-LT"/>
        </w:rPr>
        <w:t xml:space="preserve">Tokiu atveju </w:t>
      </w:r>
      <w:r w:rsidR="00EE7885" w:rsidRPr="00C97275">
        <w:rPr>
          <w:rFonts w:ascii="Georgia" w:hAnsi="Georgia"/>
          <w:sz w:val="20"/>
          <w:szCs w:val="20"/>
          <w:lang w:val="lt-LT"/>
        </w:rPr>
        <w:t xml:space="preserve">apskaitoje </w:t>
      </w:r>
      <w:r w:rsidR="00323252" w:rsidRPr="00C97275">
        <w:rPr>
          <w:rFonts w:ascii="Georgia" w:hAnsi="Georgia"/>
          <w:sz w:val="20"/>
          <w:szCs w:val="20"/>
          <w:lang w:val="lt-LT"/>
        </w:rPr>
        <w:t>pažymimi tik valstybės</w:t>
      </w:r>
      <w:r w:rsidR="00987400" w:rsidRPr="00C97275">
        <w:rPr>
          <w:rFonts w:ascii="Georgia" w:hAnsi="Georgia"/>
          <w:sz w:val="20"/>
          <w:szCs w:val="20"/>
          <w:lang w:val="lt-LT"/>
        </w:rPr>
        <w:t>/savivaldybės</w:t>
      </w:r>
      <w:r w:rsidR="00EE7885" w:rsidRPr="00C97275">
        <w:rPr>
          <w:rFonts w:ascii="Georgia" w:hAnsi="Georgia"/>
          <w:sz w:val="20"/>
          <w:szCs w:val="20"/>
          <w:lang w:val="lt-LT"/>
        </w:rPr>
        <w:t xml:space="preserve"> </w:t>
      </w:r>
      <w:r w:rsidR="00323252" w:rsidRPr="00C97275">
        <w:rPr>
          <w:rFonts w:ascii="Georgia" w:hAnsi="Georgia"/>
          <w:sz w:val="20"/>
          <w:szCs w:val="20"/>
          <w:lang w:val="lt-LT"/>
        </w:rPr>
        <w:t xml:space="preserve">atliekami </w:t>
      </w:r>
      <w:r w:rsidR="00EE7885" w:rsidRPr="00C97275">
        <w:rPr>
          <w:rFonts w:ascii="Georgia" w:hAnsi="Georgia"/>
          <w:sz w:val="20"/>
          <w:szCs w:val="20"/>
          <w:lang w:val="lt-LT"/>
        </w:rPr>
        <w:t>nuomos mokėjimai</w:t>
      </w:r>
      <w:r w:rsidR="00664EBB" w:rsidRPr="00C97275">
        <w:rPr>
          <w:rFonts w:ascii="Georgia" w:hAnsi="Georgia"/>
          <w:sz w:val="20"/>
          <w:szCs w:val="20"/>
          <w:lang w:val="lt-LT"/>
        </w:rPr>
        <w:t>, kurie</w:t>
      </w:r>
      <w:r w:rsidR="00323252" w:rsidRPr="00C97275">
        <w:rPr>
          <w:rFonts w:ascii="Georgia" w:hAnsi="Georgia"/>
          <w:sz w:val="20"/>
          <w:szCs w:val="20"/>
          <w:lang w:val="lt-LT"/>
        </w:rPr>
        <w:t xml:space="preserve"> įtakoja valstybės</w:t>
      </w:r>
      <w:r w:rsidR="00987400" w:rsidRPr="00C97275">
        <w:rPr>
          <w:rFonts w:ascii="Georgia" w:hAnsi="Georgia"/>
          <w:sz w:val="20"/>
          <w:szCs w:val="20"/>
          <w:lang w:val="lt-LT"/>
        </w:rPr>
        <w:t>/savivaldybės</w:t>
      </w:r>
      <w:r w:rsidR="00323252" w:rsidRPr="00C97275">
        <w:rPr>
          <w:rFonts w:ascii="Georgia" w:hAnsi="Georgia"/>
          <w:sz w:val="20"/>
          <w:szCs w:val="20"/>
          <w:lang w:val="lt-LT"/>
        </w:rPr>
        <w:t xml:space="preserve"> </w:t>
      </w:r>
      <w:r w:rsidR="00664EBB" w:rsidRPr="00C97275">
        <w:rPr>
          <w:rFonts w:ascii="Georgia" w:hAnsi="Georgia"/>
          <w:sz w:val="20"/>
          <w:szCs w:val="20"/>
          <w:lang w:val="lt-LT"/>
        </w:rPr>
        <w:t>biudžetą</w:t>
      </w:r>
      <w:r w:rsidR="00323252" w:rsidRPr="00C97275">
        <w:rPr>
          <w:rFonts w:ascii="Georgia" w:hAnsi="Georgia"/>
          <w:sz w:val="20"/>
          <w:szCs w:val="20"/>
          <w:lang w:val="lt-LT"/>
        </w:rPr>
        <w:t xml:space="preserve">. </w:t>
      </w:r>
    </w:p>
    <w:p w14:paraId="7139AC73" w14:textId="6CA323AD" w:rsidR="00BE35D7" w:rsidRPr="00C97275" w:rsidRDefault="00BE35D7" w:rsidP="00162BF5">
      <w:pPr>
        <w:pStyle w:val="Sraopastraipa"/>
        <w:numPr>
          <w:ilvl w:val="0"/>
          <w:numId w:val="80"/>
        </w:numPr>
        <w:jc w:val="both"/>
        <w:rPr>
          <w:rFonts w:ascii="Georgia" w:hAnsi="Georgia"/>
          <w:sz w:val="20"/>
          <w:szCs w:val="20"/>
          <w:lang w:val="lt-LT"/>
        </w:rPr>
      </w:pPr>
      <w:r w:rsidRPr="00C97275">
        <w:rPr>
          <w:rFonts w:ascii="Georgia" w:hAnsi="Georgia"/>
          <w:sz w:val="20"/>
          <w:szCs w:val="20"/>
          <w:lang w:val="lt-LT"/>
        </w:rPr>
        <w:t xml:space="preserve">Pirkimas ir atgalinė nuoma. </w:t>
      </w:r>
      <w:r w:rsidR="00CF0178" w:rsidRPr="00C97275">
        <w:rPr>
          <w:rFonts w:ascii="Georgia" w:hAnsi="Georgia"/>
          <w:sz w:val="20"/>
          <w:szCs w:val="20"/>
          <w:lang w:val="lt-LT"/>
        </w:rPr>
        <w:t>Šiuo metodu val</w:t>
      </w:r>
      <w:r w:rsidR="00C26C41" w:rsidRPr="00C97275">
        <w:rPr>
          <w:rFonts w:ascii="Georgia" w:hAnsi="Georgia"/>
          <w:sz w:val="20"/>
          <w:szCs w:val="20"/>
          <w:lang w:val="lt-LT"/>
        </w:rPr>
        <w:t>stybė</w:t>
      </w:r>
      <w:r w:rsidR="003C69AC" w:rsidRPr="00C97275">
        <w:rPr>
          <w:rFonts w:ascii="Georgia" w:hAnsi="Georgia"/>
          <w:sz w:val="20"/>
          <w:szCs w:val="20"/>
          <w:lang w:val="lt-LT"/>
        </w:rPr>
        <w:t>/savivaldybė</w:t>
      </w:r>
      <w:r w:rsidR="00CF0178" w:rsidRPr="00C97275">
        <w:rPr>
          <w:rFonts w:ascii="Georgia" w:hAnsi="Georgia"/>
          <w:sz w:val="20"/>
          <w:szCs w:val="20"/>
          <w:lang w:val="lt-LT"/>
        </w:rPr>
        <w:t xml:space="preserve"> perka turtą iš ESCO sutarties pradžioje ir įgyja teisinę turto nuosavybę. </w:t>
      </w:r>
      <w:r w:rsidR="00126646" w:rsidRPr="00C97275">
        <w:rPr>
          <w:rFonts w:ascii="Georgia" w:hAnsi="Georgia"/>
          <w:sz w:val="20"/>
          <w:szCs w:val="20"/>
          <w:lang w:val="lt-LT"/>
        </w:rPr>
        <w:t xml:space="preserve">Perkant turtą yra didinamas turtas ir ekvivalenčiai įsipareigojimai (kaip paskola). </w:t>
      </w:r>
      <w:r w:rsidR="00CF0178" w:rsidRPr="00C97275">
        <w:rPr>
          <w:rFonts w:ascii="Georgia" w:hAnsi="Georgia"/>
          <w:sz w:val="20"/>
          <w:szCs w:val="20"/>
          <w:lang w:val="lt-LT"/>
        </w:rPr>
        <w:t xml:space="preserve">Tuo pačiu metu </w:t>
      </w:r>
      <w:r w:rsidR="007E4CD3" w:rsidRPr="00C97275">
        <w:rPr>
          <w:rFonts w:ascii="Georgia" w:hAnsi="Georgia"/>
          <w:sz w:val="20"/>
          <w:szCs w:val="20"/>
          <w:lang w:val="lt-LT"/>
        </w:rPr>
        <w:t>ESCO pasirašo finansinio lizingo sutartį su valdžia, kapitalizuodama turtą, kuris irgi finansuojamas įsipareigojimu.</w:t>
      </w:r>
      <w:r w:rsidR="00126646" w:rsidRPr="00C97275">
        <w:rPr>
          <w:rFonts w:ascii="Georgia" w:hAnsi="Georgia"/>
          <w:sz w:val="20"/>
          <w:szCs w:val="20"/>
          <w:lang w:val="lt-LT"/>
        </w:rPr>
        <w:t xml:space="preserve"> V</w:t>
      </w:r>
      <w:r w:rsidR="00C26C41" w:rsidRPr="00C97275">
        <w:rPr>
          <w:rFonts w:ascii="Georgia" w:hAnsi="Georgia"/>
          <w:sz w:val="20"/>
          <w:szCs w:val="20"/>
          <w:lang w:val="lt-LT"/>
        </w:rPr>
        <w:t>alstybė</w:t>
      </w:r>
      <w:r w:rsidR="003C69AC" w:rsidRPr="00C97275">
        <w:rPr>
          <w:rFonts w:ascii="Georgia" w:hAnsi="Georgia"/>
          <w:sz w:val="20"/>
          <w:szCs w:val="20"/>
          <w:lang w:val="lt-LT"/>
        </w:rPr>
        <w:t>/savivaldybė</w:t>
      </w:r>
      <w:r w:rsidR="00126646" w:rsidRPr="00C97275">
        <w:rPr>
          <w:rFonts w:ascii="Georgia" w:hAnsi="Georgia"/>
          <w:sz w:val="20"/>
          <w:szCs w:val="20"/>
          <w:lang w:val="lt-LT"/>
        </w:rPr>
        <w:t xml:space="preserve"> šiame sandoryje </w:t>
      </w:r>
      <w:r w:rsidR="00664EBB" w:rsidRPr="00C97275">
        <w:rPr>
          <w:rFonts w:ascii="Georgia" w:hAnsi="Georgia"/>
          <w:sz w:val="20"/>
          <w:szCs w:val="20"/>
          <w:lang w:val="lt-LT"/>
        </w:rPr>
        <w:t>gauna finansinį turtą (lizingo sutartį), kurį gali sudengti su turima paskola. Tokiu būdu val</w:t>
      </w:r>
      <w:r w:rsidR="00C26C41" w:rsidRPr="00C97275">
        <w:rPr>
          <w:rFonts w:ascii="Georgia" w:hAnsi="Georgia"/>
          <w:sz w:val="20"/>
          <w:szCs w:val="20"/>
          <w:lang w:val="lt-LT"/>
        </w:rPr>
        <w:t>stybės</w:t>
      </w:r>
      <w:r w:rsidR="003C69AC" w:rsidRPr="00C97275">
        <w:rPr>
          <w:rFonts w:ascii="Georgia" w:hAnsi="Georgia"/>
          <w:sz w:val="20"/>
          <w:szCs w:val="20"/>
          <w:lang w:val="lt-LT"/>
        </w:rPr>
        <w:t>/savivaldybės</w:t>
      </w:r>
      <w:r w:rsidR="00664EBB" w:rsidRPr="00C97275">
        <w:rPr>
          <w:rFonts w:ascii="Georgia" w:hAnsi="Georgia"/>
          <w:sz w:val="20"/>
          <w:szCs w:val="20"/>
          <w:lang w:val="lt-LT"/>
        </w:rPr>
        <w:t xml:space="preserve"> skola nepakinta, o per visą energijos vartojimo efektyvumo sutarties laikotarpį, vienintelis elementas įtraukiamas į val</w:t>
      </w:r>
      <w:r w:rsidR="00C26C41" w:rsidRPr="00C97275">
        <w:rPr>
          <w:rFonts w:ascii="Georgia" w:hAnsi="Georgia"/>
          <w:sz w:val="20"/>
          <w:szCs w:val="20"/>
          <w:lang w:val="lt-LT"/>
        </w:rPr>
        <w:t>stybės</w:t>
      </w:r>
      <w:r w:rsidR="003C69AC" w:rsidRPr="00C97275">
        <w:rPr>
          <w:rFonts w:ascii="Georgia" w:hAnsi="Georgia"/>
          <w:sz w:val="20"/>
          <w:szCs w:val="20"/>
          <w:lang w:val="lt-LT"/>
        </w:rPr>
        <w:t>/savivaldybės</w:t>
      </w:r>
      <w:r w:rsidR="00664EBB" w:rsidRPr="00C97275">
        <w:rPr>
          <w:rFonts w:ascii="Georgia" w:hAnsi="Georgia"/>
          <w:sz w:val="20"/>
          <w:szCs w:val="20"/>
          <w:lang w:val="lt-LT"/>
        </w:rPr>
        <w:t xml:space="preserve"> sąskaitas yra sutartyje nurodyti mokesčiai</w:t>
      </w:r>
      <w:r w:rsidR="00191105" w:rsidRPr="00C97275">
        <w:rPr>
          <w:rFonts w:ascii="Georgia" w:hAnsi="Georgia"/>
          <w:sz w:val="20"/>
          <w:szCs w:val="20"/>
          <w:lang w:val="lt-LT"/>
        </w:rPr>
        <w:t>, lemiantys pokyčius valstybės</w:t>
      </w:r>
      <w:r w:rsidR="00987400" w:rsidRPr="00C97275">
        <w:rPr>
          <w:rFonts w:ascii="Georgia" w:hAnsi="Georgia"/>
          <w:sz w:val="20"/>
          <w:szCs w:val="20"/>
          <w:lang w:val="lt-LT"/>
        </w:rPr>
        <w:t>/savivaldybės</w:t>
      </w:r>
      <w:r w:rsidR="00191105" w:rsidRPr="00C97275">
        <w:rPr>
          <w:rFonts w:ascii="Georgia" w:hAnsi="Georgia"/>
          <w:sz w:val="20"/>
          <w:szCs w:val="20"/>
          <w:lang w:val="lt-LT"/>
        </w:rPr>
        <w:t xml:space="preserve"> biudžete.</w:t>
      </w:r>
      <w:r w:rsidR="00126646" w:rsidRPr="00C97275">
        <w:rPr>
          <w:rFonts w:ascii="Georgia" w:hAnsi="Georgia"/>
          <w:sz w:val="20"/>
          <w:szCs w:val="20"/>
          <w:lang w:val="lt-LT"/>
        </w:rPr>
        <w:t xml:space="preserve"> </w:t>
      </w:r>
      <w:r w:rsidR="007E4CD3" w:rsidRPr="00C97275">
        <w:rPr>
          <w:rFonts w:ascii="Georgia" w:hAnsi="Georgia"/>
          <w:sz w:val="20"/>
          <w:szCs w:val="20"/>
          <w:lang w:val="lt-LT"/>
        </w:rPr>
        <w:t xml:space="preserve"> </w:t>
      </w:r>
      <w:r w:rsidR="00CF0178" w:rsidRPr="00C97275">
        <w:rPr>
          <w:rFonts w:ascii="Georgia" w:hAnsi="Georgia"/>
          <w:sz w:val="20"/>
          <w:szCs w:val="20"/>
          <w:lang w:val="lt-LT"/>
        </w:rPr>
        <w:t xml:space="preserve"> </w:t>
      </w:r>
    </w:p>
    <w:p w14:paraId="2F1F195E" w14:textId="3F484E0B" w:rsidR="00D37880" w:rsidRPr="00C97275" w:rsidRDefault="003A67EA" w:rsidP="00995FCE">
      <w:pPr>
        <w:jc w:val="both"/>
        <w:rPr>
          <w:rFonts w:ascii="Georgia" w:hAnsi="Georgia"/>
          <w:sz w:val="20"/>
          <w:szCs w:val="20"/>
          <w:lang w:val="lt-LT"/>
        </w:rPr>
      </w:pPr>
      <w:r w:rsidRPr="00C97275">
        <w:rPr>
          <w:rFonts w:ascii="Georgia" w:hAnsi="Georgia"/>
          <w:sz w:val="20"/>
          <w:szCs w:val="20"/>
          <w:lang w:val="lt-LT"/>
        </w:rPr>
        <w:t>Nepaisant kuris metodas bus pasirinktas,</w:t>
      </w:r>
      <w:r w:rsidR="001F6984" w:rsidRPr="00C97275">
        <w:rPr>
          <w:rFonts w:ascii="Georgia" w:hAnsi="Georgia"/>
          <w:sz w:val="20"/>
          <w:szCs w:val="20"/>
          <w:lang w:val="lt-LT"/>
        </w:rPr>
        <w:t xml:space="preserve"> </w:t>
      </w:r>
      <w:r w:rsidRPr="00C97275">
        <w:rPr>
          <w:rFonts w:ascii="Georgia" w:hAnsi="Georgia"/>
          <w:sz w:val="20"/>
          <w:szCs w:val="20"/>
          <w:lang w:val="lt-LT"/>
        </w:rPr>
        <w:t xml:space="preserve">valstybės </w:t>
      </w:r>
      <w:r w:rsidR="00987400" w:rsidRPr="00C97275">
        <w:rPr>
          <w:rFonts w:ascii="Georgia" w:hAnsi="Georgia"/>
          <w:sz w:val="20"/>
          <w:szCs w:val="20"/>
          <w:lang w:val="lt-LT"/>
        </w:rPr>
        <w:t xml:space="preserve">ir savivaldybių </w:t>
      </w:r>
      <w:r w:rsidR="00191105" w:rsidRPr="00C97275">
        <w:rPr>
          <w:rFonts w:ascii="Georgia" w:hAnsi="Georgia"/>
          <w:sz w:val="20"/>
          <w:szCs w:val="20"/>
          <w:lang w:val="lt-LT"/>
        </w:rPr>
        <w:t>skolai tai</w:t>
      </w:r>
      <w:r w:rsidRPr="00C97275">
        <w:rPr>
          <w:rFonts w:ascii="Georgia" w:hAnsi="Georgia"/>
          <w:sz w:val="20"/>
          <w:szCs w:val="20"/>
          <w:lang w:val="lt-LT"/>
        </w:rPr>
        <w:t xml:space="preserve"> </w:t>
      </w:r>
      <w:r w:rsidR="001F6984" w:rsidRPr="00C97275">
        <w:rPr>
          <w:rFonts w:ascii="Georgia" w:hAnsi="Georgia"/>
          <w:sz w:val="20"/>
          <w:szCs w:val="20"/>
          <w:lang w:val="lt-LT"/>
        </w:rPr>
        <w:t>įtakos neturės.</w:t>
      </w:r>
    </w:p>
    <w:p w14:paraId="4878AD59" w14:textId="75CFE4DC" w:rsidR="00D37880" w:rsidRPr="00C97275" w:rsidRDefault="00D37880">
      <w:pPr>
        <w:rPr>
          <w:rFonts w:ascii="Georgia" w:hAnsi="Georgia"/>
          <w:sz w:val="20"/>
          <w:szCs w:val="20"/>
          <w:lang w:val="lt-LT"/>
        </w:rPr>
      </w:pPr>
    </w:p>
    <w:p w14:paraId="0F3072F8" w14:textId="54F5673A" w:rsidR="00097A34" w:rsidRPr="00C97275" w:rsidRDefault="00F948E4" w:rsidP="00C57355">
      <w:pPr>
        <w:pStyle w:val="Antrat1"/>
        <w:numPr>
          <w:ilvl w:val="0"/>
          <w:numId w:val="2"/>
        </w:numPr>
        <w:ind w:left="284"/>
        <w:rPr>
          <w:lang w:val="lt-LT"/>
        </w:rPr>
      </w:pPr>
      <w:bookmarkStart w:id="233" w:name="_Toc25594700"/>
      <w:r w:rsidRPr="00C97275">
        <w:rPr>
          <w:lang w:val="lt-LT"/>
        </w:rPr>
        <w:t>Valstybės pagalba</w:t>
      </w:r>
      <w:bookmarkEnd w:id="233"/>
    </w:p>
    <w:p w14:paraId="50B74BEA" w14:textId="77777777" w:rsidR="008D5EBC" w:rsidRPr="00C97275" w:rsidRDefault="008D5EBC" w:rsidP="00EF6FC0">
      <w:pPr>
        <w:jc w:val="both"/>
        <w:rPr>
          <w:rFonts w:ascii="Georgia" w:hAnsi="Georgia"/>
          <w:sz w:val="20"/>
          <w:szCs w:val="20"/>
          <w:lang w:val="lt-LT"/>
        </w:rPr>
      </w:pPr>
      <w:bookmarkStart w:id="234" w:name="_Toc395795824"/>
    </w:p>
    <w:p w14:paraId="2C3FB43E"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Poreikis įvertinti galiojančio valstybės pagalbos teisinio reglamentavimo įtaką, atliekant energijos efektyvumo ex-ante analizę bei laikantis prielaidos, kad numatomos įgyvendinti finansinių priemonių finansavimui bus panaudojamos ES struktūrinės investicijos, yra aiškiai nurodytas Bendrųjų nuostatų reglamento 37 str. 1 d. 2 pastraipoje, 2 d. b) punkte, 4 d., 7 d. bei 9 d. Paskirstytas ES struktūrinių investicijų valdymo, kai didžiąją dalį investicijų panaudojimo valdymo ir kontrolės sistemos funkcijų atlieka nacionalinės institucijos (Vadovaujančioji institucija ir jos įgaliotos kitos institucijos), modelis kartu reiškia, kad šios investicijos yra sudedamoji nacionalinio biudžeto dalis, tai yra šios investicijos yra viešieji finansiniai ištekliai, kurių panaudojimas turi atitikti taikytinas valstybės pagalbos teikimo kontrolės taisykles.</w:t>
      </w:r>
    </w:p>
    <w:p w14:paraId="22F27F60"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Pagrindiniai dokumentai, kurių nuostatos yra nagrinėtinos, atliekant valstybės pagalbos taisyklių galimo taikymo ir jų poveikio numatomoms įgyvendinti finansinėms priemonėms vertinimą yra:</w:t>
      </w:r>
    </w:p>
    <w:p w14:paraId="4C0D38FA"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2014 m. sausio 22 d. Komisijos komunikatas dėl valstybės pagalbos rizikos finansų investicijoms skatinti gairių (2014/C 19/04);</w:t>
      </w:r>
    </w:p>
    <w:p w14:paraId="324FA404"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Bendrųjų nuostatų reglamentas;</w:t>
      </w:r>
    </w:p>
    <w:p w14:paraId="3453F516"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2014 m. birželio 17 d. Komisijos reglamentas (ES) Nr. 651/2014, kuriuo tam tikrų kategorijų pagalba skelbiama suderinama su vidaus rinka taikant Sutarties 107 ir 108 straipsnius;</w:t>
      </w:r>
    </w:p>
    <w:p w14:paraId="13EE1959"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2013 m. gruodžio 18 d. Komisijos reglamentas (ES) Nr. 1407/2013 dėl Sutarties dėl Europos Sąjungos veikimo 107 ir 108 straipsnių taikymo de minimis pagalbai;</w:t>
      </w:r>
    </w:p>
    <w:p w14:paraId="304F2255"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2014–2020 m. regioninės valstybės pagalbos gairės (2013/C 209/01).</w:t>
      </w:r>
    </w:p>
    <w:p w14:paraId="66E4D6CA" w14:textId="77777777" w:rsidR="00CE5A01" w:rsidRPr="00C97275" w:rsidRDefault="00CE5A01" w:rsidP="00CE5A01">
      <w:pPr>
        <w:jc w:val="both"/>
        <w:rPr>
          <w:rFonts w:ascii="Georgia" w:hAnsi="Georgia"/>
          <w:sz w:val="20"/>
          <w:szCs w:val="20"/>
          <w:lang w:val="lt-LT"/>
        </w:rPr>
      </w:pPr>
    </w:p>
    <w:p w14:paraId="74110142"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Nurodytų dokumentų nuostatos yra vertinamos tokiu eiliškumu:</w:t>
      </w:r>
    </w:p>
    <w:p w14:paraId="4B6A472C" w14:textId="77777777" w:rsidR="00CE5A01" w:rsidRPr="00C97275" w:rsidRDefault="00CE5A01" w:rsidP="00162BF5">
      <w:pPr>
        <w:pStyle w:val="Sraopastraipa"/>
        <w:numPr>
          <w:ilvl w:val="0"/>
          <w:numId w:val="42"/>
        </w:numPr>
        <w:ind w:firstLine="0"/>
        <w:jc w:val="both"/>
        <w:rPr>
          <w:rFonts w:ascii="Georgia" w:hAnsi="Georgia"/>
          <w:sz w:val="20"/>
          <w:szCs w:val="20"/>
          <w:lang w:val="lt-LT"/>
        </w:rPr>
      </w:pPr>
      <w:r w:rsidRPr="00C97275">
        <w:rPr>
          <w:rFonts w:ascii="Georgia" w:hAnsi="Georgia"/>
          <w:sz w:val="20"/>
          <w:szCs w:val="20"/>
          <w:lang w:val="lt-LT"/>
        </w:rPr>
        <w:t>apibūdinami valstybės pagalbos teikimo požymiai numatytų finansinių priemonių įgyvendinimo kontekste;</w:t>
      </w:r>
    </w:p>
    <w:p w14:paraId="4739491D" w14:textId="77777777" w:rsidR="00CE5A01" w:rsidRPr="00C97275" w:rsidRDefault="00CE5A01" w:rsidP="00162BF5">
      <w:pPr>
        <w:pStyle w:val="Sraopastraipa"/>
        <w:numPr>
          <w:ilvl w:val="0"/>
          <w:numId w:val="42"/>
        </w:numPr>
        <w:ind w:firstLine="0"/>
        <w:jc w:val="both"/>
        <w:rPr>
          <w:rFonts w:ascii="Georgia" w:hAnsi="Georgia"/>
          <w:sz w:val="20"/>
          <w:szCs w:val="20"/>
          <w:lang w:val="lt-LT"/>
        </w:rPr>
      </w:pPr>
      <w:r w:rsidRPr="00C97275">
        <w:rPr>
          <w:rFonts w:ascii="Georgia" w:hAnsi="Georgia"/>
          <w:sz w:val="20"/>
          <w:szCs w:val="20"/>
          <w:lang w:val="lt-LT"/>
        </w:rPr>
        <w:t>atskirai įvertinama kiekviena finansinių priemonių įgyvendinimo alternatyva:</w:t>
      </w:r>
    </w:p>
    <w:p w14:paraId="7BB6A71D" w14:textId="77777777" w:rsidR="00CE5A01" w:rsidRPr="00C97275" w:rsidRDefault="00CE5A01" w:rsidP="00162BF5">
      <w:pPr>
        <w:pStyle w:val="Sraopastraipa"/>
        <w:numPr>
          <w:ilvl w:val="1"/>
          <w:numId w:val="42"/>
        </w:numPr>
        <w:ind w:firstLine="0"/>
        <w:jc w:val="both"/>
        <w:rPr>
          <w:rFonts w:ascii="Georgia" w:hAnsi="Georgia"/>
          <w:sz w:val="20"/>
          <w:szCs w:val="20"/>
          <w:lang w:val="lt-LT"/>
        </w:rPr>
      </w:pPr>
      <w:r w:rsidRPr="00C97275">
        <w:rPr>
          <w:rFonts w:ascii="Georgia" w:hAnsi="Georgia"/>
          <w:sz w:val="20"/>
          <w:szCs w:val="20"/>
          <w:lang w:val="lt-LT"/>
        </w:rPr>
        <w:lastRenderedPageBreak/>
        <w:t>pasirinktos daugiabučių renovacijos finansinės priemonės bei jos įgyvendinimo struktūros įvertinimas valstybės pagalbos taisyklių kontekste (ex-ante analizės 4.4.1. bei 7.1.4.4. skyriai):</w:t>
      </w:r>
    </w:p>
    <w:p w14:paraId="2935EB9D" w14:textId="77777777" w:rsidR="00CE5A01" w:rsidRPr="00C97275" w:rsidRDefault="00CE5A01" w:rsidP="00162BF5">
      <w:pPr>
        <w:pStyle w:val="Sraopastraipa"/>
        <w:numPr>
          <w:ilvl w:val="2"/>
          <w:numId w:val="42"/>
        </w:numPr>
        <w:ind w:firstLine="0"/>
        <w:jc w:val="both"/>
        <w:rPr>
          <w:rFonts w:ascii="Georgia" w:hAnsi="Georgia"/>
          <w:sz w:val="20"/>
          <w:szCs w:val="20"/>
          <w:lang w:val="lt-LT"/>
        </w:rPr>
      </w:pPr>
      <w:r w:rsidRPr="00C97275">
        <w:rPr>
          <w:rFonts w:ascii="Georgia" w:hAnsi="Georgia"/>
          <w:sz w:val="20"/>
          <w:szCs w:val="20"/>
          <w:lang w:val="lt-LT"/>
        </w:rPr>
        <w:t>įgyvendinimo struktūra – juridinio asmens statusą turinčio fondo steigimas;</w:t>
      </w:r>
    </w:p>
    <w:p w14:paraId="149CA50E" w14:textId="77777777" w:rsidR="00CE5A01" w:rsidRPr="00C97275" w:rsidRDefault="00CE5A01" w:rsidP="00162BF5">
      <w:pPr>
        <w:pStyle w:val="Sraopastraipa"/>
        <w:numPr>
          <w:ilvl w:val="2"/>
          <w:numId w:val="42"/>
        </w:numPr>
        <w:ind w:firstLine="0"/>
        <w:jc w:val="both"/>
        <w:rPr>
          <w:rFonts w:ascii="Georgia" w:hAnsi="Georgia"/>
          <w:sz w:val="20"/>
          <w:szCs w:val="20"/>
          <w:lang w:val="lt-LT"/>
        </w:rPr>
      </w:pPr>
      <w:r w:rsidRPr="00C97275">
        <w:rPr>
          <w:rFonts w:ascii="Georgia" w:hAnsi="Georgia"/>
          <w:sz w:val="20"/>
          <w:szCs w:val="20"/>
          <w:lang w:val="lt-LT"/>
        </w:rPr>
        <w:t xml:space="preserve">finansinės priemonės - lengvatinės paskolos finansinė priemonė, subsidija. Nepaisant to, kad subsidijų priemonę yra planuojama įgyvendinti kaip atskirą priemonę, jos naudos gavėjai bei potencialūs valstybės pagalbos subjektai sutaps, todėl subsidijos, nors ir nėra šio vertinimo objektas, yra vertinamos atliekant </w:t>
      </w:r>
      <w:r w:rsidRPr="00C97275">
        <w:rPr>
          <w:rFonts w:ascii="Georgia" w:hAnsi="Georgia"/>
          <w:i/>
          <w:sz w:val="20"/>
          <w:szCs w:val="20"/>
          <w:lang w:val="lt-LT"/>
        </w:rPr>
        <w:t>ex-ante</w:t>
      </w:r>
      <w:r w:rsidRPr="00C97275">
        <w:rPr>
          <w:rFonts w:ascii="Georgia" w:hAnsi="Georgia"/>
          <w:sz w:val="20"/>
          <w:szCs w:val="20"/>
          <w:lang w:val="lt-LT"/>
        </w:rPr>
        <w:t xml:space="preserve"> vertinimą tiek, kiek jos yra susijusios su finansinių priemonių įgyvendinimu;</w:t>
      </w:r>
    </w:p>
    <w:p w14:paraId="5874B458" w14:textId="77777777" w:rsidR="00CE5A01" w:rsidRPr="00C97275" w:rsidRDefault="00CE5A01" w:rsidP="00162BF5">
      <w:pPr>
        <w:pStyle w:val="Sraopastraipa"/>
        <w:numPr>
          <w:ilvl w:val="1"/>
          <w:numId w:val="42"/>
        </w:numPr>
        <w:ind w:firstLine="0"/>
        <w:jc w:val="both"/>
        <w:rPr>
          <w:rFonts w:ascii="Georgia" w:hAnsi="Georgia"/>
          <w:sz w:val="20"/>
          <w:szCs w:val="20"/>
          <w:lang w:val="lt-LT"/>
        </w:rPr>
      </w:pPr>
      <w:r w:rsidRPr="00C97275">
        <w:rPr>
          <w:rFonts w:ascii="Georgia" w:hAnsi="Georgia"/>
          <w:sz w:val="20"/>
          <w:szCs w:val="20"/>
          <w:lang w:val="lt-LT"/>
        </w:rPr>
        <w:t>pasirinktos centrinės valdžios pastatų finansinės priemonės bei jos įgyvendinimo struktūros įvertinimas valstybės pagalbos taisyklių kontekste (ex-ante  analizės 4.4.3. bei 7.2.4.4. skyriai):</w:t>
      </w:r>
    </w:p>
    <w:p w14:paraId="10377EE5" w14:textId="77777777" w:rsidR="00CE5A01" w:rsidRPr="00C97275" w:rsidRDefault="00CE5A01" w:rsidP="00162BF5">
      <w:pPr>
        <w:pStyle w:val="Sraopastraipa"/>
        <w:numPr>
          <w:ilvl w:val="2"/>
          <w:numId w:val="42"/>
        </w:numPr>
        <w:ind w:firstLine="0"/>
        <w:jc w:val="both"/>
        <w:rPr>
          <w:rFonts w:ascii="Georgia" w:hAnsi="Georgia"/>
          <w:sz w:val="20"/>
          <w:szCs w:val="20"/>
          <w:lang w:val="lt-LT"/>
        </w:rPr>
      </w:pPr>
      <w:r w:rsidRPr="00C97275">
        <w:rPr>
          <w:rFonts w:ascii="Georgia" w:hAnsi="Georgia"/>
          <w:sz w:val="20"/>
          <w:szCs w:val="20"/>
          <w:lang w:val="lt-LT"/>
        </w:rPr>
        <w:t>įgyvendinimo struktūra - fondų fondo (sąskaitų rinkinio finansų įstaigoje) steigimas (viešosios infrastruktūros fondo steigimas), investicijų fondo steigimas;</w:t>
      </w:r>
    </w:p>
    <w:p w14:paraId="3C0BD263" w14:textId="77777777" w:rsidR="00CE5A01" w:rsidRPr="00C97275" w:rsidRDefault="00CE5A01" w:rsidP="00162BF5">
      <w:pPr>
        <w:pStyle w:val="Sraopastraipa"/>
        <w:numPr>
          <w:ilvl w:val="2"/>
          <w:numId w:val="42"/>
        </w:numPr>
        <w:ind w:firstLine="0"/>
        <w:jc w:val="both"/>
        <w:rPr>
          <w:rFonts w:ascii="Georgia" w:hAnsi="Georgia"/>
          <w:sz w:val="20"/>
          <w:szCs w:val="20"/>
          <w:lang w:val="lt-LT"/>
        </w:rPr>
      </w:pPr>
      <w:r w:rsidRPr="00C97275">
        <w:rPr>
          <w:rFonts w:ascii="Georgia" w:hAnsi="Georgia"/>
          <w:sz w:val="20"/>
          <w:szCs w:val="20"/>
          <w:lang w:val="lt-LT"/>
        </w:rPr>
        <w:t xml:space="preserve"> finansinės priemonės - lengvatinės paskolos finansinė priemonė;</w:t>
      </w:r>
    </w:p>
    <w:p w14:paraId="2C92E679" w14:textId="77777777" w:rsidR="00CE5A01" w:rsidRPr="00C97275" w:rsidRDefault="00CE5A01" w:rsidP="00162BF5">
      <w:pPr>
        <w:pStyle w:val="Sraopastraipa"/>
        <w:numPr>
          <w:ilvl w:val="2"/>
          <w:numId w:val="42"/>
        </w:numPr>
        <w:ind w:firstLine="0"/>
        <w:jc w:val="both"/>
        <w:rPr>
          <w:rFonts w:ascii="Georgia" w:hAnsi="Georgia"/>
          <w:sz w:val="20"/>
          <w:szCs w:val="20"/>
          <w:lang w:val="lt-LT"/>
        </w:rPr>
      </w:pPr>
      <w:r w:rsidRPr="00C97275">
        <w:rPr>
          <w:rFonts w:ascii="Georgia" w:hAnsi="Georgia"/>
          <w:sz w:val="20"/>
          <w:szCs w:val="20"/>
          <w:lang w:val="lt-LT"/>
        </w:rPr>
        <w:t>subsidijos.</w:t>
      </w:r>
    </w:p>
    <w:p w14:paraId="1AA086E0" w14:textId="77777777" w:rsidR="00CE5A01" w:rsidRPr="00C97275" w:rsidRDefault="00CE5A01" w:rsidP="00162BF5">
      <w:pPr>
        <w:pStyle w:val="Sraopastraipa"/>
        <w:numPr>
          <w:ilvl w:val="1"/>
          <w:numId w:val="42"/>
        </w:numPr>
        <w:ind w:firstLine="0"/>
        <w:jc w:val="both"/>
        <w:rPr>
          <w:rFonts w:ascii="Georgia" w:hAnsi="Georgia"/>
          <w:sz w:val="20"/>
          <w:szCs w:val="20"/>
          <w:lang w:val="lt-LT"/>
        </w:rPr>
      </w:pPr>
      <w:r w:rsidRPr="00C97275">
        <w:rPr>
          <w:rFonts w:ascii="Georgia" w:hAnsi="Georgia"/>
          <w:sz w:val="20"/>
          <w:szCs w:val="20"/>
          <w:lang w:val="lt-LT"/>
        </w:rPr>
        <w:t>pasirinktos gatvių apšvietimo finansinės priemonės bei jos įgyvendinimo struktūros įvertinimas valstybės pagalbos taisyklių kontekste (ex-ante  analizės 4.4.2. bei 7.2.4.4. skyriai):</w:t>
      </w:r>
    </w:p>
    <w:p w14:paraId="1B630DD4" w14:textId="77777777" w:rsidR="00CE5A01" w:rsidRPr="00C97275" w:rsidRDefault="00CE5A01" w:rsidP="00162BF5">
      <w:pPr>
        <w:pStyle w:val="Sraopastraipa"/>
        <w:numPr>
          <w:ilvl w:val="2"/>
          <w:numId w:val="42"/>
        </w:numPr>
        <w:ind w:firstLine="0"/>
        <w:jc w:val="both"/>
        <w:rPr>
          <w:rFonts w:ascii="Georgia" w:hAnsi="Georgia"/>
          <w:sz w:val="20"/>
          <w:szCs w:val="20"/>
          <w:lang w:val="lt-LT"/>
        </w:rPr>
      </w:pPr>
      <w:r w:rsidRPr="00C97275">
        <w:rPr>
          <w:rFonts w:ascii="Georgia" w:hAnsi="Georgia"/>
          <w:sz w:val="20"/>
          <w:szCs w:val="20"/>
          <w:lang w:val="lt-LT"/>
        </w:rPr>
        <w:t>įgyvendinimo struktūra - fondų fondo (sąskaitų rinkinio finansų įstaigoje) steigimas (viešosios infrastruktūros fondo steigimas), investicijų fondo steigimas;</w:t>
      </w:r>
    </w:p>
    <w:p w14:paraId="4216384F" w14:textId="77777777" w:rsidR="00CE5A01" w:rsidRPr="00C97275" w:rsidRDefault="00CE5A01" w:rsidP="00162BF5">
      <w:pPr>
        <w:pStyle w:val="Sraopastraipa"/>
        <w:numPr>
          <w:ilvl w:val="2"/>
          <w:numId w:val="42"/>
        </w:numPr>
        <w:ind w:firstLine="0"/>
        <w:jc w:val="both"/>
        <w:rPr>
          <w:rFonts w:ascii="Georgia" w:hAnsi="Georgia"/>
          <w:sz w:val="20"/>
          <w:szCs w:val="20"/>
          <w:lang w:val="lt-LT"/>
        </w:rPr>
      </w:pPr>
      <w:r w:rsidRPr="00C97275">
        <w:rPr>
          <w:rFonts w:ascii="Georgia" w:hAnsi="Georgia"/>
          <w:sz w:val="20"/>
          <w:szCs w:val="20"/>
          <w:lang w:val="lt-LT"/>
        </w:rPr>
        <w:t>finansinės priemonės - garantijų finansinė priemonė.</w:t>
      </w:r>
    </w:p>
    <w:p w14:paraId="697B14AD" w14:textId="77777777" w:rsidR="00CE5A01" w:rsidRPr="00C97275" w:rsidRDefault="00CE5A01" w:rsidP="00162BF5">
      <w:pPr>
        <w:pStyle w:val="Sraopastraipa"/>
        <w:numPr>
          <w:ilvl w:val="0"/>
          <w:numId w:val="42"/>
        </w:numPr>
        <w:ind w:firstLine="0"/>
        <w:jc w:val="both"/>
        <w:rPr>
          <w:rFonts w:ascii="Georgia" w:hAnsi="Georgia"/>
          <w:sz w:val="20"/>
          <w:szCs w:val="20"/>
          <w:lang w:val="lt-LT"/>
        </w:rPr>
      </w:pPr>
      <w:r w:rsidRPr="00C97275">
        <w:rPr>
          <w:rFonts w:ascii="Georgia" w:hAnsi="Georgia"/>
          <w:sz w:val="20"/>
          <w:szCs w:val="20"/>
          <w:lang w:val="lt-LT"/>
        </w:rPr>
        <w:t>apibendrinamos ir nurodomos pagrindinės sąlygos ir apribojimai, kuriems esant numatytos įgyvendinti priemonės gali būti įgyvendinamos, nepažeidžiant valstybės pagalbos teikimo taisyklių reikalavimus.</w:t>
      </w:r>
    </w:p>
    <w:p w14:paraId="31D512DB"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Pabrėžtina, kad valstybės pagalbos teikimo taisyklių įtaka turi būti vertinama kiekvieno finansinės priemonės įgyvendinime dalyvaujančio ūkio subjektų tipo atžvilgiu atskirai, tai yra priklausomai nuo šio tipo (investuotojas, valdytojas, naudos gavėjas, kt.) bei dalyvavimo priemonėje masto turėtų būti apibūdinamos priemonės įgyvendinimo sąlygos, siekiant jų atitikties valstybės pagalbos taisyklių reikalavimams.</w:t>
      </w:r>
    </w:p>
    <w:p w14:paraId="56412583" w14:textId="77777777" w:rsidR="00CE5A01" w:rsidRPr="00C97275" w:rsidRDefault="00CE5A01" w:rsidP="00CE5A01">
      <w:pPr>
        <w:jc w:val="both"/>
        <w:rPr>
          <w:rFonts w:ascii="Georgia" w:hAnsi="Georgia"/>
          <w:sz w:val="20"/>
          <w:szCs w:val="20"/>
          <w:lang w:val="lt-LT"/>
        </w:rPr>
      </w:pPr>
    </w:p>
    <w:p w14:paraId="1C48F725" w14:textId="77777777" w:rsidR="00CE5A01" w:rsidRPr="00C97275" w:rsidRDefault="00CE5A01" w:rsidP="00CE5A01">
      <w:pPr>
        <w:pStyle w:val="Antrat2"/>
        <w:numPr>
          <w:ilvl w:val="1"/>
          <w:numId w:val="2"/>
        </w:numPr>
        <w:spacing w:after="240"/>
        <w:ind w:left="709"/>
        <w:rPr>
          <w:rFonts w:ascii="Georgia" w:hAnsi="Georgia"/>
          <w:lang w:val="lt-LT"/>
        </w:rPr>
      </w:pPr>
      <w:bookmarkStart w:id="235" w:name="_Toc25594701"/>
      <w:r w:rsidRPr="00C97275">
        <w:rPr>
          <w:rFonts w:ascii="Georgia" w:hAnsi="Georgia"/>
          <w:lang w:val="lt-LT"/>
        </w:rPr>
        <w:t>Valstybės pagalbos teikimo požymių apibūdinimas</w:t>
      </w:r>
      <w:bookmarkEnd w:id="235"/>
    </w:p>
    <w:p w14:paraId="363E1724" w14:textId="77777777" w:rsidR="00CE5A01" w:rsidRPr="00C97275" w:rsidRDefault="00CE5A01" w:rsidP="00CE5A01">
      <w:pPr>
        <w:keepNext/>
        <w:jc w:val="both"/>
        <w:rPr>
          <w:rFonts w:ascii="Georgia" w:hAnsi="Georgia"/>
          <w:sz w:val="20"/>
          <w:szCs w:val="20"/>
          <w:lang w:val="lt-LT"/>
        </w:rPr>
      </w:pPr>
      <w:r w:rsidRPr="00C97275">
        <w:rPr>
          <w:rFonts w:ascii="Georgia" w:hAnsi="Georgia"/>
          <w:sz w:val="20"/>
          <w:szCs w:val="20"/>
          <w:lang w:val="lt-LT"/>
        </w:rPr>
        <w:t>Bendruoju atveju, valstybės pagalba yra pripažįstama, kai yra tenkinamos keturios pagrindinės sąlygos</w:t>
      </w:r>
      <w:r w:rsidRPr="00C97275">
        <w:rPr>
          <w:rStyle w:val="Puslapioinaosnuoroda"/>
          <w:rFonts w:ascii="Georgia" w:hAnsi="Georgia"/>
          <w:sz w:val="20"/>
          <w:szCs w:val="20"/>
          <w:lang w:val="lt-LT"/>
        </w:rPr>
        <w:footnoteReference w:id="131"/>
      </w:r>
      <w:r w:rsidRPr="00C97275">
        <w:rPr>
          <w:rFonts w:ascii="Georgia" w:hAnsi="Georgia"/>
          <w:sz w:val="20"/>
          <w:szCs w:val="20"/>
          <w:lang w:val="lt-LT"/>
        </w:rPr>
        <w:t>:</w:t>
      </w:r>
    </w:p>
    <w:p w14:paraId="070A8B9C" w14:textId="77777777" w:rsidR="00CE5A01" w:rsidRPr="00C97275" w:rsidRDefault="00CE5A01" w:rsidP="00162BF5">
      <w:pPr>
        <w:pStyle w:val="Sraopastraipa"/>
        <w:numPr>
          <w:ilvl w:val="0"/>
          <w:numId w:val="54"/>
        </w:numPr>
        <w:ind w:left="709"/>
        <w:jc w:val="both"/>
        <w:rPr>
          <w:rFonts w:ascii="Georgia" w:hAnsi="Georgia"/>
          <w:sz w:val="20"/>
          <w:szCs w:val="20"/>
          <w:lang w:val="lt-LT"/>
        </w:rPr>
      </w:pPr>
      <w:r w:rsidRPr="00C97275">
        <w:rPr>
          <w:rFonts w:ascii="Georgia" w:hAnsi="Georgia"/>
          <w:sz w:val="20"/>
          <w:szCs w:val="20"/>
          <w:lang w:val="lt-LT"/>
        </w:rPr>
        <w:t>numatoma įgyvendinti priemonė yra priskirtina (angl. imputable) viešajam sektoriui (tai yra panaudojami nacionalinio biudžeto ar kiti viešieji ištekliai),</w:t>
      </w:r>
    </w:p>
    <w:p w14:paraId="3A9A96BF" w14:textId="77777777" w:rsidR="00CE5A01" w:rsidRPr="00C97275" w:rsidRDefault="00CE5A01" w:rsidP="00162BF5">
      <w:pPr>
        <w:pStyle w:val="Sraopastraipa"/>
        <w:numPr>
          <w:ilvl w:val="0"/>
          <w:numId w:val="54"/>
        </w:numPr>
        <w:ind w:left="709"/>
        <w:jc w:val="both"/>
        <w:rPr>
          <w:rFonts w:ascii="Georgia" w:hAnsi="Georgia"/>
          <w:sz w:val="20"/>
          <w:szCs w:val="20"/>
          <w:lang w:val="lt-LT"/>
        </w:rPr>
      </w:pPr>
      <w:r w:rsidRPr="00C97275">
        <w:rPr>
          <w:rFonts w:ascii="Georgia" w:hAnsi="Georgia"/>
          <w:sz w:val="20"/>
          <w:szCs w:val="20"/>
          <w:lang w:val="lt-LT"/>
        </w:rPr>
        <w:t>rinkoje veikiantiems ūkio subjektams teikiama ekonominė nauda (suteikiamas ekonominis pranašumas), kuri nėra prieinama įprastomis rinkos sąlygomis,</w:t>
      </w:r>
    </w:p>
    <w:p w14:paraId="5795E445" w14:textId="77777777" w:rsidR="00CE5A01" w:rsidRPr="00C97275" w:rsidRDefault="00CE5A01" w:rsidP="00162BF5">
      <w:pPr>
        <w:pStyle w:val="Sraopastraipa"/>
        <w:numPr>
          <w:ilvl w:val="0"/>
          <w:numId w:val="54"/>
        </w:numPr>
        <w:ind w:left="709"/>
        <w:jc w:val="both"/>
        <w:rPr>
          <w:rFonts w:ascii="Georgia" w:hAnsi="Georgia"/>
          <w:sz w:val="20"/>
          <w:szCs w:val="20"/>
          <w:lang w:val="lt-LT"/>
        </w:rPr>
      </w:pPr>
      <w:r w:rsidRPr="00C97275">
        <w:rPr>
          <w:rFonts w:ascii="Georgia" w:hAnsi="Georgia"/>
          <w:sz w:val="20"/>
          <w:szCs w:val="20"/>
          <w:lang w:val="lt-LT"/>
        </w:rPr>
        <w:t>priemone yra (bus) teikiama ekonominė nauda tik kai kuriems rinkos subjektams (priemonės selektyvumo kriterijus),</w:t>
      </w:r>
    </w:p>
    <w:p w14:paraId="2C62FE77" w14:textId="77777777" w:rsidR="00CE5A01" w:rsidRPr="00C97275" w:rsidRDefault="00CE5A01" w:rsidP="00162BF5">
      <w:pPr>
        <w:pStyle w:val="Sraopastraipa"/>
        <w:numPr>
          <w:ilvl w:val="0"/>
          <w:numId w:val="54"/>
        </w:numPr>
        <w:ind w:left="709"/>
        <w:jc w:val="both"/>
        <w:rPr>
          <w:rFonts w:ascii="Georgia" w:hAnsi="Georgia"/>
          <w:sz w:val="20"/>
          <w:szCs w:val="20"/>
          <w:lang w:val="lt-LT"/>
        </w:rPr>
      </w:pPr>
      <w:r w:rsidRPr="00C97275">
        <w:rPr>
          <w:rFonts w:ascii="Georgia" w:hAnsi="Georgia"/>
          <w:sz w:val="20"/>
          <w:szCs w:val="20"/>
          <w:lang w:val="lt-LT"/>
        </w:rPr>
        <w:t>priemone yra iškraipoma arba gali būti iškraipoma konkurencija ir (arba) paveikiama prekyba tarp ES valstybių-narių.</w:t>
      </w:r>
    </w:p>
    <w:p w14:paraId="6CC8D513"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Pagal šiuos kriterijus, valstybės pagalba gali būti pripažįstama tik tuo atveju, kai yra visų kriterijų visuma, tai yra numatoma įgyvendinti priemonė atitinka kiekvieną kriterijų. Tiek Europos Komisijos, tiek Europos Sąjungos Teisingumo Teismo praktikoje valstybės pagalbos samprata yra laikoma </w:t>
      </w:r>
      <w:r w:rsidRPr="00C97275">
        <w:rPr>
          <w:rFonts w:ascii="Georgia" w:hAnsi="Georgia"/>
          <w:sz w:val="20"/>
          <w:szCs w:val="20"/>
          <w:lang w:val="lt-LT"/>
        </w:rPr>
        <w:lastRenderedPageBreak/>
        <w:t>objektyviu, pirminės teisės nuostatomis apibrėžtu institutu, kurio nuostatų taikymas negali būti skirtingas kiekvienu konkrečiu atveju, išskyrus sudėtingo ekonominio vertinimo reikalaujančias specifines situacijas</w:t>
      </w:r>
      <w:r w:rsidRPr="00C97275">
        <w:rPr>
          <w:rStyle w:val="Puslapioinaosnuoroda"/>
          <w:rFonts w:ascii="Georgia" w:hAnsi="Georgia"/>
          <w:sz w:val="20"/>
          <w:szCs w:val="20"/>
          <w:lang w:val="lt-LT"/>
        </w:rPr>
        <w:footnoteReference w:id="132"/>
      </w:r>
      <w:r w:rsidRPr="00C97275">
        <w:rPr>
          <w:rFonts w:ascii="Georgia" w:hAnsi="Georgia"/>
          <w:sz w:val="20"/>
          <w:szCs w:val="20"/>
          <w:lang w:val="lt-LT"/>
        </w:rPr>
        <w:t>.</w:t>
      </w:r>
    </w:p>
    <w:p w14:paraId="6FA31C6E" w14:textId="77777777" w:rsidR="00CE5A01" w:rsidRPr="00C97275" w:rsidRDefault="00CE5A01" w:rsidP="00CE5A01">
      <w:pPr>
        <w:jc w:val="both"/>
        <w:rPr>
          <w:rFonts w:ascii="Georgia" w:hAnsi="Georgia"/>
          <w:sz w:val="20"/>
          <w:szCs w:val="20"/>
          <w:lang w:val="lt-LT"/>
        </w:rPr>
      </w:pPr>
    </w:p>
    <w:p w14:paraId="5F86A2C4" w14:textId="77777777" w:rsidR="00CE5A01" w:rsidRPr="00C97275" w:rsidRDefault="00CE5A01" w:rsidP="00CE5A01">
      <w:pPr>
        <w:pStyle w:val="Antrat2"/>
        <w:numPr>
          <w:ilvl w:val="2"/>
          <w:numId w:val="2"/>
        </w:numPr>
        <w:spacing w:after="240"/>
        <w:ind w:left="709"/>
        <w:rPr>
          <w:rFonts w:ascii="Georgia" w:hAnsi="Georgia"/>
          <w:lang w:val="lt-LT"/>
        </w:rPr>
      </w:pPr>
      <w:bookmarkStart w:id="236" w:name="_Toc25594702"/>
      <w:r w:rsidRPr="00C97275">
        <w:rPr>
          <w:rFonts w:ascii="Georgia" w:hAnsi="Georgia"/>
          <w:lang w:val="lt-LT"/>
        </w:rPr>
        <w:t>Priemonės priskyrimas viešajam sektoriui</w:t>
      </w:r>
      <w:bookmarkEnd w:id="236"/>
    </w:p>
    <w:p w14:paraId="4B1F2E51" w14:textId="77777777" w:rsidR="00CE5A01" w:rsidRPr="00C97275" w:rsidRDefault="00CE5A01" w:rsidP="00CE5A01">
      <w:pPr>
        <w:keepNext/>
        <w:jc w:val="both"/>
        <w:rPr>
          <w:rFonts w:ascii="Georgia" w:hAnsi="Georgia"/>
          <w:sz w:val="20"/>
          <w:szCs w:val="20"/>
          <w:lang w:val="lt-LT"/>
        </w:rPr>
      </w:pPr>
      <w:r w:rsidRPr="00C97275">
        <w:rPr>
          <w:rFonts w:ascii="Georgia" w:hAnsi="Georgia"/>
          <w:sz w:val="20"/>
          <w:szCs w:val="20"/>
          <w:lang w:val="lt-LT"/>
        </w:rPr>
        <w:t>Numatomos įgyvendinti priemonės priskyrimas viešajam sektoriui reiškia, kad priemonės įgyvendinimą kontroliuoja valstybės/savivaldybės institucija. Pabrėžtina, kad privataus juridinio asmens, kurį įsteigė valstybės ar ją atstovaujantys subjektai, teikiamas finansavimas taip pat yra priskirtinas viešajam sektoriui, jeigu tokį šio juridinio asmens elgesį valstybė kontroliuoja/nulemia. Pavyzdiniai požymiai, kuriais remiantis gali būti nustatyta, kad teikiamą finansavimą kontroliuoja viešasis sektorius yra:</w:t>
      </w:r>
    </w:p>
    <w:p w14:paraId="0640AF99" w14:textId="77777777" w:rsidR="00CE5A01" w:rsidRPr="00C97275" w:rsidRDefault="00CE5A01" w:rsidP="00162BF5">
      <w:pPr>
        <w:pStyle w:val="Sraopastraipa"/>
        <w:numPr>
          <w:ilvl w:val="0"/>
          <w:numId w:val="43"/>
        </w:numPr>
        <w:ind w:firstLine="0"/>
        <w:jc w:val="both"/>
        <w:rPr>
          <w:rFonts w:ascii="Georgia" w:hAnsi="Georgia"/>
          <w:sz w:val="28"/>
          <w:szCs w:val="28"/>
          <w:lang w:val="lt-LT"/>
        </w:rPr>
      </w:pPr>
      <w:r w:rsidRPr="00C97275">
        <w:rPr>
          <w:rFonts w:ascii="Georgia" w:hAnsi="Georgia"/>
          <w:sz w:val="20"/>
          <w:szCs w:val="20"/>
          <w:lang w:val="lt-LT"/>
        </w:rPr>
        <w:t>ūkio subjekto vykdoma veikla/teikiamos paslaugos yra analogiškos rinkoje teikiamoms paslaugoms, kai priemonę įgyvendina/finansavimą teikia viešasis plėtros bankas</w:t>
      </w:r>
      <w:r w:rsidRPr="00C97275">
        <w:rPr>
          <w:rStyle w:val="Puslapioinaosnuoroda"/>
          <w:rFonts w:ascii="Georgia" w:hAnsi="Georgia"/>
          <w:sz w:val="20"/>
          <w:szCs w:val="20"/>
          <w:lang w:val="lt-LT"/>
        </w:rPr>
        <w:footnoteReference w:id="133"/>
      </w:r>
      <w:r w:rsidRPr="00C97275">
        <w:rPr>
          <w:rFonts w:ascii="Georgia" w:hAnsi="Georgia"/>
          <w:sz w:val="20"/>
          <w:szCs w:val="20"/>
          <w:lang w:val="lt-LT"/>
        </w:rPr>
        <w:t>;</w:t>
      </w:r>
    </w:p>
    <w:p w14:paraId="7A9D2FB5" w14:textId="77777777" w:rsidR="00CE5A01" w:rsidRPr="00C97275" w:rsidRDefault="00CE5A01" w:rsidP="00162BF5">
      <w:pPr>
        <w:pStyle w:val="Sraopastraipa"/>
        <w:numPr>
          <w:ilvl w:val="0"/>
          <w:numId w:val="43"/>
        </w:numPr>
        <w:ind w:firstLine="0"/>
        <w:jc w:val="both"/>
        <w:rPr>
          <w:rFonts w:ascii="Georgia" w:hAnsi="Georgia"/>
          <w:sz w:val="28"/>
          <w:szCs w:val="28"/>
          <w:lang w:val="lt-LT"/>
        </w:rPr>
      </w:pPr>
      <w:r w:rsidRPr="00C97275">
        <w:rPr>
          <w:rFonts w:ascii="Georgia" w:hAnsi="Georgia"/>
          <w:sz w:val="20"/>
          <w:szCs w:val="20"/>
          <w:lang w:val="lt-LT"/>
        </w:rPr>
        <w:t>viešojo sektoriaus vykdomos jos įsteigtos įmonės valdymo priežiūros apimtis ar kiti požymiai, apibūdinantys viešojo sektoriaus dalyvavimą, plėtojant priemonę.</w:t>
      </w:r>
    </w:p>
    <w:p w14:paraId="7B3C3C9E"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Būtina pažymėti, kad priemonė nėra priskirtina valstybei, jeigu ji yra įgyvendinama dėl ES </w:t>
      </w:r>
      <w:r w:rsidRPr="00C97275">
        <w:rPr>
          <w:rFonts w:ascii="Georgia" w:hAnsi="Georgia"/>
          <w:i/>
          <w:sz w:val="20"/>
          <w:szCs w:val="20"/>
          <w:lang w:val="lt-LT"/>
        </w:rPr>
        <w:t>acquis communautaire</w:t>
      </w:r>
      <w:r w:rsidRPr="00C97275">
        <w:rPr>
          <w:rFonts w:ascii="Georgia" w:hAnsi="Georgia"/>
          <w:sz w:val="20"/>
          <w:szCs w:val="20"/>
          <w:lang w:val="lt-LT"/>
        </w:rPr>
        <w:t xml:space="preserve"> įsakmių reikalavimų, tai yra tokiu atveju priemonė yra priskirtina ES teisės aktų leidžiamajai valdžiai, o ne atskirai ES valstybei-narei</w:t>
      </w:r>
      <w:r w:rsidRPr="00C97275">
        <w:rPr>
          <w:rStyle w:val="Puslapioinaosnuoroda"/>
          <w:rFonts w:ascii="Georgia" w:hAnsi="Georgia"/>
          <w:sz w:val="20"/>
          <w:szCs w:val="20"/>
          <w:lang w:val="lt-LT"/>
        </w:rPr>
        <w:footnoteReference w:id="134"/>
      </w:r>
      <w:r w:rsidRPr="00C97275">
        <w:rPr>
          <w:rFonts w:ascii="Georgia" w:hAnsi="Georgia"/>
          <w:sz w:val="20"/>
          <w:szCs w:val="20"/>
          <w:lang w:val="lt-LT"/>
        </w:rPr>
        <w:t>. Ši taisyklė negali būti taikoma, kai ES teisė tik suteikia galimybę įgyvendinti tam tikras priemones, kurios gali būti laikomos valstybės pagalbos teisinio reglamentavimo objektu, tai yra tokiu atveju ES valstybė-narė turi galimybę pasirinkti elgesio modelį bei prisiimti atsakomybę dėl atliekamos intervencijos poveikio rinkai, arba kitaip tariant, dėl galimos valstybės pagalbos atsiradimo.</w:t>
      </w:r>
    </w:p>
    <w:p w14:paraId="50EE81FE" w14:textId="77777777" w:rsidR="00CE5A01" w:rsidRPr="00C97275" w:rsidRDefault="00CE5A01" w:rsidP="00CE5A01">
      <w:pPr>
        <w:jc w:val="both"/>
        <w:rPr>
          <w:rFonts w:ascii="Georgia" w:hAnsi="Georgia"/>
          <w:sz w:val="20"/>
          <w:szCs w:val="20"/>
          <w:lang w:val="lt-LT"/>
        </w:rPr>
      </w:pPr>
    </w:p>
    <w:p w14:paraId="68FDCC35" w14:textId="77777777" w:rsidR="00CE5A01" w:rsidRPr="00C97275" w:rsidRDefault="00CE5A01" w:rsidP="00CE5A01">
      <w:pPr>
        <w:pStyle w:val="Antrat2"/>
        <w:numPr>
          <w:ilvl w:val="2"/>
          <w:numId w:val="2"/>
        </w:numPr>
        <w:spacing w:after="240"/>
        <w:ind w:left="709"/>
        <w:rPr>
          <w:rFonts w:ascii="Georgia" w:hAnsi="Georgia"/>
          <w:lang w:val="lt-LT"/>
        </w:rPr>
      </w:pPr>
      <w:bookmarkStart w:id="237" w:name="_Toc25594703"/>
      <w:r w:rsidRPr="00C97275">
        <w:rPr>
          <w:rFonts w:ascii="Georgia" w:hAnsi="Georgia"/>
          <w:lang w:val="lt-LT"/>
        </w:rPr>
        <w:t>Ekonominio pranašumo suteikimas</w:t>
      </w:r>
      <w:bookmarkEnd w:id="237"/>
    </w:p>
    <w:p w14:paraId="6B8FEC69"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Rinkoje veikiantis ūkio subjektas yra suprantamas kaip ekonominę veiklą vykdantis vienetas, nepriklausomai nuo jo įsisteigimo teisinės formos bei nepriklausomai nuo šio vieneto finansavimo būdo</w:t>
      </w:r>
      <w:r w:rsidRPr="00C97275">
        <w:rPr>
          <w:rStyle w:val="Puslapioinaosnuoroda"/>
          <w:rFonts w:ascii="Georgia" w:hAnsi="Georgia"/>
          <w:sz w:val="20"/>
          <w:szCs w:val="20"/>
          <w:lang w:val="lt-LT"/>
        </w:rPr>
        <w:footnoteReference w:id="135"/>
      </w:r>
      <w:r w:rsidRPr="00C97275">
        <w:rPr>
          <w:rFonts w:ascii="Georgia" w:hAnsi="Georgia"/>
          <w:sz w:val="20"/>
          <w:szCs w:val="20"/>
          <w:lang w:val="lt-LT"/>
        </w:rPr>
        <w:t>. Kitaip tariant, valstybės pagalbos taisyklių taikymo požiūriu nėra svarbu, ar juridinis vienetas yra įsteigtas kaip pelno nesiekiantis juridinis asmuo, ar kaip bet kurios formos viešasis juridinis asmuo.</w:t>
      </w:r>
    </w:p>
    <w:p w14:paraId="0B6D6C36"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Ypatingai aktualu, kad vienetai, vykdantys ir ekonominę veiklą, ir neekonominę veiklą (pvz., viešąjį administravimą) patenka į valstybės pagalbos taisyklių reguliavimo sritį tik ta apimtimi, kuri yra susijusi su ekonominės veiklos vykdymu. Pabrėžtina, kad viešosios infrastruktūros ar jos dalies panaudojimas komercinei veiklai taip pat yra laikytinas ekonomine veikla. Be to, du ar daugiau ūkio subjektų gali būti laikomi vienu vienetu pagal valstybės pagalbos taisykles, jeigu šie ūkio subjektai yra tarpusavyje susiję (vienas ūkio subjektas vykdo kontrolės, valdymo ar kitas funkcijas, susijusias su kitu subjektu)</w:t>
      </w:r>
      <w:r w:rsidRPr="00C97275">
        <w:rPr>
          <w:rStyle w:val="Puslapioinaosnuoroda"/>
          <w:rFonts w:ascii="Georgia" w:hAnsi="Georgia"/>
          <w:sz w:val="20"/>
          <w:szCs w:val="20"/>
          <w:lang w:val="lt-LT"/>
        </w:rPr>
        <w:footnoteReference w:id="136"/>
      </w:r>
      <w:r w:rsidRPr="00C97275">
        <w:rPr>
          <w:rFonts w:ascii="Georgia" w:hAnsi="Georgia"/>
          <w:sz w:val="20"/>
          <w:szCs w:val="20"/>
          <w:lang w:val="lt-LT"/>
        </w:rPr>
        <w:t xml:space="preserve">. Taip pat ekonomine veikla yra laikoma bet kokia veikla, tiekiant prekes ar teikiant paslaugas rinkoje. </w:t>
      </w:r>
    </w:p>
    <w:p w14:paraId="7FDD1507"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lastRenderedPageBreak/>
        <w:t>Konkrečioje valstybėje-narėje taikomas ekonominės ir neekonominės veiklos (pvz., atskirų oro erdvės kontrolės viešųjų funkcijų vykdymas</w:t>
      </w:r>
      <w:r w:rsidRPr="00C97275">
        <w:rPr>
          <w:rStyle w:val="Puslapioinaosnuoroda"/>
          <w:rFonts w:ascii="Georgia" w:hAnsi="Georgia"/>
          <w:sz w:val="20"/>
          <w:szCs w:val="20"/>
          <w:lang w:val="lt-LT"/>
        </w:rPr>
        <w:footnoteReference w:id="137"/>
      </w:r>
      <w:r w:rsidRPr="00C97275">
        <w:rPr>
          <w:rFonts w:ascii="Georgia" w:hAnsi="Georgia"/>
          <w:sz w:val="20"/>
          <w:szCs w:val="20"/>
          <w:lang w:val="lt-LT"/>
        </w:rPr>
        <w:t>) atskyrimas gali priklausyti nuo ekonominio išsivystymo lygio ir politinių sprendimų dėl ekonomikos reguliavimo, todėl išsamus ir baigtinis ekonominės veiklos rūšių sąrašas negali būti sudarytas.</w:t>
      </w:r>
    </w:p>
    <w:p w14:paraId="5F7C9D56"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Finansinių priemonių įgyvendinimo kontekste pažymėtina, kad:</w:t>
      </w:r>
    </w:p>
    <w:p w14:paraId="4AACC661" w14:textId="77777777" w:rsidR="00CE5A01" w:rsidRPr="00C97275" w:rsidRDefault="00CE5A01" w:rsidP="00162BF5">
      <w:pPr>
        <w:pStyle w:val="Sraopastraipa"/>
        <w:numPr>
          <w:ilvl w:val="0"/>
          <w:numId w:val="55"/>
        </w:numPr>
        <w:ind w:left="709"/>
        <w:jc w:val="both"/>
        <w:rPr>
          <w:rFonts w:ascii="Georgia" w:hAnsi="Georgia"/>
          <w:sz w:val="20"/>
          <w:szCs w:val="20"/>
          <w:lang w:val="lt-LT"/>
        </w:rPr>
      </w:pPr>
      <w:r w:rsidRPr="00C97275">
        <w:rPr>
          <w:rFonts w:ascii="Georgia" w:hAnsi="Georgia"/>
          <w:sz w:val="20"/>
          <w:szCs w:val="20"/>
          <w:lang w:val="lt-LT"/>
        </w:rPr>
        <w:t>fiziniai asmenys (gyventojai), kurie nevykdo jokios ekonominės veiklos, kaip ji yra suprantama ES Teisingumo Teismo praktikoje, tai yra gyventojai, kurie neteikia prekių ar paslaugų už atlygį, nėra laikomi ekonomine veikla vykdančiais ūkio subjektais, todėl jų atžvilgiu negali būti taikomi valstybės pagalbos taisyklių reikalavimai, kadangi nėra vieno iš valstybės pagalbos pripažinimui būtino elemento;</w:t>
      </w:r>
    </w:p>
    <w:p w14:paraId="614364C8" w14:textId="77777777" w:rsidR="00CE5A01" w:rsidRPr="00C97275" w:rsidRDefault="00CE5A01" w:rsidP="00162BF5">
      <w:pPr>
        <w:pStyle w:val="Sraopastraipa"/>
        <w:numPr>
          <w:ilvl w:val="0"/>
          <w:numId w:val="55"/>
        </w:numPr>
        <w:ind w:left="709"/>
        <w:jc w:val="both"/>
        <w:rPr>
          <w:rFonts w:ascii="Georgia" w:hAnsi="Georgia"/>
          <w:sz w:val="20"/>
          <w:szCs w:val="20"/>
          <w:lang w:val="lt-LT"/>
        </w:rPr>
      </w:pPr>
      <w:r w:rsidRPr="00C97275">
        <w:rPr>
          <w:rFonts w:ascii="Georgia" w:hAnsi="Georgia"/>
          <w:sz w:val="20"/>
          <w:szCs w:val="20"/>
          <w:lang w:val="lt-LT"/>
        </w:rPr>
        <w:t>fizinių asmenų (gyventojų), kurie vykdo ekonominę veiklą, atžvilgiu turi būti taikomi valstybės pagalbos teikimo taisyklių reikalavimai, jeigu yra nustatyti visi kiti valstybės pagalbos požymiai;</w:t>
      </w:r>
    </w:p>
    <w:p w14:paraId="717E3BEC" w14:textId="77777777" w:rsidR="00CE5A01" w:rsidRPr="00C97275" w:rsidRDefault="00CE5A01" w:rsidP="00162BF5">
      <w:pPr>
        <w:pStyle w:val="Sraopastraipa"/>
        <w:numPr>
          <w:ilvl w:val="0"/>
          <w:numId w:val="55"/>
        </w:numPr>
        <w:ind w:left="709"/>
        <w:jc w:val="both"/>
        <w:rPr>
          <w:rFonts w:ascii="Georgia" w:hAnsi="Georgia"/>
          <w:sz w:val="20"/>
          <w:szCs w:val="20"/>
          <w:lang w:val="lt-LT"/>
        </w:rPr>
      </w:pPr>
      <w:r w:rsidRPr="00C97275">
        <w:rPr>
          <w:rFonts w:ascii="Georgia" w:hAnsi="Georgia"/>
          <w:sz w:val="20"/>
          <w:szCs w:val="20"/>
          <w:lang w:val="lt-LT"/>
        </w:rPr>
        <w:t>nustatant, ar juridiniai asmenys, dalyvaujantys finansinės priemonės struktūroje, nepriklausomai nuo to, koks yra jų vaidmuo (vykdytojas, valdytojas, naudos gavėjas, kt.), yra laikytini ekonominę veiklą vykdančiais ūkio subjektais, turi būti vertinamas tik jų vykdomos veiklos pobūdis (ar yra teikiamos prekės/paslaugos rinkoje už atlygį), tačiau neturi būti vertinamas juridinio asmens statusas ar teisinė forma;</w:t>
      </w:r>
    </w:p>
    <w:p w14:paraId="12CDC2D3" w14:textId="77777777" w:rsidR="00CE5A01" w:rsidRPr="00C97275" w:rsidRDefault="00CE5A01" w:rsidP="00162BF5">
      <w:pPr>
        <w:pStyle w:val="Sraopastraipa"/>
        <w:numPr>
          <w:ilvl w:val="0"/>
          <w:numId w:val="55"/>
        </w:numPr>
        <w:ind w:left="709"/>
        <w:jc w:val="both"/>
        <w:rPr>
          <w:rFonts w:ascii="Georgia" w:hAnsi="Georgia"/>
          <w:sz w:val="20"/>
          <w:szCs w:val="20"/>
          <w:lang w:val="lt-LT"/>
        </w:rPr>
      </w:pPr>
      <w:r w:rsidRPr="00C97275">
        <w:rPr>
          <w:rFonts w:ascii="Georgia" w:hAnsi="Georgia"/>
          <w:sz w:val="20"/>
          <w:szCs w:val="20"/>
          <w:lang w:val="lt-LT"/>
        </w:rPr>
        <w:t>finansinės priemonės teikiama nauda gali pasireikšti netiesiogiai, tai yra ne tiems subjektams, kuriems yra skiriami viešieji finansiniai ištekliai</w:t>
      </w:r>
      <w:r w:rsidRPr="00C97275">
        <w:rPr>
          <w:rFonts w:ascii="Georgia" w:hAnsi="Georgia"/>
          <w:lang w:val="lt-LT"/>
        </w:rPr>
        <w:footnoteReference w:id="138"/>
      </w:r>
      <w:r w:rsidRPr="00C97275">
        <w:rPr>
          <w:rFonts w:ascii="Georgia" w:hAnsi="Georgia"/>
          <w:sz w:val="20"/>
          <w:szCs w:val="20"/>
          <w:lang w:val="lt-LT"/>
        </w:rPr>
        <w:t>, o tiems kurie veikia kitame paslaugų teikimo lygmenyje. Tai ypač aktualu tais atvejais, kai numatomos įgyvendinti priemonės valdytojas yra tik tarpininkas, kuris perduoda finansinės priemonės sukuriamą naudą kitiems gavėjams, tačiau pats sau nepasilieka jokios finansinės priemonės teikiamos naudos.</w:t>
      </w:r>
    </w:p>
    <w:p w14:paraId="7AB7D651" w14:textId="77777777" w:rsidR="00CE5A01" w:rsidRPr="00C97275" w:rsidRDefault="00CE5A01" w:rsidP="00CE5A01">
      <w:pPr>
        <w:ind w:left="349"/>
        <w:jc w:val="both"/>
        <w:rPr>
          <w:rFonts w:ascii="Georgia" w:hAnsi="Georgia"/>
          <w:sz w:val="20"/>
          <w:szCs w:val="20"/>
          <w:lang w:val="lt-LT"/>
        </w:rPr>
      </w:pPr>
    </w:p>
    <w:p w14:paraId="79A5CE12" w14:textId="77777777" w:rsidR="00CE5A01" w:rsidRPr="00C97275" w:rsidRDefault="00CE5A01" w:rsidP="00CE5A01">
      <w:pPr>
        <w:pStyle w:val="Antrat2"/>
        <w:numPr>
          <w:ilvl w:val="2"/>
          <w:numId w:val="2"/>
        </w:numPr>
        <w:spacing w:after="240"/>
        <w:ind w:left="709"/>
        <w:rPr>
          <w:rFonts w:ascii="Georgia" w:hAnsi="Georgia"/>
          <w:lang w:val="lt-LT"/>
        </w:rPr>
      </w:pPr>
      <w:bookmarkStart w:id="238" w:name="_Toc25594704"/>
      <w:r w:rsidRPr="00C97275">
        <w:rPr>
          <w:rFonts w:ascii="Georgia" w:hAnsi="Georgia"/>
          <w:lang w:val="lt-LT"/>
        </w:rPr>
        <w:t>Priemonės selektyvumas</w:t>
      </w:r>
      <w:bookmarkEnd w:id="238"/>
    </w:p>
    <w:p w14:paraId="68DF7110"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Siekiant pripažinti tam tikrą priemonę selektyvia, nauda turi atsirasti tik tam tikroms įmonėms, įmonių kategorijoms arba ekonominiams sektoriams. Kitaip tariant, priemonė yra selektyvi, jeigu ne visi ūkio subjektai gali pasinaudoti jos teikiama nauda. Šis vertinimas remiasi ne priemonės aprašymu ar struktūra, bet faktiniu poveikiu rinkai, kuris atsiranda įgyvendinant priemonę, tai yra net tuo atveju, kai priemone teisiniu požiūriu gali pasinaudoti bet kuris ūkio subjektas, priemonė gali būti pripažinta selektyvia dėl faktinių jos įgyvendinimo aplinkybių</w:t>
      </w:r>
      <w:r w:rsidRPr="00C97275">
        <w:rPr>
          <w:rStyle w:val="Puslapioinaosnuoroda"/>
          <w:rFonts w:ascii="Georgia" w:hAnsi="Georgia"/>
          <w:sz w:val="20"/>
          <w:szCs w:val="20"/>
          <w:lang w:val="lt-LT"/>
        </w:rPr>
        <w:footnoteReference w:id="139"/>
      </w:r>
      <w:r w:rsidRPr="00C97275">
        <w:rPr>
          <w:rFonts w:ascii="Georgia" w:hAnsi="Georgia"/>
          <w:sz w:val="20"/>
          <w:szCs w:val="20"/>
          <w:lang w:val="lt-LT"/>
        </w:rPr>
        <w:t>.</w:t>
      </w:r>
    </w:p>
    <w:p w14:paraId="5F015BA3"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Selektyvumas gali pasireikšti priemonės turiniu (pvz., mokestinės lengvatos taikymas tik investicijoms, kurios viršija tam tikrą finansinę apimtį), taip pat priemonės taikymo administracine tvarka (pvz., kai priemonės vykdytojas/valdytojas turi galimybę įtakoti priemonės įgyvendinimą/pasirinkti naudos gavėjus</w:t>
      </w:r>
      <w:r w:rsidRPr="00C97275">
        <w:rPr>
          <w:rStyle w:val="Puslapioinaosnuoroda"/>
          <w:rFonts w:ascii="Georgia" w:hAnsi="Georgia"/>
          <w:sz w:val="20"/>
          <w:szCs w:val="20"/>
          <w:lang w:val="lt-LT"/>
        </w:rPr>
        <w:footnoteReference w:id="140"/>
      </w:r>
      <w:r w:rsidRPr="00C97275">
        <w:rPr>
          <w:rFonts w:ascii="Georgia" w:hAnsi="Georgia"/>
          <w:sz w:val="20"/>
          <w:szCs w:val="20"/>
          <w:lang w:val="lt-LT"/>
        </w:rPr>
        <w:t>).</w:t>
      </w:r>
    </w:p>
    <w:p w14:paraId="52255A79"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Sudėtingu atveju (kai iš anksto nėra akivaizdus priemonės selektyvus pobūdis), selektyvumas yra nustatomas trimis etapais:</w:t>
      </w:r>
    </w:p>
    <w:p w14:paraId="7E0CC120"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apibūdinamas atskaitos taškas, tai yra nustatoma rinkos situacija bei identifikuojami rinkoje veikiantys ūkio subjektai;</w:t>
      </w:r>
    </w:p>
    <w:p w14:paraId="4A59DB6A"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 xml:space="preserve">nustatoma, ar priemonės praktinis taikymas gali paveikti / nulemti skirtingų rinkos veikėjų </w:t>
      </w:r>
      <w:r w:rsidRPr="00C97275">
        <w:rPr>
          <w:rFonts w:ascii="Georgia" w:hAnsi="Georgia"/>
          <w:sz w:val="20"/>
          <w:szCs w:val="20"/>
          <w:lang w:val="lt-LT"/>
        </w:rPr>
        <w:lastRenderedPageBreak/>
        <w:t>situaciją nevienoda apimtimi. Nesant tokios galimybės, priemonė negali būti pripažinta selektyvia;</w:t>
      </w:r>
    </w:p>
    <w:p w14:paraId="744355D5"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įvertinama, ar priemonės įgyvendinimas ir jos sąlygojamas poveikis gali būti pateisintas veikiančios schemos sistema ir prigimtimi</w:t>
      </w:r>
      <w:r w:rsidRPr="00C97275">
        <w:rPr>
          <w:rFonts w:ascii="Georgia" w:hAnsi="Georgia"/>
          <w:lang w:val="lt-LT"/>
        </w:rPr>
        <w:footnoteReference w:id="141"/>
      </w:r>
      <w:r w:rsidRPr="00C97275">
        <w:rPr>
          <w:rFonts w:ascii="Georgia" w:hAnsi="Georgia"/>
          <w:sz w:val="20"/>
          <w:szCs w:val="20"/>
          <w:lang w:val="lt-LT"/>
        </w:rPr>
        <w:t>.</w:t>
      </w:r>
    </w:p>
    <w:p w14:paraId="5640D4E6" w14:textId="77777777" w:rsidR="00CE5A01" w:rsidRPr="00C97275" w:rsidRDefault="00CE5A01" w:rsidP="00CE5A01">
      <w:pPr>
        <w:widowControl w:val="0"/>
        <w:spacing w:after="0"/>
        <w:jc w:val="both"/>
        <w:rPr>
          <w:rFonts w:ascii="Georgia" w:hAnsi="Georgia"/>
          <w:sz w:val="20"/>
          <w:szCs w:val="20"/>
          <w:lang w:val="lt-LT"/>
        </w:rPr>
      </w:pPr>
    </w:p>
    <w:p w14:paraId="10345399" w14:textId="77777777" w:rsidR="00CE5A01" w:rsidRPr="00C97275" w:rsidRDefault="00CE5A01" w:rsidP="00CE5A01">
      <w:pPr>
        <w:pStyle w:val="Antrat2"/>
        <w:numPr>
          <w:ilvl w:val="2"/>
          <w:numId w:val="2"/>
        </w:numPr>
        <w:spacing w:after="240"/>
        <w:ind w:left="709"/>
        <w:rPr>
          <w:rFonts w:ascii="Georgia" w:hAnsi="Georgia"/>
          <w:lang w:val="lt-LT"/>
        </w:rPr>
      </w:pPr>
      <w:bookmarkStart w:id="239" w:name="_Toc25594705"/>
      <w:r w:rsidRPr="00C97275">
        <w:rPr>
          <w:rFonts w:ascii="Georgia" w:hAnsi="Georgia"/>
          <w:lang w:val="lt-LT"/>
        </w:rPr>
        <w:t>Priemonės poveikis konkurencijai ir (ar) prekybai</w:t>
      </w:r>
      <w:bookmarkEnd w:id="239"/>
    </w:p>
    <w:p w14:paraId="4277D878"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Valstybės finansuojamų ir valdomų selektyvių ūkio subjektams skirtų priemonių įgyvendinimas pagal valstybės pagalbos taisykles yra draudžiamas tik tuo atveju, kai tokie veiksmai paveikia ar gali paveikti konkurenciją bei gali turėti įtakos ES valstybių-narių tarpusavio prekybai.</w:t>
      </w:r>
    </w:p>
    <w:p w14:paraId="0AB83CCD"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Potencialus poveikis konkurencijai yra pripažįstamas tada, kaip priemonės įgyvendinimu yra pagerinama ūkio subjekto (priemonės naudos gavėjo) konkurencinė padėtis rinkoje, lyginant su šio ūkio subjekto konkurentais. Kitaip tariant, praktiniu požiūriu, potencialus poveikis konkurencijai yra pripažįstamas tuo momentu, kai ūkio subjektas gauna finansinį pranašumą iš viešojo sektoriaus, su sąlyga, kad ūkio subjektas veikia rinkoje, kurioje gali vykti konkurencija (gali veiki kiti ūkio subjektai), nepriklausomai nuo to, ar taip iš tikrųjų yra.</w:t>
      </w:r>
    </w:p>
    <w:p w14:paraId="590149B5"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Valstybės pagalbos sampratos požiūriu nėra svarbu, ar poveikis konkurencijai gali būti didelis (ženklus), ar mažareikšmis. Kitaip tariant, mažas poveikis nepanaikina rinkos iškraipymo, išskyrus tuos atvejus, kai tokia prielaida būtų visiškai hipotetinė</w:t>
      </w:r>
      <w:r w:rsidRPr="00C97275">
        <w:rPr>
          <w:rStyle w:val="Puslapioinaosnuoroda"/>
          <w:rFonts w:ascii="Georgia" w:hAnsi="Georgia"/>
          <w:sz w:val="20"/>
          <w:szCs w:val="20"/>
          <w:lang w:val="lt-LT"/>
        </w:rPr>
        <w:footnoteReference w:id="142"/>
      </w:r>
      <w:r w:rsidRPr="00C97275">
        <w:rPr>
          <w:rFonts w:ascii="Georgia" w:hAnsi="Georgia"/>
          <w:sz w:val="20"/>
          <w:szCs w:val="20"/>
          <w:lang w:val="lt-LT"/>
        </w:rPr>
        <w:t xml:space="preserve"> arba poveikis neviršytų pačios Europos Komisijos nustatytų </w:t>
      </w:r>
      <w:r w:rsidRPr="00C97275">
        <w:rPr>
          <w:rFonts w:ascii="Georgia" w:hAnsi="Georgia"/>
          <w:i/>
          <w:sz w:val="20"/>
          <w:szCs w:val="20"/>
          <w:lang w:val="lt-LT"/>
        </w:rPr>
        <w:t>de minimis</w:t>
      </w:r>
      <w:r w:rsidRPr="00C97275">
        <w:rPr>
          <w:rFonts w:ascii="Georgia" w:hAnsi="Georgia"/>
          <w:sz w:val="20"/>
          <w:szCs w:val="20"/>
          <w:lang w:val="lt-LT"/>
        </w:rPr>
        <w:t xml:space="preserve"> ribų. Aktualu, kad Bendrųjų nuostatų reglamento požiūriu, valstybės pagalbos sąvoka apima</w:t>
      </w:r>
      <w:r w:rsidRPr="00C97275">
        <w:rPr>
          <w:rFonts w:ascii="Georgia" w:hAnsi="Georgia"/>
          <w:i/>
          <w:sz w:val="20"/>
          <w:szCs w:val="20"/>
          <w:lang w:val="lt-LT"/>
        </w:rPr>
        <w:t xml:space="preserve"> </w:t>
      </w:r>
      <w:r w:rsidRPr="00C97275">
        <w:rPr>
          <w:rFonts w:ascii="Georgia" w:hAnsi="Georgia"/>
          <w:sz w:val="20"/>
          <w:szCs w:val="20"/>
          <w:lang w:val="lt-LT"/>
        </w:rPr>
        <w:t xml:space="preserve">pagal </w:t>
      </w:r>
      <w:r w:rsidRPr="00C97275">
        <w:rPr>
          <w:rFonts w:ascii="Georgia" w:hAnsi="Georgia"/>
          <w:i/>
          <w:sz w:val="20"/>
          <w:szCs w:val="20"/>
          <w:lang w:val="lt-LT"/>
        </w:rPr>
        <w:t>de minimis</w:t>
      </w:r>
      <w:r w:rsidRPr="00C97275">
        <w:rPr>
          <w:rFonts w:ascii="Georgia" w:hAnsi="Georgia"/>
          <w:sz w:val="20"/>
          <w:szCs w:val="20"/>
          <w:lang w:val="lt-LT"/>
        </w:rPr>
        <w:t xml:space="preserve"> taisykles teikiamą finansavimą</w:t>
      </w:r>
      <w:r w:rsidRPr="00C97275">
        <w:rPr>
          <w:rStyle w:val="Puslapioinaosnuoroda"/>
          <w:rFonts w:ascii="Georgia" w:hAnsi="Georgia"/>
          <w:sz w:val="20"/>
          <w:szCs w:val="20"/>
          <w:lang w:val="lt-LT"/>
        </w:rPr>
        <w:footnoteReference w:id="143"/>
      </w:r>
      <w:r w:rsidRPr="00C97275">
        <w:rPr>
          <w:rFonts w:ascii="Georgia" w:hAnsi="Georgia"/>
          <w:sz w:val="20"/>
          <w:szCs w:val="20"/>
          <w:lang w:val="lt-LT"/>
        </w:rPr>
        <w:t xml:space="preserve">. </w:t>
      </w:r>
    </w:p>
    <w:p w14:paraId="2175784D" w14:textId="77777777" w:rsidR="00CE5A01" w:rsidRPr="00C97275" w:rsidRDefault="00CE5A01" w:rsidP="00CE5A01">
      <w:pPr>
        <w:jc w:val="both"/>
        <w:rPr>
          <w:rFonts w:ascii="Georgia" w:hAnsi="Georgia"/>
          <w:sz w:val="20"/>
          <w:szCs w:val="20"/>
          <w:lang w:val="lt-LT"/>
        </w:rPr>
      </w:pPr>
    </w:p>
    <w:p w14:paraId="3294E9C1" w14:textId="77777777" w:rsidR="00CE5A01" w:rsidRPr="00C97275" w:rsidRDefault="00CE5A01" w:rsidP="00CE5A01">
      <w:pPr>
        <w:pStyle w:val="Antrat2"/>
        <w:numPr>
          <w:ilvl w:val="1"/>
          <w:numId w:val="2"/>
        </w:numPr>
        <w:spacing w:after="240"/>
        <w:ind w:left="709"/>
        <w:rPr>
          <w:rFonts w:ascii="Georgia" w:hAnsi="Georgia"/>
          <w:lang w:val="lt-LT"/>
        </w:rPr>
      </w:pPr>
      <w:bookmarkStart w:id="240" w:name="_Toc25594706"/>
      <w:r w:rsidRPr="00C97275">
        <w:rPr>
          <w:rFonts w:ascii="Georgia" w:hAnsi="Georgia"/>
          <w:lang w:val="lt-LT"/>
        </w:rPr>
        <w:t>Numatomų vykdyti finansinių priemonių apribojimai, susiję su valstybės pagalbos taisyklių reikalavimais</w:t>
      </w:r>
      <w:bookmarkEnd w:id="240"/>
    </w:p>
    <w:p w14:paraId="15D86B68"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Planuojant finansinių priemonių įgyvendinimą, būtina akcentuoti, kad ES valstybė-narė turi teisę pasirinkti konkrečią priemonės struktūrą bei jos įgyvendinimo mechanizmą taip, kad numatoma finansinė priemonė būtų įgyvendinama kaip priemonė:</w:t>
      </w:r>
    </w:p>
    <w:p w14:paraId="2A9D238A"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kuriai nėra taikomos valstybės pagalbos taisyklės;</w:t>
      </w:r>
    </w:p>
    <w:p w14:paraId="696925CB"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kuriai yra taikomos de minimis taisyklės;</w:t>
      </w:r>
    </w:p>
    <w:p w14:paraId="01DBD396"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kuriai yra taikomos bendrosios išimties reglamentų taisyklės;</w:t>
      </w:r>
    </w:p>
    <w:p w14:paraId="6950D81D"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kuri naudoja Europos Komisijos patvirtintas standartines finansinių priemonių sąlygas (off-the-shelf instruments).</w:t>
      </w:r>
    </w:p>
    <w:p w14:paraId="5D7FBA56" w14:textId="77777777" w:rsidR="00CE5A01" w:rsidRPr="00C97275" w:rsidRDefault="00CE5A01" w:rsidP="00162BF5">
      <w:pPr>
        <w:widowControl w:val="0"/>
        <w:numPr>
          <w:ilvl w:val="0"/>
          <w:numId w:val="50"/>
        </w:numPr>
        <w:spacing w:after="0"/>
        <w:jc w:val="both"/>
        <w:rPr>
          <w:rFonts w:ascii="Georgia" w:hAnsi="Georgia"/>
          <w:sz w:val="20"/>
          <w:szCs w:val="20"/>
          <w:lang w:val="lt-LT"/>
        </w:rPr>
      </w:pPr>
      <w:r w:rsidRPr="00C97275">
        <w:rPr>
          <w:rFonts w:ascii="Georgia" w:hAnsi="Georgia"/>
          <w:sz w:val="20"/>
          <w:szCs w:val="20"/>
          <w:lang w:val="lt-LT"/>
        </w:rPr>
        <w:t>pagal kurią yra teikiama valstybės pagalba pagal iš anksto suderintą su Europos Komisiją schemą.</w:t>
      </w:r>
    </w:p>
    <w:p w14:paraId="081C5202" w14:textId="77777777" w:rsidR="00CE5A01" w:rsidRPr="00C97275" w:rsidRDefault="00CE5A01" w:rsidP="00CE5A01">
      <w:pPr>
        <w:widowControl w:val="0"/>
        <w:spacing w:after="0"/>
        <w:ind w:left="720"/>
        <w:jc w:val="both"/>
        <w:rPr>
          <w:rFonts w:ascii="Georgia" w:hAnsi="Georgia"/>
          <w:sz w:val="20"/>
          <w:szCs w:val="20"/>
          <w:lang w:val="lt-LT"/>
        </w:rPr>
      </w:pPr>
    </w:p>
    <w:p w14:paraId="4182C542"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Pažymėtina, kad, valstybės pagalbos teisėtumui užtikrinti tiek Bendrosios išimties reglamentas, tiek Bendrųjų nuostatų reglamentas nustato tam tikras sąlygas, kurių reikia laikytis, jei parama yra </w:t>
      </w:r>
      <w:r w:rsidRPr="00C97275">
        <w:rPr>
          <w:rFonts w:ascii="Georgia" w:hAnsi="Georgia"/>
          <w:sz w:val="20"/>
          <w:szCs w:val="20"/>
          <w:lang w:val="lt-LT"/>
        </w:rPr>
        <w:lastRenderedPageBreak/>
        <w:t xml:space="preserve">teikiama ūkinę veiklą vykdantiems subjektams. Bendrosios išimties reglamento 39 straipsnis tiesiogiai kalba apie pagalbą energijos vartojimo efektyvumo fondui arba finansų tarpininkui, kurie visą naudą perduoda galutiniams pagalbos gavėjams, ar tai būtų savininkai, ar nuomininkai. Tačiau kiekvienu atveju teikiant paramą turi būti įvertinama, ar parama teikiama ūkio subjektui ir ar ji atitinka de minimis valstybės pagalbos arba Bendrosios išimties reglamento sąlygas. Valstybė gali teikti pagalbą ir ne pagal Bendrosios išimties reglamento sąlygas, jei apie tokią pagalbą atskirai praneša Europos Komisijai ir gauna jos sprendimą, kad tokia pagalba yra suderinama su valstybės pagalbos taisyklėmis.  </w:t>
      </w:r>
    </w:p>
    <w:p w14:paraId="50D64719"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Bendrosios išimties reglamento 39 straipsnis, nustatantis investicinės pagalbos pastatų energijos vartojimo efektyvumo projektams sąlygas, numato, kad energijos vartojimo efektyvumui didinti turi būti pritrauktos privačios lėšos, kurios turi sudaryti nemažiau kaip 30 proc. viso energijos vartojimo efektyvumo projektui skiriamo finansavimo. Tai reiškia, kad valstybės parama kiekvienam energijos vartojimo efektyvumo projektui gali sudaryti ne daugiau kaip 70 proc. bendrų projekto išlaidų ir negali viršyti 10 mln. eurų</w:t>
      </w:r>
      <w:r w:rsidRPr="00C97275">
        <w:rPr>
          <w:rStyle w:val="Puslapioinaosnuoroda"/>
          <w:rFonts w:ascii="Georgia" w:hAnsi="Georgia"/>
          <w:sz w:val="20"/>
          <w:szCs w:val="20"/>
          <w:lang w:val="lt-LT"/>
        </w:rPr>
        <w:footnoteReference w:id="144"/>
      </w:r>
      <w:r w:rsidRPr="00C97275">
        <w:rPr>
          <w:rFonts w:ascii="Georgia" w:hAnsi="Georgia"/>
          <w:sz w:val="20"/>
          <w:szCs w:val="20"/>
          <w:lang w:val="lt-LT"/>
        </w:rPr>
        <w:t>. Bendrosios išimties reglamentas neriboja valstybių-narių teisės derinti keletą skirtingų valstybės pagalbos priemonių, pavyzdžiui, subsidijas ir lengvatines paskolas. Tačiau jeigu yra taikomos kelios priemonės, bendra šiomis priemonėmis energijos efektyvumo projektui skiriama valstybės pagalba negali viršyti nustatytos 70 proc. bendrų projekto išlaidų ir 10 mln. eurų</w:t>
      </w:r>
      <w:r w:rsidRPr="00C97275">
        <w:rPr>
          <w:rStyle w:val="Puslapioinaosnuoroda"/>
          <w:rFonts w:ascii="Georgia" w:hAnsi="Georgia"/>
          <w:sz w:val="20"/>
          <w:szCs w:val="20"/>
          <w:lang w:val="lt-LT"/>
        </w:rPr>
        <w:footnoteReference w:id="145"/>
      </w:r>
      <w:r w:rsidRPr="00C97275">
        <w:rPr>
          <w:rFonts w:ascii="Georgia" w:hAnsi="Georgia"/>
          <w:sz w:val="20"/>
          <w:szCs w:val="20"/>
          <w:lang w:val="lt-LT"/>
        </w:rPr>
        <w:t xml:space="preserve"> sumos. </w:t>
      </w:r>
    </w:p>
    <w:p w14:paraId="477266EB"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Pagal bendrą taisyklę valstybės pagalbos nuostatos draudžia dvigubą finansavimą, t.y. tos pačios projekto išlaidos negali būti finansuojamos du kartus pagal skirtingas valstybės pagalbos priemones. Bendrųjų nuostatų reglamento 37 straipsnio 9 dalis numato, kad derinant subsidijomis ir finansinėmis priemonėmis teikiamą finansavimą, galima finansuoti tą patį išlaidų elementą, jei visų derinamų formų paramos suma neviršija visos atitinkamo išlaidų elemento sumos ir jei laikomasi valstybės pagalbos taisyklių. </w:t>
      </w:r>
    </w:p>
    <w:p w14:paraId="0AE3213D"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Aukščiau nurodytos valstybės pagalbos teisėtumo sąlygos turi būti vertinamos priimant sprendimą dėl paramos kiekvieno konkretaus projekto atžvilgiu. Finansinės priemonės vertinimas, siekiant nustatyti valstybės pagalbos požymius, turi būti atliekamas kiekvienos tikslinės grupės atžvilgiu atskirai, kadangi priemonės įgyvendinimo poveikis kiekvienai skirtingai grupei gali būti kitoks. Priklausomai nuo konkretaus subjekto ir jo vykdymo veiklos pobūdžio bei sąlygų, valstybės pagalbos klausimas gali išvis nekilti.</w:t>
      </w:r>
    </w:p>
    <w:p w14:paraId="467EC8CC"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Fondo steigimui reikalingą finansavimą suteikiančios viešosios institucijos</w:t>
      </w:r>
    </w:p>
    <w:p w14:paraId="08EA1753"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Lietuvos Respublikos energetikos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 Tokioms institucijoms teikiama parama paprastai nėra valstybės pagalba.</w:t>
      </w:r>
    </w:p>
    <w:p w14:paraId="178D7D22"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2A063AC0"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Fondo valdytojas</w:t>
      </w:r>
    </w:p>
    <w:p w14:paraId="4C089078"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Pagal numatomą mechanizmą, fondo valdytojas turi būti atskiras juridinis asmuo, teikiantis fondo valdymo paslaugas. Pabrėžtina, kad numatoma fondo valdytojo teisinė forma valstybės pagalbos </w:t>
      </w:r>
      <w:r w:rsidRPr="00C97275">
        <w:rPr>
          <w:rFonts w:ascii="Georgia" w:hAnsi="Georgia"/>
          <w:sz w:val="20"/>
          <w:szCs w:val="20"/>
          <w:lang w:val="lt-LT"/>
        </w:rPr>
        <w:lastRenderedPageBreak/>
        <w:t>požiūriu nėra svarbus veiksnys, kuris nulemtų valstybės pagalbos buvimą (nebuvimą), tačiau atskiro juridinio asmens įsteigimas nulemia didesnį skaidrumą bei atskaitomybę.</w:t>
      </w:r>
    </w:p>
    <w:p w14:paraId="7F9B38B0"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Remiantis Valstybės pagalbos rizikos finansų investicijoms skatinti gairių (toliau – Rizikos finansų gairės) 39 punktu, „</w:t>
      </w:r>
      <w:r w:rsidRPr="00C97275">
        <w:rPr>
          <w:rFonts w:ascii="Georgia" w:hAnsi="Georgia"/>
          <w:i/>
          <w:sz w:val="20"/>
          <w:szCs w:val="20"/>
          <w:lang w:val="lt-LT"/>
        </w:rPr>
        <w:t>jeigu rizikos finansų priemonę valdo įgaliotasis subjektas, bet šis subjektas neinvestuoja kartu su valstybe nare, įgaliotasis subjektas laikomas finansavimo nukreipimo priemone, o ne pagalbos gavėju, jeigu nėra kompensacijos permokos. Tačiau jeigu įgaliotasis subjektas finansuoja priemonę arba investuoja kartu su valstybe nare panašiai kaip finansų tarpininkai, Komisija turės įvertinti, ar įgaliotasis subjektas negauna valstybės pagalbos</w:t>
      </w:r>
      <w:r w:rsidRPr="00C97275">
        <w:rPr>
          <w:rFonts w:ascii="Georgia" w:hAnsi="Georgia"/>
          <w:sz w:val="20"/>
          <w:szCs w:val="20"/>
          <w:lang w:val="lt-LT"/>
        </w:rPr>
        <w:t>.“</w:t>
      </w:r>
    </w:p>
    <w:p w14:paraId="00DAA3C3"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Kitaip tariant, tam, kad fondo valdytojui neiškiltų valstybės pagalbos teikimo grėsmė ir (ar) nebūtų taikomas reikalavimas dėl notifikavimo, yra būtina laikytis šių finansinės priemonės įgyvendinimo sąlygų:</w:t>
      </w:r>
    </w:p>
    <w:p w14:paraId="5EC93200" w14:textId="77777777" w:rsidR="00CE5A01" w:rsidRPr="00C97275" w:rsidRDefault="00CE5A01" w:rsidP="00162BF5">
      <w:pPr>
        <w:pStyle w:val="Sraopastraipa"/>
        <w:numPr>
          <w:ilvl w:val="0"/>
          <w:numId w:val="44"/>
        </w:numPr>
        <w:jc w:val="both"/>
        <w:rPr>
          <w:rFonts w:ascii="Georgia" w:hAnsi="Georgia"/>
          <w:sz w:val="20"/>
          <w:szCs w:val="20"/>
          <w:lang w:val="lt-LT"/>
        </w:rPr>
      </w:pPr>
      <w:r w:rsidRPr="00C97275">
        <w:rPr>
          <w:rFonts w:ascii="Georgia" w:hAnsi="Georgia"/>
          <w:sz w:val="20"/>
          <w:szCs w:val="20"/>
          <w:lang w:val="lt-LT"/>
        </w:rPr>
        <w:t>įgaliotasis subjektas negali investuoti kartu su viešuoju sektoriumi,</w:t>
      </w:r>
    </w:p>
    <w:p w14:paraId="679012C0" w14:textId="77777777" w:rsidR="00CE5A01" w:rsidRPr="00C97275" w:rsidRDefault="00CE5A01" w:rsidP="00162BF5">
      <w:pPr>
        <w:pStyle w:val="Sraopastraipa"/>
        <w:numPr>
          <w:ilvl w:val="0"/>
          <w:numId w:val="44"/>
        </w:numPr>
        <w:jc w:val="both"/>
        <w:rPr>
          <w:rFonts w:ascii="Georgia" w:hAnsi="Georgia"/>
          <w:sz w:val="20"/>
          <w:szCs w:val="20"/>
          <w:lang w:val="lt-LT"/>
        </w:rPr>
      </w:pPr>
      <w:r w:rsidRPr="00C97275">
        <w:rPr>
          <w:rFonts w:ascii="Georgia" w:hAnsi="Georgia"/>
          <w:sz w:val="20"/>
          <w:szCs w:val="20"/>
          <w:lang w:val="lt-LT"/>
        </w:rPr>
        <w:t>kompensacija už teikiamas fondo valdymo paslaugas negali būti per didelė.</w:t>
      </w:r>
    </w:p>
    <w:p w14:paraId="1D2C3282"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Jeigu išpildomos abi sąlygos, valstybės pagalbos rizika yra eliminuojama.</w:t>
      </w:r>
    </w:p>
    <w:p w14:paraId="439A6823" w14:textId="77777777" w:rsidR="00CE5A01" w:rsidRPr="00C97275" w:rsidRDefault="00CE5A01" w:rsidP="00CE5A01">
      <w:pPr>
        <w:pStyle w:val="Sraopastraipa"/>
        <w:ind w:left="0"/>
        <w:jc w:val="both"/>
        <w:rPr>
          <w:rFonts w:ascii="Georgia" w:hAnsi="Georgia"/>
          <w:sz w:val="20"/>
          <w:szCs w:val="20"/>
          <w:lang w:val="lt-LT"/>
        </w:rPr>
      </w:pPr>
      <w:r w:rsidRPr="00C97275">
        <w:rPr>
          <w:rFonts w:ascii="Georgia" w:hAnsi="Georgia"/>
          <w:sz w:val="20"/>
          <w:szCs w:val="20"/>
          <w:lang w:val="lt-LT"/>
        </w:rPr>
        <w:t>Pabrėžtina, kad pagal Rizikos finansų gairių 39 p., jeigu fondo valdytojas suteikia finansavimą priemonei arba investuoja kartu su valstybe kaip finansų tarpininkas, Europos Komisija turės įvertinti, ar įgaliotasis subjektas negauna valstybės pagalbos. Nesant išlygos su nuoroda į kitus Rizikos finansų gairių punktus, pagal kuriuos gali būti laikoma, kad finansiniai tarpininkai negauna valstybės pagalbos, tikėtina, kad fondo valdytojas, vykdantis nurodytą veiklą, turi būti įvertintas Europos Komisijos valstybės pagalbos taisyklių taikymo požiūriu visais atvejais. Dėl šios priežasties, nustatant priemonės taisykles, yra siūloma apriboti fondo valdytojo galimybes suteikti finansavimą numatomai įgyvendinti priemonei.</w:t>
      </w:r>
    </w:p>
    <w:p w14:paraId="1599E86D"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Svarbu, kad fondo valdytoją parinkus atvira, skaidria, nediskriminacine ir objektyvia tvarka, pagal Rizikos finansų gairių 40 p., valstybės pagalba fondo valdytojui nėra teikiama. Tokia pati situacija susidaro, kai fondo valdytojo atlygis visiškai atspindi atitinkamose situacijose mokamus atlygius rinkoje.</w:t>
      </w:r>
    </w:p>
    <w:p w14:paraId="4C764BAE"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Jeigu fondo valdytojas yra viešasis subjektas ir nėra parinktas atvira, skaidria, nediskriminacine ir objektyvia tvarka (pvz., fondo valdytojas buvo paskirtas atskiru teisės aktu), tam, kad fondo valdytojas nebūtų laikomas valstybės pagalbos gavėju (tai yra tam, kad būtų pripažinta atitiktis aukščiau nurodytam </w:t>
      </w:r>
      <w:r w:rsidRPr="00C97275">
        <w:rPr>
          <w:rFonts w:ascii="Georgia" w:hAnsi="Georgia"/>
          <w:i/>
          <w:sz w:val="20"/>
          <w:szCs w:val="20"/>
          <w:lang w:val="lt-LT"/>
        </w:rPr>
        <w:t>b) ii.</w:t>
      </w:r>
      <w:r w:rsidRPr="00C97275">
        <w:rPr>
          <w:rFonts w:ascii="Georgia" w:hAnsi="Georgia"/>
          <w:sz w:val="20"/>
          <w:szCs w:val="20"/>
          <w:lang w:val="lt-LT"/>
        </w:rPr>
        <w:t xml:space="preserve"> punktui), turi būti įvykdytos šios sąlygos:</w:t>
      </w:r>
    </w:p>
    <w:p w14:paraId="714220E2" w14:textId="77777777" w:rsidR="00CE5A01" w:rsidRPr="00C97275" w:rsidRDefault="00CE5A01" w:rsidP="00162BF5">
      <w:pPr>
        <w:pStyle w:val="Sraopastraipa"/>
        <w:numPr>
          <w:ilvl w:val="0"/>
          <w:numId w:val="56"/>
        </w:numPr>
        <w:ind w:left="709"/>
        <w:jc w:val="both"/>
        <w:rPr>
          <w:rFonts w:ascii="Georgia" w:hAnsi="Georgia"/>
          <w:sz w:val="20"/>
          <w:szCs w:val="20"/>
          <w:lang w:val="lt-LT"/>
        </w:rPr>
      </w:pPr>
      <w:r w:rsidRPr="00C97275">
        <w:rPr>
          <w:rFonts w:ascii="Georgia" w:hAnsi="Georgia"/>
          <w:sz w:val="20"/>
          <w:szCs w:val="20"/>
          <w:lang w:val="lt-LT"/>
        </w:rPr>
        <w:t>valdymo mokesčio suma turi būti apribota (turi būti nurodytas maksimalus mokesčio dydis),</w:t>
      </w:r>
    </w:p>
    <w:p w14:paraId="10F473AB" w14:textId="77777777" w:rsidR="00CE5A01" w:rsidRPr="00C97275" w:rsidRDefault="00CE5A01" w:rsidP="00162BF5">
      <w:pPr>
        <w:pStyle w:val="Sraopastraipa"/>
        <w:numPr>
          <w:ilvl w:val="0"/>
          <w:numId w:val="56"/>
        </w:numPr>
        <w:ind w:left="709"/>
        <w:jc w:val="both"/>
        <w:rPr>
          <w:rFonts w:ascii="Georgia" w:hAnsi="Georgia"/>
          <w:sz w:val="20"/>
          <w:szCs w:val="20"/>
          <w:lang w:val="lt-LT"/>
        </w:rPr>
      </w:pPr>
      <w:r w:rsidRPr="00C97275">
        <w:rPr>
          <w:rFonts w:ascii="Georgia" w:hAnsi="Georgia"/>
          <w:sz w:val="20"/>
          <w:szCs w:val="20"/>
          <w:lang w:val="lt-LT"/>
        </w:rPr>
        <w:t>valdymo mokesčio faktinė suma atspindi įprastas rinkos sąlygas,</w:t>
      </w:r>
    </w:p>
    <w:p w14:paraId="0D061A73" w14:textId="77777777" w:rsidR="00CE5A01" w:rsidRPr="00C97275" w:rsidRDefault="00CE5A01" w:rsidP="00162BF5">
      <w:pPr>
        <w:pStyle w:val="Sraopastraipa"/>
        <w:numPr>
          <w:ilvl w:val="0"/>
          <w:numId w:val="56"/>
        </w:numPr>
        <w:ind w:left="709"/>
        <w:jc w:val="both"/>
        <w:rPr>
          <w:rFonts w:ascii="Georgia" w:hAnsi="Georgia"/>
          <w:sz w:val="20"/>
          <w:szCs w:val="20"/>
          <w:lang w:val="lt-LT"/>
        </w:rPr>
      </w:pPr>
      <w:r w:rsidRPr="00C97275">
        <w:rPr>
          <w:rFonts w:ascii="Georgia" w:hAnsi="Georgia"/>
          <w:sz w:val="20"/>
          <w:szCs w:val="20"/>
          <w:lang w:val="lt-LT"/>
        </w:rPr>
        <w:t>valdymo mokestis yra susietas su veiklos rezultatais,</w:t>
      </w:r>
    </w:p>
    <w:p w14:paraId="3E317183" w14:textId="77777777" w:rsidR="00CE5A01" w:rsidRPr="00C97275" w:rsidRDefault="00CE5A01" w:rsidP="00162BF5">
      <w:pPr>
        <w:pStyle w:val="Sraopastraipa"/>
        <w:numPr>
          <w:ilvl w:val="0"/>
          <w:numId w:val="56"/>
        </w:numPr>
        <w:ind w:left="709"/>
        <w:jc w:val="both"/>
        <w:rPr>
          <w:rFonts w:ascii="Georgia" w:hAnsi="Georgia"/>
          <w:sz w:val="20"/>
          <w:szCs w:val="20"/>
          <w:lang w:val="lt-LT"/>
        </w:rPr>
      </w:pPr>
      <w:r w:rsidRPr="00C97275">
        <w:rPr>
          <w:rFonts w:ascii="Georgia" w:hAnsi="Georgia"/>
          <w:sz w:val="20"/>
          <w:szCs w:val="20"/>
          <w:lang w:val="lt-LT"/>
        </w:rPr>
        <w:t>įgaliotasis subjektas turi būti valdomas, remiantis komerciniais principais, tai yra investicijų sprendimai turi būti priimami, siekiant pelno, nepriklausomai nuo valstybės nurodymų. Siekiant užtikrinti atitiktį šiai sąlygai, fondo valdymo reguliuojančiuose dokumentuose turi būti numatytos nuostatos, kurios užtikrintų fondo valdytojo nepriklausomybę nuo galimų valstybės nurodymų,</w:t>
      </w:r>
    </w:p>
    <w:p w14:paraId="09DC903A" w14:textId="77777777" w:rsidR="00CE5A01" w:rsidRPr="00C97275" w:rsidRDefault="00CE5A01" w:rsidP="00162BF5">
      <w:pPr>
        <w:pStyle w:val="Sraopastraipa"/>
        <w:numPr>
          <w:ilvl w:val="0"/>
          <w:numId w:val="56"/>
        </w:numPr>
        <w:ind w:left="709"/>
        <w:jc w:val="both"/>
        <w:rPr>
          <w:rFonts w:ascii="Georgia" w:hAnsi="Georgia"/>
          <w:sz w:val="20"/>
          <w:szCs w:val="20"/>
          <w:lang w:val="lt-LT"/>
        </w:rPr>
      </w:pPr>
      <w:r w:rsidRPr="00C97275">
        <w:rPr>
          <w:rFonts w:ascii="Georgia" w:hAnsi="Georgia"/>
          <w:sz w:val="20"/>
          <w:szCs w:val="20"/>
          <w:lang w:val="lt-LT"/>
        </w:rPr>
        <w:t>fondo valdytojas privalo privačius investuotojus pasirinkti atviro, skaidraus ir nediskriminacinio konkurso tvarka.</w:t>
      </w:r>
    </w:p>
    <w:p w14:paraId="6D95A82E"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Pagal Bendrųjų nuostatų reglamento 38 str. 4 d. b) p., valstybė-narė, pasirinkusi plėtoti specifinius finansinius instrumentus (tai yra nepasirinkusi naudoti standartinių sąlygų (off-the-shelf) instrumentų), gali paskirti įgaliotuoju subjektu Europos investicijų banką (EIB), tarptautinę finansų įstaigą, kurioje valstybė-narė yra kapitalo dalies savininkas, valstybėje-narėje veikiančią finansų įstaigą, kuri siekia viešojo intereso, kontroliuojant viešajam sektoriui, arba kitai įstaigai, kurios veiklą reguliuoja viešoji arba civilinė teisė.</w:t>
      </w:r>
    </w:p>
    <w:p w14:paraId="2161E5DF"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lastRenderedPageBreak/>
        <w:t>Lietuva šiuo metu dalyvauja tik tose tarptautinėse finansų įstaigose, kurios yra laikomos viešaisiais subjektais, todėl pasirinkus šį modelį taip pat turėtų būti laikomasi visų aukščiau nurodytų sąlygų.</w:t>
      </w:r>
    </w:p>
    <w:p w14:paraId="43BC6AE9"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Pasirinkus valstybėje-narėje veikiančią finansų įstaigą, kuri siekia viešojo intereso, kontroliuojant viešajam sektoriui, tačiau pati nėra viešasis subjektas, valstybės pagalbos teikimo rizika būtų eliminuota šiais atvejais:</w:t>
      </w:r>
    </w:p>
    <w:p w14:paraId="2E5E50C0" w14:textId="77777777" w:rsidR="00CE5A01" w:rsidRPr="00C97275" w:rsidRDefault="00CE5A01" w:rsidP="00162BF5">
      <w:pPr>
        <w:pStyle w:val="Sraopastraipa"/>
        <w:numPr>
          <w:ilvl w:val="0"/>
          <w:numId w:val="45"/>
        </w:numPr>
        <w:ind w:hanging="436"/>
        <w:jc w:val="both"/>
        <w:rPr>
          <w:rFonts w:ascii="Georgia" w:hAnsi="Georgia"/>
          <w:sz w:val="20"/>
          <w:szCs w:val="20"/>
          <w:lang w:val="lt-LT"/>
        </w:rPr>
      </w:pPr>
      <w:r w:rsidRPr="00C97275">
        <w:rPr>
          <w:rFonts w:ascii="Georgia" w:hAnsi="Georgia"/>
          <w:sz w:val="20"/>
          <w:szCs w:val="20"/>
          <w:lang w:val="lt-LT"/>
        </w:rPr>
        <w:t>fondo valdytojas parinktas atvira, skaidria, nediskriminacine ir objektyvia tvarka, arba</w:t>
      </w:r>
    </w:p>
    <w:p w14:paraId="734CA300" w14:textId="77777777" w:rsidR="00CE5A01" w:rsidRPr="00C97275" w:rsidRDefault="00CE5A01" w:rsidP="00162BF5">
      <w:pPr>
        <w:pStyle w:val="Sraopastraipa"/>
        <w:numPr>
          <w:ilvl w:val="0"/>
          <w:numId w:val="45"/>
        </w:numPr>
        <w:ind w:hanging="436"/>
        <w:jc w:val="both"/>
        <w:rPr>
          <w:rFonts w:ascii="Georgia" w:hAnsi="Georgia"/>
          <w:sz w:val="20"/>
          <w:szCs w:val="20"/>
          <w:lang w:val="lt-LT"/>
        </w:rPr>
      </w:pPr>
      <w:r w:rsidRPr="00C97275">
        <w:rPr>
          <w:rFonts w:ascii="Georgia" w:hAnsi="Georgia"/>
          <w:sz w:val="20"/>
          <w:szCs w:val="20"/>
          <w:lang w:val="lt-LT"/>
        </w:rPr>
        <w:t>fondo valdytojo atlygis visiškai</w:t>
      </w:r>
      <w:r w:rsidRPr="00C97275">
        <w:rPr>
          <w:rFonts w:ascii="Georgia" w:hAnsi="Georgia"/>
          <w:lang w:val="lt-LT"/>
        </w:rPr>
        <w:t xml:space="preserve"> </w:t>
      </w:r>
      <w:r w:rsidRPr="00C97275">
        <w:rPr>
          <w:rFonts w:ascii="Georgia" w:hAnsi="Georgia"/>
          <w:sz w:val="20"/>
          <w:szCs w:val="20"/>
          <w:lang w:val="lt-LT"/>
        </w:rPr>
        <w:t>atspindi atitinkamose situacijose mokamus atlygius rinkoje.</w:t>
      </w:r>
    </w:p>
    <w:p w14:paraId="5E161B41"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Ekonominiu požiūriu, pasirinkus a) variantą, fondo valdytojo atlygis atitiktų rinkos sąlygas fondo valdytojo atrankos metu, tačiau praėjus tam tikram laikotarpiui, sutarties dėl fondo valdymo nuostatomis reguliuojamas atlygis gali neatitikti rinkos sąlygų. Kita vertus, pasirinkus b) variantą, rinkos galimo iškraipymo požiūriu, fondo valdytojo atlygis nuolat atitiktų rinkos sąlygas, nepaisant to, kad valdytojas nėra parinktas a) punkte nurodytos procedūros pagalba.</w:t>
      </w:r>
    </w:p>
    <w:p w14:paraId="112067F4"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Pasirinkus kitą įstaigą pagal Bendrųjų nuostatų reglamento 38 str. 4 d. c) p., būtų taikomos tos pačios sąlygos, priklausomai nuo to, ar parinktas viešasis subjektas, ar privatus juridinis asmuo. Pabrėžtina, kad kiekvienos finansinės priemonės įgyvendinimas turi tam tikrą specifiką bei reikalauja specifinės patirties, todėl labiausiai šios funkcijos vykdymui tinka ūkio subjektai, kurie jau šiuo metu turi teisę vykdyti tokią veiklą (pvz., UAB „Investicijų ir verslo garantijos“, UAB „Viešųjų investicijų plėtros agentūra“, kredito įstaigos).</w:t>
      </w:r>
    </w:p>
    <w:p w14:paraId="2340BF3A"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Vadovaujantis Rizikos kapitalo gairių nuostatas, siūloma, kad fondo valdymo mokesčiui būtų nustatyti šie apribojimai:</w:t>
      </w:r>
    </w:p>
    <w:p w14:paraId="05F4E7C5" w14:textId="77777777" w:rsidR="00CE5A01" w:rsidRPr="00C97275" w:rsidRDefault="00CE5A01" w:rsidP="00162BF5">
      <w:pPr>
        <w:pStyle w:val="Sraopastraipa"/>
        <w:numPr>
          <w:ilvl w:val="0"/>
          <w:numId w:val="57"/>
        </w:numPr>
        <w:ind w:left="709" w:hanging="425"/>
        <w:jc w:val="both"/>
        <w:rPr>
          <w:rFonts w:ascii="Georgia" w:hAnsi="Georgia"/>
          <w:sz w:val="20"/>
          <w:szCs w:val="20"/>
          <w:lang w:val="lt-LT"/>
        </w:rPr>
      </w:pPr>
      <w:r w:rsidRPr="00C97275">
        <w:rPr>
          <w:rFonts w:ascii="Georgia" w:hAnsi="Georgia"/>
          <w:sz w:val="20"/>
          <w:szCs w:val="20"/>
          <w:lang w:val="lt-LT"/>
        </w:rPr>
        <w:t>valdymo mokesčio suma turi būti apribota (turi būti nurodytas maksimalus mokesčio dydis). Pagal Rizikos kapitalo gairių 148 p., metinė valdymo mokesčio suma neturi viršyti 3 % viso fondo valdytojui patikėto kapitalo, išskyrus valdymo mokesčio dalį, kuri yra susijusi su veiklos rezultatais.</w:t>
      </w:r>
    </w:p>
    <w:p w14:paraId="1F6C1FEC" w14:textId="77777777" w:rsidR="00CE5A01" w:rsidRPr="00C97275" w:rsidRDefault="00CE5A01" w:rsidP="00162BF5">
      <w:pPr>
        <w:pStyle w:val="Sraopastraipa"/>
        <w:numPr>
          <w:ilvl w:val="0"/>
          <w:numId w:val="57"/>
        </w:numPr>
        <w:ind w:left="709" w:hanging="425"/>
        <w:jc w:val="both"/>
        <w:rPr>
          <w:rFonts w:ascii="Georgia" w:hAnsi="Georgia"/>
          <w:sz w:val="20"/>
          <w:szCs w:val="20"/>
          <w:lang w:val="lt-LT"/>
        </w:rPr>
      </w:pPr>
      <w:r w:rsidRPr="00C97275">
        <w:rPr>
          <w:rFonts w:ascii="Georgia" w:hAnsi="Georgia"/>
          <w:sz w:val="20"/>
          <w:szCs w:val="20"/>
          <w:lang w:val="lt-LT"/>
        </w:rPr>
        <w:t>valdymo mokesčio faktinė suma turi nuolat atspindėti įprastas rinkos sąlygas. Tam, kad būtų vykdoma ši sąlyga, siūloma įpareigoti fondo valdytoją kas pusmetį atlikti rinkos sąlygų analizę bei pateikti valdymo mokesčio dydžio apskaičiavimo pagrindimo dokumentus. Bendra mokesčio metinė suma negali viršyti veiklos ir valdymo išlaidų, kurių suma gali būti padidinama pagrįstu pelno maržos dydžiu, atitinkančiu rinkos sąlygas.</w:t>
      </w:r>
    </w:p>
    <w:p w14:paraId="121172C9" w14:textId="77777777" w:rsidR="00CE5A01" w:rsidRPr="00C97275" w:rsidRDefault="00CE5A01" w:rsidP="00162BF5">
      <w:pPr>
        <w:pStyle w:val="Sraopastraipa"/>
        <w:numPr>
          <w:ilvl w:val="0"/>
          <w:numId w:val="57"/>
        </w:numPr>
        <w:ind w:left="709" w:hanging="425"/>
        <w:jc w:val="both"/>
        <w:rPr>
          <w:rFonts w:ascii="Georgia" w:hAnsi="Georgia"/>
          <w:sz w:val="20"/>
          <w:szCs w:val="20"/>
          <w:lang w:val="lt-LT"/>
        </w:rPr>
      </w:pPr>
      <w:r w:rsidRPr="00C97275">
        <w:rPr>
          <w:rFonts w:ascii="Georgia" w:hAnsi="Georgia"/>
          <w:sz w:val="20"/>
          <w:szCs w:val="20"/>
          <w:lang w:val="lt-LT"/>
        </w:rPr>
        <w:t>valdymo mokestis negali būti skirtas padengti investicijų išlaidas.</w:t>
      </w:r>
    </w:p>
    <w:p w14:paraId="426D3886" w14:textId="77777777" w:rsidR="00CE5A01" w:rsidRPr="00C97275" w:rsidRDefault="00CE5A01" w:rsidP="00162BF5">
      <w:pPr>
        <w:pStyle w:val="Sraopastraipa"/>
        <w:numPr>
          <w:ilvl w:val="0"/>
          <w:numId w:val="57"/>
        </w:numPr>
        <w:ind w:left="709" w:hanging="425"/>
        <w:jc w:val="both"/>
        <w:rPr>
          <w:rFonts w:ascii="Georgia" w:hAnsi="Georgia"/>
          <w:sz w:val="20"/>
          <w:szCs w:val="20"/>
          <w:lang w:val="lt-LT"/>
        </w:rPr>
      </w:pPr>
      <w:r w:rsidRPr="00C97275">
        <w:rPr>
          <w:rFonts w:ascii="Georgia" w:hAnsi="Georgia"/>
          <w:sz w:val="20"/>
          <w:szCs w:val="20"/>
          <w:lang w:val="lt-LT"/>
        </w:rPr>
        <w:t xml:space="preserve">valdymo mokestis yra susietas su veiklos rezultatais. Valdymo mokesčio dalis, kurios dydis priklauso nuo veiklos rezultatų, turi būti pakankamai reikšminga tam, kad paskatintų įgaliotąjį subjektą pasiekti politikos tikslus bei užtikrintų efektyvią ūkio subjektų, į kuriuos yra investuojama, atranką. Kitaip tariant, valdymo mokestis turi apimti ne tik finansinio instrumento lėšų paskirstymą bei pritraukto privataus kapitalo dydį, bet ir investicijų grąžos sėkmingumą, kuri yra nustatoma pagal tai, kiek yra viršijama minimali grąžos ar pelningumo norma. </w:t>
      </w:r>
    </w:p>
    <w:p w14:paraId="731E4CA9"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6C6FE362"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Privatūs instituciniai bei profesionalūs investuotojai</w:t>
      </w:r>
    </w:p>
    <w:p w14:paraId="1B730756"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Pagal numatomą mechanizmą, valstybė dalyvaus fondo steigime ir valdyme pagal parri pasu principą, tai yra užtikrindama, kad investuotojams nėra suteikiamas ekonominis pranašumas dėl ekonominės veiklos įgyvendinimo:</w:t>
      </w:r>
    </w:p>
    <w:p w14:paraId="26ED34E7" w14:textId="77777777" w:rsidR="00CE5A01" w:rsidRPr="00C97275" w:rsidRDefault="00CE5A01" w:rsidP="00CE5A01">
      <w:pPr>
        <w:ind w:firstLine="426"/>
        <w:jc w:val="both"/>
        <w:rPr>
          <w:rFonts w:ascii="Georgia" w:hAnsi="Georgia"/>
          <w:sz w:val="20"/>
          <w:szCs w:val="20"/>
          <w:lang w:val="lt-LT"/>
        </w:rPr>
      </w:pPr>
      <w:r w:rsidRPr="00C97275">
        <w:rPr>
          <w:rFonts w:ascii="Georgia" w:hAnsi="Georgia"/>
          <w:sz w:val="20"/>
          <w:szCs w:val="20"/>
          <w:lang w:val="lt-LT"/>
        </w:rPr>
        <w:t>a)</w:t>
      </w:r>
      <w:r w:rsidRPr="00C97275">
        <w:rPr>
          <w:rFonts w:ascii="Georgia" w:hAnsi="Georgia"/>
          <w:sz w:val="20"/>
          <w:szCs w:val="20"/>
          <w:lang w:val="lt-LT"/>
        </w:rPr>
        <w:tab/>
        <w:t>viešajai ir privačiai investicijai taikomos tos pačios sąlygos,</w:t>
      </w:r>
    </w:p>
    <w:p w14:paraId="75134068" w14:textId="77777777" w:rsidR="00CE5A01" w:rsidRPr="00C97275" w:rsidRDefault="00CE5A01" w:rsidP="00CE5A01">
      <w:pPr>
        <w:ind w:firstLine="426"/>
        <w:jc w:val="both"/>
        <w:rPr>
          <w:rFonts w:ascii="Georgia" w:hAnsi="Georgia"/>
          <w:sz w:val="20"/>
          <w:szCs w:val="20"/>
          <w:lang w:val="lt-LT"/>
        </w:rPr>
      </w:pPr>
      <w:r w:rsidRPr="00C97275">
        <w:rPr>
          <w:rFonts w:ascii="Georgia" w:hAnsi="Georgia"/>
          <w:sz w:val="20"/>
          <w:szCs w:val="20"/>
          <w:lang w:val="lt-LT"/>
        </w:rPr>
        <w:t>b)</w:t>
      </w:r>
      <w:r w:rsidRPr="00C97275">
        <w:rPr>
          <w:rFonts w:ascii="Georgia" w:hAnsi="Georgia"/>
          <w:sz w:val="20"/>
          <w:szCs w:val="20"/>
          <w:lang w:val="lt-LT"/>
        </w:rPr>
        <w:tab/>
        <w:t>investicijos atliekamos vienu metu, ir</w:t>
      </w:r>
    </w:p>
    <w:p w14:paraId="7E9AC259" w14:textId="77777777" w:rsidR="00CE5A01" w:rsidRPr="00C97275" w:rsidRDefault="00CE5A01" w:rsidP="00CE5A01">
      <w:pPr>
        <w:ind w:firstLine="426"/>
        <w:jc w:val="both"/>
        <w:rPr>
          <w:rFonts w:ascii="Georgia" w:hAnsi="Georgia"/>
          <w:sz w:val="20"/>
          <w:szCs w:val="20"/>
          <w:lang w:val="lt-LT"/>
        </w:rPr>
      </w:pPr>
      <w:r w:rsidRPr="00C97275">
        <w:rPr>
          <w:rFonts w:ascii="Georgia" w:hAnsi="Georgia"/>
          <w:sz w:val="20"/>
          <w:szCs w:val="20"/>
          <w:lang w:val="lt-LT"/>
        </w:rPr>
        <w:lastRenderedPageBreak/>
        <w:t>c)</w:t>
      </w:r>
      <w:r w:rsidRPr="00C97275">
        <w:rPr>
          <w:rFonts w:ascii="Georgia" w:hAnsi="Georgia"/>
          <w:sz w:val="20"/>
          <w:szCs w:val="20"/>
          <w:lang w:val="lt-LT"/>
        </w:rPr>
        <w:tab/>
        <w:t>privačių partnerių investicijos turi didelę ekonominę reikšmę</w:t>
      </w:r>
    </w:p>
    <w:p w14:paraId="121ED82E"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Laikytina, kad tos pačios sąlygos yra taikomos viešajai ir privačiajai investicijai, jeigu abu subjektai prisiima tokias pačias rizikas ir naudą to paties finansinio instrumento atžvilgiu (arba viešasis subjektas yra geresnėje pozicijoje privataus subjekto atžvilgiu). Esant šioms sąlygoms pagal Rizikos kapitalo gairių 31 p., laikytina, kad tokios investicijos atitinka rinkos investuotojo principą bei nepažeidžia valstybės pagalbos teikimo reikalavimų.</w:t>
      </w:r>
    </w:p>
    <w:p w14:paraId="44581C53"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viso projektui suteikto finansavimo.</w:t>
      </w:r>
    </w:p>
    <w:p w14:paraId="03437E2A"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Nusprendus taikyti kitokias/papildomas priemones, kurios paskatintų privačių investuotojų aktyvesnį dalyvavimą fondo veikloje, turi būti atliktas papildomas vertinimas valstybės pagalbos požiūriu.</w:t>
      </w:r>
    </w:p>
    <w:p w14:paraId="4F4BB4D9"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ESCO įmonės funkcijas vykdantys ūkio subjektai</w:t>
      </w:r>
    </w:p>
    <w:p w14:paraId="2665CD64"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ESCO įmonė, pagal numatomą įgyvendinti mechanizmą, yra atskiras juridinis asmuo, kurio paskirtis yra užtikrinti savalaikį investicijų atlikimą, bei gauti mokėjimus už atliktas investicijas iš centrinės valdžios pastato renovacijos projektą įgyvendinančio juridinio asmens.</w:t>
      </w:r>
    </w:p>
    <w:p w14:paraId="2A8536AB"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Taip pat numatoma, kad ESCO įmonė gaus lengvatinę paskolą, kurios tikslinė paskirtis yra renovacijos projekto įgyvendinimas. Kitaip tariant, ESCO įmonė negali gauti naudos iš suteikiamos paskolos, todėl ESCO įmonė negali būti laikoma investuotoju. Kita vertus, ESCO įmonė šiuo atveju atlieka finansinio tarpininko vaidmenį, o už suteikiamas paslaugas gauna valdymo mokestį.</w:t>
      </w:r>
    </w:p>
    <w:p w14:paraId="538F0095"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Kitaip tariant, taikytini Rizikos finansų gairių 40 p. (ESCO įmonės parinkimas atvira, skaidria, nediskriminacine ir objektyvia tvarka), 143-145 p. (valdymo mokesčio suma, atitinkanti rinkos situaciją).</w:t>
      </w:r>
    </w:p>
    <w:p w14:paraId="30163264" w14:textId="77777777" w:rsidR="00CE5A01" w:rsidRPr="00C97275" w:rsidRDefault="00CE5A01" w:rsidP="00CE5A01">
      <w:pPr>
        <w:pStyle w:val="Sraopastraipa"/>
        <w:ind w:left="0"/>
        <w:jc w:val="both"/>
        <w:rPr>
          <w:rFonts w:ascii="Georgia" w:hAnsi="Georgia"/>
          <w:sz w:val="20"/>
          <w:szCs w:val="20"/>
          <w:lang w:val="lt-LT"/>
        </w:rPr>
      </w:pPr>
      <w:r w:rsidRPr="00C97275">
        <w:rPr>
          <w:rFonts w:ascii="Georgia" w:hAnsi="Georgia"/>
          <w:sz w:val="20"/>
          <w:szCs w:val="20"/>
          <w:lang w:val="lt-LT"/>
        </w:rPr>
        <w:t>Atsižvelgiant į Komisijos pranešimo dėl EB sutarties 87 ir 88 straipsnių taikymo garantijomis suteikiamai valstybės pagalbai 2.2 p., turėtų būti akcentuota, kad, nepaisant to, kad garantija yra suteikiama ESCO įmonės paimtai paskolai, visa nauda, susijusi su šios paskolos ir garantijos gavimu, tenka galutiniam naudos gavėjui, kadangi ESCO įmonė atlieka tik finansinio tarpininko vaidmenį.</w:t>
      </w:r>
    </w:p>
    <w:p w14:paraId="5E97ED22" w14:textId="77777777" w:rsidR="00CE5A01" w:rsidRPr="00C97275" w:rsidRDefault="00CE5A01" w:rsidP="00CE5A01">
      <w:pPr>
        <w:pStyle w:val="Sraopastraipa"/>
        <w:ind w:left="0"/>
        <w:jc w:val="both"/>
        <w:rPr>
          <w:rFonts w:ascii="Georgia" w:hAnsi="Georgia"/>
          <w:sz w:val="20"/>
          <w:szCs w:val="20"/>
          <w:lang w:val="lt-LT"/>
        </w:rPr>
      </w:pPr>
      <w:r w:rsidRPr="00C97275">
        <w:rPr>
          <w:rFonts w:ascii="Georgia" w:hAnsi="Georgia"/>
          <w:sz w:val="20"/>
          <w:szCs w:val="20"/>
          <w:lang w:val="lt-LT"/>
        </w:rPr>
        <w:t>.</w:t>
      </w:r>
    </w:p>
    <w:p w14:paraId="05712425"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Įvykdžius aukščiau nurodytas sąlygas, laikytina, kad ESCO įmonė nėra valstybės pagalbos gavėjas, kadangi jai nebūtų suteikiamas ekonominis pranašumas.</w:t>
      </w:r>
    </w:p>
    <w:p w14:paraId="60845D68"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Finansiniai tarpininkai</w:t>
      </w:r>
    </w:p>
    <w:p w14:paraId="510040F0"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14:paraId="11C80F15"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 į iš anksto nustatytus atskirus finansų tarpininkus. Kitaip tariant, priemonės mechanizmas negali būti susijęs su atskirais finansų tarpininkais.</w:t>
      </w:r>
    </w:p>
    <w:p w14:paraId="42F74E94"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Finansinius tarpininkus parinkus atvira, skaidria, nediskriminacine ir objektyvia tvarka, pagal Rizikos finansų gairių 40 p., valstybės pagalba šiems tarpininkams nėra teikiama.</w:t>
      </w:r>
    </w:p>
    <w:p w14:paraId="248E5537"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lastRenderedPageBreak/>
        <w:t>Pabrėžtina, kad teikiant lengvatines paskolas per finansų tarpininką, būtina laikytis Europos Komisijos komunikato dėl orientacinių ir diskonto normų nustatymo metodo pakeitimo reikalavimų, tai yra laikytis bazinės normos bei maržos kitimo ribų, priklausomai nuo įmonės naudos gavėjos reitingo ir įkeičiamo turto .</w:t>
      </w:r>
    </w:p>
    <w:p w14:paraId="0367E378" w14:textId="77777777" w:rsidR="00CE5A01" w:rsidRPr="00C97275" w:rsidRDefault="00CE5A01" w:rsidP="00CE5A01">
      <w:pPr>
        <w:pStyle w:val="Sraopastraipa"/>
        <w:ind w:left="0"/>
        <w:jc w:val="both"/>
        <w:rPr>
          <w:rFonts w:ascii="Georgia" w:hAnsi="Georgia"/>
          <w:sz w:val="20"/>
          <w:szCs w:val="20"/>
          <w:lang w:val="lt-LT"/>
        </w:rPr>
      </w:pPr>
      <w:r w:rsidRPr="00C97275">
        <w:rPr>
          <w:rFonts w:ascii="Georgia" w:hAnsi="Georgia"/>
          <w:sz w:val="20"/>
          <w:szCs w:val="20"/>
          <w:lang w:val="lt-LT"/>
        </w:rPr>
        <w:t>Pabrėžtina, kad teikiant viešosiomis lėšomis užtikrintas garantijas per finansų tarpininką, būtina laikytis Komisijos pranešime dėl EB sutarties 87 ir 88 straipsnių taikymo garantijomis suteikiamai valstybės pagalbai reikalavimų, tai yra būtina įsitikinti, kad naudos gavėjas nėra sunkumus patiriantis ūkio subjektas, o garantijos suma neviršija 80 % paskolos vertės.</w:t>
      </w:r>
    </w:p>
    <w:p w14:paraId="438E26D2" w14:textId="77777777" w:rsidR="00CE5A01" w:rsidRPr="00C97275" w:rsidRDefault="00CE5A01" w:rsidP="00CE5A01">
      <w:pPr>
        <w:pStyle w:val="Sraopastraipa"/>
        <w:ind w:left="0"/>
        <w:jc w:val="both"/>
        <w:rPr>
          <w:rFonts w:ascii="Georgia" w:hAnsi="Georgia"/>
          <w:sz w:val="20"/>
          <w:szCs w:val="20"/>
          <w:lang w:val="lt-LT"/>
        </w:rPr>
      </w:pPr>
      <w:r w:rsidRPr="00C97275">
        <w:rPr>
          <w:rFonts w:ascii="Georgia" w:hAnsi="Georgia"/>
          <w:sz w:val="20"/>
          <w:szCs w:val="20"/>
          <w:lang w:val="lt-LT"/>
        </w:rPr>
        <w:t>Taip pat būtina pažymėti šiuos aspektus:</w:t>
      </w:r>
    </w:p>
    <w:p w14:paraId="3F7410EB" w14:textId="77777777" w:rsidR="00CE5A01" w:rsidRPr="00C97275" w:rsidRDefault="00CE5A01" w:rsidP="00162BF5">
      <w:pPr>
        <w:pStyle w:val="Sraopastraipa"/>
        <w:numPr>
          <w:ilvl w:val="0"/>
          <w:numId w:val="46"/>
        </w:numPr>
        <w:jc w:val="both"/>
        <w:rPr>
          <w:rFonts w:ascii="Georgia" w:hAnsi="Georgia"/>
          <w:sz w:val="20"/>
          <w:szCs w:val="20"/>
          <w:lang w:val="lt-LT"/>
        </w:rPr>
      </w:pPr>
      <w:r w:rsidRPr="00C97275">
        <w:rPr>
          <w:rFonts w:ascii="Georgia" w:hAnsi="Georgia"/>
          <w:sz w:val="20"/>
          <w:szCs w:val="20"/>
          <w:lang w:val="lt-LT"/>
        </w:rPr>
        <w:t>grąžinant paskolos dalis, turi būti peržiūrima ir garantijos suma taip, kad būtų nuolat laikomasi aukščiau nurodyto 80% limito;</w:t>
      </w:r>
    </w:p>
    <w:p w14:paraId="62B9DDE9" w14:textId="77777777" w:rsidR="00CE5A01" w:rsidRPr="00C97275" w:rsidRDefault="00CE5A01" w:rsidP="00162BF5">
      <w:pPr>
        <w:pStyle w:val="Sraopastraipa"/>
        <w:numPr>
          <w:ilvl w:val="0"/>
          <w:numId w:val="46"/>
        </w:numPr>
        <w:jc w:val="both"/>
        <w:rPr>
          <w:rFonts w:ascii="Georgia" w:hAnsi="Georgia"/>
          <w:sz w:val="20"/>
          <w:szCs w:val="20"/>
          <w:lang w:val="lt-LT"/>
        </w:rPr>
      </w:pPr>
      <w:r w:rsidRPr="00C97275">
        <w:rPr>
          <w:rFonts w:ascii="Georgia" w:hAnsi="Georgia"/>
          <w:sz w:val="20"/>
          <w:szCs w:val="20"/>
          <w:lang w:val="lt-LT"/>
        </w:rPr>
        <w:t>garantija turi būti aiškiai susieta su konkrečia paskola ar paskolomis;</w:t>
      </w:r>
    </w:p>
    <w:p w14:paraId="0F832BFC" w14:textId="77777777" w:rsidR="00CE5A01" w:rsidRPr="00C97275" w:rsidRDefault="00CE5A01" w:rsidP="00162BF5">
      <w:pPr>
        <w:pStyle w:val="Sraopastraipa"/>
        <w:numPr>
          <w:ilvl w:val="0"/>
          <w:numId w:val="46"/>
        </w:numPr>
        <w:jc w:val="both"/>
        <w:rPr>
          <w:rFonts w:ascii="Georgia" w:hAnsi="Georgia"/>
          <w:sz w:val="20"/>
          <w:szCs w:val="20"/>
          <w:lang w:val="lt-LT"/>
        </w:rPr>
      </w:pPr>
      <w:r w:rsidRPr="00C97275">
        <w:rPr>
          <w:rFonts w:ascii="Georgia" w:hAnsi="Georgia"/>
          <w:sz w:val="20"/>
          <w:szCs w:val="20"/>
          <w:lang w:val="lt-LT"/>
        </w:rPr>
        <w:t>pagal garantijos sąlygas, valstybei negali būti priskirta pirmojo praradimo riziką, pagal kurią pirmieji netekimai, jeigu negrąžinama paskola, atitektų valstybei;</w:t>
      </w:r>
    </w:p>
    <w:p w14:paraId="363B0B16" w14:textId="77777777" w:rsidR="00CE5A01" w:rsidRPr="00C97275" w:rsidRDefault="00CE5A01" w:rsidP="00162BF5">
      <w:pPr>
        <w:pStyle w:val="Sraopastraipa"/>
        <w:numPr>
          <w:ilvl w:val="0"/>
          <w:numId w:val="46"/>
        </w:numPr>
        <w:jc w:val="both"/>
        <w:rPr>
          <w:rFonts w:ascii="Georgia" w:hAnsi="Georgia"/>
          <w:sz w:val="20"/>
          <w:szCs w:val="20"/>
          <w:lang w:val="lt-LT"/>
        </w:rPr>
      </w:pPr>
      <w:r w:rsidRPr="00C97275">
        <w:rPr>
          <w:rFonts w:ascii="Georgia" w:hAnsi="Georgia"/>
          <w:sz w:val="20"/>
          <w:szCs w:val="20"/>
          <w:lang w:val="lt-LT"/>
        </w:rPr>
        <w:t>garantijos įmoka turi atitikti rinkos sąlygas, tai yra nustatoma atsižvelgiant į paskolos trukmę, skolininko finansinę situaciją, užstato dydį ir kitus ekonominius veiksnius. Kitaip tariant, vieningos garantijos įmokos nustatymas visoms paskoloms, kurios yra išduodamos pagal įgyvendinamą finansinę priemonę, pažeis valstybės pagalbos teikimo reikalavimus;</w:t>
      </w:r>
    </w:p>
    <w:p w14:paraId="122508BC" w14:textId="77777777" w:rsidR="00CE5A01" w:rsidRPr="00C97275" w:rsidRDefault="00CE5A01" w:rsidP="00162BF5">
      <w:pPr>
        <w:pStyle w:val="Sraopastraipa"/>
        <w:numPr>
          <w:ilvl w:val="0"/>
          <w:numId w:val="46"/>
        </w:numPr>
        <w:jc w:val="both"/>
        <w:rPr>
          <w:rFonts w:ascii="Georgia" w:hAnsi="Georgia"/>
          <w:sz w:val="20"/>
          <w:szCs w:val="20"/>
          <w:lang w:val="lt-LT"/>
        </w:rPr>
      </w:pPr>
      <w:r w:rsidRPr="00C97275">
        <w:rPr>
          <w:rFonts w:ascii="Georgia" w:hAnsi="Georgia"/>
          <w:sz w:val="20"/>
          <w:szCs w:val="20"/>
          <w:lang w:val="lt-LT"/>
        </w:rPr>
        <w:t>vykdant garantijų schemą, turi būti tinkamai atsižvelgta į palūkanų normą, nesusijusią su priimama rizika</w:t>
      </w:r>
      <w:r w:rsidRPr="00C97275">
        <w:rPr>
          <w:rStyle w:val="Puslapioinaosnuoroda"/>
          <w:rFonts w:ascii="Georgia" w:hAnsi="Georgia"/>
          <w:sz w:val="20"/>
          <w:szCs w:val="20"/>
          <w:lang w:val="lt-LT"/>
        </w:rPr>
        <w:footnoteReference w:id="146"/>
      </w:r>
      <w:r w:rsidRPr="00C97275">
        <w:rPr>
          <w:rFonts w:ascii="Georgia" w:hAnsi="Georgia"/>
          <w:sz w:val="20"/>
          <w:szCs w:val="20"/>
          <w:lang w:val="lt-LT"/>
        </w:rPr>
        <w:t>.</w:t>
      </w:r>
    </w:p>
    <w:p w14:paraId="31CCE18D" w14:textId="77777777" w:rsidR="00CE5A01" w:rsidRPr="00C97275" w:rsidRDefault="00CE5A01" w:rsidP="00CE5A01">
      <w:pPr>
        <w:jc w:val="both"/>
        <w:rPr>
          <w:rFonts w:ascii="Georgia" w:hAnsi="Georgia"/>
          <w:sz w:val="20"/>
          <w:szCs w:val="20"/>
          <w:lang w:val="lt-LT"/>
        </w:rPr>
      </w:pPr>
    </w:p>
    <w:p w14:paraId="1BF59C1E"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Centrinės valdžios pastatų bei gatvių apšvietimo taškų savininkai/valdytojai</w:t>
      </w:r>
    </w:p>
    <w:p w14:paraId="3872DFB9"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Centrinės valdžios pastatų savininkai/valdytojai yra laikytini juridiniais asmenimis, kurie paprastai nevykdo ekonominės veiklos, tai yra nėra ūkio subjektai valstybės pagalbos taisyklių taikymo požiūriu. </w:t>
      </w:r>
    </w:p>
    <w:p w14:paraId="29FD9838"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Įgyvendinant priemonę, siūloma užtikrinti, kad prieš pradedant įgyvendinti projektą būtų įsitikinta, kad juridinis asmuo nevykdo ekonominės veiklos, kadangi priešingu atveju gali atsirasti valstybės pagalbos rizika.</w:t>
      </w:r>
    </w:p>
    <w:p w14:paraId="00C57849"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Centrinės valdžios pastatuose įsikūrę ir paslaugas teikiantys ūkio subjektai</w:t>
      </w:r>
    </w:p>
    <w:p w14:paraId="32A43720"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Centrinės valdžios pastatuose įsikūrę ir paslaugas teikiantys ūkio subjektai laikytini ekonominę veiklą vykdančiais ūkio subjektais valstybės pagalbos taisyklių požiūriu, tai yra centrinės valdžios pastato renovacijos projekto dėka sumažėtų šių asmenų įprastinės veiklos sąnaudos, kas yra laikytina ekonominiu pranašumu, todėl šių asmenų atžvilgiu turi būti atliktas priemonės įgyvendinimo suderinamumo vertinimas. Išimtimi yra laikytini tie atvejai, kai šiems ūkio subjektams numatyta nuomos kaina nepriklauso nuo patiriamų sąnaudų, kadangi tokiu atveju nebūtų suteikiamas ekonominis pranašumas, tačiau valstybės pagalbos atsiradimo rizika priklauso nuo faktinio priemonės įgyvendinimo poveikio ūkio subjektų veiklai. Labiausiai tikėtina, kad nuomos kaina net ir nagrinėjamu atveju bus peržiūrėta, įgyvendinus projektą, todėl vertinamas bendrasis atvejis, atliekant suderinamumo vertinimą.</w:t>
      </w:r>
    </w:p>
    <w:p w14:paraId="60E39FB7" w14:textId="77777777" w:rsidR="00CE5A01" w:rsidRPr="00C97275" w:rsidRDefault="00CE5A01" w:rsidP="00CE5A01">
      <w:pPr>
        <w:pStyle w:val="Sraopastraipa"/>
        <w:keepNext/>
        <w:ind w:left="0"/>
        <w:jc w:val="both"/>
        <w:rPr>
          <w:rFonts w:ascii="Georgia" w:hAnsi="Georgia"/>
          <w:b/>
          <w:sz w:val="20"/>
          <w:szCs w:val="20"/>
          <w:lang w:val="lt-LT"/>
        </w:rPr>
      </w:pPr>
      <w:r w:rsidRPr="00C97275">
        <w:rPr>
          <w:rFonts w:ascii="Georgia" w:hAnsi="Georgia"/>
          <w:b/>
          <w:sz w:val="20"/>
          <w:szCs w:val="20"/>
          <w:lang w:val="lt-LT"/>
        </w:rPr>
        <w:lastRenderedPageBreak/>
        <w:t>Komerciniai bankai ar kitos kredito įstaigos</w:t>
      </w:r>
    </w:p>
    <w:p w14:paraId="177313B3" w14:textId="77777777" w:rsidR="00CE5A01" w:rsidRPr="00C97275" w:rsidRDefault="00CE5A01" w:rsidP="00CE5A01">
      <w:pPr>
        <w:pStyle w:val="Sraopastraipa"/>
        <w:keepNext/>
        <w:ind w:left="0"/>
        <w:jc w:val="both"/>
        <w:rPr>
          <w:rFonts w:ascii="Georgia" w:hAnsi="Georgia"/>
          <w:sz w:val="20"/>
          <w:szCs w:val="20"/>
          <w:lang w:val="lt-LT"/>
        </w:rPr>
      </w:pPr>
    </w:p>
    <w:p w14:paraId="34C77E83" w14:textId="77777777" w:rsidR="00CE5A01" w:rsidRPr="00C97275" w:rsidRDefault="00CE5A01" w:rsidP="00CE5A01">
      <w:pPr>
        <w:pStyle w:val="Sraopastraipa"/>
        <w:keepNext/>
        <w:ind w:left="0"/>
        <w:jc w:val="both"/>
        <w:rPr>
          <w:rFonts w:ascii="Georgia" w:hAnsi="Georgia"/>
          <w:sz w:val="20"/>
          <w:szCs w:val="20"/>
          <w:lang w:val="lt-LT"/>
        </w:rPr>
      </w:pPr>
      <w:r w:rsidRPr="00C97275">
        <w:rPr>
          <w:rFonts w:ascii="Georgia" w:hAnsi="Georgia"/>
          <w:sz w:val="20"/>
          <w:szCs w:val="20"/>
          <w:lang w:val="lt-LT"/>
        </w:rPr>
        <w:t>Pagal numatomą įgyvendinti mechanizmą, kredito įstaigos dalyvaus finansinės priemonės įgyvendinime, teikiant paskolas rinkos sąlygomis galutiniams naudos gavėjams (gatvių apšvietimo taškų savininkams/valdytojams) arba ESCO įmonei, kuri perteikia naudą galutiniam gavėjui.</w:t>
      </w:r>
    </w:p>
    <w:p w14:paraId="644D422D" w14:textId="77777777" w:rsidR="00CE5A01" w:rsidRPr="00C97275" w:rsidRDefault="00CE5A01" w:rsidP="00CE5A01">
      <w:pPr>
        <w:jc w:val="both"/>
        <w:rPr>
          <w:rFonts w:ascii="Georgia" w:hAnsi="Georgia"/>
          <w:b/>
          <w:sz w:val="20"/>
          <w:szCs w:val="20"/>
          <w:lang w:val="lt-LT"/>
        </w:rPr>
      </w:pPr>
      <w:r w:rsidRPr="00C97275">
        <w:rPr>
          <w:rFonts w:ascii="Georgia" w:hAnsi="Georgia"/>
          <w:sz w:val="20"/>
          <w:szCs w:val="20"/>
          <w:lang w:val="lt-LT"/>
        </w:rPr>
        <w:t>Jeigu yra laikomasi aukščiau nurodytų garantijos suteikimo ir įmokų nustatymo sąlygų, skolintojams neatsiranda nauda dėl finansinės priemonės įgyvendinimo, todėl nėra suteikiamas ir ekonominis pranašumas</w:t>
      </w:r>
    </w:p>
    <w:p w14:paraId="02F0A958" w14:textId="77777777" w:rsidR="00CE5A01" w:rsidRPr="00C97275" w:rsidRDefault="00CE5A01" w:rsidP="00CE5A01">
      <w:pPr>
        <w:jc w:val="both"/>
        <w:rPr>
          <w:rFonts w:ascii="Georgia" w:hAnsi="Georgia"/>
          <w:b/>
          <w:sz w:val="20"/>
          <w:szCs w:val="20"/>
          <w:lang w:val="lt-LT"/>
        </w:rPr>
      </w:pPr>
      <w:r w:rsidRPr="00C97275">
        <w:rPr>
          <w:rFonts w:ascii="Georgia" w:hAnsi="Georgia"/>
          <w:b/>
          <w:sz w:val="20"/>
          <w:szCs w:val="20"/>
          <w:lang w:val="lt-LT"/>
        </w:rPr>
        <w:t>Rangos darbus vykdantys ūkio subjektai</w:t>
      </w:r>
    </w:p>
    <w:p w14:paraId="659D4525"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Pagal numatomą mechanizmą, rangos darbus vykdantys ūkio subjektai bus parenkami Lietuvos Respublikos viešųjų pirkimų įstatymo nustatyta tvarka, tai yra atvira, skaidria, nediskriminacine ir objektyvia tvarka, todėl pagal analogiją taikant Rizikos kapitalo gairių 40 p., valstybės pagalba šiems subjektams nebūtų teikiama, kadangi būtų laikomasi rinkos investuotojo kriterijaus (nesuteikiamas ekonominis pranašumas). </w:t>
      </w:r>
    </w:p>
    <w:p w14:paraId="5D7294C7"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 xml:space="preserve">Apibendrinant analizę pagal tikslines grupes, darytina išvada, kad didžiausia valstybės pagalbos teikimo rizika kyla centrinės valdžios pastatuose įsikūrusių ūkinę-ekonominę veiklą vykdančių subjektų atžvilgiu, taip pat, nesilaikant Rizikos kapitalo gairėse nustatytų reikalavimų ir apribojimų, fondo valdytojo ir finansinių tarpininkų atžvilgiu. </w:t>
      </w:r>
    </w:p>
    <w:p w14:paraId="0FC27C33" w14:textId="77777777" w:rsidR="00CE5A01" w:rsidRPr="00C97275" w:rsidRDefault="00CE5A01" w:rsidP="00CE5A01">
      <w:pPr>
        <w:jc w:val="both"/>
        <w:rPr>
          <w:rFonts w:ascii="Georgia" w:hAnsi="Georgia"/>
          <w:sz w:val="20"/>
          <w:szCs w:val="20"/>
          <w:lang w:val="lt-LT"/>
        </w:rPr>
      </w:pPr>
      <w:r w:rsidRPr="00C97275">
        <w:rPr>
          <w:rFonts w:ascii="Georgia" w:hAnsi="Georgia"/>
          <w:sz w:val="20"/>
          <w:szCs w:val="20"/>
          <w:lang w:val="lt-LT"/>
        </w:rPr>
        <w:t>Tuo atveju, jei identifikuojama valstybės pagalbos teikimo rizika, reikia vertinti, ar parama atitinka de minimis reikalavimus, Bendrosios išimties reglamentą, ir, esant poreikiui, standartines sąlygas (off-the-shelf instrument), atsižvelgiant į priemonės tikslus ir sektorių. Pabrėžtina, kad pasirinkto finansinės priemonės įgyvendinimo būdo ir sandaros vertinimo valstybės pagalbos taisyklių kontekste rezultatai gali pasikeisti, jeigu bus pakeista priemonės sandara (būdas), kas reikalautų papildomai įvertinti pakeitimų įtaką valstybės pagalbos vertinimo rezultatams.</w:t>
      </w:r>
    </w:p>
    <w:p w14:paraId="191FB2BA" w14:textId="41AFDBDF" w:rsidR="00F338B2" w:rsidRPr="00C97275" w:rsidRDefault="00F338B2" w:rsidP="00575FB0">
      <w:pPr>
        <w:pStyle w:val="Antrat2"/>
        <w:numPr>
          <w:ilvl w:val="2"/>
          <w:numId w:val="2"/>
        </w:numPr>
        <w:spacing w:after="240"/>
        <w:ind w:left="709"/>
        <w:rPr>
          <w:rFonts w:ascii="Georgia" w:hAnsi="Georgia"/>
          <w:lang w:val="lt-LT"/>
        </w:rPr>
      </w:pPr>
      <w:bookmarkStart w:id="241" w:name="_Toc25594707"/>
      <w:r w:rsidRPr="00C97275">
        <w:rPr>
          <w:rFonts w:ascii="Georgia" w:hAnsi="Georgia"/>
          <w:lang w:val="lt-LT"/>
        </w:rPr>
        <w:t xml:space="preserve">Daugiabučių </w:t>
      </w:r>
      <w:r w:rsidR="0078047C" w:rsidRPr="00C97275">
        <w:rPr>
          <w:rFonts w:ascii="Georgia" w:hAnsi="Georgia"/>
          <w:lang w:val="lt-LT"/>
        </w:rPr>
        <w:t xml:space="preserve">namų </w:t>
      </w:r>
      <w:r w:rsidRPr="00C97275">
        <w:rPr>
          <w:rFonts w:ascii="Georgia" w:hAnsi="Georgia"/>
          <w:lang w:val="lt-LT"/>
        </w:rPr>
        <w:t>renovacijos finansinių priemonių vertinimas</w:t>
      </w:r>
      <w:bookmarkEnd w:id="241"/>
    </w:p>
    <w:p w14:paraId="3BA79C54" w14:textId="77777777" w:rsidR="009A3A62" w:rsidRPr="00C97275" w:rsidRDefault="009A3A62" w:rsidP="00575FB0">
      <w:pPr>
        <w:jc w:val="both"/>
        <w:rPr>
          <w:rFonts w:ascii="Georgia" w:hAnsi="Georgia"/>
          <w:sz w:val="20"/>
          <w:szCs w:val="20"/>
          <w:lang w:val="lt-LT"/>
        </w:rPr>
      </w:pPr>
      <w:r w:rsidRPr="00C97275">
        <w:rPr>
          <w:rFonts w:ascii="Georgia" w:hAnsi="Georgia"/>
          <w:sz w:val="20"/>
          <w:szCs w:val="20"/>
          <w:lang w:val="lt-LT"/>
        </w:rPr>
        <w:t>Šiame skyriuje nagrinėjama pasirinkta</w:t>
      </w:r>
      <w:r w:rsidR="00575FB0" w:rsidRPr="00C97275">
        <w:rPr>
          <w:rFonts w:ascii="Georgia" w:hAnsi="Georgia"/>
          <w:sz w:val="20"/>
          <w:szCs w:val="20"/>
          <w:lang w:val="lt-LT"/>
        </w:rPr>
        <w:t xml:space="preserve"> daugiabučių </w:t>
      </w:r>
      <w:r w:rsidRPr="00C97275">
        <w:rPr>
          <w:rFonts w:ascii="Georgia" w:hAnsi="Georgia"/>
          <w:sz w:val="20"/>
          <w:szCs w:val="20"/>
          <w:lang w:val="lt-LT"/>
        </w:rPr>
        <w:t>namų renovacijos finansinės priemonės įgyvendinimo</w:t>
      </w:r>
      <w:r w:rsidR="00575FB0" w:rsidRPr="00C97275">
        <w:rPr>
          <w:rFonts w:ascii="Georgia" w:hAnsi="Georgia"/>
          <w:sz w:val="20"/>
          <w:szCs w:val="20"/>
          <w:lang w:val="lt-LT"/>
        </w:rPr>
        <w:t xml:space="preserve"> alternatyva. </w:t>
      </w:r>
    </w:p>
    <w:p w14:paraId="6451536F" w14:textId="282505F4"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Būtina nurodyti, kad:</w:t>
      </w:r>
    </w:p>
    <w:p w14:paraId="1EFAB91F" w14:textId="77777777" w:rsidR="00575FB0" w:rsidRPr="00C97275" w:rsidRDefault="00575FB0" w:rsidP="00575FB0">
      <w:pPr>
        <w:pStyle w:val="Sraopastraipa"/>
        <w:numPr>
          <w:ilvl w:val="0"/>
          <w:numId w:val="163"/>
        </w:numPr>
        <w:ind w:left="709"/>
        <w:jc w:val="both"/>
        <w:rPr>
          <w:rFonts w:ascii="Georgia" w:hAnsi="Georgia"/>
          <w:sz w:val="20"/>
          <w:szCs w:val="20"/>
          <w:lang w:val="lt-LT"/>
        </w:rPr>
      </w:pPr>
      <w:r w:rsidRPr="00C97275">
        <w:rPr>
          <w:rFonts w:ascii="Georgia" w:hAnsi="Georgia"/>
          <w:sz w:val="20"/>
          <w:szCs w:val="20"/>
          <w:lang w:val="lt-LT"/>
        </w:rPr>
        <w:t>Kaip nurodyta 5.1. skyriuje apibūdinant bendruosius valstybės pagalbos požymius, numatomų įgyvendinti finansinių priemonių kontekste išskirtini ir vertintini visi priemonės įgyvendinime dalyvaujantys fiziniai ir juridiniai asmenys, kurie atitinka ūkio subjekto apibrėžimą, tai yra vykdo ekonominę veiklą, tiekdami prekes ir (arba) teikdami paslaugas. Pabrėžtina, kad ūkio subjektu gali būti laikomi keli juridiniai asmenys, o ekonominė veikla gali būti ir nedidelė visos ūkio subjekto vykdomos veiklos (pvz., neekonominės viešojo administravimo veiklos) dalis;</w:t>
      </w:r>
    </w:p>
    <w:p w14:paraId="139C8E0A" w14:textId="77777777" w:rsidR="00575FB0" w:rsidRPr="00C97275" w:rsidRDefault="00575FB0" w:rsidP="00575FB0">
      <w:pPr>
        <w:pStyle w:val="Sraopastraipa"/>
        <w:numPr>
          <w:ilvl w:val="0"/>
          <w:numId w:val="163"/>
        </w:numPr>
        <w:ind w:left="709"/>
        <w:jc w:val="both"/>
        <w:rPr>
          <w:rFonts w:ascii="Georgia" w:hAnsi="Georgia"/>
          <w:sz w:val="20"/>
          <w:szCs w:val="20"/>
          <w:lang w:val="lt-LT"/>
        </w:rPr>
      </w:pPr>
      <w:r w:rsidRPr="00C97275">
        <w:rPr>
          <w:rFonts w:ascii="Georgia" w:hAnsi="Georgia"/>
          <w:sz w:val="20"/>
          <w:szCs w:val="20"/>
          <w:lang w:val="lt-LT"/>
        </w:rPr>
        <w:t>Vertinimas atliekamas tik finansinių priemonių atžvilgiu. Finansinėmis priemonėmis yra laikomos finansinės paramos priemonės, kurios įgyvendinamos remiantis papildomumo principu, siekiant iš anksto apibrėžtų politikos tikslų. Finansinės priemonės gali apimti nuosavo kapitalo investicijas, kvazinuosavo kapitalo investicijas, paskolas, garantijas, taip pat kitas rizikos pasidalinimo priemones. Finansinių priemonių įgyvendinimas gali būti susietas su subsidijų teikimu (negrąžintina subsidija, paskolų palūkanų kompensavimas), tačiau šiame dokumente vertinimas yra atliekamas tik finansinių priemonių atžvilgiu. Kitaip tariant, vertinimas neapima planuojamų subsidijų skyrimo procese dalyvaujančių asmenų ir jiems daromos įtakos.</w:t>
      </w:r>
    </w:p>
    <w:p w14:paraId="7801DCD0" w14:textId="2F622766" w:rsidR="00575FB0" w:rsidRPr="00C97275" w:rsidRDefault="00575FB0" w:rsidP="009A3A62">
      <w:pPr>
        <w:jc w:val="both"/>
        <w:rPr>
          <w:rFonts w:ascii="Georgia" w:hAnsi="Georgia"/>
          <w:sz w:val="20"/>
          <w:szCs w:val="20"/>
          <w:lang w:val="lt-LT"/>
        </w:rPr>
      </w:pPr>
      <w:r w:rsidRPr="00C97275">
        <w:rPr>
          <w:rFonts w:ascii="Georgia" w:hAnsi="Georgia"/>
          <w:sz w:val="20"/>
          <w:szCs w:val="20"/>
          <w:lang w:val="lt-LT"/>
        </w:rPr>
        <w:lastRenderedPageBreak/>
        <w:t xml:space="preserve">Daugiabučių </w:t>
      </w:r>
      <w:r w:rsidR="009A3A62" w:rsidRPr="00C97275">
        <w:rPr>
          <w:rFonts w:ascii="Georgia" w:hAnsi="Georgia"/>
          <w:sz w:val="20"/>
          <w:szCs w:val="20"/>
          <w:lang w:val="lt-LT"/>
        </w:rPr>
        <w:t xml:space="preserve">namų </w:t>
      </w:r>
      <w:r w:rsidRPr="00C97275">
        <w:rPr>
          <w:rFonts w:ascii="Georgia" w:hAnsi="Georgia"/>
          <w:sz w:val="20"/>
          <w:szCs w:val="20"/>
          <w:lang w:val="lt-LT"/>
        </w:rPr>
        <w:t>renovacijai, pagal alternatyvų vertinimo rezultatus, yra pasirinktas lengvatinės paskolos finansinės priemonės bei subsidijos taikymo derinys, steigiant juridinio asmens statusą turintį fondą.</w:t>
      </w:r>
    </w:p>
    <w:p w14:paraId="7A8106D4"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Įgyvendinant priemonę, dalyvauja šie ūkio subjektai:</w:t>
      </w:r>
    </w:p>
    <w:p w14:paraId="42EFE92D" w14:textId="03BB0D2C"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F</w:t>
      </w:r>
      <w:r w:rsidR="00575FB0" w:rsidRPr="00C97275">
        <w:rPr>
          <w:rFonts w:ascii="Georgia" w:hAnsi="Georgia"/>
          <w:sz w:val="20"/>
          <w:szCs w:val="20"/>
          <w:lang w:val="lt-LT"/>
        </w:rPr>
        <w:t>ondo steigimui reikalingą finansavimą suteikiančios bei investiciniame komitete dalyvaujančios viešosios institucijos (Lietuvos Respublikos aplinkos ministerija, Lietuvos Respublikos finansų ministerija);</w:t>
      </w:r>
    </w:p>
    <w:p w14:paraId="08D14E6D" w14:textId="4482D790"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F</w:t>
      </w:r>
      <w:r w:rsidR="00575FB0" w:rsidRPr="00C97275">
        <w:rPr>
          <w:rFonts w:ascii="Georgia" w:hAnsi="Georgia"/>
          <w:sz w:val="20"/>
          <w:szCs w:val="20"/>
          <w:lang w:val="lt-LT"/>
        </w:rPr>
        <w:t>ondo valdytojas, kuris vykdo fondo valdymo investicinio komiteto pavedimus, teikia fondo valdymo paslaugas nurodytoms viešosioms institucijoms ir investuotojams, valdydamas fondą, taip pat gaudamas fondo valdymo mokestį;</w:t>
      </w:r>
    </w:p>
    <w:p w14:paraId="60BA4E5D" w14:textId="09513120"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P</w:t>
      </w:r>
      <w:r w:rsidR="00575FB0" w:rsidRPr="00C97275">
        <w:rPr>
          <w:rFonts w:ascii="Georgia" w:hAnsi="Georgia"/>
          <w:sz w:val="20"/>
          <w:szCs w:val="20"/>
          <w:lang w:val="lt-LT"/>
        </w:rPr>
        <w:t>rivatūs instituciniai bei profesionalūs investuotojai;</w:t>
      </w:r>
    </w:p>
    <w:p w14:paraId="665D2A69" w14:textId="25C344C1"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F</w:t>
      </w:r>
      <w:r w:rsidR="00575FB0" w:rsidRPr="00C97275">
        <w:rPr>
          <w:rFonts w:ascii="Georgia" w:hAnsi="Georgia"/>
          <w:sz w:val="20"/>
          <w:szCs w:val="20"/>
          <w:lang w:val="lt-LT"/>
        </w:rPr>
        <w:t>ondas (kaip atskiras juridinis asmuo);</w:t>
      </w:r>
    </w:p>
    <w:p w14:paraId="1F30FC2D" w14:textId="1110108D"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Į</w:t>
      </w:r>
      <w:r w:rsidR="00575FB0" w:rsidRPr="00C97275">
        <w:rPr>
          <w:rFonts w:ascii="Georgia" w:hAnsi="Georgia"/>
          <w:sz w:val="20"/>
          <w:szCs w:val="20"/>
          <w:lang w:val="lt-LT"/>
        </w:rPr>
        <w:t>gyvendinant priemonę, numatoma galimybė pasitelkti finansinius tarpininkus, kurie vykdytų finansavimo nukreipimo konkretiems projektams funkciją;</w:t>
      </w:r>
    </w:p>
    <w:p w14:paraId="354711C1" w14:textId="6DACAE20"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D</w:t>
      </w:r>
      <w:r w:rsidR="00575FB0" w:rsidRPr="00C97275">
        <w:rPr>
          <w:rFonts w:ascii="Georgia" w:hAnsi="Georgia"/>
          <w:sz w:val="20"/>
          <w:szCs w:val="20"/>
          <w:lang w:val="lt-LT"/>
        </w:rPr>
        <w:t>augiabučių namų bendrijos, taip pat daugiabučių namų administratoriai.</w:t>
      </w:r>
    </w:p>
    <w:p w14:paraId="0280F6ED" w14:textId="006E78F7"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D</w:t>
      </w:r>
      <w:r w:rsidR="00575FB0" w:rsidRPr="00C97275">
        <w:rPr>
          <w:rFonts w:ascii="Georgia" w:hAnsi="Georgia"/>
          <w:sz w:val="20"/>
          <w:szCs w:val="20"/>
          <w:lang w:val="lt-LT"/>
        </w:rPr>
        <w:t>augiabučių namų gyventojai (fiziniai asmenys), taip pat daugiabučių namų butuose įsikūrę juridiniai asmenys;</w:t>
      </w:r>
    </w:p>
    <w:p w14:paraId="288DA576" w14:textId="10773C16" w:rsidR="00575FB0" w:rsidRPr="00C97275" w:rsidRDefault="00351DC3" w:rsidP="00575FB0">
      <w:pPr>
        <w:pStyle w:val="Sraopastraipa"/>
        <w:numPr>
          <w:ilvl w:val="0"/>
          <w:numId w:val="164"/>
        </w:numPr>
        <w:ind w:left="709"/>
        <w:jc w:val="both"/>
        <w:rPr>
          <w:rFonts w:ascii="Georgia" w:hAnsi="Georgia"/>
          <w:sz w:val="20"/>
          <w:szCs w:val="20"/>
          <w:lang w:val="lt-LT"/>
        </w:rPr>
      </w:pPr>
      <w:r w:rsidRPr="00C97275">
        <w:rPr>
          <w:rFonts w:ascii="Georgia" w:hAnsi="Georgia"/>
          <w:sz w:val="20"/>
          <w:szCs w:val="20"/>
          <w:lang w:val="lt-LT"/>
        </w:rPr>
        <w:t>R</w:t>
      </w:r>
      <w:r w:rsidR="00575FB0" w:rsidRPr="00C97275">
        <w:rPr>
          <w:rFonts w:ascii="Georgia" w:hAnsi="Georgia"/>
          <w:sz w:val="20"/>
          <w:szCs w:val="20"/>
          <w:lang w:val="lt-LT"/>
        </w:rPr>
        <w:t>angos darbus vykdantys ūkio subjektai.</w:t>
      </w:r>
    </w:p>
    <w:p w14:paraId="5D115EA8" w14:textId="77777777" w:rsidR="00575FB0" w:rsidRPr="00C97275" w:rsidRDefault="00575FB0" w:rsidP="00575FB0">
      <w:pPr>
        <w:jc w:val="both"/>
        <w:rPr>
          <w:rFonts w:ascii="Georgia" w:hAnsi="Georgia"/>
          <w:sz w:val="20"/>
          <w:szCs w:val="20"/>
          <w:lang w:val="lt-LT"/>
        </w:rPr>
      </w:pPr>
    </w:p>
    <w:p w14:paraId="7E694C1D" w14:textId="77777777" w:rsidR="00575FB0" w:rsidRPr="00C97275" w:rsidRDefault="00575FB0" w:rsidP="00575FB0">
      <w:pPr>
        <w:pStyle w:val="Antrat2"/>
        <w:numPr>
          <w:ilvl w:val="3"/>
          <w:numId w:val="2"/>
        </w:numPr>
        <w:rPr>
          <w:rFonts w:ascii="Georgia" w:hAnsi="Georgia"/>
          <w:lang w:val="lt-LT"/>
        </w:rPr>
      </w:pPr>
      <w:bookmarkStart w:id="242" w:name="_Toc25594708"/>
      <w:r w:rsidRPr="00C97275">
        <w:rPr>
          <w:rFonts w:ascii="Georgia" w:hAnsi="Georgia"/>
          <w:lang w:val="lt-LT"/>
        </w:rPr>
        <w:t>Priemonės įgyvendinimo mechanizmo klasifikavimas</w:t>
      </w:r>
      <w:bookmarkEnd w:id="242"/>
    </w:p>
    <w:p w14:paraId="2899E2C2" w14:textId="77777777" w:rsidR="00575FB0" w:rsidRPr="00C97275" w:rsidRDefault="00575FB0" w:rsidP="00575FB0">
      <w:pPr>
        <w:jc w:val="both"/>
        <w:rPr>
          <w:rFonts w:ascii="Georgia" w:hAnsi="Georgia"/>
          <w:sz w:val="20"/>
          <w:szCs w:val="20"/>
          <w:lang w:val="lt-LT"/>
        </w:rPr>
      </w:pPr>
    </w:p>
    <w:p w14:paraId="329CE772"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4867D861" w14:textId="77777777" w:rsidR="00575FB0" w:rsidRPr="00C97275" w:rsidRDefault="00575FB0" w:rsidP="00575FB0">
      <w:pPr>
        <w:jc w:val="both"/>
        <w:rPr>
          <w:rFonts w:ascii="Georgia" w:hAnsi="Georgia"/>
          <w:sz w:val="20"/>
          <w:szCs w:val="20"/>
          <w:lang w:val="lt-LT"/>
        </w:rPr>
      </w:pPr>
      <w:r w:rsidRPr="00C97275">
        <w:rPr>
          <w:rFonts w:ascii="Georgia" w:hAnsi="Georgia"/>
          <w:b/>
          <w:sz w:val="20"/>
          <w:szCs w:val="20"/>
          <w:lang w:val="lt-LT"/>
        </w:rPr>
        <w:t>Fondo steigimui reikalingą finansavimą suteikiančios viešosios institucijos</w:t>
      </w:r>
    </w:p>
    <w:p w14:paraId="52E4E484"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Lietuvos Respublikos aplinkos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14:paraId="321F8FA5"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7FD671CC" w14:textId="77777777" w:rsidR="00575FB0" w:rsidRPr="00C97275" w:rsidRDefault="00575FB0" w:rsidP="00575FB0">
      <w:pPr>
        <w:jc w:val="both"/>
        <w:rPr>
          <w:rFonts w:ascii="Georgia" w:hAnsi="Georgia"/>
          <w:sz w:val="20"/>
          <w:szCs w:val="20"/>
          <w:lang w:val="lt-LT"/>
        </w:rPr>
      </w:pPr>
      <w:r w:rsidRPr="00C97275">
        <w:rPr>
          <w:rFonts w:ascii="Georgia" w:hAnsi="Georgia"/>
          <w:b/>
          <w:sz w:val="20"/>
          <w:szCs w:val="20"/>
          <w:lang w:val="lt-LT"/>
        </w:rPr>
        <w:t>Fondo valdytojas</w:t>
      </w:r>
    </w:p>
    <w:p w14:paraId="60D89C8A"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Pagal numatomą mechanizmą, fondo valdytojas turi būti atskiras juridinis asmuo, teikiantis fondo valdymo paslaugas. Pabrėžtina, kad numatoma fondo valdytojo teisinė forma valstybės pagalbos požiūriu nėra svarbus veiksnys, kuris nulemtų valstybės pagalbos buvimą (nebuvimą), tačiau atskiro juridinio asmens įsteigimas nulemia didesnį skaidrumą bei atskaitomybę.</w:t>
      </w:r>
    </w:p>
    <w:p w14:paraId="70FA36AB"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Remiantis Valstybės pagalbos rizikos finansų investicijoms skatinti gairių (toliau – Rizikos finansų gairės) 39 punktu, „</w:t>
      </w:r>
      <w:r w:rsidRPr="00C97275">
        <w:rPr>
          <w:rFonts w:ascii="Georgia" w:hAnsi="Georgia"/>
          <w:i/>
          <w:sz w:val="20"/>
          <w:szCs w:val="20"/>
          <w:lang w:val="lt-LT"/>
        </w:rPr>
        <w:t xml:space="preserve">jeigu rizikos finansų priemonę valdo įgaliotasis subjektas, bet šis subjektas neinvestuoja kartu su valstybe nare, įgaliotasis subjektas laikomas finansavimo nukreipimo </w:t>
      </w:r>
      <w:r w:rsidRPr="00C97275">
        <w:rPr>
          <w:rFonts w:ascii="Georgia" w:hAnsi="Georgia"/>
          <w:i/>
          <w:sz w:val="20"/>
          <w:szCs w:val="20"/>
          <w:lang w:val="lt-LT"/>
        </w:rPr>
        <w:lastRenderedPageBreak/>
        <w:t>priemone, o ne pagalbos gavėju, jeigu nėra kompensacijos permokos. Tačiau jeigu įgaliotasis subjektas finansuoja priemonę arba investuoja kartu su valstybe nare panašiai kaip finansų tarpininkai, Komisija turės įvertinti, ar įgaliotasis subjektas negauna valstybės pagalbos</w:t>
      </w:r>
      <w:r w:rsidRPr="00C97275">
        <w:rPr>
          <w:rFonts w:ascii="Georgia" w:hAnsi="Georgia"/>
          <w:sz w:val="20"/>
          <w:szCs w:val="20"/>
          <w:lang w:val="lt-LT"/>
        </w:rPr>
        <w:t>.“</w:t>
      </w:r>
    </w:p>
    <w:p w14:paraId="4A102479"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Kitaip tariant, tam, kad fondo valdytojui neiškiltų valstybės pagalbos teikimo grėsmė ir (ar) nebūtų taikomas reikalavimas dėl notifikavimo, yra būtina laikytis šių finansinės priemonės įgyvendinimo sąlygų:</w:t>
      </w:r>
    </w:p>
    <w:p w14:paraId="68541497" w14:textId="77777777" w:rsidR="00575FB0" w:rsidRPr="00C97275" w:rsidRDefault="00575FB0" w:rsidP="00575FB0">
      <w:pPr>
        <w:pStyle w:val="Sraopastraipa"/>
        <w:numPr>
          <w:ilvl w:val="0"/>
          <w:numId w:val="44"/>
        </w:numPr>
        <w:jc w:val="both"/>
        <w:rPr>
          <w:rFonts w:ascii="Georgia" w:hAnsi="Georgia"/>
          <w:sz w:val="20"/>
          <w:szCs w:val="20"/>
          <w:lang w:val="lt-LT"/>
        </w:rPr>
      </w:pPr>
      <w:r w:rsidRPr="00C97275">
        <w:rPr>
          <w:rFonts w:ascii="Georgia" w:hAnsi="Georgia"/>
          <w:sz w:val="20"/>
          <w:szCs w:val="20"/>
          <w:lang w:val="lt-LT"/>
        </w:rPr>
        <w:t>įgaliotasis subjektas negali investuoti kartu su viešuoju sektoriumi,</w:t>
      </w:r>
    </w:p>
    <w:p w14:paraId="7CA6CE80" w14:textId="77777777" w:rsidR="00575FB0" w:rsidRPr="00C97275" w:rsidRDefault="00575FB0" w:rsidP="00575FB0">
      <w:pPr>
        <w:pStyle w:val="Sraopastraipa"/>
        <w:numPr>
          <w:ilvl w:val="0"/>
          <w:numId w:val="44"/>
        </w:numPr>
        <w:jc w:val="both"/>
        <w:rPr>
          <w:rFonts w:ascii="Georgia" w:hAnsi="Georgia"/>
          <w:sz w:val="20"/>
          <w:szCs w:val="20"/>
          <w:lang w:val="lt-LT"/>
        </w:rPr>
      </w:pPr>
      <w:r w:rsidRPr="00C97275">
        <w:rPr>
          <w:rFonts w:ascii="Georgia" w:hAnsi="Georgia"/>
          <w:sz w:val="20"/>
          <w:szCs w:val="20"/>
          <w:lang w:val="lt-LT"/>
        </w:rPr>
        <w:t>kompensacija už teikiamas fondo valdymo paslaugas negali būti per didelė.</w:t>
      </w:r>
    </w:p>
    <w:p w14:paraId="264D090D"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Jeigu išpildomos abi sąlygos, valstybės pagalbos rizika yra eliminuojama.</w:t>
      </w:r>
    </w:p>
    <w:p w14:paraId="7460F7A2"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Pabrėžtina, kad pagal Rizikos finansų gairių 39 p., jeigu fondo valdytojas suteikia finansavimą priemonei arba investuoja kartu su valstybe kaip finansų tarpininkas, Europos Komisija turės įvertinti, ar įgaliotasis subjektas negauna valstybės pagalbos. Nesant išlygos su nuoroda į kitus Rizikos finansų gairių punktus, pagal kuriuos gali būti laikoma, kad finansiniai tarpininkai negauna valstybės pagalbos, tikėtina, kad fondo valdytojas, vykdantis nurodytą veiklą, turi būti įvertintas Europos Komisijos valstybės pagalbos taisyklių taikymo požiūriu visais atvejais. Dėl šios priežasties, nustatant priemonės taisykles, yra siūloma apriboti fondo valdytojo galimybes suteikti finansavimą numatomai įgyvendinti priemonei.</w:t>
      </w:r>
    </w:p>
    <w:p w14:paraId="4708FFBB"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Svarbu, kad fondo valdytoją parinkus atvira, skaidria, nediskriminacine ir objektyvia tvarka, pagal Rizikos finansų gairių 40 p., valstybės pagalba fondo valdytojui nėra teikiama. Tokia pati situacija susidaro, kai fondo valdytojo atlygis visiškai atspindi atitinkamose situacijose mokamus atlygius rinkoje.</w:t>
      </w:r>
    </w:p>
    <w:p w14:paraId="3F4788C4"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 xml:space="preserve">Jeigu fondo valdytojas yra viešasis subjektas ir nėra parinktas atvira, skaidria, nediskriminacine ir objektyvia tvarka (pvz., fondo valdytojas buvo paskirtas atskiru teisės aktu), tam, kad fondo valdytojas nebūtų laikomas valstybės pagalbos gavėju (tai yra tam, kad būtų pripažinta atitiktis aukščiau nurodytam </w:t>
      </w:r>
      <w:r w:rsidRPr="00C97275">
        <w:rPr>
          <w:rFonts w:ascii="Georgia" w:hAnsi="Georgia"/>
          <w:i/>
          <w:sz w:val="20"/>
          <w:szCs w:val="20"/>
          <w:lang w:val="lt-LT"/>
        </w:rPr>
        <w:t>b) ii.</w:t>
      </w:r>
      <w:r w:rsidRPr="00C97275">
        <w:rPr>
          <w:rFonts w:ascii="Georgia" w:hAnsi="Georgia"/>
          <w:sz w:val="20"/>
          <w:szCs w:val="20"/>
          <w:lang w:val="lt-LT"/>
        </w:rPr>
        <w:t xml:space="preserve"> punktui), turi būti įvykdytos šios sąlygos:</w:t>
      </w:r>
    </w:p>
    <w:p w14:paraId="3656AD42" w14:textId="77777777" w:rsidR="00575FB0" w:rsidRPr="00C97275" w:rsidRDefault="00575FB0" w:rsidP="00351DC3">
      <w:pPr>
        <w:pStyle w:val="Sraopastraipa"/>
        <w:numPr>
          <w:ilvl w:val="0"/>
          <w:numId w:val="172"/>
        </w:numPr>
        <w:jc w:val="both"/>
        <w:rPr>
          <w:rFonts w:ascii="Georgia" w:hAnsi="Georgia"/>
          <w:sz w:val="20"/>
          <w:szCs w:val="20"/>
          <w:lang w:val="lt-LT"/>
        </w:rPr>
      </w:pPr>
      <w:r w:rsidRPr="00C97275">
        <w:rPr>
          <w:rFonts w:ascii="Georgia" w:hAnsi="Georgia"/>
          <w:sz w:val="20"/>
          <w:szCs w:val="20"/>
          <w:lang w:val="lt-LT"/>
        </w:rPr>
        <w:t>valdymo mokesčio suma turi būti apribota (turi būti nurodytas maksimalus mokesčio dydis),</w:t>
      </w:r>
    </w:p>
    <w:p w14:paraId="36417F97" w14:textId="77777777" w:rsidR="00575FB0" w:rsidRPr="00C97275" w:rsidRDefault="00575FB0" w:rsidP="00351DC3">
      <w:pPr>
        <w:pStyle w:val="Sraopastraipa"/>
        <w:numPr>
          <w:ilvl w:val="0"/>
          <w:numId w:val="172"/>
        </w:numPr>
        <w:jc w:val="both"/>
        <w:rPr>
          <w:rFonts w:ascii="Georgia" w:hAnsi="Georgia"/>
          <w:sz w:val="20"/>
          <w:szCs w:val="20"/>
          <w:lang w:val="lt-LT"/>
        </w:rPr>
      </w:pPr>
      <w:r w:rsidRPr="00C97275">
        <w:rPr>
          <w:rFonts w:ascii="Georgia" w:hAnsi="Georgia"/>
          <w:sz w:val="20"/>
          <w:szCs w:val="20"/>
          <w:lang w:val="lt-LT"/>
        </w:rPr>
        <w:t>valdymo mokesčio faktinė suma atspindi įprastas rinkos sąlygas,</w:t>
      </w:r>
    </w:p>
    <w:p w14:paraId="09C889B1" w14:textId="77777777" w:rsidR="00575FB0" w:rsidRPr="00C97275" w:rsidRDefault="00575FB0" w:rsidP="00351DC3">
      <w:pPr>
        <w:pStyle w:val="Sraopastraipa"/>
        <w:numPr>
          <w:ilvl w:val="0"/>
          <w:numId w:val="172"/>
        </w:numPr>
        <w:jc w:val="both"/>
        <w:rPr>
          <w:rFonts w:ascii="Georgia" w:hAnsi="Georgia"/>
          <w:sz w:val="20"/>
          <w:szCs w:val="20"/>
          <w:lang w:val="lt-LT"/>
        </w:rPr>
      </w:pPr>
      <w:r w:rsidRPr="00C97275">
        <w:rPr>
          <w:rFonts w:ascii="Georgia" w:hAnsi="Georgia"/>
          <w:sz w:val="20"/>
          <w:szCs w:val="20"/>
          <w:lang w:val="lt-LT"/>
        </w:rPr>
        <w:t>valdymo mokestis yra susietas su veiklos rezultatais,</w:t>
      </w:r>
    </w:p>
    <w:p w14:paraId="6D5709DD" w14:textId="77777777" w:rsidR="00575FB0" w:rsidRPr="00C97275" w:rsidRDefault="00575FB0" w:rsidP="00351DC3">
      <w:pPr>
        <w:pStyle w:val="Sraopastraipa"/>
        <w:numPr>
          <w:ilvl w:val="0"/>
          <w:numId w:val="172"/>
        </w:numPr>
        <w:jc w:val="both"/>
        <w:rPr>
          <w:rFonts w:ascii="Georgia" w:hAnsi="Georgia"/>
          <w:sz w:val="20"/>
          <w:szCs w:val="20"/>
          <w:lang w:val="lt-LT"/>
        </w:rPr>
      </w:pPr>
      <w:r w:rsidRPr="00C97275">
        <w:rPr>
          <w:rFonts w:ascii="Georgia" w:hAnsi="Georgia"/>
          <w:sz w:val="20"/>
          <w:szCs w:val="20"/>
          <w:lang w:val="lt-LT"/>
        </w:rPr>
        <w:t>įgaliotasis subjektas turi būti valdomas, remiantis komerciniais principais, tai yra investicijų sprendimai turi būti priimami, siekiant pelno, nepriklausomai nuo valstybės nurodymų. Siekiant užtikrinti atitiktį šiai sąlygai, fondo valdymo reguliuojančiuose dokumentuose turi būti numatytos nuostatos, kurios užtikrintų fondo valdytojo nepriklausomybę nuo galimų valstybės nurodymų,</w:t>
      </w:r>
    </w:p>
    <w:p w14:paraId="3F2256D3" w14:textId="77777777" w:rsidR="00575FB0" w:rsidRPr="00C97275" w:rsidRDefault="00575FB0" w:rsidP="00351DC3">
      <w:pPr>
        <w:pStyle w:val="Sraopastraipa"/>
        <w:numPr>
          <w:ilvl w:val="0"/>
          <w:numId w:val="172"/>
        </w:numPr>
        <w:jc w:val="both"/>
        <w:rPr>
          <w:rFonts w:ascii="Georgia" w:hAnsi="Georgia"/>
          <w:sz w:val="20"/>
          <w:szCs w:val="20"/>
          <w:lang w:val="lt-LT"/>
        </w:rPr>
      </w:pPr>
      <w:r w:rsidRPr="00C97275">
        <w:rPr>
          <w:rFonts w:ascii="Georgia" w:hAnsi="Georgia"/>
          <w:sz w:val="20"/>
          <w:szCs w:val="20"/>
          <w:lang w:val="lt-LT"/>
        </w:rPr>
        <w:t>fondo valdytojas privalo privačius investuotojus pasirinkti atviro, skaidraus ir nediskriminacinio konkurso tvarka.</w:t>
      </w:r>
    </w:p>
    <w:p w14:paraId="2369BA17"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Pagal Bendrųjų nuostatų reglamento 38 str. 4 d. b) p., valstybė-narė, pasirinkusi plėtoti specifinius finansinius instrumentus (tai yra nepasirinkusi naudoti standartinių sąlygų (off-the-shelf) instrumentų), gali paskirti įgaliotuoju subjektu Europos investicijų banką (EIB), tarptautinę finansų įstaigą, kurioje valstybė-narė yra kapitalo dalies savininkas, valstybėje-narėje veikiančią finansų įstaigą, kuri siekia viešojo intereso, kontroliuojant viešajam sektoriui, arba kitai įstaigai, kurios veiklą reguliuoja viešoji arba civilinė teisė. Žemiau pateikiamas vertinimas kiekvieno galimo subjekto atžvilgiu atskirai bei pateikiamas pasiūlymas valstybės pagalbos taisyklių bei apribojimų kontekste.</w:t>
      </w:r>
    </w:p>
    <w:p w14:paraId="2A14CB3D"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EIB yra viešojo sektoriaus įstaiga, kuri galėtų būti paskirta remiantis Bendrųjų nuostatų reglamento nuostatomis, tačiau tam, kad būtų pripažinta, kad valstybės pagalba yra neteikiama, turi būti laikomasi visų aukščiau nurodytų sąlygų, taikytinų tais atvejais, kai įgaliotasis subjektas yra viešasis subjektas ir yra paskiriamas nesilaikant atviros, skaidrios, nediskriminacinės ir objektyvios tvarkos.</w:t>
      </w:r>
    </w:p>
    <w:p w14:paraId="7AC5B68D"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lastRenderedPageBreak/>
        <w:t>Lietuva šiuo metu dalyvauja tik tose tarptautinėse finansų įstaigose, kurios yra laikomos viešaisiais subjektais, todėl pasirinkus šį modelį taip pat turėtų būti laikomasi visų aukščiau nurodytų sąlygų.</w:t>
      </w:r>
    </w:p>
    <w:p w14:paraId="0DF945CC"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Pasirinkus valstybėje-narėje veikiančią finansų įstaigą, kuri siekia viešojo intereso, kontroliuojant viešajam sektoriui, tačiau pati nėra viešasis subjektas, valstybės pagalbos teikimo rizika būtų eliminuota šiais atvejais:</w:t>
      </w:r>
    </w:p>
    <w:p w14:paraId="2EF75F47" w14:textId="77777777" w:rsidR="00575FB0" w:rsidRPr="00C97275" w:rsidRDefault="00575FB0" w:rsidP="00351DC3">
      <w:pPr>
        <w:pStyle w:val="Sraopastraipa"/>
        <w:numPr>
          <w:ilvl w:val="0"/>
          <w:numId w:val="174"/>
        </w:numPr>
        <w:jc w:val="both"/>
        <w:rPr>
          <w:rFonts w:ascii="Georgia" w:hAnsi="Georgia"/>
          <w:sz w:val="20"/>
          <w:szCs w:val="20"/>
          <w:lang w:val="lt-LT"/>
        </w:rPr>
      </w:pPr>
      <w:r w:rsidRPr="00C97275">
        <w:rPr>
          <w:rFonts w:ascii="Georgia" w:hAnsi="Georgia"/>
          <w:sz w:val="20"/>
          <w:szCs w:val="20"/>
          <w:lang w:val="lt-LT"/>
        </w:rPr>
        <w:t>fondo valdytojas parinktas atvira, skaidria, nediskriminacine ir objektyvia tvarka, arba</w:t>
      </w:r>
    </w:p>
    <w:p w14:paraId="630EFB29" w14:textId="77777777" w:rsidR="00575FB0" w:rsidRPr="00C97275" w:rsidRDefault="00575FB0" w:rsidP="00351DC3">
      <w:pPr>
        <w:pStyle w:val="Sraopastraipa"/>
        <w:numPr>
          <w:ilvl w:val="0"/>
          <w:numId w:val="174"/>
        </w:numPr>
        <w:jc w:val="both"/>
        <w:rPr>
          <w:rFonts w:ascii="Georgia" w:hAnsi="Georgia"/>
          <w:sz w:val="20"/>
          <w:szCs w:val="20"/>
          <w:lang w:val="lt-LT"/>
        </w:rPr>
      </w:pPr>
      <w:r w:rsidRPr="00C97275">
        <w:rPr>
          <w:rFonts w:ascii="Georgia" w:hAnsi="Georgia"/>
          <w:sz w:val="20"/>
          <w:szCs w:val="20"/>
          <w:lang w:val="lt-LT"/>
        </w:rPr>
        <w:t>fondo valdytojo atlygis visiškai</w:t>
      </w:r>
      <w:r w:rsidRPr="00C97275">
        <w:rPr>
          <w:rFonts w:ascii="Georgia" w:hAnsi="Georgia"/>
          <w:lang w:val="lt-LT"/>
        </w:rPr>
        <w:t xml:space="preserve"> </w:t>
      </w:r>
      <w:r w:rsidRPr="00C97275">
        <w:rPr>
          <w:rFonts w:ascii="Georgia" w:hAnsi="Georgia"/>
          <w:sz w:val="20"/>
          <w:szCs w:val="20"/>
          <w:lang w:val="lt-LT"/>
        </w:rPr>
        <w:t>atspindi atitinkamose situacijose mokamus atlygius rinkoje.</w:t>
      </w:r>
    </w:p>
    <w:p w14:paraId="50C641F7"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Ekonominiu požiūriu, pasirinkus a) variantą, fondo valdytojo atlygis atitiktų rinkos sąlygas fondo valdytojo atrankos metu, tačiau praėjus tam tikram laikotarpiui, sutarties dėl fondo valdymo nuostatomis reguliuojamas atlygis gali neatitikti rinkos sąlygų. Kita vertus, pasirinkus b) variantą, rinkos galimo iškraipymo požiūriu, fondo valdytojo atlygis nuolat atitiktų rinkos sąlygas, nepaisant to, kad valdytojas nėra parinktas a) punkte nurodytos procedūros pagalba.</w:t>
      </w:r>
    </w:p>
    <w:p w14:paraId="60DD740D"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Pasirinkus kitą įstaigą pagal Bendrųjų nuostatų reglamento 38 str. 4 d. c) p., būtų taikomos tos pačios sąlygos, priklausomai nuo to, ar parinktas viešasis subjektas, ar privatus juridinis asmuo. Pabrėžtina, kad kiekvienos finansinės priemonės įgyvendinimas turi tam tikrą specifiką bei reikalauja specifinės patirties, todėl labiausiai šios funkcijos vykdymui tinka ūkio subjektai, kurie jau šiuo metu turi teisę vykdyti tokią veiklą (pvz., UAB „Investicijų ir verslo garantijos“, UAB „Viešųjų investicijų plėtros agentūra“, kredito įstaigos).</w:t>
      </w:r>
    </w:p>
    <w:p w14:paraId="2AB9EFF7"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Vadovaujantis Rizikos kapitalo gairių nuostatas, siūloma, kad fondo valdymo mokesčiui būtų nustatyti šie apribojimai:</w:t>
      </w:r>
    </w:p>
    <w:p w14:paraId="3A379705" w14:textId="3BD54F51" w:rsidR="00575FB0" w:rsidRPr="00C97275" w:rsidRDefault="00351DC3" w:rsidP="00351DC3">
      <w:pPr>
        <w:pStyle w:val="Sraopastraipa"/>
        <w:numPr>
          <w:ilvl w:val="0"/>
          <w:numId w:val="175"/>
        </w:numPr>
        <w:jc w:val="both"/>
        <w:rPr>
          <w:rFonts w:ascii="Georgia" w:hAnsi="Georgia"/>
          <w:sz w:val="20"/>
          <w:szCs w:val="20"/>
          <w:lang w:val="lt-LT"/>
        </w:rPr>
      </w:pPr>
      <w:r w:rsidRPr="00C97275">
        <w:rPr>
          <w:rFonts w:ascii="Georgia" w:hAnsi="Georgia"/>
          <w:sz w:val="20"/>
          <w:szCs w:val="20"/>
          <w:lang w:val="lt-LT"/>
        </w:rPr>
        <w:t>V</w:t>
      </w:r>
      <w:r w:rsidR="00575FB0" w:rsidRPr="00C97275">
        <w:rPr>
          <w:rFonts w:ascii="Georgia" w:hAnsi="Georgia"/>
          <w:sz w:val="20"/>
          <w:szCs w:val="20"/>
          <w:lang w:val="lt-LT"/>
        </w:rPr>
        <w:t>aldymo mokesčio suma turi būti apribota (turi būti nurodytas maksimalus mokesčio dydis). Pagal Rizikos kapitalo gairių 148 p., metinė valdymo mokesčio suma neturi viršyti 3 % viso fondo valdytojui patikėto kapitalo, išskyrus valdymo mokesčio dalį, kuri yra susijusi su veiklos rezultatais.</w:t>
      </w:r>
    </w:p>
    <w:p w14:paraId="01A96ED1" w14:textId="6A637E85" w:rsidR="00575FB0" w:rsidRPr="00C97275" w:rsidRDefault="00351DC3" w:rsidP="00351DC3">
      <w:pPr>
        <w:pStyle w:val="Sraopastraipa"/>
        <w:numPr>
          <w:ilvl w:val="0"/>
          <w:numId w:val="175"/>
        </w:numPr>
        <w:jc w:val="both"/>
        <w:rPr>
          <w:rFonts w:ascii="Georgia" w:hAnsi="Georgia"/>
          <w:sz w:val="20"/>
          <w:szCs w:val="20"/>
          <w:lang w:val="lt-LT"/>
        </w:rPr>
      </w:pPr>
      <w:r w:rsidRPr="00C97275">
        <w:rPr>
          <w:rFonts w:ascii="Georgia" w:hAnsi="Georgia"/>
          <w:sz w:val="20"/>
          <w:szCs w:val="20"/>
          <w:lang w:val="lt-LT"/>
        </w:rPr>
        <w:t>V</w:t>
      </w:r>
      <w:r w:rsidR="00575FB0" w:rsidRPr="00C97275">
        <w:rPr>
          <w:rFonts w:ascii="Georgia" w:hAnsi="Georgia"/>
          <w:sz w:val="20"/>
          <w:szCs w:val="20"/>
          <w:lang w:val="lt-LT"/>
        </w:rPr>
        <w:t>aldymo mokesčio faktinė suma turi nuolat atspindėti įprastas rinkos sąlygas. Tam, kad būtų vykdoma ši sąlyga, siūloma įpareigoti fondo valdytoją kas pusmetį atlikti rinkos sąlygų analizę bei pateikti valdymo mokesčio dydžio apskaičiavimo pagrindimo dokumentus. Bendra mokesčio metinė suma negali viršyti veiklos ir valdymo išlaidų, kurių suma gali būti padidinama pagrįstu pelno maržos dydžiu, atitinkančiu rinkos sąlygas.</w:t>
      </w:r>
    </w:p>
    <w:p w14:paraId="5C0CECCA" w14:textId="43F2ACAA" w:rsidR="00575FB0" w:rsidRPr="00C97275" w:rsidRDefault="00351DC3" w:rsidP="00351DC3">
      <w:pPr>
        <w:pStyle w:val="Sraopastraipa"/>
        <w:numPr>
          <w:ilvl w:val="0"/>
          <w:numId w:val="175"/>
        </w:numPr>
        <w:jc w:val="both"/>
        <w:rPr>
          <w:rFonts w:ascii="Georgia" w:hAnsi="Georgia"/>
          <w:sz w:val="20"/>
          <w:szCs w:val="20"/>
          <w:lang w:val="lt-LT"/>
        </w:rPr>
      </w:pPr>
      <w:r w:rsidRPr="00C97275">
        <w:rPr>
          <w:rFonts w:ascii="Georgia" w:hAnsi="Georgia"/>
          <w:sz w:val="20"/>
          <w:szCs w:val="20"/>
          <w:lang w:val="lt-LT"/>
        </w:rPr>
        <w:t>V</w:t>
      </w:r>
      <w:r w:rsidR="00575FB0" w:rsidRPr="00C97275">
        <w:rPr>
          <w:rFonts w:ascii="Georgia" w:hAnsi="Georgia"/>
          <w:sz w:val="20"/>
          <w:szCs w:val="20"/>
          <w:lang w:val="lt-LT"/>
        </w:rPr>
        <w:t>aldymo mokestis negali būti skirtas padengti investicijų išlaidas.</w:t>
      </w:r>
    </w:p>
    <w:p w14:paraId="76E4E94E" w14:textId="2ECA07A0" w:rsidR="00575FB0" w:rsidRPr="00C97275" w:rsidRDefault="00351DC3" w:rsidP="00351DC3">
      <w:pPr>
        <w:pStyle w:val="Sraopastraipa"/>
        <w:numPr>
          <w:ilvl w:val="0"/>
          <w:numId w:val="175"/>
        </w:numPr>
        <w:jc w:val="both"/>
        <w:rPr>
          <w:rFonts w:ascii="Georgia" w:hAnsi="Georgia"/>
          <w:sz w:val="20"/>
          <w:szCs w:val="20"/>
          <w:lang w:val="lt-LT"/>
        </w:rPr>
      </w:pPr>
      <w:r w:rsidRPr="00C97275">
        <w:rPr>
          <w:rFonts w:ascii="Georgia" w:hAnsi="Georgia"/>
          <w:sz w:val="20"/>
          <w:szCs w:val="20"/>
          <w:lang w:val="lt-LT"/>
        </w:rPr>
        <w:t>V</w:t>
      </w:r>
      <w:r w:rsidR="00575FB0" w:rsidRPr="00C97275">
        <w:rPr>
          <w:rFonts w:ascii="Georgia" w:hAnsi="Georgia"/>
          <w:sz w:val="20"/>
          <w:szCs w:val="20"/>
          <w:lang w:val="lt-LT"/>
        </w:rPr>
        <w:t xml:space="preserve">aldymo mokestis yra susietas su veiklos rezultatais. Valdymo mokesčio dalis, kurios dydis priklauso nuo veiklos rezultatų, turi būti pakankamai reikšminga tam, kad paskatintų įgaliotąjį subjektą pasiekti politikos tikslus bei užtikrintų efektyvią ūkio subjektų, į kuriuos yra investuojama, atranką. Kitaip tariant, valdymo mokestis turi apimti ne tik finansinio instrumento lėšų paskirstymą bei pritraukto privataus kapitalo dydį, bet ir investicijų grąžos sėkmingumą, kuri yra nustatoma pagal tai, kiek yra viršijama minimali grąžos ar pelningumo norma. </w:t>
      </w:r>
    </w:p>
    <w:p w14:paraId="46D75E88"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4F52515C" w14:textId="77777777" w:rsidR="00575FB0" w:rsidRPr="00C97275" w:rsidRDefault="00575FB0" w:rsidP="00575FB0">
      <w:pPr>
        <w:pStyle w:val="Sraopastraipa"/>
        <w:ind w:left="0"/>
        <w:jc w:val="both"/>
        <w:rPr>
          <w:rFonts w:ascii="Georgia" w:hAnsi="Georgia"/>
          <w:sz w:val="20"/>
          <w:szCs w:val="20"/>
          <w:lang w:val="lt-LT"/>
        </w:rPr>
      </w:pPr>
    </w:p>
    <w:p w14:paraId="24081AFA"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t>Privatūs instituciniai bei profesionalūs investuotojai</w:t>
      </w:r>
    </w:p>
    <w:p w14:paraId="65FFB984" w14:textId="7326D116"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 xml:space="preserve">Pagal numatomą mechanizmą, privatūs investuotojai dalyvaus priemonės įgyvendinime, investuojant į numatomo sukurti </w:t>
      </w:r>
      <w:r w:rsidR="00B0421E" w:rsidRPr="00C97275">
        <w:rPr>
          <w:rFonts w:ascii="Georgia" w:hAnsi="Georgia"/>
          <w:sz w:val="20"/>
          <w:szCs w:val="20"/>
          <w:lang w:val="lt-LT"/>
        </w:rPr>
        <w:t xml:space="preserve">juridinio asmens (platformos) </w:t>
      </w:r>
      <w:r w:rsidRPr="00C97275">
        <w:rPr>
          <w:rFonts w:ascii="Georgia" w:hAnsi="Georgia"/>
          <w:sz w:val="20"/>
          <w:szCs w:val="20"/>
          <w:lang w:val="lt-LT"/>
        </w:rPr>
        <w:t>kapitalą arba skolinant šia</w:t>
      </w:r>
      <w:r w:rsidR="00B0421E" w:rsidRPr="00C97275">
        <w:rPr>
          <w:rFonts w:ascii="Georgia" w:hAnsi="Georgia"/>
          <w:sz w:val="20"/>
          <w:szCs w:val="20"/>
          <w:lang w:val="lt-LT"/>
        </w:rPr>
        <w:t>m juridiniam asmeniui</w:t>
      </w:r>
      <w:r w:rsidRPr="00C97275">
        <w:rPr>
          <w:rFonts w:ascii="Georgia" w:hAnsi="Georgia"/>
          <w:sz w:val="20"/>
          <w:szCs w:val="20"/>
          <w:lang w:val="lt-LT"/>
        </w:rPr>
        <w:t xml:space="preserve">. Pagal Rizikos kapitalo gairių 24 p., dalijimasis rizika ir atlygiu yra būtina finansinės priemonės įgyvendinimo sąlyga tam, kad priemonė nepažeistų valstybės pagalbos reikalavimų. Pagrindinis </w:t>
      </w:r>
      <w:r w:rsidRPr="00C97275">
        <w:rPr>
          <w:rFonts w:ascii="Georgia" w:hAnsi="Georgia"/>
          <w:sz w:val="20"/>
          <w:szCs w:val="20"/>
          <w:lang w:val="lt-LT"/>
        </w:rPr>
        <w:lastRenderedPageBreak/>
        <w:t xml:space="preserve">kriterijus, kuriuo yra remiamasi, priimant sprendimą, ar yra suteikiamas ekonominis pranašumas, yra rinkos ekonomikos veiklos vykdytojo kriterijus. </w:t>
      </w:r>
    </w:p>
    <w:p w14:paraId="1E7CEED9" w14:textId="77777777"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 xml:space="preserve">Pagal šį kriterijų, sandoriai, kuriuos sudaro viešasis sektorius, kurie atitinka normalias rinkos sąlygas ir kurie nesuteikia ekonominio pranašumo kurių ūkio subjektų atžvilgiu, yra laikytini valstybės pagalbos reikalavimų nepažeidžiančiais santykiais. Tam, kad sandoris nesuteiktų ekonominio pranašumo privačiam investuotojui, jis turėtų būti atliekamas </w:t>
      </w:r>
      <w:r w:rsidRPr="00C97275">
        <w:rPr>
          <w:rFonts w:ascii="Georgia" w:hAnsi="Georgia"/>
          <w:i/>
          <w:sz w:val="20"/>
          <w:szCs w:val="20"/>
          <w:lang w:val="lt-LT"/>
        </w:rPr>
        <w:t>parri pasu</w:t>
      </w:r>
      <w:r w:rsidRPr="00C97275">
        <w:rPr>
          <w:rFonts w:ascii="Georgia" w:hAnsi="Georgia"/>
          <w:sz w:val="20"/>
          <w:szCs w:val="20"/>
          <w:lang w:val="lt-LT"/>
        </w:rPr>
        <w:t xml:space="preserve"> sąlygomis su viešuoju sektoriumi, tai yra:</w:t>
      </w:r>
    </w:p>
    <w:p w14:paraId="39E3B1E8" w14:textId="77777777" w:rsidR="00575FB0" w:rsidRPr="00C97275" w:rsidRDefault="00575FB0" w:rsidP="00575FB0">
      <w:pPr>
        <w:pStyle w:val="Sraopastraipa"/>
        <w:numPr>
          <w:ilvl w:val="0"/>
          <w:numId w:val="157"/>
        </w:numPr>
        <w:jc w:val="both"/>
        <w:rPr>
          <w:rFonts w:ascii="Georgia" w:hAnsi="Georgia"/>
          <w:sz w:val="20"/>
          <w:szCs w:val="20"/>
          <w:lang w:val="lt-LT"/>
        </w:rPr>
      </w:pPr>
      <w:r w:rsidRPr="00C97275">
        <w:rPr>
          <w:rFonts w:ascii="Georgia" w:hAnsi="Georgia"/>
          <w:sz w:val="20"/>
          <w:szCs w:val="20"/>
          <w:lang w:val="lt-LT"/>
        </w:rPr>
        <w:t>viešajai ir privačiai investicijai taikomos tos pačios sąlygos,</w:t>
      </w:r>
    </w:p>
    <w:p w14:paraId="6F2CD829" w14:textId="77777777" w:rsidR="00575FB0" w:rsidRPr="00C97275" w:rsidRDefault="00575FB0" w:rsidP="00575FB0">
      <w:pPr>
        <w:pStyle w:val="Sraopastraipa"/>
        <w:numPr>
          <w:ilvl w:val="0"/>
          <w:numId w:val="157"/>
        </w:numPr>
        <w:jc w:val="both"/>
        <w:rPr>
          <w:rFonts w:ascii="Georgia" w:hAnsi="Georgia"/>
          <w:sz w:val="20"/>
          <w:szCs w:val="20"/>
          <w:lang w:val="lt-LT"/>
        </w:rPr>
      </w:pPr>
      <w:r w:rsidRPr="00C97275">
        <w:rPr>
          <w:rFonts w:ascii="Georgia" w:hAnsi="Georgia"/>
          <w:sz w:val="20"/>
          <w:szCs w:val="20"/>
          <w:lang w:val="lt-LT"/>
        </w:rPr>
        <w:t>investicijos atliekamos vienu metu, ir</w:t>
      </w:r>
    </w:p>
    <w:p w14:paraId="266D96A8" w14:textId="77777777" w:rsidR="00575FB0" w:rsidRPr="00C97275" w:rsidRDefault="00575FB0" w:rsidP="00575FB0">
      <w:pPr>
        <w:pStyle w:val="Sraopastraipa"/>
        <w:numPr>
          <w:ilvl w:val="0"/>
          <w:numId w:val="157"/>
        </w:numPr>
        <w:jc w:val="both"/>
        <w:rPr>
          <w:rFonts w:ascii="Georgia" w:hAnsi="Georgia"/>
          <w:sz w:val="20"/>
          <w:szCs w:val="20"/>
          <w:lang w:val="lt-LT"/>
        </w:rPr>
      </w:pPr>
      <w:r w:rsidRPr="00C97275">
        <w:rPr>
          <w:rFonts w:ascii="Georgia" w:hAnsi="Georgia"/>
          <w:sz w:val="20"/>
          <w:szCs w:val="20"/>
          <w:lang w:val="lt-LT"/>
        </w:rPr>
        <w:t>privačių partnerių investicijos turi didelę ekonominę reikšmę.</w:t>
      </w:r>
    </w:p>
    <w:p w14:paraId="553964F3" w14:textId="333027E3" w:rsidR="00575FB0" w:rsidRPr="00C97275" w:rsidRDefault="00575FB0" w:rsidP="00575FB0">
      <w:pPr>
        <w:jc w:val="both"/>
        <w:rPr>
          <w:rFonts w:ascii="Georgia" w:hAnsi="Georgia"/>
          <w:sz w:val="20"/>
          <w:szCs w:val="20"/>
          <w:lang w:val="lt-LT"/>
        </w:rPr>
      </w:pPr>
      <w:r w:rsidRPr="00C97275">
        <w:rPr>
          <w:rFonts w:ascii="Georgia" w:hAnsi="Georgia"/>
          <w:sz w:val="20"/>
          <w:szCs w:val="20"/>
          <w:lang w:val="lt-LT"/>
        </w:rPr>
        <w:t xml:space="preserve">Laikytina, kad tos pačios sąlygos yra taikomos viešajai ir privačiajai investicijai, jeigu abu subjektai prisiima tokias pačias rizikas ir naudą to paties finansinio instrumento atžvilgiu (arba viešasis subjektas yra geresnėje pozicijoje privataus subjekto atžvilgiu). Pagal pasiūlytą mechanizmą, pirmo nuostolio kapitalo </w:t>
      </w:r>
      <w:r w:rsidR="00B0421E" w:rsidRPr="00C97275">
        <w:rPr>
          <w:rFonts w:ascii="Georgia" w:hAnsi="Georgia"/>
          <w:sz w:val="20"/>
          <w:szCs w:val="20"/>
          <w:lang w:val="lt-LT"/>
        </w:rPr>
        <w:t xml:space="preserve">juridinio asmens (platformos) </w:t>
      </w:r>
      <w:r w:rsidRPr="00C97275">
        <w:rPr>
          <w:rFonts w:ascii="Georgia" w:hAnsi="Georgia"/>
          <w:sz w:val="20"/>
          <w:szCs w:val="20"/>
          <w:lang w:val="lt-LT"/>
        </w:rPr>
        <w:t xml:space="preserve">steigimas reiškia, kad viešasis sektorius prisiima didesnę riziką, nei privatūs investuotojai, kadangi potencialiai atsirasiantis nuostolis turės būti padengtas visų pirma viešojo sektoriaus lėšomis. Dėl šios priežasties pagal Rizikos kapitalo gairių 36 p. yra suteikiamas ekonominis pranašumas privatiems investuotojams (apsauga nuo investicijų vertės sumažėjimo, angl. </w:t>
      </w:r>
      <w:r w:rsidRPr="00C97275">
        <w:rPr>
          <w:rFonts w:ascii="Georgia" w:hAnsi="Georgia"/>
          <w:i/>
          <w:sz w:val="20"/>
          <w:szCs w:val="20"/>
          <w:u w:val="single"/>
          <w:lang w:val="lt-LT"/>
        </w:rPr>
        <w:t>downside protection</w:t>
      </w:r>
      <w:r w:rsidRPr="00C97275">
        <w:rPr>
          <w:rFonts w:ascii="Georgia" w:hAnsi="Georgia"/>
          <w:sz w:val="20"/>
          <w:szCs w:val="20"/>
          <w:lang w:val="lt-LT"/>
        </w:rPr>
        <w:t>), o finansinė priemonė atitinka valstybės pagalbos požymius, todėl jai turi būti atliktas suderinamumo vertinimas.</w:t>
      </w:r>
    </w:p>
    <w:p w14:paraId="15E2A7C7" w14:textId="597702B5" w:rsidR="00575FB0" w:rsidRPr="00C97275" w:rsidRDefault="00B0421E" w:rsidP="00575FB0">
      <w:pPr>
        <w:pStyle w:val="Sraopastraipa"/>
        <w:ind w:left="0"/>
        <w:jc w:val="both"/>
        <w:rPr>
          <w:rFonts w:ascii="Georgia" w:hAnsi="Georgia"/>
          <w:b/>
          <w:sz w:val="20"/>
          <w:szCs w:val="20"/>
          <w:lang w:val="lt-LT"/>
        </w:rPr>
      </w:pPr>
      <w:r w:rsidRPr="00C97275">
        <w:rPr>
          <w:rFonts w:ascii="Georgia" w:hAnsi="Georgia"/>
          <w:b/>
          <w:sz w:val="20"/>
          <w:szCs w:val="20"/>
          <w:lang w:val="lt-LT"/>
        </w:rPr>
        <w:t>Platforma</w:t>
      </w:r>
      <w:r w:rsidR="00575FB0" w:rsidRPr="00C97275">
        <w:rPr>
          <w:rFonts w:ascii="Georgia" w:hAnsi="Georgia"/>
          <w:b/>
          <w:sz w:val="20"/>
          <w:szCs w:val="20"/>
          <w:lang w:val="lt-LT"/>
        </w:rPr>
        <w:t xml:space="preserve"> (kaip atskiras juridinis asmuo)</w:t>
      </w:r>
    </w:p>
    <w:p w14:paraId="334B4D8B" w14:textId="77777777" w:rsidR="00575FB0" w:rsidRPr="00C97275" w:rsidRDefault="00575FB0" w:rsidP="00575FB0">
      <w:pPr>
        <w:pStyle w:val="Sraopastraipa"/>
        <w:ind w:left="0"/>
        <w:jc w:val="both"/>
        <w:rPr>
          <w:rFonts w:ascii="Georgia" w:hAnsi="Georgia"/>
          <w:sz w:val="20"/>
          <w:szCs w:val="20"/>
          <w:lang w:val="lt-LT"/>
        </w:rPr>
      </w:pPr>
    </w:p>
    <w:p w14:paraId="6AEA9593" w14:textId="72E2E185"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 xml:space="preserve">Pagal numatomą mechanizmą, </w:t>
      </w:r>
      <w:r w:rsidR="00B0421E" w:rsidRPr="00C97275">
        <w:rPr>
          <w:rFonts w:ascii="Georgia" w:hAnsi="Georgia"/>
          <w:sz w:val="20"/>
          <w:szCs w:val="20"/>
          <w:lang w:val="lt-LT"/>
        </w:rPr>
        <w:t xml:space="preserve">platformą </w:t>
      </w:r>
      <w:r w:rsidRPr="00C97275">
        <w:rPr>
          <w:rFonts w:ascii="Georgia" w:hAnsi="Georgia"/>
          <w:sz w:val="20"/>
          <w:szCs w:val="20"/>
          <w:lang w:val="lt-LT"/>
        </w:rPr>
        <w:t>numatoma įsteigti kaip atskirą juridinį</w:t>
      </w:r>
      <w:r w:rsidR="002279A6" w:rsidRPr="00C97275">
        <w:rPr>
          <w:rFonts w:ascii="Georgia" w:hAnsi="Georgia"/>
          <w:sz w:val="20"/>
          <w:szCs w:val="20"/>
          <w:lang w:val="lt-LT"/>
        </w:rPr>
        <w:t xml:space="preserve"> asmenį</w:t>
      </w:r>
      <w:r w:rsidR="00B0421E" w:rsidRPr="00C97275">
        <w:rPr>
          <w:rFonts w:ascii="Georgia" w:hAnsi="Georgia"/>
          <w:sz w:val="20"/>
          <w:szCs w:val="20"/>
          <w:lang w:val="lt-LT"/>
        </w:rPr>
        <w:t xml:space="preserve">. </w:t>
      </w:r>
      <w:r w:rsidRPr="00C97275">
        <w:rPr>
          <w:rFonts w:ascii="Georgia" w:hAnsi="Georgia"/>
          <w:sz w:val="20"/>
          <w:szCs w:val="20"/>
          <w:lang w:val="lt-LT"/>
        </w:rPr>
        <w:t xml:space="preserve"> Valstybės pagalbos taisyklių taikymo požiūriu, </w:t>
      </w:r>
      <w:r w:rsidR="00B0421E" w:rsidRPr="00C97275">
        <w:rPr>
          <w:rFonts w:ascii="Georgia" w:hAnsi="Georgia"/>
          <w:sz w:val="20"/>
          <w:szCs w:val="20"/>
          <w:lang w:val="lt-LT"/>
        </w:rPr>
        <w:t xml:space="preserve">šio juridinio asmens </w:t>
      </w:r>
      <w:r w:rsidRPr="00C97275">
        <w:rPr>
          <w:rFonts w:ascii="Georgia" w:hAnsi="Georgia"/>
          <w:sz w:val="20"/>
          <w:szCs w:val="20"/>
          <w:lang w:val="lt-LT"/>
        </w:rPr>
        <w:t xml:space="preserve">steigimo </w:t>
      </w:r>
      <w:r w:rsidR="00B0421E" w:rsidRPr="00C97275">
        <w:rPr>
          <w:rFonts w:ascii="Georgia" w:hAnsi="Georgia"/>
          <w:sz w:val="20"/>
          <w:szCs w:val="20"/>
          <w:lang w:val="lt-LT"/>
        </w:rPr>
        <w:t xml:space="preserve">dokumentuose </w:t>
      </w:r>
      <w:r w:rsidRPr="00C97275">
        <w:rPr>
          <w:rFonts w:ascii="Georgia" w:hAnsi="Georgia"/>
          <w:sz w:val="20"/>
          <w:szCs w:val="20"/>
          <w:lang w:val="lt-LT"/>
        </w:rPr>
        <w:t xml:space="preserve">iš anksto turi būti numatyta, kad savarankiškai vykdomos ekonominės veiklos </w:t>
      </w:r>
      <w:r w:rsidR="00B0421E" w:rsidRPr="00C97275">
        <w:rPr>
          <w:rFonts w:ascii="Georgia" w:hAnsi="Georgia"/>
          <w:sz w:val="20"/>
          <w:szCs w:val="20"/>
          <w:lang w:val="lt-LT"/>
        </w:rPr>
        <w:t xml:space="preserve">platformos </w:t>
      </w:r>
      <w:r w:rsidRPr="00C97275">
        <w:rPr>
          <w:rFonts w:ascii="Georgia" w:hAnsi="Georgia"/>
          <w:sz w:val="20"/>
          <w:szCs w:val="20"/>
          <w:lang w:val="lt-LT"/>
        </w:rPr>
        <w:t xml:space="preserve">nauda tenka fondo valdytojui, kadangi </w:t>
      </w:r>
      <w:r w:rsidR="00B0421E" w:rsidRPr="00C97275">
        <w:rPr>
          <w:rFonts w:ascii="Georgia" w:hAnsi="Georgia"/>
          <w:sz w:val="20"/>
          <w:szCs w:val="20"/>
          <w:lang w:val="lt-LT"/>
        </w:rPr>
        <w:t xml:space="preserve">platformos </w:t>
      </w:r>
      <w:r w:rsidRPr="00C97275">
        <w:rPr>
          <w:rFonts w:ascii="Georgia" w:hAnsi="Georgia"/>
          <w:sz w:val="20"/>
          <w:szCs w:val="20"/>
          <w:lang w:val="lt-LT"/>
        </w:rPr>
        <w:t xml:space="preserve">steigimo tikslas yra užtikrinti fondų fondo veiklą. Visi ištekliai yra įnešami bei paskirstomi tokiu būdu, </w:t>
      </w:r>
      <w:r w:rsidR="002279A6" w:rsidRPr="00C97275">
        <w:rPr>
          <w:rFonts w:ascii="Georgia" w:hAnsi="Georgia"/>
          <w:sz w:val="20"/>
          <w:szCs w:val="20"/>
          <w:lang w:val="lt-LT"/>
        </w:rPr>
        <w:t xml:space="preserve">kad </w:t>
      </w:r>
      <w:r w:rsidRPr="00C97275">
        <w:rPr>
          <w:rFonts w:ascii="Georgia" w:hAnsi="Georgia"/>
          <w:sz w:val="20"/>
          <w:szCs w:val="20"/>
          <w:lang w:val="lt-LT"/>
        </w:rPr>
        <w:t>pats fondas negauna jokios ekonominės naudos iš veiklos vykdymo. Kitaip tariant, pat</w:t>
      </w:r>
      <w:r w:rsidR="00B0421E" w:rsidRPr="00C97275">
        <w:rPr>
          <w:rFonts w:ascii="Georgia" w:hAnsi="Georgia"/>
          <w:sz w:val="20"/>
          <w:szCs w:val="20"/>
          <w:lang w:val="lt-LT"/>
        </w:rPr>
        <w:t>i</w:t>
      </w:r>
      <w:r w:rsidRPr="00C97275">
        <w:rPr>
          <w:rFonts w:ascii="Georgia" w:hAnsi="Georgia"/>
          <w:sz w:val="20"/>
          <w:szCs w:val="20"/>
          <w:lang w:val="lt-LT"/>
        </w:rPr>
        <w:t xml:space="preserve"> </w:t>
      </w:r>
      <w:r w:rsidR="00B0421E" w:rsidRPr="00C97275">
        <w:rPr>
          <w:rFonts w:ascii="Georgia" w:hAnsi="Georgia"/>
          <w:sz w:val="20"/>
          <w:szCs w:val="20"/>
          <w:lang w:val="lt-LT"/>
        </w:rPr>
        <w:t>platforma (juridinis asmuo)</w:t>
      </w:r>
      <w:r w:rsidRPr="00C97275">
        <w:rPr>
          <w:rFonts w:ascii="Georgia" w:hAnsi="Georgia"/>
          <w:sz w:val="20"/>
          <w:szCs w:val="20"/>
          <w:lang w:val="lt-LT"/>
        </w:rPr>
        <w:t xml:space="preserve"> yra laikytinas pagalbos pervedimo priemone, tačiau pats savaime nėra valstybės pagalbos gavėjas.</w:t>
      </w:r>
    </w:p>
    <w:p w14:paraId="44791E90" w14:textId="77777777" w:rsidR="00575FB0" w:rsidRPr="00C97275" w:rsidRDefault="00575FB0" w:rsidP="00575FB0">
      <w:pPr>
        <w:pStyle w:val="Sraopastraipa"/>
        <w:ind w:left="0"/>
        <w:jc w:val="both"/>
        <w:rPr>
          <w:rFonts w:ascii="Georgia" w:hAnsi="Georgia"/>
          <w:b/>
          <w:sz w:val="20"/>
          <w:szCs w:val="20"/>
          <w:lang w:val="lt-LT"/>
        </w:rPr>
      </w:pPr>
    </w:p>
    <w:p w14:paraId="75966562"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t>Finansiniai tarpininkai</w:t>
      </w:r>
    </w:p>
    <w:p w14:paraId="25BC5019" w14:textId="77777777" w:rsidR="00575FB0" w:rsidRPr="00C97275" w:rsidRDefault="00575FB0" w:rsidP="00575FB0">
      <w:pPr>
        <w:pStyle w:val="Sraopastraipa"/>
        <w:ind w:left="0"/>
        <w:jc w:val="both"/>
        <w:rPr>
          <w:rFonts w:ascii="Georgia" w:hAnsi="Georgia"/>
          <w:sz w:val="20"/>
          <w:szCs w:val="20"/>
          <w:lang w:val="lt-LT"/>
        </w:rPr>
      </w:pPr>
    </w:p>
    <w:p w14:paraId="44598D59"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14:paraId="3A906700"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w:t>
      </w:r>
      <w:r w:rsidRPr="00C97275">
        <w:rPr>
          <w:rFonts w:ascii="Georgia" w:hAnsi="Georgia"/>
          <w:lang w:val="lt-LT"/>
        </w:rPr>
        <w:t xml:space="preserve"> </w:t>
      </w:r>
      <w:r w:rsidRPr="00C97275">
        <w:rPr>
          <w:rFonts w:ascii="Georgia" w:hAnsi="Georgia"/>
          <w:sz w:val="20"/>
          <w:szCs w:val="20"/>
          <w:lang w:val="lt-LT"/>
        </w:rPr>
        <w:t>į iš anksto nustatytus atskirus finansų tarpininkus. Kitaip tariant, priemonės mechanizmas negali būti susijęs su atskirais finansų tarpininkais.</w:t>
      </w:r>
    </w:p>
    <w:p w14:paraId="50CC3268"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Finansinius tarpininkus parinkus atvira, skaidria, nediskriminacine ir objektyvia tvarka, pagal Rizikos finansų gairių 40 p., valstybės pagalba šiems tarpininkams nėra teikiama.</w:t>
      </w:r>
    </w:p>
    <w:p w14:paraId="44B69D97"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Pabrėžtina, kad teikiant lengvatines paskolas per finansų tarpininką, būtina laikytis Europos Komisijos komunikato dėl orientacinių ir diskonto normų nustatymo metodo pakeitimo reikalavimų, tai yra laikytis bazinės normos bei maržos kitimo ribų, priklausomai nuo įmonės naudos gavėjos reitingo ir įkeičiamo turto</w:t>
      </w:r>
      <w:r w:rsidRPr="00C97275">
        <w:rPr>
          <w:rStyle w:val="Puslapioinaosnuoroda"/>
          <w:rFonts w:ascii="Georgia" w:hAnsi="Georgia"/>
          <w:sz w:val="20"/>
          <w:szCs w:val="20"/>
          <w:lang w:val="lt-LT"/>
        </w:rPr>
        <w:footnoteReference w:id="147"/>
      </w:r>
      <w:r w:rsidRPr="00C97275">
        <w:rPr>
          <w:rFonts w:ascii="Georgia" w:hAnsi="Georgia"/>
          <w:sz w:val="20"/>
          <w:szCs w:val="20"/>
          <w:lang w:val="lt-LT"/>
        </w:rPr>
        <w:t>.</w:t>
      </w:r>
    </w:p>
    <w:p w14:paraId="2CC89395" w14:textId="77777777" w:rsidR="00575FB0" w:rsidRPr="00C97275" w:rsidRDefault="00575FB0" w:rsidP="00575FB0">
      <w:pPr>
        <w:pStyle w:val="Sraopastraipa"/>
        <w:ind w:left="0"/>
        <w:jc w:val="both"/>
        <w:rPr>
          <w:rFonts w:ascii="Georgia" w:hAnsi="Georgia"/>
          <w:sz w:val="20"/>
          <w:szCs w:val="20"/>
          <w:lang w:val="lt-LT"/>
        </w:rPr>
      </w:pPr>
    </w:p>
    <w:p w14:paraId="25D279EC"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lastRenderedPageBreak/>
        <w:t>Daugiabučių namų bendrijos</w:t>
      </w:r>
    </w:p>
    <w:p w14:paraId="169C0E75" w14:textId="77777777" w:rsidR="00575FB0" w:rsidRPr="00C97275" w:rsidRDefault="00575FB0" w:rsidP="00575FB0">
      <w:pPr>
        <w:pStyle w:val="Sraopastraipa"/>
        <w:ind w:left="0"/>
        <w:jc w:val="both"/>
        <w:rPr>
          <w:rFonts w:ascii="Georgia" w:hAnsi="Georgia"/>
          <w:sz w:val="20"/>
          <w:szCs w:val="20"/>
          <w:lang w:val="lt-LT"/>
        </w:rPr>
      </w:pPr>
    </w:p>
    <w:p w14:paraId="7BE3490F"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Daugiabučių namų bendrijos steigimo tikslas yra įgyvendinti butų ir kitų patalpų (pastatų) savininkų teises ir pareigas, susijusias su jiems priklausančių arba kuriamų naujų bendrosios dalinės nuosavybės teisės objektų valdymu, naudojimu ir priežiūra. Kitaip tariant, bendrija nevykdo ekonominės veiklos, tai yra neteikia prekių ir paslaugų rinkoje už atlygį, todėl jai nėra taikomos valstybės pagalbos taisyklės.</w:t>
      </w:r>
    </w:p>
    <w:p w14:paraId="5976CB3E" w14:textId="77777777" w:rsidR="00575FB0" w:rsidRPr="00C97275" w:rsidRDefault="00575FB0" w:rsidP="00575FB0">
      <w:pPr>
        <w:pStyle w:val="Sraopastraipa"/>
        <w:ind w:left="0"/>
        <w:jc w:val="both"/>
        <w:rPr>
          <w:rFonts w:ascii="Georgia" w:hAnsi="Georgia"/>
          <w:sz w:val="20"/>
          <w:szCs w:val="20"/>
          <w:lang w:val="lt-LT"/>
        </w:rPr>
      </w:pPr>
    </w:p>
    <w:p w14:paraId="3D600109"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t>Daugiabučių namų administratoriai</w:t>
      </w:r>
    </w:p>
    <w:p w14:paraId="2714853F" w14:textId="77777777" w:rsidR="00575FB0" w:rsidRPr="00C97275" w:rsidRDefault="00575FB0" w:rsidP="00575FB0">
      <w:pPr>
        <w:pStyle w:val="Sraopastraipa"/>
        <w:ind w:left="0"/>
        <w:jc w:val="both"/>
        <w:rPr>
          <w:rFonts w:ascii="Georgia" w:hAnsi="Georgia"/>
          <w:sz w:val="20"/>
          <w:szCs w:val="20"/>
          <w:lang w:val="lt-LT"/>
        </w:rPr>
      </w:pPr>
    </w:p>
    <w:p w14:paraId="59488698"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Daugiabučių namų administratoriai yra ekonominę veiklą vykdantys subjektai, todėl jų atžvilgiu turi būti atliktas mechanizmo klasifikavimas, siekiant įsitikinti, kad administratoriai negauna netiesioginės pagalbos.</w:t>
      </w:r>
    </w:p>
    <w:p w14:paraId="4E6064B6"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Suteikiant lengvatinę paskolą daugiabučio renovacijos projektui, sumažėja pastato eksploatacijos išlaidos, tačiau padidėja finansinės išlaidos, susijusios su paskolos grąžinimu (pagrindinės paskolos dalies grąžinimas ir susijusių palūkanų įmokos). Daugiabučio namo administratoriaus veiklos tikslas yra užtikrinti efektyvų pastato eksploatavimą (šildymą), už šias paslaugas gaunant apmokėjimą, kurio dydį apsprendžia gyventojai. Sumažėjus pastato šildymo sąnaudoms, administratoriaus veiklos apimtis nepasikeičia, tačiau įdiegus papildomas taupymo priemones (pvz., šildymo punkto nuotolinis ir/arba automatinis aptarnavimas), taip pat gali pasikeisti ir administratoriaus veiklos apimtis. Tokiu atveju, nepatikslinus sutarties su administratoriumi sąlygų, gali atsirasti netiesioginis ekonominis pranašumas administratoriui iki sutarties pakeitimo/pabaigos.</w:t>
      </w:r>
    </w:p>
    <w:p w14:paraId="63047EBE"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Siekiant eliminuoti šią grėsmę, siūloma numatyti paramos gavėjo pareigą daugiabučio renovacijos projekto įgyvendinimo metu peržiūrėti sutarties su administratoriumi paslaugų įkainius tam, kad jos atitiktų rinkos sąlygas.</w:t>
      </w:r>
    </w:p>
    <w:p w14:paraId="3E7F3D0E"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Įgyvendinus šią sąlygą, administratoriui nebūtų suteikiamas ekonominis pranašumas, kas yra vienas iš valstybės pagalbos požymių, todėl nebūtų pripažįstama ir valstybės pagalba.</w:t>
      </w:r>
    </w:p>
    <w:p w14:paraId="3256097E" w14:textId="77777777" w:rsidR="00575FB0" w:rsidRPr="00C97275" w:rsidRDefault="00575FB0" w:rsidP="00575FB0">
      <w:pPr>
        <w:pStyle w:val="Sraopastraipa"/>
        <w:ind w:left="0"/>
        <w:jc w:val="both"/>
        <w:rPr>
          <w:rFonts w:ascii="Georgia" w:hAnsi="Georgia"/>
          <w:sz w:val="20"/>
          <w:szCs w:val="20"/>
          <w:lang w:val="lt-LT"/>
        </w:rPr>
      </w:pPr>
    </w:p>
    <w:p w14:paraId="29B70496"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t>Daugiabučių namų gyventojai (fiziniai asmenys), taip pat daugiabučių namų butuose įsikūrę juridiniai asmenys</w:t>
      </w:r>
    </w:p>
    <w:p w14:paraId="6D37B1DA" w14:textId="77777777" w:rsidR="00575FB0" w:rsidRPr="00C97275" w:rsidRDefault="00575FB0" w:rsidP="00575FB0">
      <w:pPr>
        <w:pStyle w:val="Sraopastraipa"/>
        <w:ind w:left="0"/>
        <w:jc w:val="both"/>
        <w:rPr>
          <w:rFonts w:ascii="Georgia" w:hAnsi="Georgia"/>
          <w:sz w:val="20"/>
          <w:szCs w:val="20"/>
          <w:lang w:val="lt-LT"/>
        </w:rPr>
      </w:pPr>
    </w:p>
    <w:p w14:paraId="0CAEDD5A"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Fiziniai asmenys valstybės pagalbos taisyklių požiūriu nėra laikomi ūkio subjektais, todėl jų atžvilgiu nėra taikomos valstybės pagalbos taisyklės.</w:t>
      </w:r>
    </w:p>
    <w:p w14:paraId="2B6E8191"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Daugiabučių namų butuose įsikūrę juridiniai asmenys, taip pat ūkinę veiklą vykdantys fiziniai asmenys laikytini ekonominę veiklą vykdančiais ūkio subjektais valstybės pagalbos taisyklių požiūriu, tai yra daugiabučio namo renovacijos projekto dėka sumažėtų šių asmenų įprastinės veiklos sąnaudos, kas yra laikytina ekonominiu pranašumu, todėl šių asmenų atžvilgiu turi būti atliktas priemonės įgyvendinimo suderinamumo vertinimas.</w:t>
      </w:r>
    </w:p>
    <w:p w14:paraId="496D502C" w14:textId="77777777" w:rsidR="00575FB0" w:rsidRPr="00C97275" w:rsidRDefault="00575FB0" w:rsidP="00575FB0">
      <w:pPr>
        <w:pStyle w:val="Sraopastraipa"/>
        <w:ind w:left="0"/>
        <w:jc w:val="both"/>
        <w:rPr>
          <w:rFonts w:ascii="Georgia" w:hAnsi="Georgia"/>
          <w:sz w:val="20"/>
          <w:szCs w:val="20"/>
          <w:lang w:val="lt-LT"/>
        </w:rPr>
      </w:pPr>
    </w:p>
    <w:p w14:paraId="01A9802E"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t>Rangos darbus vykdantys ūkio subjektai</w:t>
      </w:r>
    </w:p>
    <w:p w14:paraId="5EA7102B" w14:textId="77777777" w:rsidR="00575FB0" w:rsidRPr="00C97275" w:rsidRDefault="00575FB0" w:rsidP="00575FB0">
      <w:pPr>
        <w:pStyle w:val="Sraopastraipa"/>
        <w:ind w:left="0"/>
        <w:jc w:val="both"/>
        <w:rPr>
          <w:rFonts w:ascii="Georgia" w:hAnsi="Georgia"/>
          <w:sz w:val="20"/>
          <w:szCs w:val="20"/>
          <w:lang w:val="lt-LT"/>
        </w:rPr>
      </w:pPr>
    </w:p>
    <w:p w14:paraId="4A2428F3"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Pagal numatomą mechanizmą, rangos darbus vykdantys ūkio subjektai bus parenkami Lietuvos Respublikos viešųjų pirkimų įstatymo nustatyta tvarka, tai yra atvira, skaidria, nediskriminacine ir objektyvia tvarka, todėl pagal analogiją taikant Rizikos kapitalo gairių 40 p., valstybės pagalba šiems subjektams nebūtų teikiama, kadangi būtų laikomasi rinkos investuotojo kriterijaus (nesuteikiamas ekonominis pranašumas).</w:t>
      </w:r>
    </w:p>
    <w:p w14:paraId="6843C3B9" w14:textId="77777777" w:rsidR="00575FB0" w:rsidRPr="00C97275" w:rsidRDefault="00575FB0" w:rsidP="00575FB0">
      <w:pPr>
        <w:pStyle w:val="Sraopastraipa"/>
        <w:ind w:left="0"/>
        <w:jc w:val="both"/>
        <w:rPr>
          <w:rFonts w:ascii="Georgia" w:hAnsi="Georgia"/>
          <w:sz w:val="20"/>
          <w:szCs w:val="20"/>
          <w:lang w:val="lt-LT"/>
        </w:rPr>
      </w:pPr>
    </w:p>
    <w:p w14:paraId="0AB87B0F" w14:textId="77777777" w:rsidR="00575FB0" w:rsidRPr="00C97275" w:rsidRDefault="00575FB0" w:rsidP="00575FB0">
      <w:pPr>
        <w:pStyle w:val="Antrat2"/>
        <w:numPr>
          <w:ilvl w:val="3"/>
          <w:numId w:val="2"/>
        </w:numPr>
        <w:rPr>
          <w:rFonts w:ascii="Georgia" w:hAnsi="Georgia"/>
          <w:lang w:val="lt-LT"/>
        </w:rPr>
      </w:pPr>
      <w:bookmarkStart w:id="243" w:name="_Toc25594709"/>
      <w:r w:rsidRPr="00C97275">
        <w:rPr>
          <w:rFonts w:ascii="Georgia" w:hAnsi="Georgia"/>
          <w:lang w:val="lt-LT"/>
        </w:rPr>
        <w:t>Priemonės įgyvendinimo suderinamumo vertinimas</w:t>
      </w:r>
      <w:bookmarkEnd w:id="243"/>
    </w:p>
    <w:p w14:paraId="6255A2AC" w14:textId="77777777" w:rsidR="00575FB0" w:rsidRPr="00C97275" w:rsidRDefault="00575FB0" w:rsidP="00575FB0">
      <w:pPr>
        <w:pStyle w:val="Sraopastraipa"/>
        <w:ind w:left="0" w:firstLine="284"/>
        <w:jc w:val="both"/>
        <w:rPr>
          <w:rFonts w:ascii="Georgia" w:hAnsi="Georgia"/>
          <w:sz w:val="20"/>
          <w:szCs w:val="20"/>
          <w:lang w:val="lt-LT"/>
        </w:rPr>
      </w:pPr>
    </w:p>
    <w:p w14:paraId="0A4E917B"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lastRenderedPageBreak/>
        <w:t xml:space="preserve">Atlikus mechanizmo klasifikavimą, pripažintina, kad valstybės pagalbos (įskaitant </w:t>
      </w:r>
      <w:r w:rsidRPr="00C97275">
        <w:rPr>
          <w:rFonts w:ascii="Georgia" w:hAnsi="Georgia"/>
          <w:i/>
          <w:sz w:val="20"/>
          <w:szCs w:val="20"/>
          <w:lang w:val="lt-LT"/>
        </w:rPr>
        <w:t>de minimis</w:t>
      </w:r>
      <w:r w:rsidRPr="00C97275">
        <w:rPr>
          <w:rFonts w:ascii="Georgia" w:hAnsi="Georgia"/>
          <w:sz w:val="20"/>
          <w:szCs w:val="20"/>
          <w:lang w:val="lt-LT"/>
        </w:rPr>
        <w:t xml:space="preserve"> pagalbą, kaip nurodyta 5.1.4. skyriuje) požymius atitinka mechanizmo sąlygos, sudaromos privatiems instituciniams bei profesionaliems investuotojams, taip pat daugiabučių namų gyventojams, vykdantiems ūkinę veiklą, bei juridiniams asmenims, vykdantiems veiklą daugiabutyje.</w:t>
      </w:r>
    </w:p>
    <w:p w14:paraId="032FCBDE"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Pažymėtina, kad suderinamumo vertinimo rezultatas yra tiesiogiai susietas su mechanizmo įgyvendinimo metu planuojamomis panaudoti finansinėmis priemonėmis</w:t>
      </w:r>
    </w:p>
    <w:p w14:paraId="5BACAF41" w14:textId="77777777" w:rsidR="00575FB0" w:rsidRPr="00C97275" w:rsidRDefault="00575FB0" w:rsidP="00575FB0">
      <w:pPr>
        <w:pStyle w:val="Sraopastraipa"/>
        <w:ind w:left="0" w:firstLine="284"/>
        <w:jc w:val="both"/>
        <w:rPr>
          <w:rFonts w:ascii="Georgia" w:hAnsi="Georgia"/>
          <w:sz w:val="20"/>
          <w:szCs w:val="20"/>
          <w:lang w:val="lt-LT"/>
        </w:rPr>
      </w:pPr>
    </w:p>
    <w:p w14:paraId="0ACC45E2"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t>Daugiabučių namų gyventojai, vykdantys ūkinę veiklą, bei juridiniai asmenys, vykdantys veiklą daugiabutyje</w:t>
      </w:r>
    </w:p>
    <w:p w14:paraId="59A19D7B" w14:textId="77777777" w:rsidR="00575FB0" w:rsidRPr="00C97275" w:rsidRDefault="00575FB0" w:rsidP="00575FB0">
      <w:pPr>
        <w:pStyle w:val="Sraopastraipa"/>
        <w:ind w:left="0"/>
        <w:jc w:val="both"/>
        <w:rPr>
          <w:rFonts w:ascii="Georgia" w:hAnsi="Georgia"/>
          <w:b/>
          <w:sz w:val="20"/>
          <w:szCs w:val="20"/>
          <w:lang w:val="lt-LT"/>
        </w:rPr>
      </w:pPr>
    </w:p>
    <w:p w14:paraId="2823623C"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Šiems ūkio subjektams teikiama pagalba atitinka de minimis pagalbos sąlygas, jeigu:</w:t>
      </w:r>
    </w:p>
    <w:p w14:paraId="707C5682" w14:textId="499CA6AC" w:rsidR="00575FB0" w:rsidRPr="00C97275" w:rsidRDefault="00575FB0" w:rsidP="00575FB0">
      <w:pPr>
        <w:pStyle w:val="Sraopastraipa"/>
        <w:numPr>
          <w:ilvl w:val="0"/>
          <w:numId w:val="158"/>
        </w:numPr>
        <w:jc w:val="both"/>
        <w:rPr>
          <w:rFonts w:ascii="Georgia" w:hAnsi="Georgia"/>
          <w:sz w:val="20"/>
          <w:szCs w:val="20"/>
          <w:lang w:val="lt-LT"/>
        </w:rPr>
      </w:pPr>
      <w:r w:rsidRPr="00C97275">
        <w:rPr>
          <w:rFonts w:ascii="Georgia" w:hAnsi="Georgia"/>
          <w:sz w:val="20"/>
          <w:szCs w:val="20"/>
          <w:lang w:val="lt-LT"/>
        </w:rPr>
        <w:t>pagalbos suteikimo momentu (</w:t>
      </w:r>
      <w:r w:rsidRPr="00C97275">
        <w:rPr>
          <w:rFonts w:ascii="Georgia" w:hAnsi="Georgia"/>
          <w:i/>
          <w:sz w:val="20"/>
          <w:szCs w:val="20"/>
          <w:lang w:val="lt-LT"/>
        </w:rPr>
        <w:t xml:space="preserve">de minimis </w:t>
      </w:r>
      <w:r w:rsidRPr="00C97275">
        <w:rPr>
          <w:rFonts w:ascii="Georgia" w:hAnsi="Georgia"/>
          <w:sz w:val="20"/>
          <w:szCs w:val="20"/>
          <w:lang w:val="lt-LT"/>
        </w:rPr>
        <w:t>Reglamento 3 str. 4 d.) nėra nei vieno ūkio subjekto, kuriam būtų taikoma nemokumo procedūra, ir</w:t>
      </w:r>
    </w:p>
    <w:p w14:paraId="6D0FBAB3" w14:textId="77777777" w:rsidR="00575FB0" w:rsidRPr="00C97275" w:rsidRDefault="00575FB0" w:rsidP="00575FB0">
      <w:pPr>
        <w:pStyle w:val="Sraopastraipa"/>
        <w:numPr>
          <w:ilvl w:val="0"/>
          <w:numId w:val="158"/>
        </w:numPr>
        <w:jc w:val="both"/>
        <w:rPr>
          <w:rFonts w:ascii="Georgia" w:hAnsi="Georgia"/>
          <w:sz w:val="20"/>
          <w:szCs w:val="20"/>
          <w:lang w:val="lt-LT"/>
        </w:rPr>
      </w:pPr>
      <w:r w:rsidRPr="00C97275">
        <w:rPr>
          <w:rFonts w:ascii="Georgia" w:hAnsi="Georgia"/>
          <w:sz w:val="20"/>
          <w:szCs w:val="20"/>
          <w:lang w:val="lt-LT"/>
        </w:rPr>
        <w:t>paskola yra užtikrinta ne mažiau kaip 50 % paskolos vertės užstatu, o paskolos suma neviršija 1 mln. EUR, kai trukmė yra iki penkerių metų (arba 0,5 mln. EUR, kai trukmė yra iki dešimties metų), ir</w:t>
      </w:r>
    </w:p>
    <w:p w14:paraId="0F7A6070" w14:textId="77777777" w:rsidR="00575FB0" w:rsidRPr="00C97275" w:rsidRDefault="00575FB0" w:rsidP="00575FB0">
      <w:pPr>
        <w:pStyle w:val="Sraopastraipa"/>
        <w:numPr>
          <w:ilvl w:val="0"/>
          <w:numId w:val="158"/>
        </w:numPr>
        <w:jc w:val="both"/>
        <w:rPr>
          <w:rFonts w:ascii="Georgia" w:hAnsi="Georgia"/>
          <w:sz w:val="20"/>
          <w:szCs w:val="20"/>
          <w:lang w:val="lt-LT"/>
        </w:rPr>
      </w:pPr>
      <w:r w:rsidRPr="00C97275">
        <w:rPr>
          <w:rFonts w:ascii="Georgia" w:hAnsi="Georgia"/>
          <w:sz w:val="20"/>
          <w:szCs w:val="20"/>
          <w:lang w:val="lt-LT"/>
        </w:rPr>
        <w:t>bendrasis subsidijos ekvivalentas yra apskaičiuotas pagal bazinę palūkanų normą</w:t>
      </w:r>
      <w:r w:rsidRPr="00C97275">
        <w:rPr>
          <w:rStyle w:val="Puslapioinaosnuoroda"/>
          <w:rFonts w:ascii="Georgia" w:hAnsi="Georgia"/>
          <w:sz w:val="20"/>
          <w:szCs w:val="20"/>
          <w:lang w:val="lt-LT"/>
        </w:rPr>
        <w:footnoteReference w:id="148"/>
      </w:r>
      <w:r w:rsidRPr="00C97275">
        <w:rPr>
          <w:rFonts w:ascii="Georgia" w:hAnsi="Georgia"/>
          <w:sz w:val="20"/>
          <w:szCs w:val="20"/>
          <w:lang w:val="lt-LT"/>
        </w:rPr>
        <w:t>, pridedant reikalingą maržą pagal rizikos lygį, taikytiną pagalbos suteikimo momentu.</w:t>
      </w:r>
    </w:p>
    <w:p w14:paraId="64D26275" w14:textId="77777777" w:rsidR="00575FB0" w:rsidRPr="00C97275" w:rsidRDefault="00575FB0" w:rsidP="00575FB0">
      <w:pPr>
        <w:pStyle w:val="Sraopastraipa"/>
        <w:ind w:left="0"/>
        <w:jc w:val="both"/>
        <w:rPr>
          <w:rFonts w:ascii="Georgia" w:hAnsi="Georgia"/>
          <w:sz w:val="20"/>
          <w:szCs w:val="20"/>
          <w:lang w:val="lt-LT"/>
        </w:rPr>
      </w:pPr>
    </w:p>
    <w:p w14:paraId="7617FE10"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 xml:space="preserve">Pabrėžtina, kad </w:t>
      </w:r>
      <w:r w:rsidRPr="00C97275">
        <w:rPr>
          <w:rFonts w:ascii="Georgia" w:hAnsi="Georgia"/>
          <w:i/>
          <w:sz w:val="20"/>
          <w:szCs w:val="20"/>
          <w:lang w:val="lt-LT"/>
        </w:rPr>
        <w:t>de minimis</w:t>
      </w:r>
      <w:r w:rsidRPr="00C97275">
        <w:rPr>
          <w:rFonts w:ascii="Georgia" w:hAnsi="Georgia"/>
          <w:sz w:val="20"/>
          <w:szCs w:val="20"/>
          <w:lang w:val="lt-LT"/>
        </w:rPr>
        <w:t xml:space="preserve"> pagalba yra skaičiuojama ne tik vienam juridiniam asmeniui, bet ir visiems su šiuo juridiniu asmeniu susijusiems asmenims, kaip jie yra suprantami pagal </w:t>
      </w:r>
      <w:r w:rsidRPr="00C97275">
        <w:rPr>
          <w:rFonts w:ascii="Georgia" w:hAnsi="Georgia"/>
          <w:i/>
          <w:sz w:val="20"/>
          <w:szCs w:val="20"/>
          <w:lang w:val="lt-LT"/>
        </w:rPr>
        <w:t>de minimis</w:t>
      </w:r>
      <w:r w:rsidRPr="00C97275">
        <w:rPr>
          <w:rFonts w:ascii="Georgia" w:hAnsi="Georgia"/>
          <w:sz w:val="20"/>
          <w:szCs w:val="20"/>
          <w:lang w:val="lt-LT"/>
        </w:rPr>
        <w:t xml:space="preserve"> Reglamento 2 str. 2 d.</w:t>
      </w:r>
    </w:p>
    <w:p w14:paraId="117AAAAB"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Kitaip tariant, prieš pasirašant sutartį dėl paskolos suteikimo, būtina įsitikinti, kad:</w:t>
      </w:r>
    </w:p>
    <w:p w14:paraId="29F22988" w14:textId="77777777" w:rsidR="00575FB0" w:rsidRPr="00C97275" w:rsidRDefault="00575FB0" w:rsidP="00575FB0">
      <w:pPr>
        <w:pStyle w:val="Sraopastraipa"/>
        <w:numPr>
          <w:ilvl w:val="0"/>
          <w:numId w:val="159"/>
        </w:numPr>
        <w:ind w:left="709" w:hanging="425"/>
        <w:jc w:val="both"/>
        <w:rPr>
          <w:rFonts w:ascii="Georgia" w:hAnsi="Georgia"/>
          <w:sz w:val="20"/>
          <w:szCs w:val="20"/>
          <w:lang w:val="lt-LT"/>
        </w:rPr>
      </w:pPr>
      <w:r w:rsidRPr="00C97275">
        <w:rPr>
          <w:rFonts w:ascii="Georgia" w:hAnsi="Georgia"/>
          <w:sz w:val="20"/>
          <w:szCs w:val="20"/>
          <w:lang w:val="lt-LT"/>
        </w:rPr>
        <w:t>daugiabutyje nėra ūkio subjektų, arba</w:t>
      </w:r>
    </w:p>
    <w:p w14:paraId="4A2FFDDA" w14:textId="77777777" w:rsidR="00575FB0" w:rsidRPr="00C97275" w:rsidRDefault="00575FB0" w:rsidP="00575FB0">
      <w:pPr>
        <w:pStyle w:val="Sraopastraipa"/>
        <w:numPr>
          <w:ilvl w:val="0"/>
          <w:numId w:val="159"/>
        </w:numPr>
        <w:ind w:left="709" w:hanging="425"/>
        <w:rPr>
          <w:rFonts w:ascii="Georgia" w:hAnsi="Georgia"/>
          <w:sz w:val="20"/>
          <w:szCs w:val="20"/>
          <w:lang w:val="lt-LT"/>
        </w:rPr>
      </w:pPr>
      <w:r w:rsidRPr="00C97275">
        <w:rPr>
          <w:rFonts w:ascii="Georgia" w:hAnsi="Georgia"/>
          <w:sz w:val="20"/>
          <w:szCs w:val="20"/>
          <w:lang w:val="lt-LT"/>
        </w:rPr>
        <w:t xml:space="preserve">daugiabutyje yra ūkio subjektų, kurie atitinka nurodytas </w:t>
      </w:r>
      <w:r w:rsidRPr="00C97275">
        <w:rPr>
          <w:rFonts w:ascii="Georgia" w:hAnsi="Georgia"/>
          <w:i/>
          <w:sz w:val="20"/>
          <w:szCs w:val="20"/>
          <w:lang w:val="lt-LT"/>
        </w:rPr>
        <w:t>de minimis</w:t>
      </w:r>
      <w:r w:rsidRPr="00C97275">
        <w:rPr>
          <w:rFonts w:ascii="Georgia" w:hAnsi="Georgia"/>
          <w:sz w:val="20"/>
          <w:szCs w:val="20"/>
          <w:lang w:val="lt-LT"/>
        </w:rPr>
        <w:t xml:space="preserve"> sąlygas.</w:t>
      </w:r>
    </w:p>
    <w:p w14:paraId="2E2A7DEC"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Atsižvelgiant į valstybės pagalbos taisyklių reikalavimus, siūloma nustatyti, kad pagal numatomą įgyvendinti priemonę daugiabučiai, kuriuose yra ūkio subjektų, neatitinkančių de minimis reikalavimų, nėra tinkami pareiškėjai.</w:t>
      </w:r>
    </w:p>
    <w:p w14:paraId="2F2D8587" w14:textId="77777777" w:rsidR="00575FB0" w:rsidRPr="00C97275" w:rsidRDefault="00575FB0" w:rsidP="00575FB0">
      <w:pPr>
        <w:pStyle w:val="Sraopastraipa"/>
        <w:ind w:left="0"/>
        <w:jc w:val="both"/>
        <w:rPr>
          <w:rFonts w:ascii="Georgia" w:hAnsi="Georgia"/>
          <w:sz w:val="20"/>
          <w:szCs w:val="20"/>
          <w:lang w:val="lt-LT"/>
        </w:rPr>
      </w:pPr>
    </w:p>
    <w:p w14:paraId="006847C4" w14:textId="77777777" w:rsidR="00575FB0" w:rsidRPr="00C97275" w:rsidRDefault="00575FB0" w:rsidP="00575FB0">
      <w:pPr>
        <w:pStyle w:val="Sraopastraipa"/>
        <w:ind w:left="0"/>
        <w:jc w:val="both"/>
        <w:rPr>
          <w:rFonts w:ascii="Georgia" w:hAnsi="Georgia"/>
          <w:b/>
          <w:sz w:val="20"/>
          <w:szCs w:val="20"/>
          <w:lang w:val="lt-LT"/>
        </w:rPr>
      </w:pPr>
      <w:r w:rsidRPr="00C97275">
        <w:rPr>
          <w:rFonts w:ascii="Georgia" w:hAnsi="Georgia"/>
          <w:b/>
          <w:sz w:val="20"/>
          <w:szCs w:val="20"/>
          <w:lang w:val="lt-LT"/>
        </w:rPr>
        <w:t>Privatūs instituciniai bei profesionalūs investuotojai</w:t>
      </w:r>
    </w:p>
    <w:p w14:paraId="3B95D4C3" w14:textId="77777777" w:rsidR="00575FB0" w:rsidRPr="00C97275" w:rsidRDefault="00575FB0" w:rsidP="00575FB0">
      <w:pPr>
        <w:pStyle w:val="Sraopastraipa"/>
        <w:ind w:left="0"/>
        <w:jc w:val="both"/>
        <w:rPr>
          <w:rFonts w:ascii="Georgia" w:hAnsi="Georgia"/>
          <w:sz w:val="20"/>
          <w:szCs w:val="20"/>
          <w:lang w:val="lt-LT"/>
        </w:rPr>
      </w:pPr>
    </w:p>
    <w:p w14:paraId="7E101D45"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 xml:space="preserve">Įvertinus mechanizmo struktūrą, darytina išvada, kad nesilaikant </w:t>
      </w:r>
      <w:r w:rsidRPr="00C97275">
        <w:rPr>
          <w:rFonts w:ascii="Georgia" w:hAnsi="Georgia"/>
          <w:i/>
          <w:sz w:val="20"/>
          <w:szCs w:val="20"/>
          <w:lang w:val="lt-LT"/>
        </w:rPr>
        <w:t>parri pasu</w:t>
      </w:r>
      <w:r w:rsidRPr="00C97275">
        <w:rPr>
          <w:rFonts w:ascii="Georgia" w:hAnsi="Georgia"/>
          <w:sz w:val="20"/>
          <w:szCs w:val="20"/>
          <w:lang w:val="lt-LT"/>
        </w:rPr>
        <w:t xml:space="preserve"> principo teikiama pagalba investuotojams, kai viešasis subjektas prisiima didesnę riziką, negu turėtų būti prisiimta, laikantis rinkos investuotojo kriterijaus, neatitinka</w:t>
      </w:r>
      <w:r w:rsidRPr="00C97275">
        <w:rPr>
          <w:rFonts w:ascii="Georgia" w:hAnsi="Georgia"/>
          <w:i/>
          <w:sz w:val="20"/>
          <w:szCs w:val="20"/>
          <w:lang w:val="lt-LT"/>
        </w:rPr>
        <w:t xml:space="preserve"> de minimis</w:t>
      </w:r>
      <w:r w:rsidRPr="00C97275">
        <w:rPr>
          <w:rFonts w:ascii="Georgia" w:hAnsi="Georgia"/>
          <w:sz w:val="20"/>
          <w:szCs w:val="20"/>
          <w:lang w:val="lt-LT"/>
        </w:rPr>
        <w:t xml:space="preserve"> Reglamento nustatytų sąlygų.</w:t>
      </w:r>
    </w:p>
    <w:p w14:paraId="4B3FE5E3"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 xml:space="preserve">Nustačius, kad mechanizmas neatitinka </w:t>
      </w:r>
      <w:r w:rsidRPr="00C97275">
        <w:rPr>
          <w:rFonts w:ascii="Georgia" w:hAnsi="Georgia"/>
          <w:i/>
          <w:sz w:val="20"/>
          <w:szCs w:val="20"/>
          <w:lang w:val="lt-LT"/>
        </w:rPr>
        <w:t>de minimis</w:t>
      </w:r>
      <w:r w:rsidRPr="00C97275">
        <w:rPr>
          <w:rFonts w:ascii="Georgia" w:hAnsi="Georgia"/>
          <w:sz w:val="20"/>
          <w:szCs w:val="20"/>
          <w:lang w:val="lt-LT"/>
        </w:rPr>
        <w:t xml:space="preserve"> Reglamento reikalavimų, turėtų būti įvertinta, ar taikytinos bendrosios išimties reglamentų taisyklės. Šiame kontekste turi būti išnagrinėtos 2014 m. birželio 17 d. Europos Komisijos Reglamento (ES) Nr. 651/2014, kuriuo tam tikrų kategorijų pagalba skelbiama suderinama su vidaus rinka taikant sutarties 107 ir 108 straipsnius, nuostatos (toliau - BIR).</w:t>
      </w:r>
    </w:p>
    <w:p w14:paraId="6D631F30" w14:textId="77777777" w:rsidR="00575FB0" w:rsidRPr="00C97275" w:rsidRDefault="00575FB0" w:rsidP="00575FB0">
      <w:pPr>
        <w:pStyle w:val="Sraopastraipa"/>
        <w:ind w:left="0"/>
        <w:jc w:val="both"/>
        <w:rPr>
          <w:rFonts w:ascii="Georgia" w:hAnsi="Georgia"/>
          <w:sz w:val="20"/>
          <w:szCs w:val="20"/>
          <w:lang w:val="lt-LT"/>
        </w:rPr>
      </w:pPr>
    </w:p>
    <w:p w14:paraId="0EB05998"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Pabrėžtina, kad BIR yra taikomas tik skaidriai pagalbai, kuri finansinių priemonių atveju reiškia, kad nustatytos aiškios sąlygos, kurioms esant priemonė laikoma skaidria. Numatomas įgyvendinti mechanizmas atitinka Bendrosios išimties reglamento 39 str. nuostatas.</w:t>
      </w:r>
    </w:p>
    <w:p w14:paraId="1E69D817"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Būtina akcentuoti, kad BIR taikymas nustato papildomas sąlygas, kurių turi būti laikomasi, teikiant pagalbą ne tik šios pagalbos gavėjų grupės, bet ir kitų naudos gavėjų grupių atžvilgiu:</w:t>
      </w:r>
    </w:p>
    <w:p w14:paraId="5D93A2DA" w14:textId="77777777" w:rsidR="00575FB0" w:rsidRPr="00C97275" w:rsidRDefault="00575FB0" w:rsidP="00575FB0">
      <w:pPr>
        <w:pStyle w:val="Sraopastraipa"/>
        <w:numPr>
          <w:ilvl w:val="0"/>
          <w:numId w:val="160"/>
        </w:numPr>
        <w:ind w:left="709" w:hanging="425"/>
        <w:jc w:val="both"/>
        <w:rPr>
          <w:rFonts w:ascii="Georgia" w:hAnsi="Georgia"/>
          <w:sz w:val="20"/>
          <w:szCs w:val="20"/>
          <w:lang w:val="lt-LT"/>
        </w:rPr>
      </w:pPr>
      <w:r w:rsidRPr="00C97275">
        <w:rPr>
          <w:rFonts w:ascii="Georgia" w:hAnsi="Georgia"/>
          <w:sz w:val="20"/>
          <w:szCs w:val="20"/>
          <w:lang w:val="lt-LT"/>
        </w:rPr>
        <w:t>pasiektas privataus kapitalo ir viešojo kapitalo santykis 30/70, kaip yra nustatyta BIR 39 str. 7 d., ir</w:t>
      </w:r>
    </w:p>
    <w:p w14:paraId="03DB5D64" w14:textId="77777777" w:rsidR="00575FB0" w:rsidRPr="00C97275" w:rsidRDefault="00575FB0" w:rsidP="00575FB0">
      <w:pPr>
        <w:pStyle w:val="Sraopastraipa"/>
        <w:numPr>
          <w:ilvl w:val="0"/>
          <w:numId w:val="160"/>
        </w:numPr>
        <w:ind w:left="709" w:hanging="425"/>
        <w:jc w:val="both"/>
        <w:rPr>
          <w:rFonts w:ascii="Georgia" w:hAnsi="Georgia"/>
          <w:sz w:val="20"/>
          <w:szCs w:val="20"/>
          <w:lang w:val="lt-LT"/>
        </w:rPr>
      </w:pPr>
      <w:r w:rsidRPr="00C97275">
        <w:rPr>
          <w:rFonts w:ascii="Georgia" w:hAnsi="Georgia"/>
          <w:sz w:val="20"/>
          <w:szCs w:val="20"/>
          <w:lang w:val="lt-LT"/>
        </w:rPr>
        <w:t>finansiniai tarpininkai ir/ar fondo valdytojas yra parinkti atvira, skaidria, nediskriminacine ir objektyvia tvarka, ir</w:t>
      </w:r>
    </w:p>
    <w:p w14:paraId="119A70CA" w14:textId="77777777" w:rsidR="00575FB0" w:rsidRPr="00C97275" w:rsidRDefault="00575FB0" w:rsidP="00575FB0">
      <w:pPr>
        <w:pStyle w:val="Sraopastraipa"/>
        <w:numPr>
          <w:ilvl w:val="0"/>
          <w:numId w:val="160"/>
        </w:numPr>
        <w:ind w:left="709" w:hanging="425"/>
        <w:jc w:val="both"/>
        <w:rPr>
          <w:rFonts w:ascii="Georgia" w:hAnsi="Georgia"/>
          <w:sz w:val="20"/>
          <w:szCs w:val="20"/>
          <w:lang w:val="lt-LT"/>
        </w:rPr>
      </w:pPr>
      <w:r w:rsidRPr="00C97275">
        <w:rPr>
          <w:rFonts w:ascii="Georgia" w:hAnsi="Georgia"/>
          <w:sz w:val="20"/>
          <w:szCs w:val="20"/>
          <w:lang w:val="lt-LT"/>
        </w:rPr>
        <w:lastRenderedPageBreak/>
        <w:t>pirmojo praradimo viešojo kapitalo dydis negali viršyti 25 % visos investicijos sumos (BIR 39 str. 8 d. c) p.).</w:t>
      </w:r>
    </w:p>
    <w:p w14:paraId="6CE5B658" w14:textId="77777777" w:rsidR="00575FB0" w:rsidRPr="00C97275" w:rsidRDefault="00575FB0" w:rsidP="00575FB0">
      <w:pPr>
        <w:jc w:val="both"/>
        <w:rPr>
          <w:rFonts w:ascii="Georgia" w:hAnsi="Georgia"/>
          <w:sz w:val="20"/>
          <w:szCs w:val="20"/>
          <w:lang w:val="lt-LT"/>
        </w:rPr>
      </w:pPr>
    </w:p>
    <w:p w14:paraId="43913A51" w14:textId="77777777" w:rsidR="00575FB0" w:rsidRPr="00C97275" w:rsidRDefault="00575FB0" w:rsidP="00575FB0">
      <w:pPr>
        <w:pStyle w:val="Antrat2"/>
        <w:numPr>
          <w:ilvl w:val="3"/>
          <w:numId w:val="2"/>
        </w:numPr>
        <w:rPr>
          <w:rFonts w:ascii="Georgia" w:hAnsi="Georgia"/>
          <w:lang w:val="lt-LT"/>
        </w:rPr>
      </w:pPr>
      <w:bookmarkStart w:id="244" w:name="_Toc25594710"/>
      <w:r w:rsidRPr="00C97275">
        <w:rPr>
          <w:rFonts w:ascii="Georgia" w:hAnsi="Georgia"/>
          <w:lang w:val="lt-LT"/>
        </w:rPr>
        <w:t>Priemonės įgyvendinimo vertinimo išvada</w:t>
      </w:r>
      <w:bookmarkEnd w:id="244"/>
    </w:p>
    <w:p w14:paraId="35770214" w14:textId="77777777" w:rsidR="00575FB0" w:rsidRPr="00C97275" w:rsidRDefault="00575FB0" w:rsidP="00575FB0">
      <w:pPr>
        <w:pStyle w:val="Sraopastraipa"/>
        <w:ind w:left="0"/>
        <w:jc w:val="center"/>
        <w:rPr>
          <w:rFonts w:ascii="Georgia" w:hAnsi="Georgia"/>
          <w:sz w:val="20"/>
          <w:szCs w:val="20"/>
          <w:lang w:val="lt-LT"/>
        </w:rPr>
      </w:pPr>
    </w:p>
    <w:p w14:paraId="31978C23" w14:textId="77777777" w:rsidR="00575FB0" w:rsidRPr="00C97275" w:rsidRDefault="00575FB0" w:rsidP="00575FB0">
      <w:pPr>
        <w:pStyle w:val="Sraopastraipa"/>
        <w:ind w:left="0"/>
        <w:jc w:val="both"/>
        <w:rPr>
          <w:rFonts w:ascii="Georgia" w:hAnsi="Georgia"/>
          <w:sz w:val="20"/>
          <w:szCs w:val="20"/>
          <w:lang w:val="lt-LT"/>
        </w:rPr>
      </w:pPr>
      <w:r w:rsidRPr="00C97275">
        <w:rPr>
          <w:rFonts w:ascii="Georgia" w:hAnsi="Georgia"/>
          <w:sz w:val="20"/>
          <w:szCs w:val="20"/>
          <w:lang w:val="lt-LT"/>
        </w:rPr>
        <w:t>Įvertinus pasirinkto priemonės įgyvendinimo mechanizmo struktūrą, darytinos šios išvados:</w:t>
      </w:r>
    </w:p>
    <w:p w14:paraId="1DE7F083" w14:textId="77777777" w:rsidR="00575FB0" w:rsidRPr="00C97275" w:rsidRDefault="00575FB0" w:rsidP="00575FB0">
      <w:pPr>
        <w:pStyle w:val="Sraopastraipa"/>
        <w:numPr>
          <w:ilvl w:val="0"/>
          <w:numId w:val="165"/>
        </w:numPr>
        <w:ind w:left="709"/>
        <w:jc w:val="both"/>
        <w:rPr>
          <w:rFonts w:ascii="Georgia" w:hAnsi="Georgia"/>
          <w:sz w:val="20"/>
          <w:szCs w:val="20"/>
          <w:lang w:val="lt-LT"/>
        </w:rPr>
      </w:pPr>
      <w:r w:rsidRPr="00C97275">
        <w:rPr>
          <w:rFonts w:ascii="Georgia" w:hAnsi="Georgia"/>
          <w:sz w:val="20"/>
          <w:szCs w:val="20"/>
          <w:lang w:val="lt-LT"/>
        </w:rPr>
        <w:t>mechanizmo įgyvendinimas nesukelia valstybės pagalbos atsiradimo rizikos, laikantis atitinkamuose skyriuose nurodytų sąlygų, finansavimą suteikiančių viešųjų institucijų, fondo valdytojo, finansinių tarpininkų, daugiabučių namų bendrijų ir administratorių, ūkinės veiklos nevykdančių fizinių asmenų, taip pat rangos darbus vykdančių asmenų atžvilgiu;</w:t>
      </w:r>
    </w:p>
    <w:p w14:paraId="6602843D" w14:textId="77777777" w:rsidR="00575FB0" w:rsidRPr="00C97275" w:rsidRDefault="00575FB0" w:rsidP="00575FB0">
      <w:pPr>
        <w:pStyle w:val="Sraopastraipa"/>
        <w:numPr>
          <w:ilvl w:val="0"/>
          <w:numId w:val="165"/>
        </w:numPr>
        <w:ind w:left="709" w:hanging="425"/>
        <w:jc w:val="both"/>
        <w:rPr>
          <w:rFonts w:ascii="Georgia" w:hAnsi="Georgia"/>
          <w:sz w:val="20"/>
          <w:szCs w:val="20"/>
          <w:lang w:val="lt-LT"/>
        </w:rPr>
      </w:pPr>
      <w:r w:rsidRPr="00C97275">
        <w:rPr>
          <w:rFonts w:ascii="Georgia" w:hAnsi="Georgia"/>
          <w:sz w:val="20"/>
          <w:szCs w:val="20"/>
          <w:lang w:val="lt-LT"/>
        </w:rPr>
        <w:t>mechanizmo įgyvendinimas sąlygoja de minimis pagalbos atsiradimą ūkinę veiklą vykdančių fizinių asmenų, gyvenančių daugiabučiuose, taip pat juose veikiančių juridinių asmenų atžvilgiu, jeigu laikomasi apibrėžtų sąlygų;</w:t>
      </w:r>
    </w:p>
    <w:p w14:paraId="09981046" w14:textId="77777777" w:rsidR="00575FB0" w:rsidRPr="00C97275" w:rsidRDefault="00575FB0" w:rsidP="00575FB0">
      <w:pPr>
        <w:pStyle w:val="Sraopastraipa"/>
        <w:numPr>
          <w:ilvl w:val="0"/>
          <w:numId w:val="165"/>
        </w:numPr>
        <w:ind w:left="709" w:hanging="425"/>
        <w:jc w:val="both"/>
        <w:rPr>
          <w:rFonts w:ascii="Georgia" w:hAnsi="Georgia"/>
          <w:sz w:val="20"/>
          <w:szCs w:val="20"/>
          <w:lang w:val="lt-LT"/>
        </w:rPr>
      </w:pPr>
      <w:r w:rsidRPr="00C97275">
        <w:rPr>
          <w:rFonts w:ascii="Georgia" w:hAnsi="Georgia"/>
          <w:sz w:val="20"/>
          <w:szCs w:val="20"/>
          <w:lang w:val="lt-LT"/>
        </w:rPr>
        <w:t>mechanizmo įgyvendinimas sąlygoja valstybės pagalbos investuotojų atžvilgiu atsiradimą, kuriai yra netaikoma pranešimo procedūra pagal BIR nuostatas, jeigu yra laikomasi nustatytų sąlygų,</w:t>
      </w:r>
    </w:p>
    <w:p w14:paraId="29B5076D" w14:textId="77777777" w:rsidR="00575FB0" w:rsidRPr="00C97275" w:rsidRDefault="00575FB0" w:rsidP="00575FB0">
      <w:pPr>
        <w:pStyle w:val="Sraopastraipa"/>
        <w:numPr>
          <w:ilvl w:val="0"/>
          <w:numId w:val="165"/>
        </w:numPr>
        <w:ind w:left="709" w:hanging="425"/>
        <w:jc w:val="both"/>
        <w:rPr>
          <w:rFonts w:ascii="Georgia" w:hAnsi="Georgia"/>
          <w:sz w:val="20"/>
          <w:szCs w:val="20"/>
          <w:lang w:val="lt-LT"/>
        </w:rPr>
      </w:pPr>
      <w:r w:rsidRPr="00C97275">
        <w:rPr>
          <w:rFonts w:ascii="Georgia" w:hAnsi="Georgia"/>
          <w:sz w:val="20"/>
          <w:szCs w:val="20"/>
          <w:lang w:val="lt-LT"/>
        </w:rPr>
        <w:t>dėl BIR taikymo atsiranda papildomi reikalavimai finansinių tarpininkų ir fondo valdytojo atžvilgiu, kurie yra nurodyti 5.1.1.2. skyriuje.</w:t>
      </w:r>
    </w:p>
    <w:p w14:paraId="33236534" w14:textId="150FC5B0" w:rsidR="00CE5A01" w:rsidRPr="00C97275" w:rsidRDefault="00CE5A01" w:rsidP="00CE5A01">
      <w:pPr>
        <w:pStyle w:val="Antrat2"/>
        <w:numPr>
          <w:ilvl w:val="2"/>
          <w:numId w:val="2"/>
        </w:numPr>
        <w:spacing w:after="240"/>
        <w:ind w:left="851" w:hanging="851"/>
        <w:rPr>
          <w:rFonts w:ascii="Georgia" w:hAnsi="Georgia"/>
          <w:lang w:val="lt-LT"/>
        </w:rPr>
      </w:pPr>
      <w:bookmarkStart w:id="245" w:name="_Toc25594711"/>
      <w:r w:rsidRPr="00C97275">
        <w:rPr>
          <w:rFonts w:ascii="Georgia" w:hAnsi="Georgia"/>
          <w:lang w:val="lt-LT"/>
        </w:rPr>
        <w:t>Centrinės valdžios pastatų renovacijos finansinių priemonių vertinimas</w:t>
      </w:r>
      <w:bookmarkEnd w:id="245"/>
    </w:p>
    <w:p w14:paraId="26AAF128" w14:textId="77777777" w:rsidR="00CE5A01" w:rsidRPr="00C97275" w:rsidRDefault="00CE5A01" w:rsidP="00CE5A01">
      <w:pPr>
        <w:pStyle w:val="Antrat2"/>
        <w:numPr>
          <w:ilvl w:val="2"/>
          <w:numId w:val="2"/>
        </w:numPr>
        <w:spacing w:after="240"/>
        <w:ind w:left="709"/>
        <w:rPr>
          <w:rFonts w:ascii="Georgia" w:hAnsi="Georgia"/>
          <w:lang w:val="lt-LT"/>
        </w:rPr>
      </w:pPr>
      <w:bookmarkStart w:id="246" w:name="_Toc25594712"/>
      <w:r w:rsidRPr="00C97275">
        <w:rPr>
          <w:rFonts w:ascii="Georgia" w:hAnsi="Georgia"/>
          <w:lang w:val="lt-LT"/>
        </w:rPr>
        <w:t>Gatvių apšvietimo finansinių priemonių vertinimas</w:t>
      </w:r>
      <w:bookmarkEnd w:id="246"/>
    </w:p>
    <w:p w14:paraId="101DC501" w14:textId="463AE912" w:rsidR="00F338B2" w:rsidRPr="00C97275" w:rsidRDefault="00F338B2" w:rsidP="0063781D">
      <w:pPr>
        <w:pStyle w:val="Antrat2"/>
        <w:numPr>
          <w:ilvl w:val="2"/>
          <w:numId w:val="2"/>
        </w:numPr>
        <w:spacing w:after="240"/>
        <w:ind w:left="709"/>
        <w:rPr>
          <w:rFonts w:ascii="Georgia" w:hAnsi="Georgia"/>
          <w:lang w:val="lt-LT"/>
        </w:rPr>
      </w:pPr>
      <w:bookmarkStart w:id="247" w:name="_Toc25594713"/>
      <w:r w:rsidRPr="00C97275">
        <w:rPr>
          <w:rFonts w:ascii="Georgia" w:hAnsi="Georgia"/>
          <w:lang w:val="lt-LT"/>
        </w:rPr>
        <w:t>Savivaldybių pastatų renovacijos finansinių priemonių vertinimas</w:t>
      </w:r>
      <w:bookmarkEnd w:id="247"/>
    </w:p>
    <w:p w14:paraId="5D0C3114" w14:textId="77777777" w:rsidR="00F338B2" w:rsidRPr="00C97275" w:rsidRDefault="00F338B2" w:rsidP="0063781D">
      <w:pPr>
        <w:rPr>
          <w:rFonts w:ascii="Georgia" w:hAnsi="Georgia"/>
          <w:lang w:val="lt-LT"/>
        </w:rPr>
      </w:pPr>
    </w:p>
    <w:p w14:paraId="611B76FA" w14:textId="77777777" w:rsidR="00F338B2" w:rsidRPr="00C97275" w:rsidRDefault="00F338B2" w:rsidP="00F338B2">
      <w:pPr>
        <w:pStyle w:val="Antrat2"/>
        <w:ind w:left="141"/>
        <w:rPr>
          <w:rFonts w:ascii="Georgia" w:hAnsi="Georgia"/>
          <w:lang w:val="lt-LT"/>
        </w:rPr>
      </w:pPr>
      <w:bookmarkStart w:id="248" w:name="_Toc25594714"/>
      <w:r w:rsidRPr="00C97275">
        <w:rPr>
          <w:rFonts w:ascii="Georgia" w:hAnsi="Georgia"/>
          <w:lang w:val="lt-LT"/>
        </w:rPr>
        <w:t>5.2.4.1. Priemonės įgyvendinimo mechanizmo klasifikavimas</w:t>
      </w:r>
      <w:bookmarkEnd w:id="248"/>
    </w:p>
    <w:p w14:paraId="75B036D3" w14:textId="77777777" w:rsidR="00F338B2" w:rsidRPr="00C97275" w:rsidRDefault="00F338B2" w:rsidP="00F338B2">
      <w:pPr>
        <w:jc w:val="both"/>
        <w:rPr>
          <w:rFonts w:ascii="Georgia" w:hAnsi="Georgia"/>
          <w:sz w:val="20"/>
          <w:szCs w:val="20"/>
          <w:lang w:val="lt-LT"/>
        </w:rPr>
      </w:pPr>
    </w:p>
    <w:p w14:paraId="04342CF9"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60AE0AB9" w14:textId="77777777" w:rsidR="00F338B2" w:rsidRPr="00C97275" w:rsidRDefault="00F338B2" w:rsidP="00F338B2">
      <w:pPr>
        <w:pStyle w:val="Sraopastraipa"/>
        <w:ind w:left="0"/>
        <w:jc w:val="both"/>
        <w:rPr>
          <w:rFonts w:ascii="Georgia" w:hAnsi="Georgia"/>
          <w:b/>
          <w:sz w:val="20"/>
          <w:szCs w:val="20"/>
          <w:lang w:val="lt-LT"/>
        </w:rPr>
      </w:pPr>
      <w:r w:rsidRPr="00C97275">
        <w:rPr>
          <w:rFonts w:ascii="Georgia" w:hAnsi="Georgia"/>
          <w:b/>
          <w:sz w:val="20"/>
          <w:szCs w:val="20"/>
          <w:lang w:val="lt-LT"/>
        </w:rPr>
        <w:t>Fondo steigimui reikalingą finansavimą suteikiančios viešosios institucijos</w:t>
      </w:r>
    </w:p>
    <w:p w14:paraId="0FDE32E0"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Lietuvos Respublikos aplinkos ministerija bei Lietuvos Respublikos finansų ministerija, vykdydamos jiems pavestas funkcijas pagal Bendrųjų nuostatų reglamento reikalavimus, taip pat pagal Lietuvos Respublikos biudžeto sandaros įstatymo, Lietuvos Respublikos vyriausybės nutarimo dėl atsakomybės ir funkcijų pasiskirstymo tarp institucijų, įgyvendinant 2014 – 2020 metų Europos sąjungos fondų investicijų veiksmų programos nuostatas, vykdo tik viešąsias funkcijas, tai yra šios finansinės priemonės kontekste vykdo neekonominę veiklą bei negali būti laikomi ūkio subjektais.</w:t>
      </w:r>
    </w:p>
    <w:p w14:paraId="5A5282C8"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lastRenderedPageBreak/>
        <w:t>Kaip ir viešąsias funkcijas atliekančios ministerijos, savivaldybės vykdo neekonominę veiklą bei nėra laikomos ūkio subjektais. Todėl tuo atveju, kai naudos gavėjas yra pati savivaldybė ar savivaldybė dalyvauja administruojant ir/ar kontroliuojant finansavimo teikimą, tai nelaikytina valstybės pagalbos teikimu.</w:t>
      </w:r>
    </w:p>
    <w:p w14:paraId="2A701078"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28348EF5" w14:textId="77777777" w:rsidR="00F338B2" w:rsidRPr="00C97275" w:rsidRDefault="00F338B2" w:rsidP="00F338B2">
      <w:pPr>
        <w:pStyle w:val="Sraopastraipa"/>
        <w:ind w:left="0"/>
        <w:jc w:val="both"/>
        <w:rPr>
          <w:rFonts w:ascii="Georgia" w:hAnsi="Georgia"/>
          <w:b/>
          <w:sz w:val="20"/>
          <w:szCs w:val="20"/>
          <w:lang w:val="lt-LT"/>
        </w:rPr>
      </w:pPr>
      <w:r w:rsidRPr="00C97275">
        <w:rPr>
          <w:rFonts w:ascii="Georgia" w:hAnsi="Georgia"/>
          <w:b/>
          <w:sz w:val="20"/>
          <w:szCs w:val="20"/>
          <w:lang w:val="lt-LT"/>
        </w:rPr>
        <w:t>Fondo valdytojas</w:t>
      </w:r>
    </w:p>
    <w:p w14:paraId="035D0BCC"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Fondo valdytojui taikomas mechanizmas yra tapatus daugiabučių atveju steigiamo fondo valdymo mechanizmui, todėl taikytinos tos pačios sąlygos, kurios yra nurodytos 5.2.1.1. skyriuje.</w:t>
      </w:r>
    </w:p>
    <w:p w14:paraId="239A4CD4"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718231EF" w14:textId="77777777" w:rsidR="00F338B2" w:rsidRPr="00C97275" w:rsidRDefault="00F338B2" w:rsidP="00F338B2">
      <w:pPr>
        <w:keepNext/>
        <w:jc w:val="both"/>
        <w:rPr>
          <w:rFonts w:ascii="Georgia" w:hAnsi="Georgia"/>
          <w:sz w:val="20"/>
          <w:szCs w:val="20"/>
          <w:lang w:val="lt-LT"/>
        </w:rPr>
      </w:pPr>
      <w:r w:rsidRPr="00C97275">
        <w:rPr>
          <w:rFonts w:ascii="Georgia" w:hAnsi="Georgia"/>
          <w:sz w:val="20"/>
          <w:szCs w:val="20"/>
          <w:lang w:val="lt-LT"/>
        </w:rPr>
        <w:t>Pagal numatomą mechanizmą, valstybė galėtų dalyvauti fondo steigime ir valdyme parri pasu principu, tai yra užtikrindama, kad investuotojams nėra suteikiamas ekonominis pranašumas dėl ekonominės veiklos įgyvendinimo. Tokiu atveju, pagal Rizikos kapitalo gairių 31 p., laikytina, kad tokios investicijos atitinka rinkos investuotojo principą bei nepažeidžia valstybės pagalbos teikimo reikalavimų.</w:t>
      </w:r>
    </w:p>
    <w:p w14:paraId="2AC2A49F"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visų investicijų sumos.</w:t>
      </w:r>
    </w:p>
    <w:p w14:paraId="083238EA"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 xml:space="preserve">Privačių investuotojų paskatinimui investuoti nuosavas lėšas galėtų būti naudojamos papildomos priemonės, pavyzdžiui netolygus nuostolių pasidalinimas tarp privataus ir viešojo investuotojo. Atsiradus netolygiam nuostolių pasidalinimui, kuomet privatus investuotojas rizikuoja mažiau nei viešasis investuotojas galimai atsiranda ir valstybės pagalbos elementas privataus investuotojo lygmeniu, nes savo lėšomis rizikuodamas mažiau nei viešasis investuotojas, privatus investuotojas patiria ekonominę naudą, kurios veikiant pagal rinkos ekonomikos principą jis negautų. Tokiu atveju Savivaldybės pastatų renovacijos finansinė priemonė galėtų būti įgyvendinama pagal Bendrosios išimties pagalbos reglamento 39 str., kuris leidžia nuostolius tarp privataus ir viešojo investuotojo dalintis netolygiai. Norint įgyvendinti finansinę priemonę su netolygiu nuostolių pasidalinimu, būtina užtikrinti Bendrosios išimties reglamento 39 str. nuostatų įgyvendinimą. </w:t>
      </w:r>
    </w:p>
    <w:p w14:paraId="09BE119F"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 xml:space="preserve">Nusprendus taikyti kitokias/papildomas priemones, kurios paskatintų privačių investuotojų aktyvesnį dalyvavimą fondo veikloje, gali būti atliktas papildomas vertinimas valstybės pagalbos požiūriu, remiantis Rizikos kapitalo gairėmis ir kitais valstybės pagalbą reglamentuojančiais teisės aktais. </w:t>
      </w:r>
    </w:p>
    <w:p w14:paraId="5BB6C578" w14:textId="77777777" w:rsidR="00F338B2" w:rsidRPr="00C97275" w:rsidRDefault="00F338B2" w:rsidP="00F338B2">
      <w:pPr>
        <w:pStyle w:val="Sraopastraipa"/>
        <w:ind w:left="0"/>
        <w:jc w:val="both"/>
        <w:rPr>
          <w:rFonts w:ascii="Georgia" w:hAnsi="Georgia"/>
          <w:b/>
          <w:sz w:val="20"/>
          <w:szCs w:val="20"/>
          <w:lang w:val="lt-LT"/>
        </w:rPr>
      </w:pPr>
      <w:r w:rsidRPr="00C97275">
        <w:rPr>
          <w:rFonts w:ascii="Georgia" w:hAnsi="Georgia"/>
          <w:b/>
          <w:sz w:val="20"/>
          <w:szCs w:val="20"/>
          <w:lang w:val="lt-LT"/>
        </w:rPr>
        <w:t>Fondas (kaip atskiras juridinis asmuo)</w:t>
      </w:r>
    </w:p>
    <w:p w14:paraId="0DC27C17"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Pagal numatomą mechanizmą, fondas galėtų būti steigiamas kaip atskiras juridinis asmuo (komanditinė ūkinė bendrija) arba galėtų būti naudojama esama KŪB, kuri yra skirta investicijoms į daugiabučių projektus užtikrinti. Pastarasis juridinis asmuo yra neribotos atsakomybės juridinis asmuo, kuriame dalyvaujantys tikrieji nariai atsako pagal KŪB prievoles visu savo turtu, o komanditoriai - tik savo įnašų suma. Valstybės pagalbos taisyklių taikymo požiūriu, KŪB steigimo sutartyje iš anksto turi būti numatyta, kad savarankiškai vykdomos ekonominės veiklos KŪB nauda tenka fondo valdytojui, kadangi KŪB steigimo tikslas yra užtikrinti efektyvią fondų fondo veiklą. Visi ištekliai yra įnešami bei paskirstomi komanditoriams bei tikriesiems nariams, tokiu būdu, pats fondas negauna jokios ekonominės naudos iš veiklos vykdymo. Kitaip tariant, pats fondas yra laikytinas pagalbos pervedimo priemone, tačiau pats savaime nėra valstybės pagalbos gavėjas.</w:t>
      </w:r>
    </w:p>
    <w:p w14:paraId="791F3C9E" w14:textId="77777777" w:rsidR="00F338B2" w:rsidRPr="00C97275" w:rsidRDefault="00F338B2" w:rsidP="00F338B2">
      <w:pPr>
        <w:pStyle w:val="Sraopastraipa"/>
        <w:ind w:left="0"/>
        <w:jc w:val="both"/>
        <w:rPr>
          <w:rFonts w:ascii="Georgia" w:hAnsi="Georgia"/>
          <w:b/>
          <w:sz w:val="20"/>
          <w:szCs w:val="20"/>
          <w:lang w:val="lt-LT"/>
        </w:rPr>
      </w:pPr>
      <w:r w:rsidRPr="00C97275">
        <w:rPr>
          <w:rFonts w:ascii="Georgia" w:hAnsi="Georgia"/>
          <w:b/>
          <w:sz w:val="20"/>
          <w:szCs w:val="20"/>
          <w:lang w:val="lt-LT"/>
        </w:rPr>
        <w:lastRenderedPageBreak/>
        <w:t>ESCO įmonės funkcijas vykdantys ūkio subjektai</w:t>
      </w:r>
    </w:p>
    <w:p w14:paraId="3E65776E"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ESCO įmonė, pagal numatomą įgyvendinti mechanizmą, yra atskiras juridinis asmuo, kurio paskirtis yra užtikrinti savalaikį investicijų atlikimą, bei gauti mokėjimus už atliktas investicijas iš savivaldybės pastato renovacijos projektą įgyvendinančio juridinio asmens.</w:t>
      </w:r>
    </w:p>
    <w:p w14:paraId="55A37E84"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Taip pat numatoma, kad ESCO įmonė gaus lengvatinę paskolą, kurios tikslinė paskirtis yra renovacijos projekto įgyvendinimas. Kitaip tariant, ESCO įmonė negali gauti naudos iš suteikiamos paskolos, todėl ESCO įmonė negali būti laikoma investuotoju. Kita vertus, ESCO įmonė šiuo atveju atlieka finansinio tarpininko vaidmenį, o už suteikiamas paslaugas gauna valdymo mokestį.</w:t>
      </w:r>
    </w:p>
    <w:p w14:paraId="7C3979B2"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Kitaip tariant, taikytini Rizikos finansų gairių 40 p. (ESCO įmonės parinkimas atvira, skaidria, nediskriminacine ir objektyvia tvarka), 143-145 p. (valdymo mokesčio suma, atitinkanti rinkos situaciją).</w:t>
      </w:r>
    </w:p>
    <w:p w14:paraId="43FEA982"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 xml:space="preserve">Pabrėžtina, kad tuo atveju, jei įgyvendinant mechanizmą būtų numatyta iš grįžusių ir/ar nacionalinio biudžeto lėšų skirti subsidiją, subsidijos dydis negalėtų viršyti projekto gyvybingumui (kartu su rinkos situaciją atitinkančio valdymo mokesčio suma) užtikrinti reikalingos lėšų sumos, kuri konkretaus projekto atveju gali būti mažesnė, nei 20 %. Tokiu atveju iš grįžusių lėšų teikiama subsidija turėtų būti mažinama, o nesumažinus šios subsidijos, atsirastų per didelės kompensacijos (kartu ir valstybės pagalbos) rizika. </w:t>
      </w:r>
    </w:p>
    <w:p w14:paraId="1BB9C635"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Įvykdžius aukščiau nurodytas sąlygas, laikytina, kad ESCO įmonė nėra valstybės pagalbos gavėjas, kadangi jai nebūtų suteikiamas ekonominis pranašumas.</w:t>
      </w:r>
    </w:p>
    <w:p w14:paraId="40F59AE6" w14:textId="77777777" w:rsidR="00F338B2" w:rsidRPr="00C97275" w:rsidRDefault="00F338B2" w:rsidP="00F338B2">
      <w:pPr>
        <w:pStyle w:val="Sraopastraipa"/>
        <w:ind w:left="0"/>
        <w:jc w:val="both"/>
        <w:rPr>
          <w:rFonts w:ascii="Georgia" w:hAnsi="Georgia"/>
          <w:b/>
          <w:sz w:val="20"/>
          <w:szCs w:val="20"/>
          <w:lang w:val="lt-LT"/>
        </w:rPr>
      </w:pPr>
      <w:r w:rsidRPr="00C97275">
        <w:rPr>
          <w:rFonts w:ascii="Georgia" w:hAnsi="Georgia"/>
          <w:b/>
          <w:sz w:val="20"/>
          <w:szCs w:val="20"/>
          <w:lang w:val="lt-LT"/>
        </w:rPr>
        <w:t>Finansiniai tarpininkai</w:t>
      </w:r>
    </w:p>
    <w:p w14:paraId="29443383"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Tos pačios taisyklės yra taikomos ir savivaldybės administratoriams, jei jie atlieka tik tas funkcijas, kurios reikalingos užtikrinti finansavimo teikimą galutiniams naudos gavėjams.</w:t>
      </w:r>
    </w:p>
    <w:p w14:paraId="3878E6C8"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 xml:space="preserve">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 į iš anksto nustatytus atskirus finansų tarpininkus. Kitaip tariant, priemonės mechanizmas negali būti susijęs su atskirais iš anksto nustatytais finansų tarpininkais. </w:t>
      </w:r>
    </w:p>
    <w:p w14:paraId="113A575B"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Tačiau tuo atveju, jei finansiniams tarpininkams, kurie investuoja nuosavas lėšas, būtų nustatytas netolygus nuostolių paskirstymas viešųjų lėšų atžvilgiu, finansiniai tarpininkai įgytų ekonominį pranašumą, todėl tai turi būti įvertinama pagal valstybės pagalbos teikimo taisykles. Bendrosios išimties reglamento 39 str. leidžia įgyvendinant energijos vartojimo efektyvumo projektus nustatyti netolygų nuostolių paskirstymą tarp viešojo ir privataus investuotojo, todėl mechanizmas turi atitikti visas Bendrojo išimties reglamento 39 str. nuostatas, o viešojo investuotojo pirmasis nuostolis turi būti apribotas 25 proc. visos investicijos sumos.</w:t>
      </w:r>
    </w:p>
    <w:p w14:paraId="06360997"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 xml:space="preserve">Pabrėžtina, kad teikiant lengvatines paskolas per finansų tarpininką, būtina laikytis Europos Komisijos komunikato dėl orientacinių ir diskonto normų nustatymo metodo pakeitimo reikalavimų, </w:t>
      </w:r>
      <w:r w:rsidRPr="00C97275">
        <w:rPr>
          <w:rFonts w:ascii="Georgia" w:hAnsi="Georgia"/>
          <w:sz w:val="20"/>
          <w:szCs w:val="20"/>
          <w:lang w:val="lt-LT"/>
        </w:rPr>
        <w:lastRenderedPageBreak/>
        <w:t>tai yra laikytis bazinės normos bei maržos kitimo ribų, priklausomai nuo įmonės naudos gavėjos reitingo ir įkeičiamo turto</w:t>
      </w:r>
      <w:r w:rsidRPr="00C97275">
        <w:rPr>
          <w:rStyle w:val="Puslapioinaosnuoroda"/>
          <w:rFonts w:ascii="Georgia" w:hAnsi="Georgia"/>
          <w:sz w:val="20"/>
          <w:szCs w:val="20"/>
          <w:lang w:val="lt-LT"/>
        </w:rPr>
        <w:footnoteReference w:id="149"/>
      </w:r>
      <w:r w:rsidRPr="00C97275">
        <w:rPr>
          <w:rFonts w:ascii="Georgia" w:hAnsi="Georgia"/>
          <w:sz w:val="20"/>
          <w:szCs w:val="20"/>
          <w:lang w:val="lt-LT"/>
        </w:rPr>
        <w:t>.</w:t>
      </w:r>
    </w:p>
    <w:p w14:paraId="621A9CED" w14:textId="77777777" w:rsidR="00F338B2" w:rsidRPr="00C97275" w:rsidRDefault="00F338B2" w:rsidP="00F338B2">
      <w:pPr>
        <w:pStyle w:val="Sraopastraipa"/>
        <w:keepNext/>
        <w:ind w:left="0"/>
        <w:jc w:val="both"/>
        <w:rPr>
          <w:rFonts w:ascii="Georgia" w:hAnsi="Georgia"/>
          <w:b/>
          <w:sz w:val="20"/>
          <w:szCs w:val="20"/>
          <w:lang w:val="lt-LT"/>
        </w:rPr>
      </w:pPr>
      <w:r w:rsidRPr="00C97275">
        <w:rPr>
          <w:rFonts w:ascii="Georgia" w:hAnsi="Georgia"/>
          <w:b/>
          <w:sz w:val="20"/>
          <w:szCs w:val="20"/>
          <w:lang w:val="lt-LT"/>
        </w:rPr>
        <w:t>Savivaldybės pastato savininkai/valdytojai</w:t>
      </w:r>
    </w:p>
    <w:p w14:paraId="32031D58" w14:textId="77777777" w:rsidR="00F338B2" w:rsidRPr="00C97275" w:rsidRDefault="00F338B2" w:rsidP="00F338B2">
      <w:pPr>
        <w:keepNext/>
        <w:jc w:val="both"/>
        <w:rPr>
          <w:rFonts w:ascii="Georgia" w:hAnsi="Georgia"/>
          <w:sz w:val="20"/>
          <w:szCs w:val="20"/>
          <w:lang w:val="lt-LT"/>
        </w:rPr>
      </w:pPr>
      <w:r w:rsidRPr="00C97275">
        <w:rPr>
          <w:rFonts w:ascii="Georgia" w:hAnsi="Georgia"/>
          <w:sz w:val="20"/>
          <w:szCs w:val="20"/>
          <w:lang w:val="lt-LT"/>
        </w:rPr>
        <w:t>Savivaldybės pastato savininkai/valdytojai yra laikytini juridiniais asmenimis, kurie nevykdo ekonominės veiklos, tai yra nėra ūkio subjektai valstybės pagalbos taisyklių taikymo požiūriu.</w:t>
      </w:r>
    </w:p>
    <w:p w14:paraId="3C898C5D"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Įgyvendinant priemonę, siūloma užtikrinti, kad prieš pradedant įgyvendinti projektą būtų įsitikinta, kad juridinis asmuo nevykdo ekonominės veiklos, kadangi priešingu atveju gali atsirasti valstybės pagalbos rizika.</w:t>
      </w:r>
    </w:p>
    <w:p w14:paraId="03DAABFF" w14:textId="77777777" w:rsidR="00F338B2" w:rsidRPr="00C97275" w:rsidRDefault="00F338B2" w:rsidP="00F338B2">
      <w:pPr>
        <w:pStyle w:val="Sraopastraipa"/>
        <w:ind w:left="0"/>
        <w:jc w:val="both"/>
        <w:rPr>
          <w:rFonts w:ascii="Georgia" w:hAnsi="Georgia"/>
          <w:b/>
          <w:sz w:val="20"/>
          <w:szCs w:val="20"/>
          <w:lang w:val="lt-LT"/>
        </w:rPr>
      </w:pPr>
      <w:r w:rsidRPr="00C97275">
        <w:rPr>
          <w:rFonts w:ascii="Georgia" w:hAnsi="Georgia"/>
          <w:b/>
          <w:sz w:val="20"/>
          <w:szCs w:val="20"/>
          <w:lang w:val="lt-LT"/>
        </w:rPr>
        <w:t>Savivaldybės pastatuose įsikūrę ir paslaugas teikiantys ūkio subjektai</w:t>
      </w:r>
    </w:p>
    <w:p w14:paraId="770511CD"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Savivaldybės pastatuose įsikūrę ir paslaugas teikiantys ūkio subjektai laikytini ekonominę veiklą vykdančiais ūkio subjektais valstybės pagalbos taisyklių požiūriu, tai yra savivaldybės pastato renovacijos projekto dėka sumažėtų šių asmenų įprastinės veiklos sąnaudos, kas yra laikytina ekonominiu pranašumu, todėl šių asmenų atžvilgiu turi būti atliktas priemonės įgyvendinimo suderinamumo vertinimas. Išimtimi yra laikytini tie atvejai, kai šiems ūkio subjektams numatyta nuomos kaina nepriklauso nuo patiriamų sąnaudų, kadangi tokiu atveju nebūtų suteikiamas ekonominis pranašumas, tačiau valstybės pagalbos atsiradimo rizika priklauso nuo faktinio priemonės įgyvendinimo poveikio ūkio subjektų veiklai. Labiausiai tikėtina, kad nuomos kaina net ir nagrinėjamu atveju bus peržiūrėta, įgyvendinus projektą, todėl vertinamas bendrasis atvejis, atliekant suderinamumo vertinimą.</w:t>
      </w:r>
    </w:p>
    <w:p w14:paraId="1888E035"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Pažymėtina, kad savivaldybės įmonės paprastai yra įsikūrusios savivaldybės pastatuose, kuriuos valdo patikėjimo teise. Priklausomai nuo vykdomos veiklos pobūdžio, savivaldybės gali būti laikomos ūkio subjektais. Tais atvejais, kai galutiniai pagalbos gavėjai yra savivaldybių įmonės, reikėtų įvertinti, ar taikomos finansinės priemonės atitinka valstybės pagalbos taisykles.</w:t>
      </w:r>
    </w:p>
    <w:p w14:paraId="560E191C" w14:textId="77777777" w:rsidR="00F338B2" w:rsidRPr="00C97275" w:rsidRDefault="00F338B2" w:rsidP="00F338B2">
      <w:pPr>
        <w:pStyle w:val="Sraopastraipa"/>
        <w:ind w:left="0"/>
        <w:jc w:val="both"/>
        <w:rPr>
          <w:rFonts w:ascii="Georgia" w:hAnsi="Georgia"/>
          <w:b/>
          <w:sz w:val="20"/>
          <w:szCs w:val="20"/>
          <w:lang w:val="lt-LT"/>
        </w:rPr>
      </w:pPr>
      <w:r w:rsidRPr="00C97275">
        <w:rPr>
          <w:rFonts w:ascii="Georgia" w:hAnsi="Georgia"/>
          <w:b/>
          <w:sz w:val="20"/>
          <w:szCs w:val="20"/>
          <w:lang w:val="lt-LT"/>
        </w:rPr>
        <w:t>Rangos darbus vykdantys ūkio subjektai</w:t>
      </w:r>
    </w:p>
    <w:p w14:paraId="75E6286D"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Pagal numatomą mechanizmą, rangos darbus vykdantys ūkio subjektai bus parenkami Lietuvos Respublikos viešųjų pirkimų įstatymo nustatyta tvarka, tai yra atvira, skaidria, nediskriminacine ir objektyvia tvarka, todėl pagal analogiją taikant Rizikos kapitalo gairių 40 p., valstybės pagalba šiems subjektams nebūtų teikiama, kadangi būtų laikomasi rinkos investuotojo kriterijaus (nesuteikiamas ekonominis pranašumas).</w:t>
      </w:r>
    </w:p>
    <w:p w14:paraId="19A9D4F6" w14:textId="77777777" w:rsidR="00F338B2" w:rsidRPr="00C97275" w:rsidRDefault="00F338B2" w:rsidP="00F338B2">
      <w:pPr>
        <w:pStyle w:val="Antrat2"/>
        <w:rPr>
          <w:rFonts w:ascii="Georgia" w:hAnsi="Georgia"/>
          <w:lang w:val="lt-LT"/>
        </w:rPr>
      </w:pPr>
      <w:bookmarkStart w:id="249" w:name="_Toc25594715"/>
      <w:r w:rsidRPr="00C97275">
        <w:rPr>
          <w:rFonts w:ascii="Georgia" w:hAnsi="Georgia"/>
          <w:lang w:val="lt-LT"/>
        </w:rPr>
        <w:lastRenderedPageBreak/>
        <w:t>5.2.4.2. Priemonės įgyvendinimo suderinamumo vertinimas</w:t>
      </w:r>
      <w:bookmarkEnd w:id="249"/>
    </w:p>
    <w:p w14:paraId="235BA27B" w14:textId="77777777" w:rsidR="00F338B2" w:rsidRPr="00C97275" w:rsidRDefault="00F338B2" w:rsidP="00F338B2">
      <w:pPr>
        <w:keepNext/>
        <w:jc w:val="both"/>
        <w:rPr>
          <w:rFonts w:ascii="Georgia" w:hAnsi="Georgia"/>
          <w:sz w:val="20"/>
          <w:szCs w:val="20"/>
          <w:lang w:val="lt-LT"/>
        </w:rPr>
      </w:pPr>
    </w:p>
    <w:p w14:paraId="0D751C9B" w14:textId="01426E42" w:rsidR="00F338B2" w:rsidRPr="00C97275" w:rsidRDefault="00F338B2" w:rsidP="00F338B2">
      <w:pPr>
        <w:keepNext/>
        <w:jc w:val="both"/>
        <w:rPr>
          <w:rFonts w:ascii="Georgia" w:hAnsi="Georgia"/>
          <w:sz w:val="20"/>
          <w:szCs w:val="20"/>
          <w:lang w:val="lt-LT"/>
        </w:rPr>
      </w:pPr>
      <w:r w:rsidRPr="00C97275">
        <w:rPr>
          <w:rFonts w:ascii="Georgia" w:hAnsi="Georgia"/>
          <w:sz w:val="20"/>
          <w:szCs w:val="20"/>
          <w:lang w:val="lt-LT"/>
        </w:rPr>
        <w:t>Atlikus mechanizmo klasifikavimą, pripažintina, kad valstybės pagalbos (įskaitant de minimis pagalbą, kaip nurodyta 5.1.4. skyriuje) požymius atitinka mechanizmo sąlygos, sudaromos savivaldybės pastatuose įsikūrusiems ir paslaugas teikiantiems ūkio subjektams, tam tikrais atvejais valstybės pagalbos klausimas gali atsirasti finansų tarpininkams, arba tuo atveju, jei nustatomas netolygus nuostolių pasiskirstymas tarp viešojo ir privataus investuotojo, valstybės pagalbos požymių atsiranda ir finansų tarpininko ir fondų lygmenyje, todėl įgyvendinant mechanizmą su netolygiu nuostolių paskirstymu būtina užtikrinti Bendrosios išimties reglamento 39 str. nuostatų įgyvendinimą.</w:t>
      </w:r>
    </w:p>
    <w:p w14:paraId="60D72A91"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Pažymėtina, kad suderinamumo vertinimo rezultatas yra tiesiogiai susietas su mechanizmo įgyvendinimo metu planuojamomis panaudoti finansinėmis priemonėmis.</w:t>
      </w:r>
    </w:p>
    <w:p w14:paraId="3988E8B9" w14:textId="77777777" w:rsidR="00F338B2" w:rsidRPr="00C97275" w:rsidRDefault="00F338B2" w:rsidP="00F338B2">
      <w:pPr>
        <w:pStyle w:val="Sraopastraipa"/>
        <w:keepNext/>
        <w:ind w:left="0" w:firstLine="284"/>
        <w:jc w:val="both"/>
        <w:rPr>
          <w:rFonts w:ascii="Georgia" w:hAnsi="Georgia"/>
          <w:sz w:val="20"/>
          <w:szCs w:val="20"/>
          <w:lang w:val="lt-LT"/>
        </w:rPr>
      </w:pPr>
    </w:p>
    <w:p w14:paraId="5454D833" w14:textId="77777777" w:rsidR="00F338B2" w:rsidRPr="00C97275" w:rsidRDefault="00F338B2" w:rsidP="00F338B2">
      <w:pPr>
        <w:pStyle w:val="Sraopastraipa"/>
        <w:keepNext/>
        <w:ind w:left="0"/>
        <w:jc w:val="both"/>
        <w:rPr>
          <w:rFonts w:ascii="Georgia" w:hAnsi="Georgia"/>
          <w:b/>
          <w:sz w:val="20"/>
          <w:szCs w:val="20"/>
          <w:lang w:val="lt-LT"/>
        </w:rPr>
      </w:pPr>
      <w:r w:rsidRPr="00C97275">
        <w:rPr>
          <w:rFonts w:ascii="Georgia" w:hAnsi="Georgia"/>
          <w:b/>
          <w:sz w:val="20"/>
          <w:szCs w:val="20"/>
          <w:lang w:val="lt-LT"/>
        </w:rPr>
        <w:t>Savivaldybės pastatuose įsikūrę ir paslaugas teikiantys ūkio subjektai bei finansų tarpininkai</w:t>
      </w:r>
    </w:p>
    <w:p w14:paraId="55F6F1F2" w14:textId="77777777" w:rsidR="00F338B2" w:rsidRPr="00C97275" w:rsidRDefault="00F338B2" w:rsidP="00F338B2">
      <w:pPr>
        <w:keepNext/>
        <w:jc w:val="both"/>
        <w:rPr>
          <w:rFonts w:ascii="Georgia" w:hAnsi="Georgia"/>
          <w:sz w:val="20"/>
          <w:szCs w:val="20"/>
          <w:lang w:val="lt-LT"/>
        </w:rPr>
      </w:pPr>
      <w:r w:rsidRPr="00C97275">
        <w:rPr>
          <w:rFonts w:ascii="Georgia" w:hAnsi="Georgia"/>
          <w:sz w:val="20"/>
          <w:szCs w:val="20"/>
          <w:lang w:val="lt-LT"/>
        </w:rPr>
        <w:t>Šiems ūkio subjektams teikiama pagalba atitinka de minimis pagalbos sąlygas, jeigu:</w:t>
      </w:r>
    </w:p>
    <w:p w14:paraId="7DACAD72" w14:textId="77777777" w:rsidR="00F338B2" w:rsidRPr="00C97275" w:rsidRDefault="00F338B2" w:rsidP="00F338B2">
      <w:pPr>
        <w:pStyle w:val="Sraopastraipa"/>
        <w:keepNext/>
        <w:numPr>
          <w:ilvl w:val="0"/>
          <w:numId w:val="100"/>
        </w:numPr>
        <w:ind w:left="709"/>
        <w:jc w:val="both"/>
        <w:rPr>
          <w:rFonts w:ascii="Georgia" w:hAnsi="Georgia"/>
          <w:sz w:val="20"/>
          <w:szCs w:val="20"/>
          <w:lang w:val="lt-LT"/>
        </w:rPr>
      </w:pPr>
      <w:r w:rsidRPr="00C97275">
        <w:rPr>
          <w:rFonts w:ascii="Georgia" w:hAnsi="Georgia"/>
          <w:sz w:val="20"/>
          <w:szCs w:val="20"/>
          <w:lang w:val="lt-LT"/>
        </w:rPr>
        <w:t>pagalbos suteikimo momentu (</w:t>
      </w:r>
      <w:r w:rsidRPr="00C97275">
        <w:rPr>
          <w:rFonts w:ascii="Georgia" w:hAnsi="Georgia"/>
          <w:i/>
          <w:sz w:val="20"/>
          <w:szCs w:val="20"/>
          <w:lang w:val="lt-LT"/>
        </w:rPr>
        <w:t xml:space="preserve">de minimis </w:t>
      </w:r>
      <w:r w:rsidRPr="00C97275">
        <w:rPr>
          <w:rFonts w:ascii="Georgia" w:hAnsi="Georgia"/>
          <w:sz w:val="20"/>
          <w:szCs w:val="20"/>
          <w:lang w:val="lt-LT"/>
        </w:rPr>
        <w:t>Reglamento 3 str . 4 d.) pastate nėra nei vieno ūkio subjekto, kuriam būtų taikoma nemokumo procedūra, ir</w:t>
      </w:r>
    </w:p>
    <w:p w14:paraId="6486FB21" w14:textId="77777777" w:rsidR="00F338B2" w:rsidRPr="00C97275" w:rsidRDefault="00F338B2" w:rsidP="00F338B2">
      <w:pPr>
        <w:pStyle w:val="Sraopastraipa"/>
        <w:numPr>
          <w:ilvl w:val="0"/>
          <w:numId w:val="100"/>
        </w:numPr>
        <w:ind w:left="709"/>
        <w:rPr>
          <w:rFonts w:ascii="Georgia" w:hAnsi="Georgia"/>
          <w:sz w:val="20"/>
          <w:szCs w:val="20"/>
          <w:lang w:val="lt-LT"/>
        </w:rPr>
      </w:pPr>
      <w:r w:rsidRPr="00C97275">
        <w:rPr>
          <w:rFonts w:ascii="Georgia" w:hAnsi="Georgia"/>
          <w:sz w:val="20"/>
          <w:szCs w:val="20"/>
          <w:lang w:val="lt-LT"/>
        </w:rPr>
        <w:t xml:space="preserve">bendra vienai įmonei suteiktos </w:t>
      </w:r>
      <w:r w:rsidRPr="00C97275">
        <w:rPr>
          <w:rFonts w:ascii="Georgia" w:hAnsi="Georgia"/>
          <w:i/>
          <w:sz w:val="20"/>
          <w:szCs w:val="20"/>
          <w:lang w:val="lt-LT"/>
        </w:rPr>
        <w:t>de minimis</w:t>
      </w:r>
      <w:r w:rsidRPr="00C97275">
        <w:rPr>
          <w:rFonts w:ascii="Georgia" w:hAnsi="Georgia"/>
          <w:sz w:val="20"/>
          <w:szCs w:val="20"/>
          <w:lang w:val="lt-LT"/>
        </w:rPr>
        <w:t xml:space="preserve"> pagalbos suma kiekvienoje valstybėje narėje neviršija 200 000 EUR per bet kurį trejų finansinių metų laikotarpį, ir</w:t>
      </w:r>
    </w:p>
    <w:p w14:paraId="295CFFA0" w14:textId="77777777" w:rsidR="00F338B2" w:rsidRPr="00C97275" w:rsidRDefault="00F338B2" w:rsidP="00F338B2">
      <w:pPr>
        <w:pStyle w:val="Sraopastraipa"/>
        <w:numPr>
          <w:ilvl w:val="0"/>
          <w:numId w:val="100"/>
        </w:numPr>
        <w:ind w:left="709"/>
        <w:jc w:val="both"/>
        <w:rPr>
          <w:rFonts w:ascii="Georgia" w:hAnsi="Georgia"/>
          <w:sz w:val="20"/>
          <w:szCs w:val="20"/>
          <w:lang w:val="lt-LT"/>
        </w:rPr>
      </w:pPr>
      <w:r w:rsidRPr="00C97275">
        <w:rPr>
          <w:rFonts w:ascii="Georgia" w:hAnsi="Georgia"/>
          <w:sz w:val="20"/>
          <w:szCs w:val="20"/>
          <w:lang w:val="lt-LT"/>
        </w:rPr>
        <w:t>paskola yra užtikrinta ne mažiau kaip 50 % paskolos vertės užstatu, o paskolos suma neviršija 1 mln. EUR, kai trukmė yra iki penkerių metų (arba 0,5 mln. EUR, kai trukmė yra iki dešimties metų), ir</w:t>
      </w:r>
    </w:p>
    <w:p w14:paraId="6FC76068" w14:textId="77777777" w:rsidR="00F338B2" w:rsidRPr="00C97275" w:rsidRDefault="00F338B2" w:rsidP="00F338B2">
      <w:pPr>
        <w:pStyle w:val="Sraopastraipa"/>
        <w:numPr>
          <w:ilvl w:val="0"/>
          <w:numId w:val="100"/>
        </w:numPr>
        <w:ind w:left="709"/>
        <w:jc w:val="both"/>
        <w:rPr>
          <w:rFonts w:ascii="Georgia" w:hAnsi="Georgia"/>
          <w:sz w:val="20"/>
          <w:szCs w:val="20"/>
          <w:lang w:val="lt-LT"/>
        </w:rPr>
      </w:pPr>
      <w:r w:rsidRPr="00C97275">
        <w:rPr>
          <w:rFonts w:ascii="Georgia" w:hAnsi="Georgia"/>
          <w:sz w:val="20"/>
          <w:szCs w:val="20"/>
          <w:lang w:val="lt-LT"/>
        </w:rPr>
        <w:t>bendrasis subsidijos ekvivalentas yra apskaičiuotas pagal bazinę palūkanų normą</w:t>
      </w:r>
      <w:r w:rsidRPr="00C97275">
        <w:rPr>
          <w:rStyle w:val="Puslapioinaosnuoroda"/>
          <w:rFonts w:ascii="Georgia" w:hAnsi="Georgia"/>
          <w:sz w:val="20"/>
          <w:szCs w:val="20"/>
          <w:lang w:val="lt-LT"/>
        </w:rPr>
        <w:footnoteReference w:id="150"/>
      </w:r>
      <w:r w:rsidRPr="00C97275">
        <w:rPr>
          <w:rFonts w:ascii="Georgia" w:hAnsi="Georgia"/>
          <w:sz w:val="20"/>
          <w:szCs w:val="20"/>
          <w:lang w:val="lt-LT"/>
        </w:rPr>
        <w:t>, pridedant reikalingą maržą pagal rizikos lygį, taikytiną pagalbos suteikimo momentu.</w:t>
      </w:r>
    </w:p>
    <w:p w14:paraId="4ECA7A54"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Pabrėžtina, kad de minimis pagalba yra skaičiuojama ne tik vienam juridiniam asmeniui, bet ir visiems su šiuo juridiniu asmeniu susijusiems asmenims, kaip jie yra suprantami pagal de minimis Reglamento 2 str. 2 d.</w:t>
      </w:r>
    </w:p>
    <w:p w14:paraId="48C3CECB"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Kitaip tariant, prieš pasirašant sutartį dėl paskolos suteikimo, būtina įsitikinti, kad:</w:t>
      </w:r>
    </w:p>
    <w:p w14:paraId="1AE11944" w14:textId="77777777" w:rsidR="00F338B2" w:rsidRPr="00C97275" w:rsidRDefault="00F338B2" w:rsidP="00F338B2">
      <w:pPr>
        <w:pStyle w:val="Sraopastraipa"/>
        <w:numPr>
          <w:ilvl w:val="0"/>
          <w:numId w:val="101"/>
        </w:numPr>
        <w:ind w:left="709"/>
        <w:jc w:val="both"/>
        <w:rPr>
          <w:rFonts w:ascii="Georgia" w:hAnsi="Georgia"/>
          <w:sz w:val="20"/>
          <w:szCs w:val="20"/>
          <w:lang w:val="lt-LT"/>
        </w:rPr>
      </w:pPr>
      <w:r w:rsidRPr="00C97275">
        <w:rPr>
          <w:rFonts w:ascii="Georgia" w:hAnsi="Georgia"/>
          <w:sz w:val="20"/>
          <w:szCs w:val="20"/>
          <w:lang w:val="lt-LT"/>
        </w:rPr>
        <w:t>savivaldybės pastate nėra ūkio subjektų, arba</w:t>
      </w:r>
    </w:p>
    <w:p w14:paraId="4892FF2C" w14:textId="77777777" w:rsidR="00F338B2" w:rsidRPr="00C97275" w:rsidRDefault="00F338B2" w:rsidP="00F338B2">
      <w:pPr>
        <w:pStyle w:val="Sraopastraipa"/>
        <w:numPr>
          <w:ilvl w:val="0"/>
          <w:numId w:val="101"/>
        </w:numPr>
        <w:ind w:left="709"/>
        <w:rPr>
          <w:rFonts w:ascii="Georgia" w:hAnsi="Georgia"/>
          <w:sz w:val="20"/>
          <w:szCs w:val="20"/>
          <w:lang w:val="lt-LT"/>
        </w:rPr>
      </w:pPr>
      <w:r w:rsidRPr="00C97275">
        <w:rPr>
          <w:rFonts w:ascii="Georgia" w:hAnsi="Georgia"/>
          <w:sz w:val="20"/>
          <w:szCs w:val="20"/>
          <w:lang w:val="lt-LT"/>
        </w:rPr>
        <w:t xml:space="preserve">savivaldybės pastate yra ūkio subjektų, kurie atitinka nurodytas </w:t>
      </w:r>
      <w:r w:rsidRPr="00C97275">
        <w:rPr>
          <w:rFonts w:ascii="Georgia" w:hAnsi="Georgia"/>
          <w:i/>
          <w:sz w:val="20"/>
          <w:szCs w:val="20"/>
          <w:lang w:val="lt-LT"/>
        </w:rPr>
        <w:t>de minimis</w:t>
      </w:r>
      <w:r w:rsidRPr="00C97275">
        <w:rPr>
          <w:rFonts w:ascii="Georgia" w:hAnsi="Georgia"/>
          <w:sz w:val="20"/>
          <w:szCs w:val="20"/>
          <w:lang w:val="lt-LT"/>
        </w:rPr>
        <w:t xml:space="preserve"> sąlygas, arba</w:t>
      </w:r>
    </w:p>
    <w:p w14:paraId="4A542109" w14:textId="6C8C8EF3" w:rsidR="00F338B2" w:rsidRPr="00C97275" w:rsidRDefault="00F338B2" w:rsidP="00F338B2">
      <w:pPr>
        <w:pStyle w:val="Sraopastraipa"/>
        <w:numPr>
          <w:ilvl w:val="0"/>
          <w:numId w:val="101"/>
        </w:numPr>
        <w:ind w:left="709"/>
        <w:rPr>
          <w:rFonts w:ascii="Georgia" w:hAnsi="Georgia"/>
          <w:sz w:val="20"/>
          <w:szCs w:val="20"/>
          <w:lang w:val="lt-LT"/>
        </w:rPr>
      </w:pPr>
      <w:r w:rsidRPr="00C97275">
        <w:rPr>
          <w:rFonts w:ascii="Georgia" w:hAnsi="Georgia"/>
          <w:sz w:val="20"/>
          <w:szCs w:val="20"/>
          <w:lang w:val="lt-LT"/>
        </w:rPr>
        <w:t>teikiama pagalba atitinka Bendrosios išimties reglamento sąlygas, t.y. projektui teikiama pagalba neviršija 70 proc. išlaidų ir 10 mln. EUR vienam projektui, bei yra tenkinamos kitos Bendrosios išimties reglamento sąlygos, būtent įtvirtintos Bendrosios išimties reglamento 39 straipsnyje.</w:t>
      </w:r>
    </w:p>
    <w:p w14:paraId="18843F3F"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Atsižvelgiant į valstybės pagalbos taisyklių reikalavimus, siūloma nustatyti, kad pagal numatomą įgyvendinti priemonę savivaldybės pastatai, kuriuose yra ūkio subjektų, neatitinkančių de minimis reikalavimų, nėra tinkami pareiškėjai.</w:t>
      </w:r>
    </w:p>
    <w:p w14:paraId="247B19B9" w14:textId="77777777" w:rsidR="00F338B2" w:rsidRPr="00C97275" w:rsidRDefault="00F338B2" w:rsidP="00F338B2">
      <w:pPr>
        <w:jc w:val="both"/>
        <w:rPr>
          <w:rFonts w:ascii="Georgia" w:hAnsi="Georgia"/>
          <w:b/>
          <w:sz w:val="20"/>
          <w:szCs w:val="20"/>
          <w:lang w:val="lt-LT"/>
        </w:rPr>
      </w:pPr>
      <w:r w:rsidRPr="00C97275">
        <w:rPr>
          <w:rFonts w:ascii="Georgia" w:hAnsi="Georgia"/>
          <w:b/>
          <w:sz w:val="20"/>
          <w:szCs w:val="20"/>
          <w:lang w:val="lt-LT"/>
        </w:rPr>
        <w:t>Netolygus nuostolių paskirstymas tarp privataus ir viešojo investuotojo</w:t>
      </w:r>
    </w:p>
    <w:p w14:paraId="21968CC6"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lastRenderedPageBreak/>
        <w:t>Esant netolygiam nuostolių paskirstymui tarp privataus ir viešojo investuotojo valstybės pagalba atsirastų dviejuose lygmenyse: finansų tarpininko, kuris skiria nuosavas lėšas, ir savivaldybės pastatuose įsikūrusiems ir paslaugas teikiantiems ūkio subjektams. Šiems subjektams teikiama pagalba yra suderinama su vidaus rinka, jei ji atitinka Bendrosios išimties reglamento 39 str. nustatytus reikalavimus, įskaitant pvz.:</w:t>
      </w:r>
    </w:p>
    <w:p w14:paraId="27A3551C" w14:textId="77777777" w:rsidR="00F338B2" w:rsidRPr="00C97275" w:rsidRDefault="00F338B2" w:rsidP="00F338B2">
      <w:pPr>
        <w:pStyle w:val="Sraopastraipa"/>
        <w:numPr>
          <w:ilvl w:val="0"/>
          <w:numId w:val="103"/>
        </w:numPr>
        <w:jc w:val="both"/>
        <w:rPr>
          <w:rFonts w:ascii="Georgia" w:hAnsi="Georgia"/>
          <w:sz w:val="20"/>
          <w:szCs w:val="20"/>
          <w:lang w:val="lt-LT"/>
        </w:rPr>
      </w:pPr>
      <w:r w:rsidRPr="00C97275">
        <w:rPr>
          <w:rFonts w:ascii="Georgia" w:hAnsi="Georgia"/>
          <w:sz w:val="20"/>
          <w:szCs w:val="20"/>
          <w:lang w:val="lt-LT"/>
        </w:rPr>
        <w:t>paskolos nominalioji vertė neviršija 10 mln. Eur vienam projektui galutiniams naudos gavėjams;</w:t>
      </w:r>
    </w:p>
    <w:p w14:paraId="4004CA18" w14:textId="77777777" w:rsidR="00F338B2" w:rsidRPr="00C97275" w:rsidRDefault="00F338B2" w:rsidP="00F338B2">
      <w:pPr>
        <w:pStyle w:val="Sraopastraipa"/>
        <w:numPr>
          <w:ilvl w:val="0"/>
          <w:numId w:val="103"/>
        </w:numPr>
        <w:jc w:val="both"/>
        <w:rPr>
          <w:rFonts w:ascii="Georgia" w:hAnsi="Georgia"/>
          <w:sz w:val="20"/>
          <w:szCs w:val="20"/>
          <w:lang w:val="lt-LT"/>
        </w:rPr>
      </w:pPr>
      <w:r w:rsidRPr="00C97275">
        <w:rPr>
          <w:rFonts w:ascii="Georgia" w:hAnsi="Georgia"/>
          <w:sz w:val="20"/>
          <w:szCs w:val="20"/>
          <w:lang w:val="lt-LT"/>
        </w:rPr>
        <w:t>pritraukiama privačių investuotojų dalis yra ne mažesnė kaip 30 proc. viso skiriamo viešojo finansavimo;</w:t>
      </w:r>
    </w:p>
    <w:p w14:paraId="12C9DA08" w14:textId="77777777" w:rsidR="00F338B2" w:rsidRPr="00C97275" w:rsidRDefault="00F338B2" w:rsidP="00F338B2">
      <w:pPr>
        <w:pStyle w:val="Sraopastraipa"/>
        <w:numPr>
          <w:ilvl w:val="0"/>
          <w:numId w:val="103"/>
        </w:numPr>
        <w:jc w:val="both"/>
        <w:rPr>
          <w:rFonts w:ascii="Georgia" w:hAnsi="Georgia"/>
          <w:sz w:val="20"/>
          <w:szCs w:val="20"/>
          <w:lang w:val="lt-LT"/>
        </w:rPr>
      </w:pPr>
      <w:r w:rsidRPr="00C97275">
        <w:rPr>
          <w:rFonts w:ascii="Georgia" w:hAnsi="Georgia"/>
          <w:sz w:val="20"/>
          <w:szCs w:val="20"/>
          <w:lang w:val="lt-LT"/>
        </w:rPr>
        <w:t>finansų tarpininkai ir/ar privatūs investuotojai atrenkam pagal atvirą, skaidrią ir nediskriminacinę procedūrą;</w:t>
      </w:r>
    </w:p>
    <w:p w14:paraId="64BE1A2E" w14:textId="77777777" w:rsidR="00F338B2" w:rsidRPr="00C97275" w:rsidRDefault="00F338B2" w:rsidP="00F338B2">
      <w:pPr>
        <w:pStyle w:val="Sraopastraipa"/>
        <w:numPr>
          <w:ilvl w:val="0"/>
          <w:numId w:val="103"/>
        </w:numPr>
        <w:jc w:val="both"/>
        <w:rPr>
          <w:rFonts w:ascii="Georgia" w:hAnsi="Georgia"/>
          <w:sz w:val="20"/>
          <w:szCs w:val="20"/>
          <w:lang w:val="lt-LT"/>
        </w:rPr>
      </w:pPr>
      <w:r w:rsidRPr="00C97275">
        <w:rPr>
          <w:rFonts w:ascii="Georgia" w:hAnsi="Georgia"/>
          <w:sz w:val="20"/>
          <w:szCs w:val="20"/>
          <w:lang w:val="lt-LT"/>
        </w:rPr>
        <w:t>pirmieji viešojo investuotojo patirti  nuostoliai apribojami 25 proc. visos investicijos.</w:t>
      </w:r>
    </w:p>
    <w:p w14:paraId="6BFF362B" w14:textId="77777777" w:rsidR="00F338B2" w:rsidRPr="00C97275" w:rsidRDefault="00F338B2" w:rsidP="00F338B2">
      <w:pPr>
        <w:jc w:val="both"/>
        <w:rPr>
          <w:rFonts w:ascii="Georgia" w:hAnsi="Georgia"/>
          <w:sz w:val="20"/>
          <w:szCs w:val="20"/>
          <w:lang w:val="lt-LT"/>
        </w:rPr>
      </w:pPr>
    </w:p>
    <w:p w14:paraId="38CDF932" w14:textId="77777777" w:rsidR="00F338B2" w:rsidRPr="00C97275" w:rsidRDefault="00F338B2" w:rsidP="00F338B2">
      <w:pPr>
        <w:pStyle w:val="Antrat2"/>
        <w:rPr>
          <w:rFonts w:ascii="Georgia" w:hAnsi="Georgia"/>
          <w:lang w:val="lt-LT"/>
        </w:rPr>
      </w:pPr>
      <w:bookmarkStart w:id="250" w:name="_Toc25594716"/>
      <w:r w:rsidRPr="00C97275">
        <w:rPr>
          <w:rFonts w:ascii="Georgia" w:hAnsi="Georgia"/>
          <w:lang w:val="lt-LT"/>
        </w:rPr>
        <w:t>5.2.4.3. Priemonės įgyvendinimo vertinimo išvada</w:t>
      </w:r>
      <w:bookmarkEnd w:id="250"/>
    </w:p>
    <w:p w14:paraId="50DDCA74" w14:textId="77777777" w:rsidR="00F338B2" w:rsidRPr="00C97275" w:rsidRDefault="00F338B2" w:rsidP="00F338B2">
      <w:pPr>
        <w:rPr>
          <w:rFonts w:ascii="Georgia" w:hAnsi="Georgia"/>
          <w:lang w:val="lt-LT"/>
        </w:rPr>
      </w:pPr>
    </w:p>
    <w:p w14:paraId="67ACB56E" w14:textId="77777777" w:rsidR="00F338B2" w:rsidRPr="00C97275" w:rsidRDefault="00F338B2" w:rsidP="00F338B2">
      <w:pPr>
        <w:jc w:val="both"/>
        <w:rPr>
          <w:rFonts w:ascii="Georgia" w:hAnsi="Georgia"/>
          <w:sz w:val="20"/>
          <w:szCs w:val="20"/>
          <w:lang w:val="lt-LT"/>
        </w:rPr>
      </w:pPr>
      <w:r w:rsidRPr="00C97275">
        <w:rPr>
          <w:rFonts w:ascii="Georgia" w:hAnsi="Georgia"/>
          <w:sz w:val="20"/>
          <w:szCs w:val="20"/>
          <w:lang w:val="lt-LT"/>
        </w:rPr>
        <w:t>Įvertinus pasirinkto priemonės įgyvendinimo mechanizmo struktūrą, darytinos šios išvados:</w:t>
      </w:r>
    </w:p>
    <w:p w14:paraId="67B92F60" w14:textId="77777777" w:rsidR="00F338B2" w:rsidRPr="00C97275" w:rsidRDefault="00F338B2" w:rsidP="00F338B2">
      <w:pPr>
        <w:pStyle w:val="Sraopastraipa"/>
        <w:keepNext/>
        <w:numPr>
          <w:ilvl w:val="0"/>
          <w:numId w:val="102"/>
        </w:numPr>
        <w:ind w:left="709"/>
        <w:jc w:val="both"/>
        <w:rPr>
          <w:rFonts w:ascii="Georgia" w:hAnsi="Georgia"/>
          <w:sz w:val="20"/>
          <w:szCs w:val="20"/>
          <w:lang w:val="lt-LT"/>
        </w:rPr>
      </w:pPr>
      <w:r w:rsidRPr="00C97275">
        <w:rPr>
          <w:rFonts w:ascii="Georgia" w:hAnsi="Georgia"/>
          <w:sz w:val="20"/>
          <w:szCs w:val="20"/>
          <w:lang w:val="lt-LT"/>
        </w:rPr>
        <w:t>mechanizmo įgyvendinimas nesukelia valstybės pagalbos atsiradimo rizikos, laikantis atitinkamuose skyriuose nurodytų sąlygų, finansavimą suteikiančių viešųjų institucijų, savivaldybės, fondo valdytojo, savivaldybės pastatų savininkų/valdytojų, taip pat rangos darbus vykdančių asmenų atžvilgiu;</w:t>
      </w:r>
    </w:p>
    <w:p w14:paraId="465B5DBA" w14:textId="77777777" w:rsidR="00F338B2" w:rsidRPr="00C97275" w:rsidRDefault="00F338B2" w:rsidP="00F338B2">
      <w:pPr>
        <w:pStyle w:val="Sraopastraipa"/>
        <w:keepNext/>
        <w:numPr>
          <w:ilvl w:val="0"/>
          <w:numId w:val="102"/>
        </w:numPr>
        <w:ind w:left="709"/>
        <w:jc w:val="both"/>
        <w:rPr>
          <w:rFonts w:ascii="Georgia" w:hAnsi="Georgia"/>
          <w:sz w:val="20"/>
          <w:szCs w:val="20"/>
          <w:lang w:val="lt-LT"/>
        </w:rPr>
      </w:pPr>
      <w:r w:rsidRPr="00C97275">
        <w:rPr>
          <w:rFonts w:ascii="Georgia" w:hAnsi="Georgia"/>
          <w:sz w:val="20"/>
          <w:szCs w:val="20"/>
          <w:lang w:val="lt-LT"/>
        </w:rPr>
        <w:t>mechanizmo įgyvendinimas sąlygoja de minimis pagalbos atsiradimą ūkio subjektų, veikiančių savivaldybės pastatuose, įskaitant savivaldybės įmones, jeigu laikomasi apibrėžtų sąlygų;</w:t>
      </w:r>
    </w:p>
    <w:p w14:paraId="3A2778F8" w14:textId="77777777" w:rsidR="00F338B2" w:rsidRPr="00C97275" w:rsidRDefault="00F338B2" w:rsidP="00F338B2">
      <w:pPr>
        <w:pStyle w:val="Sraopastraipa"/>
        <w:keepNext/>
        <w:numPr>
          <w:ilvl w:val="0"/>
          <w:numId w:val="102"/>
        </w:numPr>
        <w:ind w:left="709"/>
        <w:jc w:val="both"/>
        <w:rPr>
          <w:rFonts w:ascii="Georgia" w:hAnsi="Georgia"/>
          <w:sz w:val="20"/>
          <w:szCs w:val="20"/>
          <w:lang w:val="lt-LT"/>
        </w:rPr>
      </w:pPr>
      <w:r w:rsidRPr="00C97275">
        <w:rPr>
          <w:rFonts w:ascii="Georgia" w:hAnsi="Georgia"/>
          <w:sz w:val="20"/>
          <w:szCs w:val="20"/>
          <w:lang w:val="lt-LT"/>
        </w:rPr>
        <w:t xml:space="preserve">tuo atveju, jei nustatomas netolygus nuostolių paskirstymas tarp privataus ir viešojo investuotojo, tai sąlygoja valstybės pagalbos atsiradimą finansų tarpininko (privataus investuotojo) ir ūkio subjektų, veikiančių savivaldybės pastatuose, lygmenyse ir tokiu atveju mechanizmas turi būti suderintas su Bendrosios išimties reglamento 39 str. reikalavimais. </w:t>
      </w:r>
    </w:p>
    <w:p w14:paraId="5942C614" w14:textId="77777777" w:rsidR="008D5EBC" w:rsidRPr="00C97275" w:rsidRDefault="008D5EBC" w:rsidP="00A73D0A">
      <w:pPr>
        <w:pStyle w:val="Sraopastraipa"/>
        <w:ind w:left="0"/>
        <w:jc w:val="both"/>
        <w:rPr>
          <w:rFonts w:ascii="Georgia" w:hAnsi="Georgia"/>
          <w:sz w:val="20"/>
          <w:szCs w:val="20"/>
          <w:lang w:val="lt-LT"/>
        </w:rPr>
      </w:pPr>
    </w:p>
    <w:p w14:paraId="7F4F5825" w14:textId="77777777" w:rsidR="00EF6FC0" w:rsidRPr="00C97275" w:rsidRDefault="00EF6FC0">
      <w:pPr>
        <w:rPr>
          <w:rFonts w:ascii="Georgia" w:eastAsiaTheme="majorEastAsia" w:hAnsi="Georgia" w:cstheme="majorBidi"/>
          <w:b/>
          <w:bCs/>
          <w:color w:val="365F91" w:themeColor="accent1" w:themeShade="BF"/>
          <w:sz w:val="28"/>
          <w:szCs w:val="28"/>
          <w:lang w:val="lt-LT"/>
        </w:rPr>
      </w:pPr>
      <w:r w:rsidRPr="00C97275">
        <w:rPr>
          <w:rFonts w:ascii="Georgia" w:hAnsi="Georgia"/>
          <w:lang w:val="lt-LT"/>
        </w:rPr>
        <w:br w:type="page"/>
      </w:r>
    </w:p>
    <w:p w14:paraId="21F57CAD" w14:textId="77777777" w:rsidR="00E84A38" w:rsidRPr="00C97275" w:rsidRDefault="00E84A38" w:rsidP="00162BF5">
      <w:pPr>
        <w:pStyle w:val="Antrat1"/>
        <w:numPr>
          <w:ilvl w:val="0"/>
          <w:numId w:val="19"/>
        </w:numPr>
        <w:ind w:left="567" w:hanging="567"/>
        <w:rPr>
          <w:lang w:val="lt-LT"/>
        </w:rPr>
      </w:pPr>
      <w:bookmarkStart w:id="251" w:name="_Toc25594717"/>
      <w:r w:rsidRPr="00C97275">
        <w:rPr>
          <w:lang w:val="lt-LT"/>
        </w:rPr>
        <w:lastRenderedPageBreak/>
        <w:t>Finansinių priemonių patirtis Lietuvoje ir kitose šalyse</w:t>
      </w:r>
      <w:bookmarkEnd w:id="234"/>
      <w:bookmarkEnd w:id="251"/>
    </w:p>
    <w:p w14:paraId="61BCCECA" w14:textId="77777777" w:rsidR="009E5C05" w:rsidRPr="00C97275" w:rsidRDefault="009E5C05" w:rsidP="00E84A38">
      <w:pPr>
        <w:jc w:val="both"/>
        <w:rPr>
          <w:rFonts w:ascii="Georgia" w:hAnsi="Georgia"/>
          <w:sz w:val="20"/>
          <w:szCs w:val="20"/>
          <w:lang w:val="lt-LT"/>
        </w:rPr>
      </w:pPr>
    </w:p>
    <w:p w14:paraId="23560256" w14:textId="3FAA924E" w:rsidR="00451BC7" w:rsidRPr="00C97275" w:rsidRDefault="00451BC7" w:rsidP="00451BC7">
      <w:pPr>
        <w:jc w:val="both"/>
        <w:rPr>
          <w:rFonts w:ascii="Georgia" w:hAnsi="Georgia"/>
          <w:sz w:val="20"/>
          <w:szCs w:val="20"/>
          <w:lang w:val="lt-LT"/>
        </w:rPr>
      </w:pPr>
      <w:bookmarkStart w:id="252" w:name="_Toc395795825"/>
      <w:r w:rsidRPr="00C97275">
        <w:rPr>
          <w:rFonts w:ascii="Georgia" w:hAnsi="Georgia"/>
          <w:sz w:val="20"/>
          <w:szCs w:val="20"/>
          <w:lang w:val="lt-LT"/>
        </w:rPr>
        <w:t>Šioje e</w:t>
      </w:r>
      <w:r w:rsidR="00300FF4" w:rsidRPr="00C97275">
        <w:rPr>
          <w:rFonts w:ascii="Georgia" w:hAnsi="Georgia"/>
          <w:sz w:val="20"/>
          <w:szCs w:val="20"/>
          <w:lang w:val="lt-LT"/>
        </w:rPr>
        <w:t>x-ante</w:t>
      </w:r>
      <w:r w:rsidRPr="00C97275">
        <w:rPr>
          <w:rFonts w:ascii="Georgia" w:hAnsi="Georgia"/>
          <w:sz w:val="20"/>
          <w:szCs w:val="20"/>
          <w:lang w:val="lt-LT"/>
        </w:rPr>
        <w:t xml:space="preserve"> vertinimo  dalyje apžvelgiama finansinių priemonių įgyvendinimo patirtis orientuojantis į finansines priemones, finansuojančias projektus energijos efektyvumo/atsinaujinančių energijos išteklių sektoriuose, remiantis informacijos šaltiniais, kurie nurodyti 2014-2020 m. periodo finansinių priemonių e</w:t>
      </w:r>
      <w:r w:rsidR="00300FF4" w:rsidRPr="00C97275">
        <w:rPr>
          <w:rFonts w:ascii="Georgia" w:hAnsi="Georgia"/>
          <w:sz w:val="20"/>
          <w:szCs w:val="20"/>
          <w:lang w:val="lt-LT"/>
        </w:rPr>
        <w:t>x-ante</w:t>
      </w:r>
      <w:r w:rsidRPr="00C97275">
        <w:rPr>
          <w:rFonts w:ascii="Georgia" w:hAnsi="Georgia"/>
          <w:sz w:val="20"/>
          <w:szCs w:val="20"/>
          <w:lang w:val="lt-LT"/>
        </w:rPr>
        <w:t xml:space="preserve"> vertinimo metodikoje, ir kitais šaltiniais. Apžvalga parengta sukauptą patirtį identifikavus per šias priemones: atliktus interviu</w:t>
      </w:r>
      <w:r w:rsidRPr="00C97275">
        <w:rPr>
          <w:rStyle w:val="Puslapioinaosnuoroda"/>
          <w:rFonts w:ascii="Georgia" w:hAnsi="Georgia"/>
          <w:sz w:val="20"/>
          <w:szCs w:val="20"/>
          <w:lang w:val="lt-LT"/>
        </w:rPr>
        <w:footnoteReference w:id="151"/>
      </w:r>
      <w:r w:rsidRPr="00C97275">
        <w:rPr>
          <w:rFonts w:ascii="Georgia" w:hAnsi="Georgia"/>
          <w:sz w:val="20"/>
          <w:szCs w:val="20"/>
          <w:lang w:val="lt-LT"/>
        </w:rPr>
        <w:t xml:space="preserve">, atliktas tris atvejo studijas: JESSICA KF Lietuvoje, Energijos efektyvumo ir atsinaujinančių išteklių fondo Bulgarijoje ir Londono energetinio efektyvumo fondo Jungtinėje Karalystėje. </w:t>
      </w:r>
    </w:p>
    <w:p w14:paraId="35A466BF" w14:textId="77777777" w:rsidR="00E84A38" w:rsidRPr="00C97275" w:rsidRDefault="00E84A38" w:rsidP="00162BF5">
      <w:pPr>
        <w:pStyle w:val="Antrat2"/>
        <w:numPr>
          <w:ilvl w:val="1"/>
          <w:numId w:val="19"/>
        </w:numPr>
        <w:spacing w:after="240"/>
        <w:ind w:left="709"/>
        <w:rPr>
          <w:rFonts w:ascii="Georgia" w:hAnsi="Georgia"/>
          <w:lang w:val="lt-LT"/>
        </w:rPr>
      </w:pPr>
      <w:bookmarkStart w:id="253" w:name="_Toc25594718"/>
      <w:r w:rsidRPr="00C97275">
        <w:rPr>
          <w:rFonts w:ascii="Georgia" w:hAnsi="Georgia"/>
          <w:lang w:val="lt-LT"/>
        </w:rPr>
        <w:t>Finansinių priemonių identifikavimas</w:t>
      </w:r>
      <w:bookmarkEnd w:id="252"/>
      <w:bookmarkEnd w:id="253"/>
    </w:p>
    <w:p w14:paraId="7F068E7E" w14:textId="77777777"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sz w:val="20"/>
          <w:szCs w:val="20"/>
          <w:lang w:val="lt-LT"/>
        </w:rPr>
        <w:t xml:space="preserve">Pateikta informacija remiasi suvestine DG REGIO informacija apie finansinių priemonių įgyvendinimą, kurią vadovaujančiosios institucijos Europos Komisijai teikė pagal 2006 m. liepos 11 d. Tarybos reglamento (EB) Nr. 1083/2006, nustatančio bendrąsias nuostatas dėl Europos regioninės plėtros fondo, Europos socialinio fondo ir Sanglaudos fondo bei panaikinančio Reglamentą (EB) N. 1260/1999, </w:t>
      </w:r>
      <w:r w:rsidRPr="00C97275">
        <w:rPr>
          <w:rFonts w:ascii="Georgia" w:hAnsi="Georgia" w:cs="Arial"/>
          <w:sz w:val="20"/>
          <w:szCs w:val="20"/>
          <w:lang w:val="lt-LT"/>
        </w:rPr>
        <w:t>67(2)(j) straipsnį.</w:t>
      </w:r>
      <w:r w:rsidRPr="00C97275">
        <w:rPr>
          <w:rFonts w:ascii="Georgia" w:hAnsi="Georgia" w:cs="Arial"/>
          <w:bCs/>
          <w:sz w:val="20"/>
          <w:szCs w:val="20"/>
          <w:lang w:val="lt-LT"/>
        </w:rPr>
        <w:t xml:space="preserve"> Šiuo metu viešai prieinama yra 2013 m. rugsėjo 19 d. ataskaita, kurioje pateikiami duomenys apie situaciją 2012 m. gruodžio 31 d.</w:t>
      </w:r>
      <w:r w:rsidRPr="00C97275">
        <w:rPr>
          <w:rFonts w:ascii="Georgia" w:hAnsi="Georgia" w:cs="Arial"/>
          <w:bCs/>
          <w:sz w:val="20"/>
          <w:szCs w:val="20"/>
          <w:vertAlign w:val="superscript"/>
          <w:lang w:val="lt-LT"/>
        </w:rPr>
        <w:footnoteReference w:id="152"/>
      </w:r>
    </w:p>
    <w:p w14:paraId="39956133" w14:textId="77777777"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sz w:val="20"/>
          <w:szCs w:val="20"/>
          <w:lang w:val="lt-LT"/>
        </w:rPr>
        <w:t>2012 m. gruodžio 31 d. ES veikė 940 finansinių priemonių, finansuojamų struktūrinių fondų lėšomis (tarp kurių buvo 70 kontroliuojančiųjų fondų). 92 proc. šių priemonių skirta finansuoti įmones, 6 proc. miestų plėtrą ir mažiau nei 2 proc. – energijos efektyvumą/atsinaujinančius energijos išteklius. Finansinės priemonės finansuojamos iš 175 veiksmų programų 25 valstybėse narėse (finansinės priemonės nebuvo įgyvendinamos Airijoje ir Liuksemburge). 389 finansinės priemonės buvo įgyvendinamos tiesi</w:t>
      </w:r>
      <w:r w:rsidR="00AF1768" w:rsidRPr="00C97275">
        <w:rPr>
          <w:rFonts w:ascii="Georgia" w:hAnsi="Georgia" w:cs="Arial"/>
          <w:bCs/>
          <w:sz w:val="20"/>
          <w:szCs w:val="20"/>
          <w:lang w:val="lt-LT"/>
        </w:rPr>
        <w:t>ogiai (t. y. be kontroliuojančių</w:t>
      </w:r>
      <w:r w:rsidRPr="00C97275">
        <w:rPr>
          <w:rFonts w:ascii="Georgia" w:hAnsi="Georgia" w:cs="Arial"/>
          <w:bCs/>
          <w:sz w:val="20"/>
          <w:szCs w:val="20"/>
          <w:lang w:val="lt-LT"/>
        </w:rPr>
        <w:t>j</w:t>
      </w:r>
      <w:r w:rsidR="00AF1768" w:rsidRPr="00C97275">
        <w:rPr>
          <w:rFonts w:ascii="Georgia" w:hAnsi="Georgia" w:cs="Arial"/>
          <w:bCs/>
          <w:sz w:val="20"/>
          <w:szCs w:val="20"/>
          <w:lang w:val="lt-LT"/>
        </w:rPr>
        <w:t>ų</w:t>
      </w:r>
      <w:r w:rsidRPr="00C97275">
        <w:rPr>
          <w:rFonts w:ascii="Georgia" w:hAnsi="Georgia" w:cs="Arial"/>
          <w:bCs/>
          <w:sz w:val="20"/>
          <w:szCs w:val="20"/>
          <w:lang w:val="lt-LT"/>
        </w:rPr>
        <w:t xml:space="preserve"> fond</w:t>
      </w:r>
      <w:r w:rsidR="00AF1768" w:rsidRPr="00C97275">
        <w:rPr>
          <w:rFonts w:ascii="Georgia" w:hAnsi="Georgia" w:cs="Arial"/>
          <w:bCs/>
          <w:sz w:val="20"/>
          <w:szCs w:val="20"/>
          <w:lang w:val="lt-LT"/>
        </w:rPr>
        <w:t>ų</w:t>
      </w:r>
      <w:r w:rsidRPr="00C97275">
        <w:rPr>
          <w:rFonts w:ascii="Georgia" w:hAnsi="Georgia" w:cs="Arial"/>
          <w:bCs/>
          <w:sz w:val="20"/>
          <w:szCs w:val="20"/>
          <w:lang w:val="lt-LT"/>
        </w:rPr>
        <w:t>), o 481 – per 70 kontroliuojančiųjų fondų.</w:t>
      </w:r>
    </w:p>
    <w:p w14:paraId="32BEAAE2" w14:textId="77777777"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sz w:val="20"/>
          <w:szCs w:val="20"/>
          <w:lang w:val="lt-LT"/>
        </w:rPr>
        <w:t>Informacija apie finansinių priemonių įgyvendinimo finansinę pažangą 2012 m. gruodžio 31 d. pateikiama žemiau esančioje lentelėje.</w:t>
      </w:r>
    </w:p>
    <w:p w14:paraId="57AE7345" w14:textId="23DFA14B" w:rsidR="00451BC7" w:rsidRPr="00C97275" w:rsidRDefault="00451BC7" w:rsidP="00451BC7">
      <w:pPr>
        <w:pStyle w:val="Antrat"/>
        <w:rPr>
          <w:rFonts w:cs="Arial"/>
          <w:bCs w:val="0"/>
          <w:szCs w:val="20"/>
          <w:lang w:val="lt-LT"/>
        </w:rPr>
      </w:pPr>
      <w:bookmarkStart w:id="254" w:name="_Toc19105282"/>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69</w:t>
      </w:r>
      <w:r w:rsidRPr="00C97275">
        <w:rPr>
          <w:lang w:val="lt-LT"/>
        </w:rPr>
        <w:fldChar w:fldCharType="end"/>
      </w:r>
      <w:r w:rsidRPr="00C97275">
        <w:rPr>
          <w:lang w:val="lt-LT"/>
        </w:rPr>
        <w:t>. Finansinių priemonių įgyvendinimo finansinė pažanga.</w:t>
      </w:r>
      <w:bookmarkEnd w:id="254"/>
      <w:r w:rsidRPr="00C97275">
        <w:rPr>
          <w:lang w:val="lt-LT"/>
        </w:rPr>
        <w:t xml:space="preserve"> </w:t>
      </w:r>
    </w:p>
    <w:tbl>
      <w:tblPr>
        <w:tblStyle w:val="viesussraas2parykinimas"/>
        <w:tblW w:w="5000" w:type="pct"/>
        <w:tblLayout w:type="fixed"/>
        <w:tblLook w:val="04A0" w:firstRow="1" w:lastRow="0" w:firstColumn="1" w:lastColumn="0" w:noHBand="0" w:noVBand="1"/>
      </w:tblPr>
      <w:tblGrid>
        <w:gridCol w:w="1541"/>
        <w:gridCol w:w="1541"/>
        <w:gridCol w:w="1540"/>
        <w:gridCol w:w="1540"/>
        <w:gridCol w:w="1540"/>
        <w:gridCol w:w="1540"/>
      </w:tblGrid>
      <w:tr w:rsidR="00451BC7" w:rsidRPr="00C97275" w14:paraId="1AEEF309" w14:textId="77777777" w:rsidTr="005B3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vMerge w:val="restart"/>
          </w:tcPr>
          <w:p w14:paraId="5A890FBB" w14:textId="0DBB8F02" w:rsidR="00451BC7" w:rsidRPr="00C97275" w:rsidRDefault="00451BC7" w:rsidP="00451BC7">
            <w:pPr>
              <w:spacing w:after="120"/>
              <w:jc w:val="center"/>
              <w:rPr>
                <w:rFonts w:ascii="Georgia" w:hAnsi="Georgia" w:cs="Arial"/>
                <w:bCs w:val="0"/>
                <w:sz w:val="20"/>
                <w:szCs w:val="20"/>
              </w:rPr>
            </w:pPr>
            <w:r w:rsidRPr="00C97275">
              <w:rPr>
                <w:rFonts w:ascii="Georgia" w:hAnsi="Georgia" w:cs="Arial"/>
                <w:sz w:val="20"/>
                <w:szCs w:val="20"/>
              </w:rPr>
              <w:t xml:space="preserve">Bendri įsipareigojimai pagal finansinius susitarimus (mln. </w:t>
            </w:r>
            <w:r w:rsidR="00035974" w:rsidRPr="00C97275">
              <w:rPr>
                <w:rFonts w:ascii="Georgia" w:hAnsi="Georgia" w:cs="Arial"/>
                <w:sz w:val="20"/>
                <w:szCs w:val="20"/>
              </w:rPr>
              <w:t xml:space="preserve"> eurų</w:t>
            </w:r>
            <w:r w:rsidRPr="00C97275">
              <w:rPr>
                <w:rFonts w:ascii="Georgia" w:hAnsi="Georgia" w:cs="Arial"/>
                <w:sz w:val="20"/>
                <w:szCs w:val="20"/>
              </w:rPr>
              <w:t>)</w:t>
            </w:r>
          </w:p>
        </w:tc>
        <w:tc>
          <w:tcPr>
            <w:tcW w:w="0" w:type="pct"/>
            <w:vMerge w:val="restart"/>
          </w:tcPr>
          <w:p w14:paraId="572D67D4" w14:textId="001FAA7E"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C97275">
              <w:rPr>
                <w:rFonts w:ascii="Georgia" w:hAnsi="Georgia" w:cs="Arial"/>
                <w:sz w:val="20"/>
                <w:szCs w:val="20"/>
              </w:rPr>
              <w:t xml:space="preserve">Iš veiksmų programų finansi-nėms priemo-nėms pervestos lėšos (mln. </w:t>
            </w:r>
            <w:r w:rsidR="00035974" w:rsidRPr="00C97275">
              <w:rPr>
                <w:rFonts w:ascii="Georgia" w:hAnsi="Georgia" w:cs="Arial"/>
                <w:sz w:val="20"/>
                <w:szCs w:val="20"/>
              </w:rPr>
              <w:t xml:space="preserve"> eurų</w:t>
            </w:r>
            <w:r w:rsidRPr="00C97275">
              <w:rPr>
                <w:rFonts w:ascii="Georgia" w:hAnsi="Georgia" w:cs="Arial"/>
                <w:sz w:val="20"/>
                <w:szCs w:val="20"/>
              </w:rPr>
              <w:t>)</w:t>
            </w:r>
          </w:p>
        </w:tc>
        <w:tc>
          <w:tcPr>
            <w:tcW w:w="0" w:type="pct"/>
            <w:gridSpan w:val="2"/>
          </w:tcPr>
          <w:p w14:paraId="03F50344" w14:textId="77777777"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C97275">
              <w:rPr>
                <w:rFonts w:ascii="Georgia" w:hAnsi="Georgia" w:cs="Arial"/>
                <w:sz w:val="20"/>
                <w:szCs w:val="20"/>
              </w:rPr>
              <w:t>Finansų priemonės, įgyvendinamos per kontroliuojančiuosius fondus</w:t>
            </w:r>
          </w:p>
        </w:tc>
        <w:tc>
          <w:tcPr>
            <w:tcW w:w="0" w:type="pct"/>
            <w:vMerge w:val="restart"/>
          </w:tcPr>
          <w:p w14:paraId="698AF39C" w14:textId="74DB261E"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C97275">
              <w:rPr>
                <w:rFonts w:ascii="Georgia" w:hAnsi="Georgia" w:cs="Arial"/>
                <w:sz w:val="20"/>
                <w:szCs w:val="20"/>
              </w:rPr>
              <w:t xml:space="preserve">Lėšos pervestos tiesiogiai įgyvendi-namoms finansi-nėms priemonėms (mln. </w:t>
            </w:r>
            <w:r w:rsidR="00035974" w:rsidRPr="00C97275">
              <w:rPr>
                <w:rFonts w:ascii="Georgia" w:hAnsi="Georgia" w:cs="Arial"/>
                <w:sz w:val="20"/>
                <w:szCs w:val="20"/>
              </w:rPr>
              <w:t xml:space="preserve"> eurų</w:t>
            </w:r>
            <w:r w:rsidRPr="00C97275">
              <w:rPr>
                <w:rFonts w:ascii="Georgia" w:hAnsi="Georgia" w:cs="Arial"/>
                <w:sz w:val="20"/>
                <w:szCs w:val="20"/>
              </w:rPr>
              <w:t>)</w:t>
            </w:r>
          </w:p>
        </w:tc>
        <w:tc>
          <w:tcPr>
            <w:tcW w:w="0" w:type="pct"/>
            <w:vMerge w:val="restart"/>
          </w:tcPr>
          <w:p w14:paraId="12B09273" w14:textId="707367AE"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C97275">
              <w:rPr>
                <w:rFonts w:ascii="Georgia" w:hAnsi="Georgia" w:cs="Arial"/>
                <w:sz w:val="20"/>
                <w:szCs w:val="20"/>
              </w:rPr>
              <w:t xml:space="preserve">Lėšos skirtos galutiniams naudos gavėjams (mln. </w:t>
            </w:r>
            <w:r w:rsidR="00035974" w:rsidRPr="00C97275">
              <w:rPr>
                <w:rFonts w:ascii="Georgia" w:hAnsi="Georgia" w:cs="Arial"/>
                <w:sz w:val="20"/>
                <w:szCs w:val="20"/>
              </w:rPr>
              <w:t xml:space="preserve"> eurų</w:t>
            </w:r>
            <w:r w:rsidRPr="00C97275">
              <w:rPr>
                <w:rFonts w:ascii="Georgia" w:hAnsi="Georgia" w:cs="Arial"/>
                <w:sz w:val="20"/>
                <w:szCs w:val="20"/>
              </w:rPr>
              <w:t>)</w:t>
            </w:r>
          </w:p>
        </w:tc>
      </w:tr>
      <w:tr w:rsidR="00451BC7" w:rsidRPr="00C97275" w14:paraId="01E37DFF" w14:textId="77777777" w:rsidTr="005B3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vMerge/>
          </w:tcPr>
          <w:p w14:paraId="5BEE6F05" w14:textId="77777777" w:rsidR="00451BC7" w:rsidRPr="00C97275" w:rsidRDefault="00451BC7" w:rsidP="00451BC7">
            <w:pPr>
              <w:spacing w:after="120"/>
              <w:jc w:val="center"/>
              <w:rPr>
                <w:rFonts w:ascii="Georgia" w:hAnsi="Georgia" w:cs="Arial"/>
                <w:bCs w:val="0"/>
                <w:sz w:val="20"/>
                <w:szCs w:val="20"/>
              </w:rPr>
            </w:pPr>
          </w:p>
        </w:tc>
        <w:tc>
          <w:tcPr>
            <w:tcW w:w="0" w:type="pct"/>
            <w:vMerge/>
          </w:tcPr>
          <w:p w14:paraId="6525E8FB" w14:textId="77777777"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0" w:type="pct"/>
          </w:tcPr>
          <w:p w14:paraId="7A67E109" w14:textId="165D70C7"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C97275">
              <w:rPr>
                <w:rFonts w:ascii="Georgia" w:hAnsi="Georgia" w:cs="Arial"/>
                <w:sz w:val="20"/>
                <w:szCs w:val="20"/>
              </w:rPr>
              <w:t xml:space="preserve">Kontroliuojantiesiems fondams sumokėtos lėšos (mln. </w:t>
            </w:r>
            <w:r w:rsidR="00035974" w:rsidRPr="00C97275">
              <w:rPr>
                <w:rFonts w:ascii="Georgia" w:hAnsi="Georgia" w:cs="Arial"/>
                <w:sz w:val="20"/>
                <w:szCs w:val="20"/>
              </w:rPr>
              <w:t xml:space="preserve"> eurų</w:t>
            </w:r>
            <w:r w:rsidRPr="00C97275">
              <w:rPr>
                <w:rFonts w:ascii="Georgia" w:hAnsi="Georgia" w:cs="Arial"/>
                <w:sz w:val="20"/>
                <w:szCs w:val="20"/>
              </w:rPr>
              <w:t>)</w:t>
            </w:r>
          </w:p>
        </w:tc>
        <w:tc>
          <w:tcPr>
            <w:tcW w:w="0" w:type="pct"/>
          </w:tcPr>
          <w:p w14:paraId="7E312022" w14:textId="77777777"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C97275">
              <w:rPr>
                <w:rFonts w:ascii="Georgia" w:hAnsi="Georgia" w:cs="Arial"/>
                <w:sz w:val="20"/>
                <w:szCs w:val="20"/>
              </w:rPr>
              <w:t>Kontroliuojančiųjų fondų lėšos pervestos finansiniams tarpininkams (mln. €)</w:t>
            </w:r>
          </w:p>
        </w:tc>
        <w:tc>
          <w:tcPr>
            <w:tcW w:w="0" w:type="pct"/>
            <w:vMerge/>
          </w:tcPr>
          <w:p w14:paraId="3DAAC0F2" w14:textId="77777777"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0" w:type="pct"/>
            <w:vMerge/>
          </w:tcPr>
          <w:p w14:paraId="5AB8E2D9" w14:textId="77777777" w:rsidR="00451BC7" w:rsidRPr="00C97275"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r>
      <w:tr w:rsidR="00451BC7" w:rsidRPr="00C97275" w14:paraId="5A116356"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F6546FA" w14:textId="77777777" w:rsidR="00451BC7" w:rsidRPr="00C97275" w:rsidRDefault="00451BC7" w:rsidP="0088418D">
            <w:pPr>
              <w:spacing w:after="120"/>
              <w:jc w:val="center"/>
              <w:rPr>
                <w:rFonts w:ascii="Georgia" w:hAnsi="Georgia" w:cs="Arial"/>
                <w:b w:val="0"/>
                <w:bCs w:val="0"/>
                <w:sz w:val="20"/>
                <w:szCs w:val="20"/>
              </w:rPr>
            </w:pPr>
            <w:r w:rsidRPr="00C97275">
              <w:rPr>
                <w:rFonts w:ascii="Georgia" w:hAnsi="Georgia" w:cs="Arial"/>
                <w:sz w:val="20"/>
                <w:szCs w:val="20"/>
              </w:rPr>
              <w:t>17</w:t>
            </w:r>
            <w:r w:rsidR="0088418D" w:rsidRPr="00C97275">
              <w:rPr>
                <w:rFonts w:ascii="Georgia" w:hAnsi="Georgia" w:cs="Arial"/>
                <w:sz w:val="20"/>
                <w:szCs w:val="20"/>
              </w:rPr>
              <w:t xml:space="preserve"> </w:t>
            </w:r>
            <w:r w:rsidRPr="00C97275">
              <w:rPr>
                <w:rFonts w:ascii="Georgia" w:hAnsi="Georgia" w:cs="Arial"/>
                <w:sz w:val="20"/>
                <w:szCs w:val="20"/>
              </w:rPr>
              <w:t>545,09</w:t>
            </w:r>
          </w:p>
        </w:tc>
        <w:tc>
          <w:tcPr>
            <w:tcW w:w="0" w:type="pct"/>
          </w:tcPr>
          <w:p w14:paraId="3B60A629" w14:textId="77777777" w:rsidR="00451BC7" w:rsidRPr="00C97275"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C97275">
              <w:rPr>
                <w:rFonts w:ascii="Georgia" w:hAnsi="Georgia" w:cs="Arial"/>
                <w:bCs/>
                <w:sz w:val="20"/>
                <w:szCs w:val="20"/>
              </w:rPr>
              <w:t>12</w:t>
            </w:r>
            <w:r w:rsidR="0088418D" w:rsidRPr="00C97275">
              <w:rPr>
                <w:rFonts w:ascii="Georgia" w:hAnsi="Georgia" w:cs="Arial"/>
                <w:bCs/>
                <w:sz w:val="20"/>
                <w:szCs w:val="20"/>
              </w:rPr>
              <w:t xml:space="preserve"> </w:t>
            </w:r>
            <w:r w:rsidRPr="00C97275">
              <w:rPr>
                <w:rFonts w:ascii="Georgia" w:hAnsi="Georgia" w:cs="Arial"/>
                <w:bCs/>
                <w:sz w:val="20"/>
                <w:szCs w:val="20"/>
              </w:rPr>
              <w:t>558,23</w:t>
            </w:r>
          </w:p>
        </w:tc>
        <w:tc>
          <w:tcPr>
            <w:tcW w:w="0" w:type="pct"/>
          </w:tcPr>
          <w:p w14:paraId="05D34C5D" w14:textId="77777777" w:rsidR="00451BC7" w:rsidRPr="00C97275"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C97275">
              <w:rPr>
                <w:rFonts w:ascii="Georgia" w:hAnsi="Georgia" w:cs="Arial"/>
                <w:bCs/>
                <w:sz w:val="20"/>
                <w:szCs w:val="20"/>
              </w:rPr>
              <w:t>5957,16</w:t>
            </w:r>
          </w:p>
        </w:tc>
        <w:tc>
          <w:tcPr>
            <w:tcW w:w="0" w:type="pct"/>
          </w:tcPr>
          <w:p w14:paraId="16253A9E" w14:textId="77777777" w:rsidR="00451BC7" w:rsidRPr="00C97275"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C97275">
              <w:rPr>
                <w:rFonts w:ascii="Georgia" w:hAnsi="Georgia" w:cs="Arial"/>
                <w:bCs/>
                <w:sz w:val="20"/>
                <w:szCs w:val="20"/>
              </w:rPr>
              <w:t>2812,20</w:t>
            </w:r>
          </w:p>
        </w:tc>
        <w:tc>
          <w:tcPr>
            <w:tcW w:w="0" w:type="pct"/>
          </w:tcPr>
          <w:p w14:paraId="2D468708" w14:textId="77777777" w:rsidR="00451BC7" w:rsidRPr="00C97275" w:rsidRDefault="0088418D" w:rsidP="00451BC7">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C97275">
              <w:rPr>
                <w:rFonts w:ascii="Georgia" w:hAnsi="Georgia" w:cs="Arial"/>
                <w:bCs/>
                <w:sz w:val="20"/>
                <w:szCs w:val="20"/>
              </w:rPr>
              <w:t>6</w:t>
            </w:r>
            <w:r w:rsidR="00451BC7" w:rsidRPr="00C97275">
              <w:rPr>
                <w:rFonts w:ascii="Georgia" w:hAnsi="Georgia" w:cs="Arial"/>
                <w:bCs/>
                <w:sz w:val="20"/>
                <w:szCs w:val="20"/>
              </w:rPr>
              <w:t>601,07</w:t>
            </w:r>
          </w:p>
        </w:tc>
        <w:tc>
          <w:tcPr>
            <w:tcW w:w="0" w:type="pct"/>
          </w:tcPr>
          <w:p w14:paraId="05B70A43" w14:textId="77777777" w:rsidR="00451BC7" w:rsidRPr="00C97275"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C97275">
              <w:rPr>
                <w:rFonts w:ascii="Georgia" w:hAnsi="Georgia" w:cs="Arial"/>
                <w:bCs/>
                <w:sz w:val="20"/>
                <w:szCs w:val="20"/>
              </w:rPr>
              <w:t>4684,33</w:t>
            </w:r>
          </w:p>
        </w:tc>
      </w:tr>
    </w:tbl>
    <w:p w14:paraId="681CC084" w14:textId="77777777" w:rsidR="00451BC7" w:rsidRPr="00C97275" w:rsidRDefault="00451BC7" w:rsidP="00AF1768">
      <w:pPr>
        <w:pStyle w:val="Antrat"/>
        <w:rPr>
          <w:b w:val="0"/>
          <w:i/>
          <w:lang w:val="lt-LT"/>
        </w:rPr>
      </w:pPr>
      <w:r w:rsidRPr="00C97275">
        <w:rPr>
          <w:b w:val="0"/>
          <w:i/>
          <w:lang w:val="lt-LT"/>
        </w:rPr>
        <w:lastRenderedPageBreak/>
        <w:t>Šaltinis: DG REGIO informacija apie finansinių priemonių įgyvendinimą</w:t>
      </w:r>
    </w:p>
    <w:p w14:paraId="321285D5" w14:textId="77777777"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sz w:val="20"/>
          <w:szCs w:val="20"/>
          <w:lang w:val="lt-LT"/>
        </w:rPr>
        <w:t>Prie finansinių priemonių įgyvendinimo 17-oje valstybių narių buvo prisidedama papildomais v</w:t>
      </w:r>
      <w:r w:rsidR="0088418D" w:rsidRPr="00C97275">
        <w:rPr>
          <w:rFonts w:ascii="Georgia" w:hAnsi="Georgia" w:cs="Arial"/>
          <w:bCs/>
          <w:sz w:val="20"/>
          <w:szCs w:val="20"/>
          <w:lang w:val="lt-LT"/>
        </w:rPr>
        <w:t>iešais/privačiais ištekliais (2</w:t>
      </w:r>
      <w:r w:rsidRPr="00C97275">
        <w:rPr>
          <w:rFonts w:ascii="Georgia" w:hAnsi="Georgia" w:cs="Arial"/>
          <w:bCs/>
          <w:sz w:val="20"/>
          <w:szCs w:val="20"/>
          <w:lang w:val="lt-LT"/>
        </w:rPr>
        <w:t>485,4 mln. € arba papildomai 25 proc. prie veiksmų programų indėlio). Finansavimas buvo skirtas daugiau nei 192</w:t>
      </w:r>
      <w:r w:rsidR="0088418D" w:rsidRPr="00C97275">
        <w:rPr>
          <w:rFonts w:ascii="Georgia" w:hAnsi="Georgia" w:cs="Arial"/>
          <w:bCs/>
          <w:sz w:val="20"/>
          <w:szCs w:val="20"/>
          <w:lang w:val="lt-LT"/>
        </w:rPr>
        <w:t xml:space="preserve"> </w:t>
      </w:r>
      <w:r w:rsidRPr="00C97275">
        <w:rPr>
          <w:rFonts w:ascii="Georgia" w:hAnsi="Georgia" w:cs="Arial"/>
          <w:bCs/>
          <w:sz w:val="20"/>
          <w:szCs w:val="20"/>
          <w:lang w:val="lt-LT"/>
        </w:rPr>
        <w:t>000 galutinių naudos gavėjų.</w:t>
      </w:r>
    </w:p>
    <w:p w14:paraId="0BA51C37" w14:textId="19BC51CB"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sz w:val="20"/>
          <w:szCs w:val="20"/>
          <w:lang w:val="lt-LT"/>
        </w:rPr>
        <w:t>Atsižvelgiant į tai, jog e</w:t>
      </w:r>
      <w:r w:rsidR="00300FF4" w:rsidRPr="00C97275">
        <w:rPr>
          <w:rFonts w:ascii="Georgia" w:hAnsi="Georgia" w:cs="Arial"/>
          <w:bCs/>
          <w:sz w:val="20"/>
          <w:szCs w:val="20"/>
          <w:lang w:val="lt-LT"/>
        </w:rPr>
        <w:t>x-ante</w:t>
      </w:r>
      <w:r w:rsidRPr="00C97275">
        <w:rPr>
          <w:rFonts w:ascii="Georgia" w:hAnsi="Georgia" w:cs="Arial"/>
          <w:bCs/>
          <w:sz w:val="20"/>
          <w:szCs w:val="20"/>
          <w:lang w:val="lt-LT"/>
        </w:rPr>
        <w:t xml:space="preserve"> </w:t>
      </w:r>
      <w:r w:rsidR="00AF1768" w:rsidRPr="00C97275">
        <w:rPr>
          <w:rFonts w:ascii="Georgia" w:hAnsi="Georgia" w:cs="Arial"/>
          <w:bCs/>
          <w:sz w:val="20"/>
          <w:szCs w:val="20"/>
          <w:lang w:val="lt-LT"/>
        </w:rPr>
        <w:t>vertinimas</w:t>
      </w:r>
      <w:r w:rsidRPr="00C97275">
        <w:rPr>
          <w:rFonts w:ascii="Georgia" w:hAnsi="Georgia" w:cs="Arial"/>
          <w:bCs/>
          <w:sz w:val="20"/>
          <w:szCs w:val="20"/>
          <w:lang w:val="lt-LT"/>
        </w:rPr>
        <w:t xml:space="preserve"> skirta</w:t>
      </w:r>
      <w:r w:rsidR="00AF1768" w:rsidRPr="00C97275">
        <w:rPr>
          <w:rFonts w:ascii="Georgia" w:hAnsi="Georgia" w:cs="Arial"/>
          <w:bCs/>
          <w:sz w:val="20"/>
          <w:szCs w:val="20"/>
          <w:lang w:val="lt-LT"/>
        </w:rPr>
        <w:t>s</w:t>
      </w:r>
      <w:r w:rsidRPr="00C97275">
        <w:rPr>
          <w:rFonts w:ascii="Georgia" w:hAnsi="Georgia" w:cs="Arial"/>
          <w:bCs/>
          <w:sz w:val="20"/>
          <w:szCs w:val="20"/>
          <w:lang w:val="lt-LT"/>
        </w:rPr>
        <w:t xml:space="preserve"> investicijų</w:t>
      </w:r>
      <w:r w:rsidR="00AF1768" w:rsidRPr="00C97275">
        <w:rPr>
          <w:rFonts w:ascii="Georgia" w:hAnsi="Georgia" w:cs="Arial"/>
          <w:bCs/>
          <w:sz w:val="20"/>
          <w:szCs w:val="20"/>
          <w:lang w:val="lt-LT"/>
        </w:rPr>
        <w:t xml:space="preserve"> į energijos efektyvumą sektoriaus analizei</w:t>
      </w:r>
      <w:r w:rsidRPr="00C97275">
        <w:rPr>
          <w:rFonts w:ascii="Georgia" w:hAnsi="Georgia" w:cs="Arial"/>
          <w:bCs/>
          <w:sz w:val="20"/>
          <w:szCs w:val="20"/>
          <w:lang w:val="lt-LT"/>
        </w:rPr>
        <w:t>, toliau apžvelgiama tik miestų plėtrą</w:t>
      </w:r>
      <w:r w:rsidRPr="00C97275">
        <w:rPr>
          <w:rFonts w:ascii="Georgia" w:hAnsi="Georgia" w:cs="Arial"/>
          <w:bCs/>
          <w:sz w:val="20"/>
          <w:szCs w:val="20"/>
          <w:vertAlign w:val="superscript"/>
          <w:lang w:val="lt-LT"/>
        </w:rPr>
        <w:footnoteReference w:id="153"/>
      </w:r>
      <w:r w:rsidRPr="00C97275">
        <w:rPr>
          <w:rFonts w:ascii="Georgia" w:hAnsi="Georgia" w:cs="Arial"/>
          <w:bCs/>
          <w:sz w:val="20"/>
          <w:szCs w:val="20"/>
          <w:lang w:val="lt-LT"/>
        </w:rPr>
        <w:t xml:space="preserve"> ir energijos efektyvumą/atsinaujinančius energijos išteklius finansuojančių priemonių statistika. </w:t>
      </w:r>
    </w:p>
    <w:p w14:paraId="583829AB" w14:textId="77777777"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i/>
          <w:sz w:val="20"/>
          <w:szCs w:val="20"/>
          <w:lang w:val="lt-LT"/>
        </w:rPr>
        <w:t>Miestų plėtra</w:t>
      </w:r>
      <w:r w:rsidRPr="00C97275">
        <w:rPr>
          <w:rFonts w:ascii="Georgia" w:hAnsi="Georgia" w:cs="Arial"/>
          <w:bCs/>
          <w:sz w:val="20"/>
          <w:szCs w:val="20"/>
          <w:lang w:val="lt-LT"/>
        </w:rPr>
        <w:t>: 2007-2012 m. laikotarpiu veiksmų programų lėšomis buvo finansuojamos 56 finansinės priemonės, skirtos miestų plėtrai vienuolikoje valstybių</w:t>
      </w:r>
      <w:r w:rsidRPr="00C97275">
        <w:rPr>
          <w:rFonts w:ascii="Georgia" w:hAnsi="Georgia" w:cs="Arial"/>
          <w:bCs/>
          <w:sz w:val="20"/>
          <w:szCs w:val="20"/>
          <w:vertAlign w:val="superscript"/>
          <w:lang w:val="lt-LT"/>
        </w:rPr>
        <w:footnoteReference w:id="154"/>
      </w:r>
      <w:r w:rsidRPr="00C97275">
        <w:rPr>
          <w:rFonts w:ascii="Georgia" w:hAnsi="Georgia" w:cs="Arial"/>
          <w:bCs/>
          <w:sz w:val="20"/>
          <w:szCs w:val="20"/>
          <w:lang w:val="lt-LT"/>
        </w:rPr>
        <w:t>.</w:t>
      </w:r>
    </w:p>
    <w:p w14:paraId="7DA36E18" w14:textId="1026E8A9"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sz w:val="20"/>
          <w:szCs w:val="20"/>
          <w:lang w:val="lt-LT"/>
        </w:rPr>
        <w:t xml:space="preserve">2012 m. pabaigoje kontroliuojantieji fondai finansų tarpininkams buvo pervedę pusę iš vadovaujančiųjų institucijų gautų lėšų (789,9 mln. </w:t>
      </w:r>
      <w:r w:rsidR="00035974" w:rsidRPr="00C97275">
        <w:rPr>
          <w:rFonts w:ascii="Georgia" w:hAnsi="Georgia" w:cs="Arial"/>
          <w:bCs/>
          <w:sz w:val="20"/>
          <w:szCs w:val="20"/>
          <w:lang w:val="lt-LT"/>
        </w:rPr>
        <w:t>eurų</w:t>
      </w:r>
      <w:r w:rsidRPr="00C97275">
        <w:rPr>
          <w:rFonts w:ascii="Georgia" w:hAnsi="Georgia" w:cs="Arial"/>
          <w:bCs/>
          <w:sz w:val="20"/>
          <w:szCs w:val="20"/>
          <w:lang w:val="lt-LT"/>
        </w:rPr>
        <w:t>). Likusios lėšos – 727,6 mln. € tuo metu dar buvo kontroliuojančiųjų fondų lygyje. 124,</w:t>
      </w:r>
      <w:r w:rsidR="0088418D" w:rsidRPr="00C97275">
        <w:rPr>
          <w:rFonts w:ascii="Georgia" w:hAnsi="Georgia" w:cs="Arial"/>
          <w:bCs/>
          <w:sz w:val="20"/>
          <w:szCs w:val="20"/>
          <w:lang w:val="lt-LT"/>
        </w:rPr>
        <w:t>4</w:t>
      </w:r>
      <w:r w:rsidRPr="00C97275">
        <w:rPr>
          <w:rFonts w:ascii="Georgia" w:hAnsi="Georgia" w:cs="Arial"/>
          <w:bCs/>
          <w:sz w:val="20"/>
          <w:szCs w:val="20"/>
          <w:lang w:val="lt-LT"/>
        </w:rPr>
        <w:t xml:space="preserve"> mln. </w:t>
      </w:r>
      <w:r w:rsidR="00035974" w:rsidRPr="00C97275">
        <w:rPr>
          <w:rFonts w:ascii="Georgia" w:hAnsi="Georgia" w:cs="Arial"/>
          <w:bCs/>
          <w:sz w:val="20"/>
          <w:szCs w:val="20"/>
          <w:lang w:val="lt-LT"/>
        </w:rPr>
        <w:t>eurų</w:t>
      </w:r>
      <w:r w:rsidRPr="00C97275">
        <w:rPr>
          <w:rFonts w:ascii="Georgia" w:hAnsi="Georgia" w:cs="Arial"/>
          <w:bCs/>
          <w:sz w:val="20"/>
          <w:szCs w:val="20"/>
          <w:lang w:val="lt-LT"/>
        </w:rPr>
        <w:t xml:space="preserve"> lėšų buvo pervesta tiesiogiai įgyvendinamoms finansinėms priemonėms.</w:t>
      </w:r>
    </w:p>
    <w:p w14:paraId="01C37AEB" w14:textId="77777777"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i/>
          <w:sz w:val="20"/>
          <w:szCs w:val="20"/>
          <w:lang w:val="lt-LT"/>
        </w:rPr>
        <w:t>Energijos efektyvumas/atsinaujinantys energijos ištekliai</w:t>
      </w:r>
      <w:r w:rsidRPr="00C97275">
        <w:rPr>
          <w:rFonts w:ascii="Georgia" w:hAnsi="Georgia" w:cs="Arial"/>
          <w:bCs/>
          <w:sz w:val="20"/>
          <w:szCs w:val="20"/>
          <w:lang w:val="lt-LT"/>
        </w:rPr>
        <w:t>: energijos efektyvumo ir atsinaujinančių energijos išteklių projektai kaip atskira finansavimo per finansines priemones sritis išskirta 2010 m. patvirtinus reglamentą (ES) 539/2010</w:t>
      </w:r>
      <w:r w:rsidRPr="00C97275">
        <w:rPr>
          <w:rFonts w:ascii="Georgia" w:hAnsi="Georgia" w:cs="Arial"/>
          <w:bCs/>
          <w:sz w:val="20"/>
          <w:szCs w:val="20"/>
          <w:vertAlign w:val="superscript"/>
          <w:lang w:val="lt-LT"/>
        </w:rPr>
        <w:footnoteReference w:id="155"/>
      </w:r>
      <w:r w:rsidRPr="00C97275">
        <w:rPr>
          <w:rFonts w:ascii="Georgia" w:hAnsi="Georgia" w:cs="Arial"/>
          <w:bCs/>
          <w:sz w:val="20"/>
          <w:szCs w:val="20"/>
          <w:lang w:val="lt-LT"/>
        </w:rPr>
        <w:t xml:space="preserve"> </w:t>
      </w:r>
      <w:r w:rsidRPr="00C97275">
        <w:rPr>
          <w:rFonts w:ascii="Georgia" w:hAnsi="Georgia" w:cs="Arial"/>
          <w:bCs/>
          <w:sz w:val="20"/>
          <w:szCs w:val="20"/>
          <w:vertAlign w:val="superscript"/>
          <w:lang w:val="lt-LT"/>
        </w:rPr>
        <w:footnoteReference w:id="156"/>
      </w:r>
      <w:r w:rsidRPr="00C97275">
        <w:rPr>
          <w:rFonts w:ascii="Georgia" w:hAnsi="Georgia" w:cs="Arial"/>
          <w:bCs/>
          <w:sz w:val="20"/>
          <w:szCs w:val="20"/>
          <w:lang w:val="lt-LT"/>
        </w:rPr>
        <w:t xml:space="preserve">. Iki tol šios srities projektai buvo finansuojami kaip miestų plėtros projektai, pvz., Lietuvos JESSICA </w:t>
      </w:r>
      <w:r w:rsidR="00AF1768" w:rsidRPr="00C97275">
        <w:rPr>
          <w:rFonts w:ascii="Georgia" w:hAnsi="Georgia" w:cs="Arial"/>
          <w:bCs/>
          <w:sz w:val="20"/>
          <w:szCs w:val="20"/>
          <w:lang w:val="lt-LT"/>
        </w:rPr>
        <w:t>KF</w:t>
      </w:r>
      <w:r w:rsidRPr="00C97275">
        <w:rPr>
          <w:rFonts w:ascii="Georgia" w:hAnsi="Georgia" w:cs="Arial"/>
          <w:bCs/>
          <w:sz w:val="20"/>
          <w:szCs w:val="20"/>
          <w:lang w:val="lt-LT"/>
        </w:rPr>
        <w:t>, kurio lėšomis finansuoti energijos efektyvumo projektai daugiabučiuose namuose.</w:t>
      </w:r>
    </w:p>
    <w:p w14:paraId="434F47F0" w14:textId="77777777" w:rsidR="00451BC7" w:rsidRPr="00C97275" w:rsidRDefault="00451BC7" w:rsidP="00451BC7">
      <w:pPr>
        <w:spacing w:after="120"/>
        <w:jc w:val="both"/>
        <w:rPr>
          <w:rFonts w:ascii="Georgia" w:hAnsi="Georgia" w:cs="Arial"/>
          <w:bCs/>
          <w:sz w:val="20"/>
          <w:szCs w:val="20"/>
          <w:lang w:val="lt-LT"/>
        </w:rPr>
      </w:pPr>
      <w:r w:rsidRPr="00C97275">
        <w:rPr>
          <w:rFonts w:ascii="Georgia" w:hAnsi="Georgia" w:cs="Arial"/>
          <w:bCs/>
          <w:sz w:val="20"/>
          <w:szCs w:val="20"/>
          <w:lang w:val="lt-LT"/>
        </w:rPr>
        <w:t>Iš viso iki 2012 m. pabaigos buvo įsteigta 20 finansinių priemonių</w:t>
      </w:r>
      <w:r w:rsidRPr="00C97275">
        <w:rPr>
          <w:rFonts w:ascii="Georgia" w:hAnsi="Georgia" w:cs="Arial"/>
          <w:bCs/>
          <w:sz w:val="20"/>
          <w:szCs w:val="20"/>
          <w:vertAlign w:val="superscript"/>
          <w:lang w:val="lt-LT"/>
        </w:rPr>
        <w:footnoteReference w:id="157"/>
      </w:r>
      <w:r w:rsidRPr="00C97275">
        <w:rPr>
          <w:rFonts w:ascii="Georgia" w:hAnsi="Georgia" w:cs="Arial"/>
          <w:bCs/>
          <w:sz w:val="20"/>
          <w:szCs w:val="20"/>
          <w:lang w:val="lt-LT"/>
        </w:rPr>
        <w:t>. 12 iš jų įsteigta be kontroliuojančiųjų fondų. Kontroliuojančiuosius fondus steigė Čekija, Graikija, Italija ir Nyderlandai.</w:t>
      </w:r>
    </w:p>
    <w:p w14:paraId="53878F5D" w14:textId="38E5F922" w:rsidR="00451BC7" w:rsidRPr="00C97275" w:rsidRDefault="00451BC7" w:rsidP="00451BC7">
      <w:pPr>
        <w:pStyle w:val="Antrat"/>
        <w:spacing w:line="276" w:lineRule="auto"/>
        <w:rPr>
          <w:lang w:val="lt-LT"/>
        </w:rPr>
      </w:pPr>
      <w:bookmarkStart w:id="255" w:name="_Toc19105283"/>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70</w:t>
      </w:r>
      <w:r w:rsidRPr="00C97275">
        <w:rPr>
          <w:lang w:val="lt-LT"/>
        </w:rPr>
        <w:fldChar w:fldCharType="end"/>
      </w:r>
      <w:r w:rsidRPr="00C97275">
        <w:rPr>
          <w:b w:val="0"/>
          <w:iCs/>
          <w:szCs w:val="20"/>
          <w:lang w:val="lt-LT"/>
        </w:rPr>
        <w:t xml:space="preserve">. </w:t>
      </w:r>
      <w:r w:rsidRPr="00C97275">
        <w:rPr>
          <w:lang w:val="lt-LT"/>
        </w:rPr>
        <w:t>Energijos efektyvumo/atsinaujinančių energijos išteklių projektus finansuoja</w:t>
      </w:r>
      <w:r w:rsidR="00AF1768" w:rsidRPr="00C97275">
        <w:rPr>
          <w:lang w:val="lt-LT"/>
        </w:rPr>
        <w:t>nčios finansinės priemonės</w:t>
      </w:r>
      <w:bookmarkEnd w:id="255"/>
    </w:p>
    <w:tbl>
      <w:tblPr>
        <w:tblStyle w:val="viesussraas2parykinimas1"/>
        <w:tblW w:w="5000" w:type="pct"/>
        <w:tblLayout w:type="fixed"/>
        <w:tblLook w:val="0420" w:firstRow="1" w:lastRow="0" w:firstColumn="0" w:lastColumn="0" w:noHBand="0" w:noVBand="1"/>
      </w:tblPr>
      <w:tblGrid>
        <w:gridCol w:w="1541"/>
        <w:gridCol w:w="1541"/>
        <w:gridCol w:w="1540"/>
        <w:gridCol w:w="1540"/>
        <w:gridCol w:w="1540"/>
        <w:gridCol w:w="1540"/>
      </w:tblGrid>
      <w:tr w:rsidR="00451BC7" w:rsidRPr="00C97275" w14:paraId="3C3F6A65" w14:textId="77777777" w:rsidTr="005B31C6">
        <w:trPr>
          <w:cnfStyle w:val="100000000000" w:firstRow="1" w:lastRow="0" w:firstColumn="0" w:lastColumn="0" w:oddVBand="0" w:evenVBand="0" w:oddHBand="0" w:evenHBand="0" w:firstRowFirstColumn="0" w:firstRowLastColumn="0" w:lastRowFirstColumn="0" w:lastRowLastColumn="0"/>
          <w:tblHeader/>
        </w:trPr>
        <w:tc>
          <w:tcPr>
            <w:tcW w:w="0" w:type="pct"/>
          </w:tcPr>
          <w:p w14:paraId="1293D714" w14:textId="77777777" w:rsidR="00451BC7" w:rsidRPr="00C97275" w:rsidRDefault="00451BC7" w:rsidP="00451BC7">
            <w:pPr>
              <w:rPr>
                <w:rFonts w:ascii="Georgia" w:hAnsi="Georgia"/>
                <w:bCs w:val="0"/>
                <w:sz w:val="20"/>
                <w:szCs w:val="20"/>
              </w:rPr>
            </w:pPr>
          </w:p>
        </w:tc>
        <w:tc>
          <w:tcPr>
            <w:tcW w:w="0" w:type="pct"/>
          </w:tcPr>
          <w:p w14:paraId="4CAECA25" w14:textId="77777777" w:rsidR="00451BC7" w:rsidRPr="00C97275" w:rsidRDefault="00451BC7" w:rsidP="00451BC7">
            <w:pPr>
              <w:jc w:val="center"/>
              <w:rPr>
                <w:rFonts w:ascii="Georgia" w:hAnsi="Georgia"/>
                <w:bCs w:val="0"/>
                <w:sz w:val="20"/>
                <w:szCs w:val="20"/>
              </w:rPr>
            </w:pPr>
            <w:r w:rsidRPr="00C97275">
              <w:rPr>
                <w:rFonts w:ascii="Georgia" w:hAnsi="Georgia"/>
                <w:sz w:val="20"/>
                <w:szCs w:val="20"/>
              </w:rPr>
              <w:t>Valstybė</w:t>
            </w:r>
          </w:p>
        </w:tc>
        <w:tc>
          <w:tcPr>
            <w:tcW w:w="0" w:type="pct"/>
          </w:tcPr>
          <w:p w14:paraId="688DC9E7" w14:textId="77777777" w:rsidR="00451BC7" w:rsidRPr="00C97275" w:rsidRDefault="00451BC7" w:rsidP="00451BC7">
            <w:pPr>
              <w:jc w:val="center"/>
              <w:rPr>
                <w:rFonts w:ascii="Georgia" w:hAnsi="Georgia"/>
                <w:bCs w:val="0"/>
                <w:sz w:val="20"/>
                <w:szCs w:val="20"/>
              </w:rPr>
            </w:pPr>
            <w:r w:rsidRPr="00C97275">
              <w:rPr>
                <w:rFonts w:ascii="Georgia" w:hAnsi="Georgia"/>
                <w:sz w:val="20"/>
                <w:szCs w:val="20"/>
              </w:rPr>
              <w:t>Finansinės priemonės (vnt.) (iš viso)</w:t>
            </w:r>
          </w:p>
        </w:tc>
        <w:tc>
          <w:tcPr>
            <w:tcW w:w="0" w:type="pct"/>
          </w:tcPr>
          <w:p w14:paraId="2287824E" w14:textId="3FB85C48" w:rsidR="00451BC7" w:rsidRPr="00C97275" w:rsidRDefault="00451BC7" w:rsidP="00035974">
            <w:pPr>
              <w:jc w:val="center"/>
              <w:rPr>
                <w:rFonts w:ascii="Georgia" w:hAnsi="Georgia"/>
                <w:bCs w:val="0"/>
                <w:sz w:val="20"/>
                <w:szCs w:val="20"/>
              </w:rPr>
            </w:pPr>
            <w:r w:rsidRPr="00C97275">
              <w:rPr>
                <w:rFonts w:ascii="Georgia" w:hAnsi="Georgia"/>
                <w:sz w:val="20"/>
                <w:szCs w:val="20"/>
              </w:rPr>
              <w:t>Kontroliuo</w:t>
            </w:r>
            <w:r w:rsidR="00035974" w:rsidRPr="00C97275">
              <w:rPr>
                <w:rFonts w:ascii="Georgia" w:hAnsi="Georgia"/>
                <w:sz w:val="20"/>
                <w:szCs w:val="20"/>
              </w:rPr>
              <w:t>-</w:t>
            </w:r>
            <w:r w:rsidRPr="00C97275">
              <w:rPr>
                <w:rFonts w:ascii="Georgia" w:hAnsi="Georgia"/>
                <w:sz w:val="20"/>
                <w:szCs w:val="20"/>
              </w:rPr>
              <w:t>jantieji fondai (vnt.)</w:t>
            </w:r>
          </w:p>
        </w:tc>
        <w:tc>
          <w:tcPr>
            <w:tcW w:w="0" w:type="pct"/>
          </w:tcPr>
          <w:p w14:paraId="439EA694" w14:textId="1EB91B89" w:rsidR="00451BC7" w:rsidRPr="00C97275" w:rsidRDefault="00451BC7" w:rsidP="00451BC7">
            <w:pPr>
              <w:jc w:val="center"/>
              <w:rPr>
                <w:rFonts w:ascii="Georgia" w:hAnsi="Georgia"/>
                <w:bCs w:val="0"/>
                <w:sz w:val="20"/>
                <w:szCs w:val="20"/>
              </w:rPr>
            </w:pPr>
            <w:r w:rsidRPr="00C97275">
              <w:rPr>
                <w:rFonts w:ascii="Georgia" w:hAnsi="Georgia"/>
                <w:sz w:val="20"/>
                <w:szCs w:val="20"/>
              </w:rPr>
              <w:t>Finansinės priemonės įgyvendinamos per kontroliuojantįjį fondą (vnt.) (finansų tarpininkai)</w:t>
            </w:r>
          </w:p>
        </w:tc>
        <w:tc>
          <w:tcPr>
            <w:tcW w:w="0" w:type="pct"/>
          </w:tcPr>
          <w:p w14:paraId="3869571B" w14:textId="77777777" w:rsidR="00451BC7" w:rsidRPr="00C97275" w:rsidRDefault="00451BC7" w:rsidP="00451BC7">
            <w:pPr>
              <w:jc w:val="center"/>
              <w:rPr>
                <w:rFonts w:ascii="Georgia" w:hAnsi="Georgia"/>
                <w:bCs w:val="0"/>
                <w:sz w:val="20"/>
                <w:szCs w:val="20"/>
              </w:rPr>
            </w:pPr>
            <w:r w:rsidRPr="00C97275">
              <w:rPr>
                <w:rFonts w:ascii="Georgia" w:hAnsi="Georgia"/>
                <w:sz w:val="20"/>
                <w:szCs w:val="20"/>
              </w:rPr>
              <w:t>Tiesiogiai įgyvendinamos finansinės priemonės (vnt.)</w:t>
            </w:r>
          </w:p>
        </w:tc>
      </w:tr>
      <w:tr w:rsidR="00451BC7" w:rsidRPr="00C97275" w14:paraId="37A956DD"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67E17862" w14:textId="77777777" w:rsidR="00451BC7" w:rsidRPr="00C97275" w:rsidRDefault="00451BC7" w:rsidP="00451BC7">
            <w:pPr>
              <w:rPr>
                <w:rFonts w:ascii="Georgia" w:hAnsi="Georgia"/>
                <w:bCs/>
                <w:sz w:val="20"/>
                <w:szCs w:val="20"/>
              </w:rPr>
            </w:pPr>
            <w:r w:rsidRPr="00C97275">
              <w:rPr>
                <w:rFonts w:ascii="Georgia" w:hAnsi="Georgia"/>
                <w:bCs/>
                <w:sz w:val="20"/>
                <w:szCs w:val="20"/>
              </w:rPr>
              <w:t>1</w:t>
            </w:r>
          </w:p>
        </w:tc>
        <w:tc>
          <w:tcPr>
            <w:tcW w:w="0" w:type="pct"/>
          </w:tcPr>
          <w:p w14:paraId="4FD443AF" w14:textId="77777777" w:rsidR="00451BC7" w:rsidRPr="00C97275" w:rsidRDefault="00451BC7" w:rsidP="00451BC7">
            <w:pPr>
              <w:rPr>
                <w:rFonts w:ascii="Georgia" w:hAnsi="Georgia"/>
                <w:b/>
                <w:bCs/>
                <w:sz w:val="20"/>
                <w:szCs w:val="20"/>
              </w:rPr>
            </w:pPr>
            <w:r w:rsidRPr="00C97275">
              <w:rPr>
                <w:rFonts w:ascii="Georgia" w:hAnsi="Georgia"/>
                <w:b/>
                <w:bCs/>
                <w:sz w:val="20"/>
                <w:szCs w:val="20"/>
              </w:rPr>
              <w:t>Bulgarija</w:t>
            </w:r>
          </w:p>
        </w:tc>
        <w:tc>
          <w:tcPr>
            <w:tcW w:w="0" w:type="pct"/>
          </w:tcPr>
          <w:p w14:paraId="1D3562A0"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241543A2" w14:textId="3E622765"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5ED05778" w14:textId="568E1240"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79B88A94"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r>
      <w:tr w:rsidR="00451BC7" w:rsidRPr="00C97275" w14:paraId="6079D891" w14:textId="77777777" w:rsidTr="005B31C6">
        <w:tc>
          <w:tcPr>
            <w:tcW w:w="0" w:type="pct"/>
          </w:tcPr>
          <w:p w14:paraId="767622F1" w14:textId="77777777" w:rsidR="00451BC7" w:rsidRPr="00C97275" w:rsidRDefault="00451BC7" w:rsidP="00451BC7">
            <w:pPr>
              <w:rPr>
                <w:rFonts w:ascii="Georgia" w:hAnsi="Georgia"/>
                <w:bCs/>
                <w:sz w:val="20"/>
                <w:szCs w:val="20"/>
              </w:rPr>
            </w:pPr>
            <w:r w:rsidRPr="00C97275">
              <w:rPr>
                <w:rFonts w:ascii="Georgia" w:hAnsi="Georgia"/>
                <w:bCs/>
                <w:sz w:val="20"/>
                <w:szCs w:val="20"/>
              </w:rPr>
              <w:t>2</w:t>
            </w:r>
          </w:p>
        </w:tc>
        <w:tc>
          <w:tcPr>
            <w:tcW w:w="0" w:type="pct"/>
          </w:tcPr>
          <w:p w14:paraId="2D275C68" w14:textId="77777777" w:rsidR="00451BC7" w:rsidRPr="00C97275" w:rsidRDefault="00451BC7" w:rsidP="00451BC7">
            <w:pPr>
              <w:rPr>
                <w:rFonts w:ascii="Georgia" w:hAnsi="Georgia"/>
                <w:b/>
                <w:bCs/>
                <w:sz w:val="20"/>
                <w:szCs w:val="20"/>
              </w:rPr>
            </w:pPr>
            <w:r w:rsidRPr="00C97275">
              <w:rPr>
                <w:rFonts w:ascii="Georgia" w:hAnsi="Georgia"/>
                <w:b/>
                <w:bCs/>
                <w:sz w:val="20"/>
                <w:szCs w:val="20"/>
              </w:rPr>
              <w:t>Čekija</w:t>
            </w:r>
          </w:p>
        </w:tc>
        <w:tc>
          <w:tcPr>
            <w:tcW w:w="0" w:type="pct"/>
          </w:tcPr>
          <w:p w14:paraId="5A10C823"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50DAD60F"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7652D423" w14:textId="235F02CF"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62A148FC" w14:textId="0EFB85B6"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r>
      <w:tr w:rsidR="00451BC7" w:rsidRPr="00C97275" w14:paraId="624A41BB"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3D761788" w14:textId="77777777" w:rsidR="00451BC7" w:rsidRPr="00C97275" w:rsidRDefault="00451BC7" w:rsidP="00451BC7">
            <w:pPr>
              <w:rPr>
                <w:rFonts w:ascii="Georgia" w:hAnsi="Georgia"/>
                <w:bCs/>
                <w:sz w:val="20"/>
                <w:szCs w:val="20"/>
              </w:rPr>
            </w:pPr>
            <w:r w:rsidRPr="00C97275">
              <w:rPr>
                <w:rFonts w:ascii="Georgia" w:hAnsi="Georgia"/>
                <w:bCs/>
                <w:sz w:val="20"/>
                <w:szCs w:val="20"/>
              </w:rPr>
              <w:t>3</w:t>
            </w:r>
          </w:p>
        </w:tc>
        <w:tc>
          <w:tcPr>
            <w:tcW w:w="0" w:type="pct"/>
          </w:tcPr>
          <w:p w14:paraId="7671829C" w14:textId="77777777" w:rsidR="00451BC7" w:rsidRPr="00C97275" w:rsidRDefault="00451BC7" w:rsidP="00451BC7">
            <w:pPr>
              <w:rPr>
                <w:rFonts w:ascii="Georgia" w:hAnsi="Georgia"/>
                <w:b/>
                <w:bCs/>
                <w:sz w:val="20"/>
                <w:szCs w:val="20"/>
              </w:rPr>
            </w:pPr>
            <w:r w:rsidRPr="00C97275">
              <w:rPr>
                <w:rFonts w:ascii="Georgia" w:hAnsi="Georgia"/>
                <w:b/>
                <w:bCs/>
                <w:sz w:val="20"/>
                <w:szCs w:val="20"/>
              </w:rPr>
              <w:t>Danija</w:t>
            </w:r>
          </w:p>
        </w:tc>
        <w:tc>
          <w:tcPr>
            <w:tcW w:w="0" w:type="pct"/>
          </w:tcPr>
          <w:p w14:paraId="7BACA270"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2</w:t>
            </w:r>
          </w:p>
        </w:tc>
        <w:tc>
          <w:tcPr>
            <w:tcW w:w="0" w:type="pct"/>
          </w:tcPr>
          <w:p w14:paraId="28E0A7FD" w14:textId="624547AB"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4D994DC8" w14:textId="16DB5FF0"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0D49C654"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2</w:t>
            </w:r>
          </w:p>
        </w:tc>
      </w:tr>
      <w:tr w:rsidR="00451BC7" w:rsidRPr="00C97275" w14:paraId="0A8A6124" w14:textId="77777777" w:rsidTr="005B31C6">
        <w:tc>
          <w:tcPr>
            <w:tcW w:w="0" w:type="pct"/>
          </w:tcPr>
          <w:p w14:paraId="55C88C22" w14:textId="77777777" w:rsidR="00451BC7" w:rsidRPr="00C97275" w:rsidRDefault="00451BC7" w:rsidP="00451BC7">
            <w:pPr>
              <w:rPr>
                <w:rFonts w:ascii="Georgia" w:hAnsi="Georgia"/>
                <w:bCs/>
                <w:sz w:val="20"/>
                <w:szCs w:val="20"/>
              </w:rPr>
            </w:pPr>
            <w:r w:rsidRPr="00C97275">
              <w:rPr>
                <w:rFonts w:ascii="Georgia" w:hAnsi="Georgia"/>
                <w:bCs/>
                <w:sz w:val="20"/>
                <w:szCs w:val="20"/>
              </w:rPr>
              <w:t>4</w:t>
            </w:r>
          </w:p>
        </w:tc>
        <w:tc>
          <w:tcPr>
            <w:tcW w:w="0" w:type="pct"/>
          </w:tcPr>
          <w:p w14:paraId="09B4CF18" w14:textId="77777777" w:rsidR="00451BC7" w:rsidRPr="00C97275" w:rsidRDefault="00451BC7" w:rsidP="00451BC7">
            <w:pPr>
              <w:rPr>
                <w:rFonts w:ascii="Georgia" w:hAnsi="Georgia"/>
                <w:b/>
                <w:bCs/>
                <w:sz w:val="20"/>
                <w:szCs w:val="20"/>
              </w:rPr>
            </w:pPr>
            <w:r w:rsidRPr="00C97275">
              <w:rPr>
                <w:rFonts w:ascii="Georgia" w:hAnsi="Georgia"/>
                <w:b/>
                <w:bCs/>
                <w:sz w:val="20"/>
                <w:szCs w:val="20"/>
              </w:rPr>
              <w:t>Estija</w:t>
            </w:r>
          </w:p>
        </w:tc>
        <w:tc>
          <w:tcPr>
            <w:tcW w:w="0" w:type="pct"/>
          </w:tcPr>
          <w:p w14:paraId="78797DEB"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67E09508" w14:textId="78FC347B"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2DC24D11" w14:textId="7E7638A8"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12135401"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r>
      <w:tr w:rsidR="00451BC7" w:rsidRPr="00C97275" w14:paraId="355E194F"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79BD4D15" w14:textId="77777777" w:rsidR="00451BC7" w:rsidRPr="00C97275" w:rsidRDefault="00451BC7" w:rsidP="00451BC7">
            <w:pPr>
              <w:rPr>
                <w:rFonts w:ascii="Georgia" w:hAnsi="Georgia"/>
                <w:bCs/>
                <w:sz w:val="20"/>
                <w:szCs w:val="20"/>
              </w:rPr>
            </w:pPr>
            <w:r w:rsidRPr="00C97275">
              <w:rPr>
                <w:rFonts w:ascii="Georgia" w:hAnsi="Georgia"/>
                <w:bCs/>
                <w:sz w:val="20"/>
                <w:szCs w:val="20"/>
              </w:rPr>
              <w:t>5</w:t>
            </w:r>
          </w:p>
        </w:tc>
        <w:tc>
          <w:tcPr>
            <w:tcW w:w="0" w:type="pct"/>
          </w:tcPr>
          <w:p w14:paraId="6E4328DE" w14:textId="77777777" w:rsidR="00451BC7" w:rsidRPr="00C97275" w:rsidRDefault="00451BC7" w:rsidP="00451BC7">
            <w:pPr>
              <w:rPr>
                <w:rFonts w:ascii="Georgia" w:hAnsi="Georgia"/>
                <w:b/>
                <w:bCs/>
                <w:sz w:val="20"/>
                <w:szCs w:val="20"/>
              </w:rPr>
            </w:pPr>
            <w:r w:rsidRPr="00C97275">
              <w:rPr>
                <w:rFonts w:ascii="Georgia" w:hAnsi="Georgia"/>
                <w:b/>
                <w:bCs/>
                <w:sz w:val="20"/>
                <w:szCs w:val="20"/>
              </w:rPr>
              <w:t>Graikija</w:t>
            </w:r>
          </w:p>
        </w:tc>
        <w:tc>
          <w:tcPr>
            <w:tcW w:w="0" w:type="pct"/>
          </w:tcPr>
          <w:p w14:paraId="2183D1CC"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2</w:t>
            </w:r>
          </w:p>
        </w:tc>
        <w:tc>
          <w:tcPr>
            <w:tcW w:w="0" w:type="pct"/>
          </w:tcPr>
          <w:p w14:paraId="59145068"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7B5D82B0"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4D6BA321" w14:textId="18688D7A"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r>
      <w:tr w:rsidR="00451BC7" w:rsidRPr="00C97275" w14:paraId="188830F8" w14:textId="77777777" w:rsidTr="005B31C6">
        <w:tc>
          <w:tcPr>
            <w:tcW w:w="0" w:type="pct"/>
          </w:tcPr>
          <w:p w14:paraId="75FDA9E3" w14:textId="77777777" w:rsidR="00451BC7" w:rsidRPr="00C97275" w:rsidRDefault="00451BC7" w:rsidP="00451BC7">
            <w:pPr>
              <w:rPr>
                <w:rFonts w:ascii="Georgia" w:hAnsi="Georgia"/>
                <w:bCs/>
                <w:sz w:val="20"/>
                <w:szCs w:val="20"/>
              </w:rPr>
            </w:pPr>
            <w:r w:rsidRPr="00C97275">
              <w:rPr>
                <w:rFonts w:ascii="Georgia" w:hAnsi="Georgia"/>
                <w:bCs/>
                <w:sz w:val="20"/>
                <w:szCs w:val="20"/>
              </w:rPr>
              <w:t>6</w:t>
            </w:r>
          </w:p>
        </w:tc>
        <w:tc>
          <w:tcPr>
            <w:tcW w:w="0" w:type="pct"/>
          </w:tcPr>
          <w:p w14:paraId="1F6B6087" w14:textId="77777777" w:rsidR="00451BC7" w:rsidRPr="00C97275" w:rsidRDefault="00451BC7" w:rsidP="00451BC7">
            <w:pPr>
              <w:rPr>
                <w:rFonts w:ascii="Georgia" w:hAnsi="Georgia"/>
                <w:b/>
                <w:bCs/>
                <w:sz w:val="20"/>
                <w:szCs w:val="20"/>
              </w:rPr>
            </w:pPr>
            <w:r w:rsidRPr="00C97275">
              <w:rPr>
                <w:rFonts w:ascii="Georgia" w:hAnsi="Georgia"/>
                <w:b/>
                <w:bCs/>
                <w:sz w:val="20"/>
                <w:szCs w:val="20"/>
              </w:rPr>
              <w:t>Italija</w:t>
            </w:r>
          </w:p>
        </w:tc>
        <w:tc>
          <w:tcPr>
            <w:tcW w:w="0" w:type="pct"/>
          </w:tcPr>
          <w:p w14:paraId="7562E6A5"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6</w:t>
            </w:r>
          </w:p>
        </w:tc>
        <w:tc>
          <w:tcPr>
            <w:tcW w:w="0" w:type="pct"/>
          </w:tcPr>
          <w:p w14:paraId="6E372C58"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2</w:t>
            </w:r>
          </w:p>
        </w:tc>
        <w:tc>
          <w:tcPr>
            <w:tcW w:w="0" w:type="pct"/>
          </w:tcPr>
          <w:p w14:paraId="55AD1518"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2</w:t>
            </w:r>
          </w:p>
        </w:tc>
        <w:tc>
          <w:tcPr>
            <w:tcW w:w="0" w:type="pct"/>
          </w:tcPr>
          <w:p w14:paraId="6C0F0D90"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2</w:t>
            </w:r>
          </w:p>
        </w:tc>
      </w:tr>
      <w:tr w:rsidR="00451BC7" w:rsidRPr="00C97275" w14:paraId="12E249B7"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3BCB640C" w14:textId="77777777" w:rsidR="00451BC7" w:rsidRPr="00C97275" w:rsidRDefault="00451BC7" w:rsidP="00451BC7">
            <w:pPr>
              <w:rPr>
                <w:rFonts w:ascii="Georgia" w:hAnsi="Georgia"/>
                <w:bCs/>
                <w:sz w:val="20"/>
                <w:szCs w:val="20"/>
              </w:rPr>
            </w:pPr>
            <w:r w:rsidRPr="00C97275">
              <w:rPr>
                <w:rFonts w:ascii="Georgia" w:hAnsi="Georgia"/>
                <w:bCs/>
                <w:sz w:val="20"/>
                <w:szCs w:val="20"/>
              </w:rPr>
              <w:t>7</w:t>
            </w:r>
          </w:p>
        </w:tc>
        <w:tc>
          <w:tcPr>
            <w:tcW w:w="0" w:type="pct"/>
          </w:tcPr>
          <w:p w14:paraId="04CA04EB" w14:textId="77777777" w:rsidR="00451BC7" w:rsidRPr="00C97275" w:rsidRDefault="00451BC7" w:rsidP="00451BC7">
            <w:pPr>
              <w:rPr>
                <w:rFonts w:ascii="Georgia" w:hAnsi="Georgia"/>
                <w:b/>
                <w:bCs/>
                <w:sz w:val="20"/>
                <w:szCs w:val="20"/>
              </w:rPr>
            </w:pPr>
            <w:r w:rsidRPr="00C97275">
              <w:rPr>
                <w:rFonts w:ascii="Georgia" w:hAnsi="Georgia"/>
                <w:b/>
                <w:bCs/>
                <w:sz w:val="20"/>
                <w:szCs w:val="20"/>
              </w:rPr>
              <w:t>Nyderlandai</w:t>
            </w:r>
          </w:p>
        </w:tc>
        <w:tc>
          <w:tcPr>
            <w:tcW w:w="0" w:type="pct"/>
          </w:tcPr>
          <w:p w14:paraId="552B55B4"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7A83CC47" w14:textId="7E085250"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2D40C398"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w:t>
            </w:r>
          </w:p>
        </w:tc>
        <w:tc>
          <w:tcPr>
            <w:tcW w:w="0" w:type="pct"/>
          </w:tcPr>
          <w:p w14:paraId="289C652D" w14:textId="204AD4D4"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r>
      <w:tr w:rsidR="00451BC7" w:rsidRPr="00C97275" w14:paraId="1083CFE3" w14:textId="77777777" w:rsidTr="005B31C6">
        <w:tc>
          <w:tcPr>
            <w:tcW w:w="0" w:type="pct"/>
          </w:tcPr>
          <w:p w14:paraId="0E32A735" w14:textId="77777777" w:rsidR="00451BC7" w:rsidRPr="00C97275" w:rsidRDefault="00451BC7" w:rsidP="00451BC7">
            <w:pPr>
              <w:rPr>
                <w:rFonts w:ascii="Georgia" w:hAnsi="Georgia"/>
                <w:bCs/>
                <w:sz w:val="20"/>
                <w:szCs w:val="20"/>
              </w:rPr>
            </w:pPr>
            <w:r w:rsidRPr="00C97275">
              <w:rPr>
                <w:rFonts w:ascii="Georgia" w:hAnsi="Georgia"/>
                <w:bCs/>
                <w:sz w:val="20"/>
                <w:szCs w:val="20"/>
              </w:rPr>
              <w:t>8</w:t>
            </w:r>
          </w:p>
        </w:tc>
        <w:tc>
          <w:tcPr>
            <w:tcW w:w="0" w:type="pct"/>
          </w:tcPr>
          <w:p w14:paraId="484558CC" w14:textId="77777777" w:rsidR="00451BC7" w:rsidRPr="00C97275" w:rsidRDefault="00451BC7" w:rsidP="00451BC7">
            <w:pPr>
              <w:rPr>
                <w:rFonts w:ascii="Georgia" w:hAnsi="Georgia"/>
                <w:b/>
                <w:bCs/>
                <w:sz w:val="20"/>
                <w:szCs w:val="20"/>
              </w:rPr>
            </w:pPr>
            <w:r w:rsidRPr="00C97275">
              <w:rPr>
                <w:rFonts w:ascii="Georgia" w:hAnsi="Georgia"/>
                <w:b/>
                <w:bCs/>
                <w:sz w:val="20"/>
                <w:szCs w:val="20"/>
              </w:rPr>
              <w:t>Jungtinė Karalystė</w:t>
            </w:r>
          </w:p>
        </w:tc>
        <w:tc>
          <w:tcPr>
            <w:tcW w:w="0" w:type="pct"/>
          </w:tcPr>
          <w:p w14:paraId="276C5AF5"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6</w:t>
            </w:r>
          </w:p>
        </w:tc>
        <w:tc>
          <w:tcPr>
            <w:tcW w:w="0" w:type="pct"/>
          </w:tcPr>
          <w:p w14:paraId="02EA4279" w14:textId="71D395F7"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7004CAC9" w14:textId="5D2D1379" w:rsidR="00451BC7" w:rsidRPr="00C97275" w:rsidRDefault="00035974" w:rsidP="0063781D">
            <w:pPr>
              <w:jc w:val="right"/>
              <w:rPr>
                <w:rFonts w:ascii="Georgia" w:hAnsi="Georgia"/>
                <w:bCs/>
                <w:sz w:val="20"/>
                <w:szCs w:val="20"/>
              </w:rPr>
            </w:pPr>
            <w:r w:rsidRPr="00C97275">
              <w:rPr>
                <w:rFonts w:ascii="Georgia" w:hAnsi="Georgia"/>
                <w:bCs/>
                <w:sz w:val="20"/>
                <w:szCs w:val="20"/>
              </w:rPr>
              <w:t>-</w:t>
            </w:r>
          </w:p>
        </w:tc>
        <w:tc>
          <w:tcPr>
            <w:tcW w:w="0" w:type="pct"/>
          </w:tcPr>
          <w:p w14:paraId="02E46F05"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6</w:t>
            </w:r>
          </w:p>
        </w:tc>
      </w:tr>
      <w:tr w:rsidR="00451BC7" w:rsidRPr="00C97275" w14:paraId="61E948FE"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2BCAEC5E" w14:textId="77777777" w:rsidR="00451BC7" w:rsidRPr="00C97275" w:rsidRDefault="00451BC7" w:rsidP="00451BC7">
            <w:pPr>
              <w:keepNext/>
              <w:rPr>
                <w:rFonts w:ascii="Georgia" w:hAnsi="Georgia"/>
                <w:bCs/>
                <w:sz w:val="20"/>
                <w:szCs w:val="20"/>
              </w:rPr>
            </w:pPr>
          </w:p>
        </w:tc>
        <w:tc>
          <w:tcPr>
            <w:tcW w:w="0" w:type="pct"/>
          </w:tcPr>
          <w:p w14:paraId="22DAA5C5" w14:textId="77777777" w:rsidR="00451BC7" w:rsidRPr="00C97275" w:rsidRDefault="00A84FBE" w:rsidP="00451BC7">
            <w:pPr>
              <w:keepNext/>
              <w:rPr>
                <w:rFonts w:ascii="Georgia" w:hAnsi="Georgia"/>
                <w:b/>
                <w:bCs/>
                <w:sz w:val="20"/>
                <w:szCs w:val="20"/>
              </w:rPr>
            </w:pPr>
            <w:r w:rsidRPr="00C97275">
              <w:rPr>
                <w:rFonts w:ascii="Georgia" w:hAnsi="Georgia"/>
                <w:b/>
                <w:bCs/>
                <w:sz w:val="20"/>
                <w:szCs w:val="20"/>
              </w:rPr>
              <w:t>Iš viso:</w:t>
            </w:r>
          </w:p>
        </w:tc>
        <w:tc>
          <w:tcPr>
            <w:tcW w:w="0" w:type="pct"/>
          </w:tcPr>
          <w:p w14:paraId="39164551" w14:textId="77777777" w:rsidR="00451BC7" w:rsidRPr="00C97275" w:rsidRDefault="00451BC7" w:rsidP="0063781D">
            <w:pPr>
              <w:keepNext/>
              <w:jc w:val="right"/>
              <w:rPr>
                <w:rFonts w:ascii="Georgia" w:hAnsi="Georgia"/>
                <w:b/>
                <w:bCs/>
                <w:sz w:val="20"/>
                <w:szCs w:val="20"/>
              </w:rPr>
            </w:pPr>
            <w:r w:rsidRPr="00C97275">
              <w:rPr>
                <w:rFonts w:ascii="Georgia" w:hAnsi="Georgia"/>
                <w:b/>
                <w:bCs/>
                <w:sz w:val="20"/>
                <w:szCs w:val="20"/>
              </w:rPr>
              <w:t>20</w:t>
            </w:r>
          </w:p>
        </w:tc>
        <w:tc>
          <w:tcPr>
            <w:tcW w:w="0" w:type="pct"/>
          </w:tcPr>
          <w:p w14:paraId="266E0A98" w14:textId="77777777" w:rsidR="00451BC7" w:rsidRPr="00C97275" w:rsidRDefault="00451BC7" w:rsidP="0063781D">
            <w:pPr>
              <w:keepNext/>
              <w:jc w:val="right"/>
              <w:rPr>
                <w:rFonts w:ascii="Georgia" w:hAnsi="Georgia"/>
                <w:b/>
                <w:bCs/>
                <w:sz w:val="20"/>
                <w:szCs w:val="20"/>
              </w:rPr>
            </w:pPr>
            <w:r w:rsidRPr="00C97275">
              <w:rPr>
                <w:rFonts w:ascii="Georgia" w:hAnsi="Georgia"/>
                <w:b/>
                <w:bCs/>
                <w:sz w:val="20"/>
                <w:szCs w:val="20"/>
              </w:rPr>
              <w:t>4</w:t>
            </w:r>
          </w:p>
        </w:tc>
        <w:tc>
          <w:tcPr>
            <w:tcW w:w="0" w:type="pct"/>
          </w:tcPr>
          <w:p w14:paraId="66993EB6" w14:textId="77777777" w:rsidR="00451BC7" w:rsidRPr="00C97275" w:rsidRDefault="00451BC7" w:rsidP="0063781D">
            <w:pPr>
              <w:keepNext/>
              <w:jc w:val="right"/>
              <w:rPr>
                <w:rFonts w:ascii="Georgia" w:hAnsi="Georgia"/>
                <w:b/>
                <w:bCs/>
                <w:sz w:val="20"/>
                <w:szCs w:val="20"/>
              </w:rPr>
            </w:pPr>
            <w:r w:rsidRPr="00C97275">
              <w:rPr>
                <w:rFonts w:ascii="Georgia" w:hAnsi="Georgia"/>
                <w:b/>
                <w:bCs/>
                <w:sz w:val="20"/>
                <w:szCs w:val="20"/>
              </w:rPr>
              <w:t>4</w:t>
            </w:r>
          </w:p>
        </w:tc>
        <w:tc>
          <w:tcPr>
            <w:tcW w:w="0" w:type="pct"/>
          </w:tcPr>
          <w:p w14:paraId="2007AFA0" w14:textId="77777777" w:rsidR="00451BC7" w:rsidRPr="00C97275" w:rsidRDefault="00451BC7" w:rsidP="0063781D">
            <w:pPr>
              <w:keepNext/>
              <w:jc w:val="right"/>
              <w:rPr>
                <w:rFonts w:ascii="Georgia" w:hAnsi="Georgia"/>
                <w:b/>
                <w:bCs/>
                <w:sz w:val="20"/>
                <w:szCs w:val="20"/>
              </w:rPr>
            </w:pPr>
            <w:r w:rsidRPr="00C97275">
              <w:rPr>
                <w:rFonts w:ascii="Georgia" w:hAnsi="Georgia"/>
                <w:b/>
                <w:bCs/>
                <w:sz w:val="20"/>
                <w:szCs w:val="20"/>
              </w:rPr>
              <w:t>12</w:t>
            </w:r>
          </w:p>
        </w:tc>
      </w:tr>
    </w:tbl>
    <w:p w14:paraId="4DA21722" w14:textId="77777777" w:rsidR="00451BC7" w:rsidRPr="00C97275" w:rsidRDefault="00451BC7" w:rsidP="00451BC7">
      <w:pPr>
        <w:rPr>
          <w:rFonts w:ascii="Georgia" w:hAnsi="Georgia"/>
          <w:bCs/>
          <w:i/>
          <w:sz w:val="20"/>
          <w:szCs w:val="20"/>
          <w:lang w:val="lt-LT"/>
        </w:rPr>
      </w:pPr>
      <w:r w:rsidRPr="00C97275">
        <w:rPr>
          <w:rFonts w:ascii="Georgia" w:eastAsia="PMingLiU" w:hAnsi="Georgia" w:cs="Times New Roman"/>
          <w:bCs/>
          <w:i/>
          <w:color w:val="A32020"/>
          <w:sz w:val="20"/>
          <w:szCs w:val="18"/>
          <w:lang w:val="lt-LT"/>
        </w:rPr>
        <w:t>Šaltinis: Europos Komisijos informacija apie finansinių priemonių įgyvendinimą</w:t>
      </w:r>
      <w:r w:rsidRPr="00C97275">
        <w:rPr>
          <w:rStyle w:val="Puslapioinaosnuoroda"/>
          <w:rFonts w:ascii="Georgia" w:hAnsi="Georgia"/>
          <w:bCs/>
          <w:i/>
          <w:sz w:val="20"/>
          <w:szCs w:val="20"/>
          <w:lang w:val="lt-LT"/>
        </w:rPr>
        <w:footnoteReference w:id="158"/>
      </w:r>
      <w:r w:rsidRPr="00C97275">
        <w:rPr>
          <w:rFonts w:ascii="Georgia" w:hAnsi="Georgia"/>
          <w:bCs/>
          <w:i/>
          <w:sz w:val="20"/>
          <w:szCs w:val="20"/>
          <w:lang w:val="lt-LT"/>
        </w:rPr>
        <w:t xml:space="preserve">  </w:t>
      </w:r>
    </w:p>
    <w:p w14:paraId="5E5E4B8A" w14:textId="77777777" w:rsidR="00451BC7" w:rsidRPr="00C97275" w:rsidRDefault="00451BC7" w:rsidP="00451BC7">
      <w:pPr>
        <w:keepNext/>
        <w:jc w:val="both"/>
        <w:rPr>
          <w:rFonts w:ascii="Georgia" w:hAnsi="Georgia"/>
          <w:bCs/>
          <w:sz w:val="20"/>
          <w:szCs w:val="20"/>
          <w:lang w:val="lt-LT"/>
        </w:rPr>
      </w:pPr>
      <w:r w:rsidRPr="00C97275">
        <w:rPr>
          <w:rFonts w:ascii="Georgia" w:hAnsi="Georgia"/>
          <w:bCs/>
          <w:sz w:val="20"/>
          <w:szCs w:val="20"/>
          <w:lang w:val="lt-LT"/>
        </w:rPr>
        <w:lastRenderedPageBreak/>
        <w:t>Žemiau esančioje lentelėje pateikiama informacija apie energijos efektyvumo ir atsinaujinančių energijos išteklių projektus finansuojamus per finansinių priemonių įgyvendinimą pagal siūlomų produktų tipus ir išmokėtas lėšas.</w:t>
      </w:r>
    </w:p>
    <w:p w14:paraId="6284E551" w14:textId="708645D8" w:rsidR="00451BC7" w:rsidRPr="00C97275" w:rsidRDefault="00451BC7" w:rsidP="00451BC7">
      <w:pPr>
        <w:pStyle w:val="Antrat"/>
        <w:spacing w:line="276" w:lineRule="auto"/>
        <w:jc w:val="both"/>
        <w:rPr>
          <w:lang w:val="lt-LT"/>
        </w:rPr>
      </w:pPr>
      <w:bookmarkStart w:id="256" w:name="_Toc19105284"/>
      <w:r w:rsidRPr="00C97275">
        <w:rPr>
          <w:lang w:val="lt-LT"/>
        </w:rPr>
        <w:t xml:space="preserve">Lentelė </w:t>
      </w:r>
      <w:r w:rsidRPr="00C97275">
        <w:rPr>
          <w:lang w:val="lt-LT"/>
        </w:rPr>
        <w:fldChar w:fldCharType="begin"/>
      </w:r>
      <w:r w:rsidRPr="00C97275">
        <w:rPr>
          <w:lang w:val="lt-LT"/>
        </w:rPr>
        <w:instrText xml:space="preserve"> SEQ Lentelė \* ARABIC </w:instrText>
      </w:r>
      <w:r w:rsidRPr="00C97275">
        <w:rPr>
          <w:lang w:val="lt-LT"/>
        </w:rPr>
        <w:fldChar w:fldCharType="separate"/>
      </w:r>
      <w:r w:rsidR="001028BC" w:rsidRPr="00C97275">
        <w:rPr>
          <w:noProof/>
          <w:lang w:val="lt-LT"/>
        </w:rPr>
        <w:t>71</w:t>
      </w:r>
      <w:r w:rsidRPr="00C97275">
        <w:rPr>
          <w:lang w:val="lt-LT"/>
        </w:rPr>
        <w:fldChar w:fldCharType="end"/>
      </w:r>
      <w:r w:rsidRPr="00C97275">
        <w:rPr>
          <w:b w:val="0"/>
          <w:iCs/>
          <w:szCs w:val="20"/>
          <w:lang w:val="lt-LT"/>
        </w:rPr>
        <w:t xml:space="preserve">. </w:t>
      </w:r>
      <w:r w:rsidRPr="00C97275">
        <w:rPr>
          <w:lang w:val="lt-LT"/>
        </w:rPr>
        <w:t>Energijos efektyvumo ir atsinaujinančių energijos išteklių projektų finansavimas pagal siūlomų produktų tipus ir išmokėtas lėšas.</w:t>
      </w:r>
      <w:bookmarkEnd w:id="256"/>
    </w:p>
    <w:tbl>
      <w:tblPr>
        <w:tblStyle w:val="viesussraas2parykinimas1"/>
        <w:tblW w:w="5000" w:type="pct"/>
        <w:tblLook w:val="0420" w:firstRow="1" w:lastRow="0" w:firstColumn="0" w:lastColumn="0" w:noHBand="0" w:noVBand="1"/>
      </w:tblPr>
      <w:tblGrid>
        <w:gridCol w:w="3460"/>
        <w:gridCol w:w="2785"/>
        <w:gridCol w:w="2997"/>
      </w:tblGrid>
      <w:tr w:rsidR="00451BC7" w:rsidRPr="00C97275" w14:paraId="2ADDA781" w14:textId="77777777" w:rsidTr="005B31C6">
        <w:trPr>
          <w:cnfStyle w:val="100000000000" w:firstRow="1" w:lastRow="0" w:firstColumn="0" w:lastColumn="0" w:oddVBand="0" w:evenVBand="0" w:oddHBand="0" w:evenHBand="0" w:firstRowFirstColumn="0" w:firstRowLastColumn="0" w:lastRowFirstColumn="0" w:lastRowLastColumn="0"/>
        </w:trPr>
        <w:tc>
          <w:tcPr>
            <w:tcW w:w="0" w:type="pct"/>
          </w:tcPr>
          <w:p w14:paraId="1F5E3BC1" w14:textId="77777777" w:rsidR="00451BC7" w:rsidRPr="00C97275" w:rsidRDefault="00451BC7" w:rsidP="0063781D">
            <w:pPr>
              <w:keepNext/>
              <w:rPr>
                <w:rFonts w:ascii="Georgia" w:hAnsi="Georgia"/>
                <w:bCs w:val="0"/>
                <w:sz w:val="20"/>
                <w:szCs w:val="20"/>
              </w:rPr>
            </w:pPr>
            <w:r w:rsidRPr="00C97275">
              <w:rPr>
                <w:rFonts w:ascii="Georgia" w:hAnsi="Georgia"/>
                <w:sz w:val="20"/>
                <w:szCs w:val="20"/>
              </w:rPr>
              <w:t>Produkto tipas</w:t>
            </w:r>
          </w:p>
        </w:tc>
        <w:tc>
          <w:tcPr>
            <w:tcW w:w="0" w:type="pct"/>
          </w:tcPr>
          <w:p w14:paraId="7D272118" w14:textId="77777777" w:rsidR="00451BC7" w:rsidRPr="00C97275" w:rsidRDefault="00451BC7" w:rsidP="0063781D">
            <w:pPr>
              <w:keepNext/>
              <w:jc w:val="right"/>
              <w:rPr>
                <w:rFonts w:ascii="Georgia" w:hAnsi="Georgia"/>
                <w:bCs w:val="0"/>
                <w:sz w:val="20"/>
                <w:szCs w:val="20"/>
              </w:rPr>
            </w:pPr>
            <w:r w:rsidRPr="00C97275">
              <w:rPr>
                <w:rFonts w:ascii="Georgia" w:hAnsi="Georgia"/>
                <w:sz w:val="20"/>
                <w:szCs w:val="20"/>
              </w:rPr>
              <w:t>Vienetai</w:t>
            </w:r>
          </w:p>
        </w:tc>
        <w:tc>
          <w:tcPr>
            <w:tcW w:w="0" w:type="pct"/>
          </w:tcPr>
          <w:p w14:paraId="612D8895" w14:textId="2550F4A2" w:rsidR="00451BC7" w:rsidRPr="00C97275" w:rsidRDefault="00451BC7" w:rsidP="0063781D">
            <w:pPr>
              <w:keepNext/>
              <w:jc w:val="right"/>
              <w:rPr>
                <w:rFonts w:ascii="Georgia" w:hAnsi="Georgia"/>
                <w:bCs w:val="0"/>
                <w:sz w:val="20"/>
                <w:szCs w:val="20"/>
              </w:rPr>
            </w:pPr>
            <w:r w:rsidRPr="00C97275">
              <w:rPr>
                <w:rFonts w:ascii="Georgia" w:hAnsi="Georgia"/>
                <w:sz w:val="20"/>
                <w:szCs w:val="20"/>
              </w:rPr>
              <w:t xml:space="preserve">Išmokėtos veiksmų programų lėšos (mln. </w:t>
            </w:r>
            <w:r w:rsidR="00035974" w:rsidRPr="00C97275">
              <w:rPr>
                <w:rFonts w:ascii="Georgia" w:hAnsi="Georgia"/>
                <w:sz w:val="20"/>
                <w:szCs w:val="20"/>
              </w:rPr>
              <w:t>eurų</w:t>
            </w:r>
            <w:r w:rsidRPr="00C97275">
              <w:rPr>
                <w:rFonts w:ascii="Georgia" w:hAnsi="Georgia"/>
                <w:sz w:val="20"/>
                <w:szCs w:val="20"/>
              </w:rPr>
              <w:t>)</w:t>
            </w:r>
          </w:p>
        </w:tc>
      </w:tr>
      <w:tr w:rsidR="00451BC7" w:rsidRPr="00C97275" w14:paraId="50976283"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146FBE82" w14:textId="77777777" w:rsidR="00451BC7" w:rsidRPr="00C97275" w:rsidRDefault="00451BC7" w:rsidP="00451BC7">
            <w:pPr>
              <w:keepNext/>
              <w:rPr>
                <w:rFonts w:ascii="Georgia" w:hAnsi="Georgia"/>
                <w:bCs/>
                <w:sz w:val="20"/>
                <w:szCs w:val="20"/>
              </w:rPr>
            </w:pPr>
            <w:r w:rsidRPr="00C97275">
              <w:rPr>
                <w:rFonts w:ascii="Georgia" w:hAnsi="Georgia"/>
                <w:bCs/>
                <w:sz w:val="20"/>
                <w:szCs w:val="20"/>
              </w:rPr>
              <w:t>Paskolos</w:t>
            </w:r>
          </w:p>
        </w:tc>
        <w:tc>
          <w:tcPr>
            <w:tcW w:w="0" w:type="pct"/>
          </w:tcPr>
          <w:p w14:paraId="1DEC2F03" w14:textId="77777777" w:rsidR="00451BC7" w:rsidRPr="00C97275" w:rsidRDefault="00451BC7" w:rsidP="0063781D">
            <w:pPr>
              <w:keepNext/>
              <w:jc w:val="right"/>
              <w:rPr>
                <w:rFonts w:ascii="Georgia" w:hAnsi="Georgia"/>
                <w:bCs/>
                <w:sz w:val="20"/>
                <w:szCs w:val="20"/>
              </w:rPr>
            </w:pPr>
            <w:r w:rsidRPr="00C97275">
              <w:rPr>
                <w:rFonts w:ascii="Georgia" w:hAnsi="Georgia"/>
                <w:bCs/>
                <w:sz w:val="20"/>
                <w:szCs w:val="20"/>
              </w:rPr>
              <w:t>13</w:t>
            </w:r>
            <w:r w:rsidR="0088418D" w:rsidRPr="00C97275">
              <w:rPr>
                <w:rFonts w:ascii="Georgia" w:hAnsi="Georgia"/>
                <w:bCs/>
                <w:sz w:val="20"/>
                <w:szCs w:val="20"/>
              </w:rPr>
              <w:t xml:space="preserve"> </w:t>
            </w:r>
            <w:r w:rsidRPr="00C97275">
              <w:rPr>
                <w:rFonts w:ascii="Georgia" w:hAnsi="Georgia"/>
                <w:bCs/>
                <w:sz w:val="20"/>
                <w:szCs w:val="20"/>
              </w:rPr>
              <w:t>392</w:t>
            </w:r>
          </w:p>
        </w:tc>
        <w:tc>
          <w:tcPr>
            <w:tcW w:w="0" w:type="pct"/>
          </w:tcPr>
          <w:p w14:paraId="08D438E5" w14:textId="77777777" w:rsidR="00451BC7" w:rsidRPr="00C97275" w:rsidRDefault="00451BC7" w:rsidP="0063781D">
            <w:pPr>
              <w:keepNext/>
              <w:jc w:val="right"/>
              <w:rPr>
                <w:rFonts w:ascii="Georgia" w:hAnsi="Georgia"/>
                <w:bCs/>
                <w:sz w:val="20"/>
                <w:szCs w:val="20"/>
              </w:rPr>
            </w:pPr>
            <w:r w:rsidRPr="00C97275">
              <w:rPr>
                <w:rFonts w:ascii="Georgia" w:hAnsi="Georgia"/>
                <w:bCs/>
                <w:sz w:val="20"/>
                <w:szCs w:val="20"/>
              </w:rPr>
              <w:t>86,4</w:t>
            </w:r>
          </w:p>
        </w:tc>
      </w:tr>
      <w:tr w:rsidR="00451BC7" w:rsidRPr="00C97275" w14:paraId="4A11623C" w14:textId="77777777" w:rsidTr="005B31C6">
        <w:tc>
          <w:tcPr>
            <w:tcW w:w="0" w:type="pct"/>
          </w:tcPr>
          <w:p w14:paraId="5AAB13B4" w14:textId="77777777" w:rsidR="00451BC7" w:rsidRPr="00C97275" w:rsidRDefault="00451BC7" w:rsidP="00451BC7">
            <w:pPr>
              <w:keepNext/>
              <w:rPr>
                <w:rFonts w:ascii="Georgia" w:hAnsi="Georgia"/>
                <w:bCs/>
                <w:sz w:val="20"/>
                <w:szCs w:val="20"/>
              </w:rPr>
            </w:pPr>
            <w:r w:rsidRPr="00C97275">
              <w:rPr>
                <w:rFonts w:ascii="Georgia" w:hAnsi="Georgia"/>
                <w:bCs/>
                <w:sz w:val="20"/>
                <w:szCs w:val="20"/>
              </w:rPr>
              <w:t>Garantijos</w:t>
            </w:r>
          </w:p>
        </w:tc>
        <w:tc>
          <w:tcPr>
            <w:tcW w:w="0" w:type="pct"/>
          </w:tcPr>
          <w:p w14:paraId="701FD19B" w14:textId="2DC59F01" w:rsidR="00451BC7" w:rsidRPr="00C97275" w:rsidRDefault="00035974" w:rsidP="0063781D">
            <w:pPr>
              <w:keepNext/>
              <w:jc w:val="right"/>
              <w:rPr>
                <w:rFonts w:ascii="Georgia" w:hAnsi="Georgia"/>
                <w:bCs/>
                <w:sz w:val="20"/>
                <w:szCs w:val="20"/>
              </w:rPr>
            </w:pPr>
            <w:r w:rsidRPr="00C97275">
              <w:rPr>
                <w:rFonts w:ascii="Georgia" w:hAnsi="Georgia"/>
                <w:bCs/>
                <w:sz w:val="20"/>
                <w:szCs w:val="20"/>
              </w:rPr>
              <w:t>-</w:t>
            </w:r>
          </w:p>
        </w:tc>
        <w:tc>
          <w:tcPr>
            <w:tcW w:w="0" w:type="pct"/>
          </w:tcPr>
          <w:p w14:paraId="0FB912C2" w14:textId="1171AD07" w:rsidR="00451BC7" w:rsidRPr="00C97275" w:rsidRDefault="00035974" w:rsidP="0063781D">
            <w:pPr>
              <w:keepNext/>
              <w:jc w:val="right"/>
              <w:rPr>
                <w:rFonts w:ascii="Georgia" w:hAnsi="Georgia"/>
                <w:bCs/>
                <w:sz w:val="20"/>
                <w:szCs w:val="20"/>
              </w:rPr>
            </w:pPr>
            <w:r w:rsidRPr="00C97275">
              <w:rPr>
                <w:rFonts w:ascii="Georgia" w:hAnsi="Georgia"/>
                <w:bCs/>
                <w:sz w:val="20"/>
                <w:szCs w:val="20"/>
              </w:rPr>
              <w:t>-</w:t>
            </w:r>
          </w:p>
        </w:tc>
      </w:tr>
      <w:tr w:rsidR="00451BC7" w:rsidRPr="00C97275" w14:paraId="396F06F0"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17F275C2" w14:textId="77777777" w:rsidR="00451BC7" w:rsidRPr="00C97275" w:rsidRDefault="00451BC7" w:rsidP="00451BC7">
            <w:pPr>
              <w:rPr>
                <w:rFonts w:ascii="Georgia" w:hAnsi="Georgia"/>
                <w:bCs/>
                <w:sz w:val="20"/>
                <w:szCs w:val="20"/>
              </w:rPr>
            </w:pPr>
            <w:r w:rsidRPr="00C97275">
              <w:rPr>
                <w:rFonts w:ascii="Georgia" w:hAnsi="Georgia"/>
                <w:bCs/>
                <w:sz w:val="20"/>
                <w:szCs w:val="20"/>
              </w:rPr>
              <w:t>Nuosavas/rizikos kapitalas</w:t>
            </w:r>
          </w:p>
        </w:tc>
        <w:tc>
          <w:tcPr>
            <w:tcW w:w="0" w:type="pct"/>
          </w:tcPr>
          <w:p w14:paraId="4B9C64C6"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N.A.</w:t>
            </w:r>
          </w:p>
        </w:tc>
        <w:tc>
          <w:tcPr>
            <w:tcW w:w="0" w:type="pct"/>
          </w:tcPr>
          <w:p w14:paraId="49D2DCD7"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2,9</w:t>
            </w:r>
          </w:p>
        </w:tc>
      </w:tr>
      <w:tr w:rsidR="00451BC7" w:rsidRPr="00C97275" w14:paraId="2EC5D36B" w14:textId="77777777" w:rsidTr="005B31C6">
        <w:tc>
          <w:tcPr>
            <w:tcW w:w="0" w:type="pct"/>
          </w:tcPr>
          <w:p w14:paraId="7369EF10" w14:textId="77777777" w:rsidR="00451BC7" w:rsidRPr="00C97275" w:rsidRDefault="00451BC7" w:rsidP="00451BC7">
            <w:pPr>
              <w:rPr>
                <w:rFonts w:ascii="Georgia" w:hAnsi="Georgia"/>
                <w:bCs/>
                <w:sz w:val="20"/>
                <w:szCs w:val="20"/>
              </w:rPr>
            </w:pPr>
            <w:r w:rsidRPr="00C97275">
              <w:rPr>
                <w:rFonts w:ascii="Georgia" w:hAnsi="Georgia"/>
                <w:bCs/>
                <w:sz w:val="20"/>
                <w:szCs w:val="20"/>
              </w:rPr>
              <w:t>Kiti produktai</w:t>
            </w:r>
          </w:p>
        </w:tc>
        <w:tc>
          <w:tcPr>
            <w:tcW w:w="0" w:type="pct"/>
          </w:tcPr>
          <w:p w14:paraId="42053CC3"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N.A.</w:t>
            </w:r>
          </w:p>
        </w:tc>
        <w:tc>
          <w:tcPr>
            <w:tcW w:w="0" w:type="pct"/>
          </w:tcPr>
          <w:p w14:paraId="5DF8D9BB"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0,3</w:t>
            </w:r>
          </w:p>
        </w:tc>
      </w:tr>
      <w:tr w:rsidR="00451BC7" w:rsidRPr="00C97275" w14:paraId="7E366414"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764C8CB4" w14:textId="77777777" w:rsidR="00451BC7" w:rsidRPr="00C97275" w:rsidRDefault="00451BC7" w:rsidP="00451BC7">
            <w:pPr>
              <w:rPr>
                <w:rFonts w:ascii="Georgia" w:hAnsi="Georgia"/>
                <w:bCs/>
                <w:sz w:val="20"/>
                <w:szCs w:val="20"/>
              </w:rPr>
            </w:pPr>
            <w:r w:rsidRPr="00C97275">
              <w:rPr>
                <w:rFonts w:ascii="Georgia" w:hAnsi="Georgia"/>
                <w:bCs/>
                <w:sz w:val="20"/>
                <w:szCs w:val="20"/>
              </w:rPr>
              <w:t>Iš viso:</w:t>
            </w:r>
          </w:p>
        </w:tc>
        <w:tc>
          <w:tcPr>
            <w:tcW w:w="0" w:type="pct"/>
          </w:tcPr>
          <w:p w14:paraId="71BED79D"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13</w:t>
            </w:r>
            <w:r w:rsidR="0088418D" w:rsidRPr="00C97275">
              <w:rPr>
                <w:rFonts w:ascii="Georgia" w:hAnsi="Georgia"/>
                <w:bCs/>
                <w:sz w:val="20"/>
                <w:szCs w:val="20"/>
              </w:rPr>
              <w:t xml:space="preserve"> </w:t>
            </w:r>
            <w:r w:rsidRPr="00C97275">
              <w:rPr>
                <w:rFonts w:ascii="Georgia" w:hAnsi="Georgia"/>
                <w:bCs/>
                <w:sz w:val="20"/>
                <w:szCs w:val="20"/>
              </w:rPr>
              <w:t>392</w:t>
            </w:r>
          </w:p>
        </w:tc>
        <w:tc>
          <w:tcPr>
            <w:tcW w:w="0" w:type="pct"/>
          </w:tcPr>
          <w:p w14:paraId="4162968D" w14:textId="77777777" w:rsidR="00451BC7" w:rsidRPr="00C97275" w:rsidRDefault="00451BC7" w:rsidP="0063781D">
            <w:pPr>
              <w:jc w:val="right"/>
              <w:rPr>
                <w:rFonts w:ascii="Georgia" w:hAnsi="Georgia"/>
                <w:bCs/>
                <w:sz w:val="20"/>
                <w:szCs w:val="20"/>
              </w:rPr>
            </w:pPr>
            <w:r w:rsidRPr="00C97275">
              <w:rPr>
                <w:rFonts w:ascii="Georgia" w:hAnsi="Georgia"/>
                <w:bCs/>
                <w:sz w:val="20"/>
                <w:szCs w:val="20"/>
              </w:rPr>
              <w:t>89,6</w:t>
            </w:r>
          </w:p>
        </w:tc>
      </w:tr>
    </w:tbl>
    <w:p w14:paraId="07AA50B3" w14:textId="510799D8" w:rsidR="00451BC7" w:rsidRPr="00C97275" w:rsidRDefault="00451BC7" w:rsidP="00AF1768">
      <w:pPr>
        <w:pStyle w:val="Antrat"/>
        <w:spacing w:line="276" w:lineRule="auto"/>
        <w:jc w:val="both"/>
        <w:rPr>
          <w:b w:val="0"/>
          <w:i/>
          <w:lang w:val="lt-LT"/>
        </w:rPr>
      </w:pPr>
      <w:r w:rsidRPr="00C97275">
        <w:rPr>
          <w:b w:val="0"/>
          <w:i/>
          <w:lang w:val="lt-LT"/>
        </w:rPr>
        <w:t>Šaltinis: e</w:t>
      </w:r>
      <w:r w:rsidR="00300FF4" w:rsidRPr="00C97275">
        <w:rPr>
          <w:b w:val="0"/>
          <w:i/>
          <w:lang w:val="lt-LT"/>
        </w:rPr>
        <w:t>x-ante</w:t>
      </w:r>
      <w:r w:rsidRPr="00C97275">
        <w:rPr>
          <w:b w:val="0"/>
          <w:i/>
          <w:lang w:val="lt-LT"/>
        </w:rPr>
        <w:t xml:space="preserve"> vertinimo metodologijos IV dalies informacija</w:t>
      </w:r>
    </w:p>
    <w:p w14:paraId="2BE69934" w14:textId="1185EF9A" w:rsidR="00451BC7" w:rsidRPr="00C97275" w:rsidRDefault="00451BC7" w:rsidP="00451BC7">
      <w:pPr>
        <w:rPr>
          <w:rFonts w:ascii="Georgia" w:hAnsi="Georgia"/>
          <w:bCs/>
          <w:sz w:val="20"/>
          <w:szCs w:val="20"/>
          <w:lang w:val="lt-LT"/>
        </w:rPr>
      </w:pPr>
      <w:r w:rsidRPr="00C97275">
        <w:rPr>
          <w:rFonts w:ascii="Georgia" w:hAnsi="Georgia"/>
          <w:bCs/>
          <w:sz w:val="20"/>
          <w:szCs w:val="20"/>
          <w:lang w:val="lt-LT"/>
        </w:rPr>
        <w:t xml:space="preserve">89,6 mln. </w:t>
      </w:r>
      <w:r w:rsidR="00035974" w:rsidRPr="00C97275">
        <w:rPr>
          <w:rFonts w:ascii="Georgia" w:hAnsi="Georgia"/>
          <w:bCs/>
          <w:sz w:val="20"/>
          <w:szCs w:val="20"/>
          <w:lang w:val="lt-LT"/>
        </w:rPr>
        <w:t xml:space="preserve"> eurų</w:t>
      </w:r>
      <w:r w:rsidRPr="00C97275">
        <w:rPr>
          <w:rFonts w:ascii="Georgia" w:hAnsi="Georgia"/>
          <w:bCs/>
          <w:sz w:val="20"/>
          <w:szCs w:val="20"/>
          <w:lang w:val="lt-LT"/>
        </w:rPr>
        <w:t xml:space="preserve"> pasiekė galutinius naudos gavėjus. Suteiktos 13.392 paskolos. Vidutiniškai vienai paskolai teko </w:t>
      </w:r>
      <w:r w:rsidR="0088418D" w:rsidRPr="00C97275">
        <w:rPr>
          <w:rFonts w:ascii="Georgia" w:hAnsi="Georgia"/>
          <w:bCs/>
          <w:sz w:val="20"/>
          <w:szCs w:val="20"/>
          <w:lang w:val="lt-LT"/>
        </w:rPr>
        <w:t>100 tūkst.</w:t>
      </w:r>
      <w:r w:rsidRPr="00C97275">
        <w:rPr>
          <w:rFonts w:ascii="Georgia" w:hAnsi="Georgia"/>
          <w:bCs/>
          <w:sz w:val="20"/>
          <w:szCs w:val="20"/>
          <w:lang w:val="lt-LT"/>
        </w:rPr>
        <w:t xml:space="preserve"> </w:t>
      </w:r>
      <w:r w:rsidR="00035974" w:rsidRPr="00C97275">
        <w:rPr>
          <w:rFonts w:ascii="Georgia" w:hAnsi="Georgia"/>
          <w:bCs/>
          <w:sz w:val="20"/>
          <w:szCs w:val="20"/>
          <w:lang w:val="lt-LT"/>
        </w:rPr>
        <w:t xml:space="preserve"> eurų</w:t>
      </w:r>
      <w:r w:rsidRPr="00C97275">
        <w:rPr>
          <w:rFonts w:ascii="Georgia" w:hAnsi="Georgia"/>
          <w:bCs/>
          <w:sz w:val="20"/>
          <w:szCs w:val="20"/>
          <w:lang w:val="lt-LT"/>
        </w:rPr>
        <w:t>.</w:t>
      </w:r>
    </w:p>
    <w:p w14:paraId="48901FE1" w14:textId="77777777" w:rsidR="00451BC7" w:rsidRPr="00C97275" w:rsidRDefault="00451BC7" w:rsidP="00451BC7">
      <w:pPr>
        <w:rPr>
          <w:rFonts w:ascii="Georgia" w:hAnsi="Georgia"/>
          <w:bCs/>
          <w:i/>
          <w:sz w:val="20"/>
          <w:szCs w:val="20"/>
          <w:lang w:val="lt-LT"/>
        </w:rPr>
      </w:pPr>
      <w:r w:rsidRPr="00C97275">
        <w:rPr>
          <w:rFonts w:ascii="Georgia" w:hAnsi="Georgia"/>
          <w:bCs/>
          <w:i/>
          <w:sz w:val="20"/>
          <w:szCs w:val="20"/>
          <w:lang w:val="lt-LT"/>
        </w:rPr>
        <w:t>Apibendrinimas:</w:t>
      </w:r>
    </w:p>
    <w:p w14:paraId="5C23D939" w14:textId="77777777" w:rsidR="00451BC7" w:rsidRPr="00C97275" w:rsidRDefault="00451BC7" w:rsidP="00C03122">
      <w:pPr>
        <w:numPr>
          <w:ilvl w:val="0"/>
          <w:numId w:val="3"/>
        </w:numPr>
        <w:jc w:val="both"/>
        <w:rPr>
          <w:rFonts w:ascii="Georgia" w:hAnsi="Georgia"/>
          <w:bCs/>
          <w:sz w:val="20"/>
          <w:szCs w:val="20"/>
          <w:lang w:val="lt-LT"/>
        </w:rPr>
      </w:pPr>
      <w:r w:rsidRPr="00C97275">
        <w:rPr>
          <w:rFonts w:ascii="Georgia" w:hAnsi="Georgia"/>
          <w:bCs/>
          <w:sz w:val="20"/>
          <w:szCs w:val="20"/>
          <w:lang w:val="lt-LT"/>
        </w:rPr>
        <w:t xml:space="preserve">lyginant su įmonėms skirtomis finansinėmis priemonėmis, energijos efektyvumo/miestų plėtros priemonių buvo įgyvendinta ženkliai mažiau (8 proc.). Viena iš priežasčių yra ta, jog tarp naudos gavėjų dominuoja viešojo sektoriaus institucijos. Paskolos ar kitokie finansiniai produktai yra labiau įprasti verslui, be to, miestų plėtros/energijos efektyvumo/atsinaujinančius energijos išteklių projektai yra </w:t>
      </w:r>
      <w:r w:rsidR="00AF1768" w:rsidRPr="00C97275">
        <w:rPr>
          <w:rFonts w:ascii="Georgia" w:hAnsi="Georgia"/>
          <w:bCs/>
          <w:sz w:val="20"/>
          <w:szCs w:val="20"/>
          <w:lang w:val="lt-LT"/>
        </w:rPr>
        <w:t>labiau kompleksiški</w:t>
      </w:r>
      <w:r w:rsidRPr="00C97275">
        <w:rPr>
          <w:rFonts w:ascii="Georgia" w:hAnsi="Georgia"/>
          <w:bCs/>
          <w:sz w:val="20"/>
          <w:szCs w:val="20"/>
          <w:lang w:val="lt-LT"/>
        </w:rPr>
        <w:t xml:space="preserve"> ir/ar didesni. Atitinkamai sukaupta finansinių priemonių įgyvendinimo patirtis šiuose sektoriuose yra ne tokia didelė kaip JEREMIE iniciatyvoje;</w:t>
      </w:r>
    </w:p>
    <w:p w14:paraId="66513B6B" w14:textId="77777777" w:rsidR="00451BC7" w:rsidRPr="00C97275" w:rsidRDefault="00451BC7" w:rsidP="00C03122">
      <w:pPr>
        <w:numPr>
          <w:ilvl w:val="0"/>
          <w:numId w:val="3"/>
        </w:numPr>
        <w:jc w:val="both"/>
        <w:rPr>
          <w:rFonts w:ascii="Georgia" w:hAnsi="Georgia"/>
          <w:bCs/>
          <w:sz w:val="20"/>
          <w:szCs w:val="20"/>
          <w:lang w:val="lt-LT"/>
        </w:rPr>
      </w:pPr>
      <w:r w:rsidRPr="00C97275">
        <w:rPr>
          <w:rFonts w:ascii="Georgia" w:hAnsi="Georgia"/>
          <w:bCs/>
          <w:sz w:val="20"/>
          <w:szCs w:val="20"/>
          <w:lang w:val="lt-LT"/>
        </w:rPr>
        <w:t>miestų plėtros/energijos efektyvumo/atsinaujinanči</w:t>
      </w:r>
      <w:r w:rsidR="0078681E" w:rsidRPr="00C97275">
        <w:rPr>
          <w:rFonts w:ascii="Georgia" w:hAnsi="Georgia"/>
          <w:bCs/>
          <w:sz w:val="20"/>
          <w:szCs w:val="20"/>
          <w:lang w:val="lt-LT"/>
        </w:rPr>
        <w:t>ų</w:t>
      </w:r>
      <w:r w:rsidRPr="00C97275">
        <w:rPr>
          <w:rFonts w:ascii="Georgia" w:hAnsi="Georgia"/>
          <w:bCs/>
          <w:sz w:val="20"/>
          <w:szCs w:val="20"/>
          <w:lang w:val="lt-LT"/>
        </w:rPr>
        <w:t xml:space="preserve"> energijos išteklių finansinės priemonės ne tik skaičiumi, tačiau ir įgyvendinimo pažanga atsilieka nuo verslui skirtų finansinių priemonių. Tai nulemta </w:t>
      </w:r>
      <w:r w:rsidR="0078681E" w:rsidRPr="00C97275">
        <w:rPr>
          <w:rFonts w:ascii="Georgia" w:hAnsi="Georgia"/>
          <w:bCs/>
          <w:sz w:val="20"/>
          <w:szCs w:val="20"/>
          <w:lang w:val="lt-LT"/>
        </w:rPr>
        <w:t xml:space="preserve">dėl </w:t>
      </w:r>
      <w:r w:rsidRPr="00C97275">
        <w:rPr>
          <w:rFonts w:ascii="Georgia" w:hAnsi="Georgia"/>
          <w:bCs/>
          <w:sz w:val="20"/>
          <w:szCs w:val="20"/>
          <w:lang w:val="lt-LT"/>
        </w:rPr>
        <w:t>jau minėtų priežasčių – poreikio viešajam sektoriui persiorientuoti nuo subsidijų prie kitokio tipo finansinių priemonių, projektų kompleksiškumo ir/ar dydžio;</w:t>
      </w:r>
    </w:p>
    <w:p w14:paraId="55615E4C" w14:textId="77777777" w:rsidR="00451BC7" w:rsidRPr="00C97275" w:rsidRDefault="00451BC7" w:rsidP="00C03122">
      <w:pPr>
        <w:numPr>
          <w:ilvl w:val="0"/>
          <w:numId w:val="3"/>
        </w:numPr>
        <w:jc w:val="both"/>
        <w:rPr>
          <w:rFonts w:ascii="Georgia" w:hAnsi="Georgia"/>
          <w:bCs/>
          <w:sz w:val="20"/>
          <w:szCs w:val="20"/>
          <w:lang w:val="lt-LT"/>
        </w:rPr>
      </w:pPr>
      <w:r w:rsidRPr="00C97275">
        <w:rPr>
          <w:rFonts w:ascii="Georgia" w:hAnsi="Georgia"/>
          <w:bCs/>
          <w:sz w:val="20"/>
          <w:szCs w:val="20"/>
          <w:lang w:val="lt-LT"/>
        </w:rPr>
        <w:t xml:space="preserve">nepaisant to, finansinių priemonių skaičius šiuose sektoriuose auga, viešojo sektoriaus atstovai mato potencialą grįžtamose finansinėse priemonėse ir jau yra sėkmingų tokio tipo finansinių priemonių įgyvendinimo pavyzdžių. Vienas jų yra Lietuvoje įgyvendinamas JESSICA </w:t>
      </w:r>
      <w:r w:rsidR="0078681E" w:rsidRPr="00C97275">
        <w:rPr>
          <w:rFonts w:ascii="Georgia" w:hAnsi="Georgia"/>
          <w:bCs/>
          <w:sz w:val="20"/>
          <w:szCs w:val="20"/>
          <w:lang w:val="lt-LT"/>
        </w:rPr>
        <w:t>KF</w:t>
      </w:r>
      <w:r w:rsidRPr="00C97275">
        <w:rPr>
          <w:rFonts w:ascii="Georgia" w:hAnsi="Georgia"/>
          <w:bCs/>
          <w:sz w:val="20"/>
          <w:szCs w:val="20"/>
          <w:lang w:val="lt-LT"/>
        </w:rPr>
        <w:t>;</w:t>
      </w:r>
    </w:p>
    <w:p w14:paraId="136B6F11" w14:textId="5A4592ED" w:rsidR="00451BC7" w:rsidRPr="00C97275" w:rsidRDefault="00451BC7" w:rsidP="00C03122">
      <w:pPr>
        <w:numPr>
          <w:ilvl w:val="0"/>
          <w:numId w:val="3"/>
        </w:numPr>
        <w:jc w:val="both"/>
        <w:rPr>
          <w:rFonts w:ascii="Georgia" w:hAnsi="Georgia"/>
          <w:bCs/>
          <w:sz w:val="20"/>
          <w:szCs w:val="20"/>
          <w:lang w:val="lt-LT"/>
        </w:rPr>
      </w:pPr>
      <w:r w:rsidRPr="00C97275">
        <w:rPr>
          <w:rFonts w:ascii="Georgia" w:hAnsi="Georgia"/>
          <w:bCs/>
          <w:sz w:val="20"/>
          <w:szCs w:val="20"/>
          <w:lang w:val="lt-LT"/>
        </w:rPr>
        <w:t>dominuoja smulkūs projektai (apie 100</w:t>
      </w:r>
      <w:r w:rsidR="00035974" w:rsidRPr="00C97275">
        <w:rPr>
          <w:rFonts w:ascii="Georgia" w:hAnsi="Georgia"/>
          <w:bCs/>
          <w:sz w:val="20"/>
          <w:szCs w:val="20"/>
          <w:lang w:val="lt-LT"/>
        </w:rPr>
        <w:t xml:space="preserve"> </w:t>
      </w:r>
      <w:r w:rsidRPr="00C97275">
        <w:rPr>
          <w:rFonts w:ascii="Georgia" w:hAnsi="Georgia"/>
          <w:bCs/>
          <w:sz w:val="20"/>
          <w:szCs w:val="20"/>
          <w:lang w:val="lt-LT"/>
        </w:rPr>
        <w:t>000 eurų);</w:t>
      </w:r>
    </w:p>
    <w:p w14:paraId="1B909068" w14:textId="77777777" w:rsidR="00451BC7" w:rsidRPr="00C97275" w:rsidRDefault="00451BC7" w:rsidP="00C03122">
      <w:pPr>
        <w:numPr>
          <w:ilvl w:val="0"/>
          <w:numId w:val="3"/>
        </w:numPr>
        <w:jc w:val="both"/>
        <w:rPr>
          <w:rFonts w:ascii="Georgia" w:hAnsi="Georgia"/>
          <w:bCs/>
          <w:sz w:val="20"/>
          <w:szCs w:val="20"/>
          <w:lang w:val="lt-LT"/>
        </w:rPr>
      </w:pPr>
      <w:r w:rsidRPr="00C97275">
        <w:rPr>
          <w:rFonts w:ascii="Georgia" w:hAnsi="Georgia"/>
          <w:bCs/>
          <w:sz w:val="20"/>
          <w:szCs w:val="20"/>
          <w:lang w:val="lt-LT"/>
        </w:rPr>
        <w:t xml:space="preserve">2007-2013 m. periodu energijos efektyvumo/atsinaujinančių energijos išteklių priemonės dažniausiai steigiamos be kontroliuojančiųjų fondų. Iki tol šios srities projektai buvo finansuojami kaip miestų plėtros projektai, pvz., Lietuvos JESSICA </w:t>
      </w:r>
      <w:r w:rsidR="0078681E" w:rsidRPr="00C97275">
        <w:rPr>
          <w:rFonts w:ascii="Georgia" w:hAnsi="Georgia"/>
          <w:bCs/>
          <w:sz w:val="20"/>
          <w:szCs w:val="20"/>
          <w:lang w:val="lt-LT"/>
        </w:rPr>
        <w:t>KF</w:t>
      </w:r>
      <w:r w:rsidRPr="00C97275">
        <w:rPr>
          <w:rFonts w:ascii="Georgia" w:hAnsi="Georgia"/>
          <w:bCs/>
          <w:sz w:val="20"/>
          <w:szCs w:val="20"/>
          <w:lang w:val="lt-LT"/>
        </w:rPr>
        <w:t>, kurio lėšomis finansuoti energijos efektyvumo projektai daugiabučiuose namuose;</w:t>
      </w:r>
    </w:p>
    <w:p w14:paraId="1400A639" w14:textId="77777777" w:rsidR="00451BC7" w:rsidRPr="00C97275" w:rsidRDefault="00451BC7" w:rsidP="00C03122">
      <w:pPr>
        <w:numPr>
          <w:ilvl w:val="0"/>
          <w:numId w:val="3"/>
        </w:numPr>
        <w:jc w:val="both"/>
        <w:rPr>
          <w:rFonts w:ascii="Georgia" w:hAnsi="Georgia"/>
          <w:sz w:val="20"/>
          <w:szCs w:val="20"/>
          <w:lang w:val="lt-LT"/>
        </w:rPr>
      </w:pPr>
      <w:r w:rsidRPr="00C97275">
        <w:rPr>
          <w:rFonts w:ascii="Georgia" w:hAnsi="Georgia"/>
          <w:bCs/>
          <w:sz w:val="20"/>
          <w:szCs w:val="20"/>
          <w:lang w:val="lt-LT"/>
        </w:rPr>
        <w:t xml:space="preserve">2012 m. pabaigos duomenimis aptariamuose sektoriuose buvo siūlomos lengvatinės paskolos ir investicijos į kapitalą. Paskolos yra patraukliausi finansiniai produktai būsto projektams, </w:t>
      </w:r>
      <w:r w:rsidRPr="00C97275">
        <w:rPr>
          <w:rFonts w:ascii="Georgia" w:hAnsi="Georgia"/>
          <w:bCs/>
          <w:sz w:val="20"/>
          <w:szCs w:val="20"/>
          <w:lang w:val="lt-LT"/>
        </w:rPr>
        <w:lastRenderedPageBreak/>
        <w:t>nes yra tinkamos projektams, turintiems gana ilgą atsipirkimo laiką ir mažas kapitalo sąnaudas bei atitinka būsto projektų rizikos lygį ir tikėtiną grąžą.</w:t>
      </w:r>
    </w:p>
    <w:p w14:paraId="77F59446" w14:textId="77777777" w:rsidR="00451BC7" w:rsidRPr="00C97275" w:rsidRDefault="00451BC7" w:rsidP="00162BF5">
      <w:pPr>
        <w:pStyle w:val="Antrat2"/>
        <w:numPr>
          <w:ilvl w:val="1"/>
          <w:numId w:val="19"/>
        </w:numPr>
        <w:spacing w:after="240"/>
        <w:ind w:left="709"/>
        <w:rPr>
          <w:rFonts w:ascii="Georgia" w:hAnsi="Georgia"/>
          <w:lang w:val="lt-LT"/>
        </w:rPr>
      </w:pPr>
      <w:bookmarkStart w:id="257" w:name="_Toc25594719"/>
      <w:r w:rsidRPr="00C97275">
        <w:rPr>
          <w:rFonts w:ascii="Georgia" w:hAnsi="Georgia"/>
          <w:lang w:val="lt-LT"/>
        </w:rPr>
        <w:t>Įgyta patirtis bei atvejų studijos</w:t>
      </w:r>
      <w:bookmarkEnd w:id="257"/>
    </w:p>
    <w:p w14:paraId="23462AC8" w14:textId="588F2A9A" w:rsidR="00451BC7" w:rsidRPr="00C97275" w:rsidRDefault="00451BC7" w:rsidP="00451BC7">
      <w:pPr>
        <w:jc w:val="both"/>
        <w:rPr>
          <w:rFonts w:ascii="Georgia" w:hAnsi="Georgia"/>
          <w:bCs/>
          <w:sz w:val="20"/>
          <w:szCs w:val="20"/>
          <w:lang w:val="lt-LT"/>
        </w:rPr>
      </w:pPr>
      <w:r w:rsidRPr="00C97275">
        <w:rPr>
          <w:rFonts w:ascii="Georgia" w:hAnsi="Georgia"/>
          <w:bCs/>
          <w:sz w:val="20"/>
          <w:szCs w:val="20"/>
          <w:lang w:val="lt-LT"/>
        </w:rPr>
        <w:t xml:space="preserve">Identifikuojant finansinių priemonių patirtį buvo išanalizuoti 2014-2020 m. </w:t>
      </w:r>
      <w:r w:rsidR="0078681E" w:rsidRPr="00C97275">
        <w:rPr>
          <w:rFonts w:ascii="Georgia" w:hAnsi="Georgia"/>
          <w:bCs/>
          <w:sz w:val="20"/>
          <w:szCs w:val="20"/>
          <w:lang w:val="lt-LT"/>
        </w:rPr>
        <w:t>period</w:t>
      </w:r>
      <w:r w:rsidRPr="00C97275">
        <w:rPr>
          <w:rFonts w:ascii="Georgia" w:hAnsi="Georgia"/>
          <w:bCs/>
          <w:sz w:val="20"/>
          <w:szCs w:val="20"/>
          <w:lang w:val="lt-LT"/>
        </w:rPr>
        <w:t xml:space="preserve">o finansinių priemonių </w:t>
      </w:r>
      <w:r w:rsidR="0078681E" w:rsidRPr="00C97275">
        <w:rPr>
          <w:rFonts w:ascii="Georgia" w:hAnsi="Georgia"/>
          <w:bCs/>
          <w:sz w:val="20"/>
          <w:szCs w:val="20"/>
          <w:lang w:val="lt-LT"/>
        </w:rPr>
        <w:t>e</w:t>
      </w:r>
      <w:r w:rsidR="00300FF4" w:rsidRPr="00C97275">
        <w:rPr>
          <w:rFonts w:ascii="Georgia" w:hAnsi="Georgia"/>
          <w:bCs/>
          <w:sz w:val="20"/>
          <w:szCs w:val="20"/>
          <w:lang w:val="lt-LT"/>
        </w:rPr>
        <w:t>x-ante</w:t>
      </w:r>
      <w:r w:rsidRPr="00C97275">
        <w:rPr>
          <w:rFonts w:ascii="Georgia" w:hAnsi="Georgia"/>
          <w:bCs/>
          <w:sz w:val="20"/>
          <w:szCs w:val="20"/>
          <w:lang w:val="lt-LT"/>
        </w:rPr>
        <w:t xml:space="preserve"> vertinimo metodikoje rekomenduojami pagrindiniai informacijos šaltiniai, taip pat kiti šaltiniai, nagrinėjantys energijos efektyvumo priemonių įgyvendinimo patirtį 2007-2013 m. </w:t>
      </w:r>
      <w:r w:rsidR="0078681E" w:rsidRPr="00C97275">
        <w:rPr>
          <w:rFonts w:ascii="Georgia" w:hAnsi="Georgia"/>
          <w:bCs/>
          <w:sz w:val="20"/>
          <w:szCs w:val="20"/>
          <w:lang w:val="lt-LT"/>
        </w:rPr>
        <w:t>periodu</w:t>
      </w:r>
      <w:r w:rsidRPr="00C97275">
        <w:rPr>
          <w:rFonts w:ascii="Georgia" w:hAnsi="Georgia"/>
          <w:bCs/>
          <w:sz w:val="20"/>
          <w:szCs w:val="20"/>
          <w:lang w:val="lt-LT"/>
        </w:rPr>
        <w:t>, atlikti interviu su atsakingų institucijų darbuotojais.</w:t>
      </w:r>
    </w:p>
    <w:p w14:paraId="55E3FD1E" w14:textId="77777777" w:rsidR="00451BC7" w:rsidRPr="00C97275" w:rsidRDefault="00451BC7" w:rsidP="00451BC7">
      <w:pPr>
        <w:jc w:val="both"/>
        <w:rPr>
          <w:rFonts w:ascii="Georgia" w:hAnsi="Georgia"/>
          <w:bCs/>
          <w:sz w:val="20"/>
          <w:szCs w:val="20"/>
          <w:lang w:val="lt-LT"/>
        </w:rPr>
      </w:pPr>
      <w:r w:rsidRPr="00C97275">
        <w:rPr>
          <w:rFonts w:ascii="Georgia" w:hAnsi="Georgia"/>
          <w:bCs/>
          <w:sz w:val="20"/>
          <w:szCs w:val="20"/>
          <w:lang w:val="lt-LT"/>
        </w:rPr>
        <w:t>Identifikuojant išmoktas pamokas buvo išanalizuota:</w:t>
      </w:r>
    </w:p>
    <w:p w14:paraId="26724629" w14:textId="77777777" w:rsidR="00451BC7" w:rsidRPr="00C97275" w:rsidRDefault="00451BC7" w:rsidP="00C03122">
      <w:pPr>
        <w:numPr>
          <w:ilvl w:val="0"/>
          <w:numId w:val="4"/>
        </w:numPr>
        <w:spacing w:after="0"/>
        <w:ind w:left="714" w:hanging="357"/>
        <w:jc w:val="both"/>
        <w:rPr>
          <w:rFonts w:ascii="Georgia" w:hAnsi="Georgia"/>
          <w:bCs/>
          <w:sz w:val="20"/>
          <w:szCs w:val="20"/>
          <w:lang w:val="lt-LT"/>
        </w:rPr>
      </w:pPr>
      <w:r w:rsidRPr="00C97275">
        <w:rPr>
          <w:rFonts w:ascii="Georgia" w:hAnsi="Georgia"/>
          <w:bCs/>
          <w:sz w:val="20"/>
          <w:szCs w:val="20"/>
          <w:lang w:val="lt-LT"/>
        </w:rPr>
        <w:t xml:space="preserve">Europos Audito Rūmų 2012 m. specialioji ataskaita Nr. 2 „Iš </w:t>
      </w:r>
      <w:r w:rsidR="0078681E" w:rsidRPr="00C97275">
        <w:rPr>
          <w:rFonts w:ascii="Georgia" w:hAnsi="Georgia"/>
          <w:bCs/>
          <w:sz w:val="20"/>
          <w:szCs w:val="20"/>
          <w:lang w:val="lt-LT"/>
        </w:rPr>
        <w:t>ERPF</w:t>
      </w:r>
      <w:r w:rsidRPr="00C97275">
        <w:rPr>
          <w:rFonts w:ascii="Georgia" w:hAnsi="Georgia"/>
          <w:bCs/>
          <w:sz w:val="20"/>
          <w:szCs w:val="20"/>
          <w:lang w:val="lt-LT"/>
        </w:rPr>
        <w:t xml:space="preserve"> bendrai finansuoto MVĮ skirtos finansinės priemonės“</w:t>
      </w:r>
      <w:r w:rsidRPr="00C97275">
        <w:rPr>
          <w:rFonts w:ascii="Georgia" w:hAnsi="Georgia"/>
          <w:sz w:val="20"/>
          <w:szCs w:val="20"/>
          <w:vertAlign w:val="superscript"/>
          <w:lang w:val="lt-LT"/>
        </w:rPr>
        <w:footnoteReference w:id="159"/>
      </w:r>
      <w:r w:rsidRPr="00C97275">
        <w:rPr>
          <w:rFonts w:ascii="Georgia" w:hAnsi="Georgia"/>
          <w:bCs/>
          <w:sz w:val="20"/>
          <w:szCs w:val="20"/>
          <w:lang w:val="lt-LT"/>
        </w:rPr>
        <w:t>;</w:t>
      </w:r>
    </w:p>
    <w:p w14:paraId="08FA59B5" w14:textId="77777777" w:rsidR="00451BC7" w:rsidRPr="00C97275" w:rsidRDefault="00451BC7" w:rsidP="00C03122">
      <w:pPr>
        <w:numPr>
          <w:ilvl w:val="0"/>
          <w:numId w:val="4"/>
        </w:numPr>
        <w:spacing w:after="0"/>
        <w:ind w:left="714" w:hanging="357"/>
        <w:jc w:val="both"/>
        <w:rPr>
          <w:rFonts w:ascii="Georgia" w:hAnsi="Georgia"/>
          <w:bCs/>
          <w:sz w:val="20"/>
          <w:szCs w:val="20"/>
          <w:lang w:val="lt-LT"/>
        </w:rPr>
      </w:pPr>
      <w:r w:rsidRPr="00C97275">
        <w:rPr>
          <w:rFonts w:ascii="Georgia" w:hAnsi="Georgia"/>
          <w:bCs/>
          <w:sz w:val="20"/>
          <w:szCs w:val="20"/>
          <w:lang w:val="lt-LT"/>
        </w:rPr>
        <w:t>DG REGIO 2013 m. rugsėjo 19 d. metinė ataskaita apie finansinių priemonių įgyvendinimo pažangą, kurioje pateikiami duomenys apie situaciją 2012 m. gruodžio 31 d.;</w:t>
      </w:r>
    </w:p>
    <w:p w14:paraId="07501AD2" w14:textId="77777777" w:rsidR="00451BC7" w:rsidRPr="00C97275" w:rsidRDefault="00451BC7" w:rsidP="00C03122">
      <w:pPr>
        <w:numPr>
          <w:ilvl w:val="0"/>
          <w:numId w:val="4"/>
        </w:numPr>
        <w:spacing w:after="0"/>
        <w:ind w:left="714" w:hanging="357"/>
        <w:jc w:val="both"/>
        <w:rPr>
          <w:rFonts w:ascii="Georgia" w:hAnsi="Georgia"/>
          <w:bCs/>
          <w:sz w:val="20"/>
          <w:szCs w:val="20"/>
          <w:lang w:val="lt-LT"/>
        </w:rPr>
      </w:pPr>
      <w:r w:rsidRPr="00C97275">
        <w:rPr>
          <w:rFonts w:ascii="Georgia" w:hAnsi="Georgia"/>
          <w:bCs/>
          <w:sz w:val="20"/>
          <w:szCs w:val="20"/>
          <w:lang w:val="lt-LT"/>
        </w:rPr>
        <w:t>audito ataskaitos: Lietuvos Respublikos valstybės kontrolė</w:t>
      </w:r>
      <w:r w:rsidR="0078681E" w:rsidRPr="00C97275">
        <w:rPr>
          <w:rFonts w:ascii="Georgia" w:hAnsi="Georgia"/>
          <w:bCs/>
          <w:sz w:val="20"/>
          <w:szCs w:val="20"/>
          <w:lang w:val="lt-LT"/>
        </w:rPr>
        <w:t>s</w:t>
      </w:r>
      <w:r w:rsidRPr="00C97275">
        <w:rPr>
          <w:rFonts w:ascii="Georgia" w:hAnsi="Georgia"/>
          <w:bCs/>
          <w:sz w:val="20"/>
          <w:szCs w:val="20"/>
          <w:lang w:val="lt-LT"/>
        </w:rPr>
        <w:t xml:space="preserve"> Valstybinio audito ataskaita „Daugiabučių namų atnaujinimas (modernizavimas)“, 2010 m. rugsėjo 10 d., Nr. VA-P-20-1-14, Lietuvos Respublikos valstybės kontrolė Valstybinio audito ataskaita „Dėl veiksmų programų, įgyvendinančių Lietuvos 2007-2013 m. ES struktūrinės paramos panaudojimo strategiją Konvergencijos tikslui įgyvendinti, valdymo ir kontrolės sistemos veikimo bei Europos Komisijai 2011 metais deklaruotų išlaidų (metinė kontrolės ataskaita pagal reglamento (EB) Nr. 1083/2006 62 str.), 2012 m. gruodžio 20 d. Nr. FA-P-80-1-62;</w:t>
      </w:r>
    </w:p>
    <w:p w14:paraId="2721A842" w14:textId="07624B70" w:rsidR="00451BC7" w:rsidRPr="00C97275" w:rsidRDefault="00451BC7" w:rsidP="00C03122">
      <w:pPr>
        <w:numPr>
          <w:ilvl w:val="0"/>
          <w:numId w:val="4"/>
        </w:numPr>
        <w:spacing w:after="0"/>
        <w:ind w:left="714" w:hanging="357"/>
        <w:jc w:val="both"/>
        <w:rPr>
          <w:rFonts w:ascii="Georgia" w:hAnsi="Georgia"/>
          <w:bCs/>
          <w:sz w:val="20"/>
          <w:szCs w:val="20"/>
          <w:lang w:val="lt-LT"/>
        </w:rPr>
      </w:pPr>
      <w:r w:rsidRPr="00C97275">
        <w:rPr>
          <w:rFonts w:ascii="Georgia" w:hAnsi="Georgia"/>
          <w:bCs/>
          <w:sz w:val="20"/>
          <w:szCs w:val="20"/>
          <w:lang w:val="lt-LT"/>
        </w:rPr>
        <w:t>taip pat kiti dokumentai/studijos, pvz., Europos Komisijos tarnybų darbo dokumentas „Finansinių priemonių panaudojimas įgyvendinant Sanglaudos politiką“ Briuselis, 27.2.2012 SWD(2012) 36 galutinis</w:t>
      </w:r>
      <w:r w:rsidRPr="00C97275">
        <w:rPr>
          <w:rFonts w:ascii="Georgia" w:hAnsi="Georgia"/>
          <w:bCs/>
          <w:sz w:val="20"/>
          <w:szCs w:val="20"/>
          <w:vertAlign w:val="superscript"/>
          <w:lang w:val="lt-LT"/>
        </w:rPr>
        <w:footnoteReference w:id="160"/>
      </w:r>
      <w:r w:rsidRPr="00C97275">
        <w:rPr>
          <w:rFonts w:ascii="Georgia" w:hAnsi="Georgia"/>
          <w:bCs/>
          <w:sz w:val="20"/>
          <w:szCs w:val="20"/>
          <w:lang w:val="lt-LT"/>
        </w:rPr>
        <w:t>; Europos Komisij</w:t>
      </w:r>
      <w:r w:rsidR="00394EBB" w:rsidRPr="00C97275">
        <w:rPr>
          <w:rFonts w:ascii="Georgia" w:hAnsi="Georgia"/>
          <w:bCs/>
          <w:sz w:val="20"/>
          <w:szCs w:val="20"/>
          <w:lang w:val="lt-LT"/>
        </w:rPr>
        <w:t>os</w:t>
      </w:r>
      <w:r w:rsidRPr="00C97275">
        <w:rPr>
          <w:rFonts w:ascii="Georgia" w:hAnsi="Georgia"/>
          <w:bCs/>
          <w:sz w:val="20"/>
          <w:szCs w:val="20"/>
          <w:lang w:val="lt-LT"/>
        </w:rPr>
        <w:t xml:space="preserve">, </w:t>
      </w:r>
      <w:r w:rsidR="0078681E" w:rsidRPr="00C97275">
        <w:rPr>
          <w:rFonts w:ascii="Georgia" w:hAnsi="Georgia"/>
          <w:bCs/>
          <w:sz w:val="20"/>
          <w:szCs w:val="20"/>
          <w:lang w:val="lt-LT"/>
        </w:rPr>
        <w:t>EIB ir</w:t>
      </w:r>
      <w:r w:rsidRPr="00C97275">
        <w:rPr>
          <w:rFonts w:ascii="Georgia" w:hAnsi="Georgia"/>
          <w:bCs/>
          <w:sz w:val="20"/>
          <w:szCs w:val="20"/>
          <w:lang w:val="lt-LT"/>
        </w:rPr>
        <w:t xml:space="preserve"> </w:t>
      </w:r>
      <w:r w:rsidR="0078681E" w:rsidRPr="00C97275">
        <w:rPr>
          <w:rFonts w:ascii="Georgia" w:hAnsi="Georgia"/>
          <w:bCs/>
          <w:sz w:val="20"/>
          <w:szCs w:val="20"/>
          <w:lang w:val="lt-LT"/>
        </w:rPr>
        <w:t>CEB ataskaita</w:t>
      </w:r>
      <w:r w:rsidRPr="00C97275">
        <w:rPr>
          <w:rFonts w:ascii="Georgia" w:hAnsi="Georgia"/>
          <w:bCs/>
          <w:sz w:val="20"/>
          <w:szCs w:val="20"/>
          <w:lang w:val="lt-LT"/>
        </w:rPr>
        <w:t xml:space="preserve"> „JESSICA įgyvendinimo finansinis valdymas, </w:t>
      </w:r>
      <w:r w:rsidR="0078681E" w:rsidRPr="00C97275">
        <w:rPr>
          <w:rFonts w:ascii="Georgia" w:hAnsi="Georgia"/>
          <w:bCs/>
          <w:sz w:val="20"/>
          <w:szCs w:val="20"/>
          <w:lang w:val="lt-LT"/>
        </w:rPr>
        <w:t>g</w:t>
      </w:r>
      <w:r w:rsidRPr="00C97275">
        <w:rPr>
          <w:rFonts w:ascii="Georgia" w:hAnsi="Georgia"/>
          <w:bCs/>
          <w:sz w:val="20"/>
          <w:szCs w:val="20"/>
          <w:lang w:val="lt-LT"/>
        </w:rPr>
        <w:t>arantijų priemonių projektavimas“, 2013 m. liepa</w:t>
      </w:r>
      <w:r w:rsidRPr="00C97275">
        <w:rPr>
          <w:rFonts w:ascii="Georgia" w:hAnsi="Georgia"/>
          <w:sz w:val="20"/>
          <w:szCs w:val="20"/>
          <w:vertAlign w:val="superscript"/>
          <w:lang w:val="lt-LT"/>
        </w:rPr>
        <w:footnoteReference w:id="161"/>
      </w:r>
      <w:r w:rsidRPr="00C97275">
        <w:rPr>
          <w:rFonts w:ascii="Georgia" w:hAnsi="Georgia"/>
          <w:bCs/>
          <w:sz w:val="20"/>
          <w:szCs w:val="20"/>
          <w:lang w:val="lt-LT"/>
        </w:rPr>
        <w:t xml:space="preserve">; </w:t>
      </w:r>
      <w:r w:rsidR="00394EBB" w:rsidRPr="00C97275">
        <w:rPr>
          <w:rFonts w:ascii="Georgia" w:hAnsi="Georgia"/>
          <w:bCs/>
          <w:sz w:val="20"/>
          <w:szCs w:val="20"/>
          <w:lang w:val="lt-LT"/>
        </w:rPr>
        <w:t>EIB apžvalga</w:t>
      </w:r>
      <w:r w:rsidRPr="00C97275">
        <w:rPr>
          <w:rFonts w:ascii="Georgia" w:hAnsi="Georgia"/>
          <w:bCs/>
          <w:sz w:val="20"/>
          <w:szCs w:val="20"/>
          <w:lang w:val="lt-LT"/>
        </w:rPr>
        <w:t xml:space="preserve"> „Energijos sektoriaus miestų plėtros fondai“, 2012 m. gruodis</w:t>
      </w:r>
      <w:r w:rsidRPr="00C97275">
        <w:rPr>
          <w:rFonts w:ascii="Georgia" w:hAnsi="Georgia"/>
          <w:sz w:val="20"/>
          <w:szCs w:val="20"/>
          <w:vertAlign w:val="superscript"/>
          <w:lang w:val="lt-LT"/>
        </w:rPr>
        <w:footnoteReference w:id="162"/>
      </w:r>
      <w:r w:rsidR="00394EBB" w:rsidRPr="00C97275">
        <w:rPr>
          <w:rFonts w:ascii="Georgia" w:hAnsi="Georgia"/>
          <w:bCs/>
          <w:sz w:val="20"/>
          <w:szCs w:val="20"/>
          <w:lang w:val="lt-LT"/>
        </w:rPr>
        <w:t>;</w:t>
      </w:r>
      <w:r w:rsidRPr="00C97275">
        <w:rPr>
          <w:rFonts w:ascii="Georgia" w:hAnsi="Georgia"/>
          <w:bCs/>
          <w:sz w:val="20"/>
          <w:szCs w:val="20"/>
          <w:lang w:val="lt-LT"/>
        </w:rPr>
        <w:t xml:space="preserve"> Europos Komisij</w:t>
      </w:r>
      <w:r w:rsidR="00394EBB" w:rsidRPr="00C97275">
        <w:rPr>
          <w:rFonts w:ascii="Georgia" w:hAnsi="Georgia"/>
          <w:bCs/>
          <w:sz w:val="20"/>
          <w:szCs w:val="20"/>
          <w:lang w:val="lt-LT"/>
        </w:rPr>
        <w:t>os</w:t>
      </w:r>
      <w:r w:rsidRPr="00C97275">
        <w:rPr>
          <w:rFonts w:ascii="Georgia" w:hAnsi="Georgia"/>
          <w:bCs/>
          <w:sz w:val="20"/>
          <w:szCs w:val="20"/>
          <w:lang w:val="lt-LT"/>
        </w:rPr>
        <w:t xml:space="preserve">, </w:t>
      </w:r>
      <w:r w:rsidR="00394EBB" w:rsidRPr="00C97275">
        <w:rPr>
          <w:rFonts w:ascii="Georgia" w:hAnsi="Georgia"/>
          <w:bCs/>
          <w:sz w:val="20"/>
          <w:szCs w:val="20"/>
          <w:lang w:val="lt-LT"/>
        </w:rPr>
        <w:t xml:space="preserve">EIB ir </w:t>
      </w:r>
      <w:r w:rsidR="0011549E" w:rsidRPr="00C97275">
        <w:rPr>
          <w:rFonts w:ascii="Georgia" w:hAnsi="Georgia"/>
          <w:bCs/>
          <w:sz w:val="20"/>
          <w:szCs w:val="20"/>
          <w:lang w:val="lt-LT"/>
        </w:rPr>
        <w:t xml:space="preserve">ETVB </w:t>
      </w:r>
      <w:r w:rsidR="00394EBB" w:rsidRPr="00C97275">
        <w:rPr>
          <w:rFonts w:ascii="Georgia" w:hAnsi="Georgia"/>
          <w:bCs/>
          <w:sz w:val="20"/>
          <w:szCs w:val="20"/>
          <w:lang w:val="lt-LT"/>
        </w:rPr>
        <w:t>ataskaita</w:t>
      </w:r>
      <w:r w:rsidRPr="00C97275">
        <w:rPr>
          <w:rFonts w:ascii="Georgia" w:hAnsi="Georgia"/>
          <w:bCs/>
          <w:sz w:val="20"/>
          <w:szCs w:val="20"/>
          <w:lang w:val="lt-LT"/>
        </w:rPr>
        <w:t xml:space="preserve"> „JESSICA iniciatyva būsto sektoriuje“, 2013 m. birželis</w:t>
      </w:r>
      <w:r w:rsidRPr="00C97275">
        <w:rPr>
          <w:rFonts w:ascii="Georgia" w:hAnsi="Georgia"/>
          <w:bCs/>
          <w:sz w:val="20"/>
          <w:szCs w:val="20"/>
          <w:vertAlign w:val="superscript"/>
          <w:lang w:val="lt-LT"/>
        </w:rPr>
        <w:footnoteReference w:id="163"/>
      </w:r>
      <w:r w:rsidRPr="00C97275">
        <w:rPr>
          <w:rFonts w:ascii="Georgia" w:hAnsi="Georgia"/>
          <w:bCs/>
          <w:sz w:val="20"/>
          <w:szCs w:val="20"/>
          <w:lang w:val="lt-LT"/>
        </w:rPr>
        <w:t xml:space="preserve"> ir t. t.</w:t>
      </w:r>
    </w:p>
    <w:p w14:paraId="5140A7C5" w14:textId="77777777" w:rsidR="00451BC7" w:rsidRPr="00C97275" w:rsidRDefault="00451BC7" w:rsidP="00451BC7">
      <w:pPr>
        <w:jc w:val="both"/>
        <w:rPr>
          <w:rFonts w:ascii="Georgia" w:hAnsi="Georgia"/>
          <w:sz w:val="20"/>
          <w:szCs w:val="20"/>
          <w:lang w:val="lt-LT"/>
        </w:rPr>
      </w:pPr>
    </w:p>
    <w:p w14:paraId="38710875"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Aktualios pamokos sugrupuotos pagal finansinių priemonių įgyvendinimo ciklą. Žemiau pateikiami apibendrinti analizės rezultatai.</w:t>
      </w:r>
    </w:p>
    <w:p w14:paraId="635E4CD0" w14:textId="77777777" w:rsidR="00451BC7" w:rsidRPr="00C97275" w:rsidRDefault="00451BC7" w:rsidP="00451BC7">
      <w:pPr>
        <w:pStyle w:val="Pagrindinistekstas"/>
        <w:rPr>
          <w:i/>
          <w:lang w:val="lt-LT"/>
        </w:rPr>
      </w:pPr>
      <w:r w:rsidRPr="00C97275">
        <w:rPr>
          <w:i/>
          <w:lang w:val="lt-LT"/>
        </w:rPr>
        <w:t>Finansinių priemonių patirtis pagal įgyvendinimo ciklą</w:t>
      </w:r>
    </w:p>
    <w:p w14:paraId="33B5BF60" w14:textId="77777777" w:rsidR="00451BC7" w:rsidRPr="00C97275" w:rsidRDefault="00451BC7" w:rsidP="00451BC7">
      <w:pPr>
        <w:jc w:val="both"/>
        <w:rPr>
          <w:rFonts w:ascii="Georgia" w:hAnsi="Georgia"/>
          <w:i/>
          <w:sz w:val="20"/>
          <w:szCs w:val="20"/>
          <w:lang w:val="lt-LT"/>
        </w:rPr>
      </w:pPr>
      <w:r w:rsidRPr="00C97275">
        <w:rPr>
          <w:rFonts w:ascii="Georgia" w:hAnsi="Georgia"/>
          <w:i/>
          <w:sz w:val="20"/>
          <w:szCs w:val="20"/>
          <w:lang w:val="lt-LT"/>
        </w:rPr>
        <w:t>Vizijos ir tikslų nustatymas</w:t>
      </w:r>
    </w:p>
    <w:p w14:paraId="5E7B8A5C"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Kuriant finansines priemones svarbu užtikrinti, jog priemonės vizija ir tikslai atitiktų regiono/tikslinės teritorijos strateginiuose dokumentuose apibrėžtus tikslus ir prisidėtų prie jų įgyvendinimo. Tikslai turi būti savalaikiai, konkretūs ir pasiekiami.</w:t>
      </w:r>
    </w:p>
    <w:p w14:paraId="4477C603"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 xml:space="preserve">Sutartys dėl energijos vartojimo efektyvumo </w:t>
      </w:r>
      <w:r w:rsidRPr="00C97275">
        <w:rPr>
          <w:rFonts w:ascii="Georgia" w:hAnsi="Georgia"/>
          <w:sz w:val="20"/>
          <w:szCs w:val="20"/>
          <w:lang w:val="lt-LT"/>
        </w:rPr>
        <w:t>(ESCO)</w:t>
      </w:r>
    </w:p>
    <w:p w14:paraId="41F42BB8"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ESCO turi potencialą tapti standartizuotu ir plačiai naudojamu miestų energijos efektyvumo projektų įgyvendinimo modeliu.</w:t>
      </w:r>
    </w:p>
    <w:p w14:paraId="4F3E0863"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lastRenderedPageBreak/>
        <w:t>Remiantis Vokietijos gerąja patirtimi</w:t>
      </w:r>
      <w:r w:rsidRPr="00C97275">
        <w:rPr>
          <w:rFonts w:ascii="Georgia" w:hAnsi="Georgia"/>
          <w:sz w:val="20"/>
          <w:szCs w:val="20"/>
          <w:vertAlign w:val="superscript"/>
          <w:lang w:val="lt-LT"/>
        </w:rPr>
        <w:footnoteReference w:id="164"/>
      </w:r>
      <w:r w:rsidRPr="00C97275">
        <w:rPr>
          <w:rFonts w:ascii="Georgia" w:hAnsi="Georgia"/>
          <w:sz w:val="20"/>
          <w:szCs w:val="20"/>
          <w:lang w:val="lt-LT"/>
        </w:rPr>
        <w:t>, institucijos, norėdamos skatinti ESCO, turėtų visų pirma pasirūpinti parama šiai koncepcijai aukščiausiu politiniu lygiu, taip pat stabilios teisinės bazės sukūrimu, nustatyti patikimų ESCO įmonių sąrašą, išanalizuoti pastatų/projektų grupavimo galimybes, leisti ESCO būti miestų plėtros fondų finansavimo galutiniais naudos gavėjais, užtikrinti tinkamą techninę pagalbą ir pasiūlyti standartizuotas dokumentų formas.</w:t>
      </w:r>
    </w:p>
    <w:p w14:paraId="19D48FF0"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Struktūra</w:t>
      </w:r>
    </w:p>
    <w:p w14:paraId="0AA2B917"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2007-2013 m. </w:t>
      </w:r>
      <w:r w:rsidR="00381237" w:rsidRPr="00C97275">
        <w:rPr>
          <w:rFonts w:ascii="Georgia" w:hAnsi="Georgia"/>
          <w:sz w:val="20"/>
          <w:szCs w:val="20"/>
          <w:lang w:val="lt-LT"/>
        </w:rPr>
        <w:t>periodu</w:t>
      </w:r>
      <w:r w:rsidRPr="00C97275">
        <w:rPr>
          <w:rFonts w:ascii="Georgia" w:hAnsi="Georgia"/>
          <w:sz w:val="20"/>
          <w:szCs w:val="20"/>
          <w:lang w:val="lt-LT"/>
        </w:rPr>
        <w:t xml:space="preserve"> miestų plėtros fondai, kurie finansavo gyvenamųjų namų sektorių, buvo daugiausiai įsteigti kaip esamos finansų įstaigos ar banko atskiras finansinis padalinys. Ši organizacinė struktūra turi savo privalumų investuojant į atskirus būstus, kadangi finansinis tarpininkas gali pasinaudoti savo klientų duomenų baze. Vienas iš paskolų rizikos perkėlimo vietinėms finansų institucijoms privalumų yra tai, kad finansinės institucijos turi informaciją apie paskolos gavėjų kredito istoriją ir gali geriau įvertinti paskolų teikimo jiems riziką ir grąžą.</w:t>
      </w:r>
    </w:p>
    <w:p w14:paraId="1FA36519"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Tuo tarpu, kai kalbama apie socialinio būsto projektus, tinkamesnis galėtų būti atskiro juridinio asmens steigimas (pvz., specialaus būsto fondo), kadangi skiriasi galutiniai naudos gavėjai, susijusios rizikos ir investicijų grąža. Socialinio būsto projektuose paprastai dalyvauja didesnis būstų skaičius, paskolą ima ir grąžina vietos savivaldos institucijos arba socialinio būsto organizacijos. Socialinio būsto projektų rizika yra mažesnė, kadangi savivaldos institucijos arba socialinio būsto organizacijos paprastai turi aukštą kredito reitingą. Specialus fondas investuoja, pritraukia ir koordinuoja finansavimą iš įvairių šaltinių, veikia kaip tarpininkas tarp suinteresuotų šalių ir gali greitai pasiekti būtiną techninę ekspertizę įgyvendinant didelės apimties projektus. Analogiški principai taikomi ir kitoms energijos efektyvumo sektoriaus sritims.</w:t>
      </w:r>
    </w:p>
    <w:p w14:paraId="5A6A3D55"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Modeliams, kurie daugiausiai skirti finansuoti energijos efektyvumo priemones individualiuose gyvenamuosiuose namuose arba daugiabučiuose gyvenamuosiuose namuose, rekomenduojama struktūra, kurioje kontroliuojantysis fondas finansiniams tarpininkams suteikia finansavimą kaip kredito liniją arba skolos finansinę priemonę.</w:t>
      </w:r>
    </w:p>
    <w:p w14:paraId="38BFCA22"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Ilgai trunkantis steigimo procesas</w:t>
      </w:r>
    </w:p>
    <w:p w14:paraId="30BA558A"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Finansinės priemonės reikalauja didesnių laiko sąnaudų jas sukurti ir yra </w:t>
      </w:r>
      <w:r w:rsidR="00381237" w:rsidRPr="00C97275">
        <w:rPr>
          <w:rFonts w:ascii="Georgia" w:hAnsi="Georgia"/>
          <w:sz w:val="20"/>
          <w:szCs w:val="20"/>
          <w:lang w:val="lt-LT"/>
        </w:rPr>
        <w:t>labiau kompleksinės</w:t>
      </w:r>
      <w:r w:rsidRPr="00C97275">
        <w:rPr>
          <w:rFonts w:ascii="Georgia" w:hAnsi="Georgia"/>
          <w:sz w:val="20"/>
          <w:szCs w:val="20"/>
          <w:lang w:val="lt-LT"/>
        </w:rPr>
        <w:t xml:space="preserve"> lyginant su subsidijų mechanizmais arba privačiais investiciniais fondais, kuriuose nėra naudojamos viešojo sektoriaus lėšos. Tai yra dar labiau aktualu, kai teisinė aplinka yra sudėtinga, o priemonės naujos suinteresuotoms šalims.</w:t>
      </w:r>
    </w:p>
    <w:p w14:paraId="77706B24"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Procesas nuo paraiškos pateikimo iki miestų plėtros fondo veiklos pradžios gali trukti net iki trejų metų. Tai gali būti nulemta įvairių priežasčių, pvz., ilgai trukęs ekspertų samdomų miestų plėtros fondų valdytojų atrankai paraiškų vertinimas, ilga procedūra dėl pateiktų pasiūlymų skaičiaus, dokumentų, dėl kurių buvo deramasi, kompleksiškumas ir pan. Taip pat ilgai trunka atitikties struktūrinių fondų reikalavimams ir valstybės pagalbos taisyklėms užtikrinimas.</w:t>
      </w:r>
    </w:p>
    <w:p w14:paraId="2ECB4661"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Taip pat konkrečių projektų lygiu parengti miestų plėtros projektus paprastai trunka ilgiau nei kitus projektus, o projektų grupavimas, kuris vykdomas, kad būtų užtikrinama pakankama finansinė grąža, gali būti iššūkis. Tačiau ilgas finansinių priemonių kūrimo procesas </w:t>
      </w:r>
      <w:r w:rsidR="00381237" w:rsidRPr="00C97275">
        <w:rPr>
          <w:rFonts w:ascii="Georgia" w:hAnsi="Georgia"/>
          <w:sz w:val="20"/>
          <w:szCs w:val="20"/>
          <w:lang w:val="lt-LT"/>
        </w:rPr>
        <w:t xml:space="preserve">didina lėšų grąžinimo į ES </w:t>
      </w:r>
      <w:r w:rsidRPr="00C97275">
        <w:rPr>
          <w:rFonts w:ascii="Georgia" w:hAnsi="Georgia"/>
          <w:sz w:val="20"/>
          <w:szCs w:val="20"/>
          <w:lang w:val="lt-LT"/>
        </w:rPr>
        <w:t>biudžetą tikimybę.</w:t>
      </w:r>
    </w:p>
    <w:p w14:paraId="4757CC48"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Patirties stoka</w:t>
      </w:r>
      <w:r w:rsidRPr="00C97275">
        <w:rPr>
          <w:rFonts w:ascii="Georgia" w:hAnsi="Georgia"/>
          <w:sz w:val="20"/>
          <w:szCs w:val="20"/>
          <w:lang w:val="lt-LT"/>
        </w:rPr>
        <w:t xml:space="preserve"> </w:t>
      </w:r>
    </w:p>
    <w:p w14:paraId="0E44C638"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2007-2013 m. </w:t>
      </w:r>
      <w:r w:rsidR="00381237" w:rsidRPr="00C97275">
        <w:rPr>
          <w:rFonts w:ascii="Georgia" w:hAnsi="Georgia"/>
          <w:sz w:val="20"/>
          <w:szCs w:val="20"/>
          <w:lang w:val="lt-LT"/>
        </w:rPr>
        <w:t xml:space="preserve">periodu </w:t>
      </w:r>
      <w:r w:rsidRPr="00C97275">
        <w:rPr>
          <w:rFonts w:ascii="Georgia" w:hAnsi="Georgia"/>
          <w:sz w:val="20"/>
          <w:szCs w:val="20"/>
          <w:lang w:val="lt-LT"/>
        </w:rPr>
        <w:t xml:space="preserve">viešasis sektorius neturėjo darbo su finansinėmis priemonėmis patirties, todėl reikėjo skubiai mokytis ir prisitaikyti prie pokyčių. Žinių apie finansines priemones viešajame sektoriuje trūkumas ir tokių priemonių traktavimas kaip konkuruojančių su subsidijomis, kurios yra </w:t>
      </w:r>
      <w:r w:rsidRPr="00C97275">
        <w:rPr>
          <w:rFonts w:ascii="Georgia" w:hAnsi="Georgia"/>
          <w:sz w:val="20"/>
          <w:szCs w:val="20"/>
          <w:lang w:val="lt-LT"/>
        </w:rPr>
        <w:lastRenderedPageBreak/>
        <w:t>mažiau kompleksiškos, produktų, slopino paklausą, net jei projektai buvo tinkami fi</w:t>
      </w:r>
      <w:r w:rsidR="00381237" w:rsidRPr="00C97275">
        <w:rPr>
          <w:rFonts w:ascii="Georgia" w:hAnsi="Georgia"/>
          <w:sz w:val="20"/>
          <w:szCs w:val="20"/>
          <w:lang w:val="lt-LT"/>
        </w:rPr>
        <w:t>nansuoti per finansines priemones</w:t>
      </w:r>
      <w:r w:rsidRPr="00C97275">
        <w:rPr>
          <w:rFonts w:ascii="Georgia" w:hAnsi="Georgia"/>
          <w:sz w:val="20"/>
          <w:szCs w:val="20"/>
          <w:lang w:val="lt-LT"/>
        </w:rPr>
        <w:t>.</w:t>
      </w:r>
    </w:p>
    <w:p w14:paraId="7F750092" w14:textId="77777777" w:rsidR="00451BC7" w:rsidRPr="00C97275" w:rsidRDefault="00451BC7" w:rsidP="0088418D">
      <w:pPr>
        <w:keepNext/>
        <w:jc w:val="both"/>
        <w:rPr>
          <w:rFonts w:ascii="Georgia" w:hAnsi="Georgia"/>
          <w:i/>
          <w:sz w:val="20"/>
          <w:szCs w:val="20"/>
          <w:lang w:val="lt-LT"/>
        </w:rPr>
      </w:pPr>
      <w:r w:rsidRPr="00C97275">
        <w:rPr>
          <w:rFonts w:ascii="Georgia" w:hAnsi="Georgia"/>
          <w:i/>
          <w:sz w:val="20"/>
          <w:szCs w:val="20"/>
          <w:lang w:val="lt-LT"/>
        </w:rPr>
        <w:t>Platus suinteresuotų šalių įtraukimas</w:t>
      </w:r>
    </w:p>
    <w:p w14:paraId="46A3E403" w14:textId="77777777" w:rsidR="00451BC7" w:rsidRPr="00C97275" w:rsidRDefault="00451BC7" w:rsidP="0088418D">
      <w:pPr>
        <w:keepNext/>
        <w:jc w:val="both"/>
        <w:rPr>
          <w:rFonts w:ascii="Georgia" w:hAnsi="Georgia"/>
          <w:sz w:val="20"/>
          <w:szCs w:val="20"/>
          <w:lang w:val="lt-LT"/>
        </w:rPr>
      </w:pPr>
      <w:r w:rsidRPr="00C97275">
        <w:rPr>
          <w:rFonts w:ascii="Georgia" w:hAnsi="Georgia"/>
          <w:sz w:val="20"/>
          <w:szCs w:val="20"/>
          <w:lang w:val="lt-LT"/>
        </w:rPr>
        <w:t xml:space="preserve">Teigiamai vertinamos atsakingų institucijų pastangos įtraukti kuo platesnį suinteresuotųjų institucijų ratą (viešąjį sektorių, nevyriausybines organizacijas, verslą ir privačius asmenis) į visus finansinių priemonių kūrimo ir įgyvendinimo etapus ir lygius. </w:t>
      </w:r>
    </w:p>
    <w:p w14:paraId="186F346A"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Bendradarbiavimas su suinteresuotosiomis šalimis yra ypač svarbus tiems miestų plėtros fondams, kurie apima keletą savivaldybių/regionų, kadangi dalyvaujančių šalių politinis įsipareigojimas ir finansinis dalyvavimas dažnai yra būtinas siekiant užtikrinti projektų srautą ir sėkmingai įgyvendinti projektus.</w:t>
      </w:r>
    </w:p>
    <w:p w14:paraId="7D3A7A81"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Tiesa, platus suinteresuotųjų šalių įtraukimas gali sukelti ir tam tikrų problemų, pvz., ilgai trunkančias derybas dėl didelio dalyvių skaičiaus ir struktūros kompleksiškumo ir pan. Taip pat gali kilti ir valdymo funkcijų ir atsakomybių pasiskirstymo klausimai tarp nacionalinio ir regioninio lygių, nacionalinių institucijų ir tarptautinių finansinių institucijų ir pan.</w:t>
      </w:r>
    </w:p>
    <w:p w14:paraId="477AA950" w14:textId="77777777" w:rsidR="00451BC7" w:rsidRPr="00C97275" w:rsidRDefault="00451BC7" w:rsidP="00451BC7">
      <w:pPr>
        <w:jc w:val="both"/>
        <w:rPr>
          <w:rFonts w:ascii="Georgia" w:hAnsi="Georgia"/>
          <w:i/>
          <w:sz w:val="20"/>
          <w:szCs w:val="20"/>
          <w:lang w:val="lt-LT"/>
        </w:rPr>
      </w:pPr>
      <w:r w:rsidRPr="00C97275">
        <w:rPr>
          <w:rFonts w:ascii="Georgia" w:hAnsi="Georgia"/>
          <w:i/>
          <w:sz w:val="20"/>
          <w:szCs w:val="20"/>
          <w:lang w:val="lt-LT"/>
        </w:rPr>
        <w:t xml:space="preserve">Finansinių produktų parinkimas </w:t>
      </w:r>
    </w:p>
    <w:p w14:paraId="47BE450B"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Bendruoju atveju mažo rizikingumo projektams, turintiems stabilią (netgi jei ji maža) grąžą, labiausiai tinka paskoliniai produktai. Jei rinkos palūkanų norma yra tinkama, miestų plėtros fondų valdytojai gali pritraukti investicijų iš privačių bankų ar investicinių fondų.</w:t>
      </w:r>
    </w:p>
    <w:p w14:paraId="696B8ECF"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Labiau rizikingiems projektams, kuriems reikalingos didesnės investicijos, tačiau taip pat turintiems didesnės grąžos potencialą, gali būti svarstoma kapitalo investicijų galimybė. Tokiais atvejais fondo valdytojas galėtų bandyti pritraukti finansavimą iš rizikos kapitalo fondų ar kitų privataus kapitalo šaltinių.</w:t>
      </w:r>
    </w:p>
    <w:p w14:paraId="5E5296E8"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Aukštos rizikos projektų, kurie greičiausiai negeneruos didelės grąžos, pvz., energijos sistemų decentralizacijos projektai, atveju šalia finansinių priemonių gali būti svarstoma ESI fondų arba kitų šaltinių subsidijų galimybė.</w:t>
      </w:r>
    </w:p>
    <w:p w14:paraId="217417DA"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Įvertinus esamų fondų patirtį finansuojant renovacijos projektus, panašu, jog paskolos yra </w:t>
      </w:r>
      <w:r w:rsidR="006B09E7" w:rsidRPr="00C97275">
        <w:rPr>
          <w:rFonts w:ascii="Georgia" w:hAnsi="Georgia"/>
          <w:sz w:val="20"/>
          <w:szCs w:val="20"/>
          <w:lang w:val="lt-LT"/>
        </w:rPr>
        <w:t>vienas iš tinkamiausių finansinių</w:t>
      </w:r>
      <w:r w:rsidRPr="00C97275">
        <w:rPr>
          <w:rFonts w:ascii="Georgia" w:hAnsi="Georgia"/>
          <w:sz w:val="20"/>
          <w:szCs w:val="20"/>
          <w:lang w:val="lt-LT"/>
        </w:rPr>
        <w:t xml:space="preserve"> produkt</w:t>
      </w:r>
      <w:r w:rsidR="006B09E7" w:rsidRPr="00C97275">
        <w:rPr>
          <w:rFonts w:ascii="Georgia" w:hAnsi="Georgia"/>
          <w:sz w:val="20"/>
          <w:szCs w:val="20"/>
          <w:lang w:val="lt-LT"/>
        </w:rPr>
        <w:t>ų</w:t>
      </w:r>
      <w:r w:rsidRPr="00C97275">
        <w:rPr>
          <w:rFonts w:ascii="Georgia" w:hAnsi="Georgia"/>
          <w:sz w:val="20"/>
          <w:szCs w:val="20"/>
          <w:lang w:val="lt-LT"/>
        </w:rPr>
        <w:t>, atsižvelgiant į palyginti ilgą projektų atsipirkimo laikotarpį, mažas sąnaudas, rizikos lygį ir tokių projektų grąžą.</w:t>
      </w:r>
    </w:p>
    <w:p w14:paraId="7DC3CA4D"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Garantijos gali būti naudojamos būsto projektams, kad projektų plėtotojai (ypač mažos organizacijos), pavyzdžiui, namų asociacijos, ESCO turėtų galimybę gauti paskolas iš finansinių institucijų.</w:t>
      </w:r>
    </w:p>
    <w:p w14:paraId="5B34F072"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Be to, prieš kuriant finansines priemones būtina atsakingai įsivertinti energijos efektyvumo projektų paklausą, pvz., fondai, veikiantys regioniniu lygiu, gali būti nepajėgūs pritraukti reikiamą kritinę projektų masę, dėl ko intervencijos poveikis bus išsklaidytas ir bus patiriamos didesnės administravimo išlaidos.</w:t>
      </w:r>
    </w:p>
    <w:p w14:paraId="18F924A7"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Taip pat svarbu, kad dar prieš kuriant finansinius produktus būtų įvertintas kitų projektų ir programų, kurios yra finansuojamos iš struktūrinių fondų ir kitų šaltinių, mastas ir intervencijos sritys.</w:t>
      </w:r>
    </w:p>
    <w:p w14:paraId="28FFC8FA"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Galutiniai naudos gavėjai</w:t>
      </w:r>
      <w:r w:rsidRPr="00C97275">
        <w:rPr>
          <w:rFonts w:ascii="Georgia" w:hAnsi="Georgia"/>
          <w:sz w:val="20"/>
          <w:szCs w:val="20"/>
          <w:lang w:val="lt-LT"/>
        </w:rPr>
        <w:t xml:space="preserve"> </w:t>
      </w:r>
    </w:p>
    <w:p w14:paraId="77CDDC09"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Patirtis rodo, jog praktiškai neįmanoma sudaryti galutinių naudos gavėjų, kuriems turėtų būti skirtos energijos efektyvumą finansuojančios finansinės priemonės, galutinio sąrašo. Tai priklauso nuo konkretaus finansinio produkto tinkamų finansuoti tikslų ir intervencijos sričių. Prieš apibrėždamos </w:t>
      </w:r>
      <w:r w:rsidRPr="00C97275">
        <w:rPr>
          <w:rFonts w:ascii="Georgia" w:hAnsi="Georgia"/>
          <w:sz w:val="20"/>
          <w:szCs w:val="20"/>
          <w:lang w:val="lt-LT"/>
        </w:rPr>
        <w:lastRenderedPageBreak/>
        <w:t>galutinius naudos gavėjus, atsakingos institucijos turi įvertinti visas grupes, kurioms skiriamas finansavimas galėtų būtų aktualus.</w:t>
      </w:r>
    </w:p>
    <w:p w14:paraId="2F7F2E78" w14:textId="77777777" w:rsidR="00451BC7" w:rsidRPr="00C97275" w:rsidRDefault="00451BC7" w:rsidP="00451BC7">
      <w:pPr>
        <w:keepNext/>
        <w:jc w:val="both"/>
        <w:rPr>
          <w:rFonts w:ascii="Georgia" w:hAnsi="Georgia"/>
          <w:sz w:val="20"/>
          <w:szCs w:val="20"/>
          <w:lang w:val="lt-LT"/>
        </w:rPr>
      </w:pPr>
      <w:r w:rsidRPr="00C97275">
        <w:rPr>
          <w:rFonts w:ascii="Georgia" w:hAnsi="Georgia"/>
          <w:i/>
          <w:sz w:val="20"/>
          <w:szCs w:val="20"/>
          <w:lang w:val="lt-LT"/>
        </w:rPr>
        <w:t>Lankstumas</w:t>
      </w:r>
      <w:r w:rsidRPr="00C97275">
        <w:rPr>
          <w:rFonts w:ascii="Georgia" w:hAnsi="Georgia"/>
          <w:sz w:val="20"/>
          <w:szCs w:val="20"/>
          <w:lang w:val="lt-LT"/>
        </w:rPr>
        <w:t xml:space="preserve"> </w:t>
      </w:r>
    </w:p>
    <w:p w14:paraId="3D268C55" w14:textId="77777777" w:rsidR="00451BC7" w:rsidRPr="00C97275" w:rsidRDefault="00451BC7" w:rsidP="00451BC7">
      <w:pPr>
        <w:keepNext/>
        <w:jc w:val="both"/>
        <w:rPr>
          <w:rFonts w:ascii="Georgia" w:hAnsi="Georgia"/>
          <w:sz w:val="20"/>
          <w:szCs w:val="20"/>
          <w:lang w:val="lt-LT"/>
        </w:rPr>
      </w:pPr>
      <w:r w:rsidRPr="00C97275">
        <w:rPr>
          <w:rFonts w:ascii="Georgia" w:hAnsi="Georgia"/>
          <w:sz w:val="20"/>
          <w:szCs w:val="20"/>
          <w:lang w:val="lt-LT"/>
        </w:rPr>
        <w:t xml:space="preserve">Finansinėms priemonėms svarbus lankstumas. 2007-2013 m. </w:t>
      </w:r>
      <w:r w:rsidR="00074273" w:rsidRPr="00C97275">
        <w:rPr>
          <w:rFonts w:ascii="Georgia" w:hAnsi="Georgia"/>
          <w:sz w:val="20"/>
          <w:szCs w:val="20"/>
          <w:lang w:val="lt-LT"/>
        </w:rPr>
        <w:t xml:space="preserve">periodu </w:t>
      </w:r>
      <w:r w:rsidRPr="00C97275">
        <w:rPr>
          <w:rFonts w:ascii="Georgia" w:hAnsi="Georgia"/>
          <w:sz w:val="20"/>
          <w:szCs w:val="20"/>
          <w:lang w:val="lt-LT"/>
        </w:rPr>
        <w:t>maždaug 50 proc. atvejų steigiant finansines priemones buvo nukrypta nuo vertinimo studijos rekomendacijų, nubrėžtų planavimo etape.</w:t>
      </w:r>
    </w:p>
    <w:p w14:paraId="0AE27173"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Trečdaliu atvejų tai įvyko dėl politinės situacijos pokyčių, pokyčių vertinant finansinę riziką, techninių aspektų arba administracinių gebėjimų stokos. 66 proc. situacijų strategijos pakeitimai buvo sukelti paklausos pokyčių, atsiradusių dėl ekonominės ir finansinės krizės. Daugumoje atvejų (66 proc.), rinkos sąlygų pokyčiai paskatino naujų produktų diegimą.</w:t>
      </w:r>
    </w:p>
    <w:p w14:paraId="2C26F0B7"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Pažymėtina, kad 2007-2013 m. </w:t>
      </w:r>
      <w:r w:rsidR="00074273" w:rsidRPr="00C97275">
        <w:rPr>
          <w:rFonts w:ascii="Georgia" w:hAnsi="Georgia"/>
          <w:sz w:val="20"/>
          <w:szCs w:val="20"/>
          <w:lang w:val="lt-LT"/>
        </w:rPr>
        <w:t xml:space="preserve">periodu atliktų </w:t>
      </w:r>
      <w:r w:rsidRPr="00C97275">
        <w:rPr>
          <w:rFonts w:ascii="Georgia" w:hAnsi="Georgia"/>
          <w:sz w:val="20"/>
          <w:szCs w:val="20"/>
          <w:lang w:val="lt-LT"/>
        </w:rPr>
        <w:t xml:space="preserve">vertinimų kokybė ne visais atvejais atitiko keliamus lūkesčius. Kai kurios finansinės priemonės patyrė sunkumus įgyvendinant investavimo strategiją, kuri buvo orientuota į siaurą tikslinę grupę, ypač jei kartu buvo taikomi ir geografiniai apribojimai. Todėl atsakingos institucijos turi nuolat sekti finansinių priemonių įgyvendinimo efektyvumą ir lanksčiai reaguoti </w:t>
      </w:r>
      <w:r w:rsidR="00074273" w:rsidRPr="00C97275">
        <w:rPr>
          <w:rFonts w:ascii="Georgia" w:hAnsi="Georgia"/>
          <w:sz w:val="20"/>
          <w:szCs w:val="20"/>
          <w:lang w:val="lt-LT"/>
        </w:rPr>
        <w:t>pasikeitus rinkos poreikiams</w:t>
      </w:r>
      <w:r w:rsidRPr="00C97275">
        <w:rPr>
          <w:rFonts w:ascii="Georgia" w:hAnsi="Georgia"/>
          <w:sz w:val="20"/>
          <w:szCs w:val="20"/>
          <w:lang w:val="lt-LT"/>
        </w:rPr>
        <w:t>.</w:t>
      </w:r>
    </w:p>
    <w:p w14:paraId="6CED6F33" w14:textId="77777777" w:rsidR="00451BC7" w:rsidRPr="00C97275" w:rsidRDefault="00451BC7" w:rsidP="00451BC7">
      <w:pPr>
        <w:jc w:val="both"/>
        <w:rPr>
          <w:rFonts w:ascii="Georgia" w:hAnsi="Georgia"/>
          <w:i/>
          <w:sz w:val="20"/>
          <w:szCs w:val="20"/>
          <w:lang w:val="lt-LT"/>
        </w:rPr>
      </w:pPr>
      <w:r w:rsidRPr="00C97275">
        <w:rPr>
          <w:rFonts w:ascii="Georgia" w:hAnsi="Georgia"/>
          <w:i/>
          <w:sz w:val="20"/>
          <w:szCs w:val="20"/>
          <w:lang w:val="lt-LT"/>
        </w:rPr>
        <w:t xml:space="preserve">Privačių partnerių pritraukimas </w:t>
      </w:r>
    </w:p>
    <w:p w14:paraId="6BCFE5BF" w14:textId="77777777" w:rsidR="00451BC7" w:rsidRPr="00C97275" w:rsidRDefault="00451BC7" w:rsidP="00451BC7">
      <w:pPr>
        <w:jc w:val="both"/>
        <w:rPr>
          <w:rFonts w:ascii="Georgia" w:hAnsi="Georgia"/>
          <w:i/>
          <w:sz w:val="20"/>
          <w:szCs w:val="20"/>
          <w:lang w:val="lt-LT"/>
        </w:rPr>
      </w:pPr>
      <w:r w:rsidRPr="00C97275">
        <w:rPr>
          <w:rFonts w:ascii="Georgia" w:hAnsi="Georgia"/>
          <w:sz w:val="20"/>
          <w:szCs w:val="20"/>
          <w:lang w:val="lt-LT"/>
        </w:rPr>
        <w:t xml:space="preserve">Viena iš pagrindinių problemų, </w:t>
      </w:r>
      <w:r w:rsidR="00074273" w:rsidRPr="00C97275">
        <w:rPr>
          <w:rFonts w:ascii="Georgia" w:hAnsi="Georgia"/>
          <w:sz w:val="20"/>
          <w:szCs w:val="20"/>
          <w:lang w:val="lt-LT"/>
        </w:rPr>
        <w:t>kilusių</w:t>
      </w:r>
      <w:r w:rsidRPr="00C97275">
        <w:rPr>
          <w:rFonts w:ascii="Georgia" w:hAnsi="Georgia"/>
          <w:sz w:val="20"/>
          <w:szCs w:val="20"/>
          <w:lang w:val="lt-LT"/>
        </w:rPr>
        <w:t xml:space="preserve"> 2007-2013 m. </w:t>
      </w:r>
      <w:r w:rsidR="00074273" w:rsidRPr="00C97275">
        <w:rPr>
          <w:rFonts w:ascii="Georgia" w:hAnsi="Georgia"/>
          <w:sz w:val="20"/>
          <w:szCs w:val="20"/>
          <w:lang w:val="lt-LT"/>
        </w:rPr>
        <w:t>periodu</w:t>
      </w:r>
      <w:r w:rsidRPr="00C97275">
        <w:rPr>
          <w:rFonts w:ascii="Georgia" w:hAnsi="Georgia"/>
          <w:sz w:val="20"/>
          <w:szCs w:val="20"/>
          <w:lang w:val="lt-LT"/>
        </w:rPr>
        <w:t>, buvo privataus sektoriaus pritraukimas dalyvauti finansinėse priemonėse.</w:t>
      </w:r>
    </w:p>
    <w:p w14:paraId="21ADB1B9" w14:textId="77777777" w:rsidR="00451BC7" w:rsidRPr="00C97275" w:rsidRDefault="00C648A7" w:rsidP="00451BC7">
      <w:pPr>
        <w:jc w:val="both"/>
        <w:rPr>
          <w:rFonts w:ascii="Georgia" w:hAnsi="Georgia"/>
          <w:sz w:val="20"/>
          <w:szCs w:val="20"/>
          <w:lang w:val="lt-LT"/>
        </w:rPr>
      </w:pPr>
      <w:r w:rsidRPr="00C97275">
        <w:rPr>
          <w:rFonts w:ascii="Georgia" w:hAnsi="Georgia"/>
          <w:sz w:val="20"/>
          <w:szCs w:val="20"/>
          <w:lang w:val="lt-LT"/>
        </w:rPr>
        <w:t>Energijos efektyvumo projektai</w:t>
      </w:r>
      <w:r w:rsidR="00451BC7" w:rsidRPr="00C97275">
        <w:rPr>
          <w:rFonts w:ascii="Georgia" w:hAnsi="Georgia"/>
          <w:sz w:val="20"/>
          <w:szCs w:val="20"/>
          <w:lang w:val="lt-LT"/>
        </w:rPr>
        <w:t xml:space="preserve"> </w:t>
      </w:r>
      <w:r w:rsidRPr="00C97275">
        <w:rPr>
          <w:rFonts w:ascii="Georgia" w:hAnsi="Georgia"/>
          <w:sz w:val="20"/>
          <w:szCs w:val="20"/>
          <w:lang w:val="lt-LT"/>
        </w:rPr>
        <w:t>privataus sektoriaus vis dar yra vertinami skeptiškai</w:t>
      </w:r>
      <w:r w:rsidR="00451BC7" w:rsidRPr="00C97275">
        <w:rPr>
          <w:rFonts w:ascii="Georgia" w:hAnsi="Georgia"/>
          <w:sz w:val="20"/>
          <w:szCs w:val="20"/>
          <w:lang w:val="lt-LT"/>
        </w:rPr>
        <w:t>,</w:t>
      </w:r>
      <w:r w:rsidRPr="00C97275">
        <w:rPr>
          <w:rFonts w:ascii="Georgia" w:hAnsi="Georgia"/>
          <w:sz w:val="20"/>
          <w:szCs w:val="20"/>
          <w:lang w:val="lt-LT"/>
        </w:rPr>
        <w:t xml:space="preserve"> kadangi šie projektai yra</w:t>
      </w:r>
      <w:r w:rsidR="00451BC7" w:rsidRPr="00C97275">
        <w:rPr>
          <w:rFonts w:ascii="Georgia" w:hAnsi="Georgia"/>
          <w:sz w:val="20"/>
          <w:szCs w:val="20"/>
          <w:lang w:val="lt-LT"/>
        </w:rPr>
        <w:t xml:space="preserve"> kompleksišk</w:t>
      </w:r>
      <w:r w:rsidRPr="00C97275">
        <w:rPr>
          <w:rFonts w:ascii="Georgia" w:hAnsi="Georgia"/>
          <w:sz w:val="20"/>
          <w:szCs w:val="20"/>
          <w:lang w:val="lt-LT"/>
        </w:rPr>
        <w:t>i, sunkiai apskaičiuojamas jų pelningumas ir sudėtinga juos kokybiškai</w:t>
      </w:r>
      <w:r w:rsidR="00451BC7" w:rsidRPr="00C97275">
        <w:rPr>
          <w:rFonts w:ascii="Georgia" w:hAnsi="Georgia"/>
          <w:sz w:val="20"/>
          <w:szCs w:val="20"/>
          <w:lang w:val="lt-LT"/>
        </w:rPr>
        <w:t xml:space="preserve"> įgyvendinti. Situaciją galima pakeisti tik su viešojo sektoriaus pagalba, lyderyste ir finansavimu. Daug pastangų reikia siekiant įtikinti privataus sektoriaus investuotojus, jog fondo lėšos bus investuojamos pagal privataus sektoriaus principus, ypač kalbant apie greitį ir investavimo sprendimų pobūdį. Remiantis gerąja praktika rekomenduojama, jog miesto plėtros fondo arba konkretaus projekto lygiu būtų bent minimalus privačių lėšų indėlis. Lietuvoje iki šiol nebuvo reikalavimo finansiniams tarpinink</w:t>
      </w:r>
      <w:r w:rsidRPr="00C97275">
        <w:rPr>
          <w:rFonts w:ascii="Georgia" w:hAnsi="Georgia"/>
          <w:sz w:val="20"/>
          <w:szCs w:val="20"/>
          <w:lang w:val="lt-LT"/>
        </w:rPr>
        <w:t xml:space="preserve">ams investuoti privačias lėšas, tačiau 2014-2020 m. periodu tai yra labai siektina. </w:t>
      </w:r>
    </w:p>
    <w:p w14:paraId="1F87B7E3"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Dalies rizikų perdavimas viešajam sektoriui galėtų paskatinti privačius investuotojus aktyviau investuoti į projektus, kurie nėra patrauklūs be viešojo sektoriaus įsikišimo. Išskirtinės sąlygos yra svarbus veiksnys norint pritraukti privačius investuotojus investuoti kartu su viešosiomis lėšomis didelės rizikos/mažos grąžos srityse siekiant viešosios politikos tikslų. Tiesa, svarbu, jog privatiems investuotojams nebūtų sudarytos išskirtinės sąlygos, kurios pažeistų valstybės pagalbos taisyklių nuostatas.</w:t>
      </w:r>
    </w:p>
    <w:p w14:paraId="34A6435A" w14:textId="77777777" w:rsidR="00451BC7" w:rsidRPr="00C97275" w:rsidRDefault="00451BC7" w:rsidP="00451BC7">
      <w:pPr>
        <w:keepNext/>
        <w:jc w:val="both"/>
        <w:rPr>
          <w:rFonts w:ascii="Georgia" w:hAnsi="Georgia"/>
          <w:sz w:val="20"/>
          <w:szCs w:val="20"/>
          <w:lang w:val="lt-LT"/>
        </w:rPr>
      </w:pPr>
      <w:r w:rsidRPr="00C97275">
        <w:rPr>
          <w:rFonts w:ascii="Georgia" w:hAnsi="Georgia"/>
          <w:i/>
          <w:sz w:val="20"/>
          <w:szCs w:val="20"/>
          <w:lang w:val="lt-LT"/>
        </w:rPr>
        <w:t>Techninė pagalba</w:t>
      </w:r>
    </w:p>
    <w:p w14:paraId="69729CE6" w14:textId="77777777" w:rsidR="00451BC7" w:rsidRPr="00C97275" w:rsidRDefault="00451BC7" w:rsidP="00451BC7">
      <w:pPr>
        <w:keepNext/>
        <w:jc w:val="both"/>
        <w:rPr>
          <w:rFonts w:ascii="Georgia" w:hAnsi="Georgia"/>
          <w:sz w:val="20"/>
          <w:szCs w:val="20"/>
          <w:lang w:val="lt-LT"/>
        </w:rPr>
      </w:pPr>
      <w:r w:rsidRPr="00C97275">
        <w:rPr>
          <w:rFonts w:ascii="Georgia" w:hAnsi="Georgia"/>
          <w:sz w:val="20"/>
          <w:szCs w:val="20"/>
          <w:lang w:val="lt-LT"/>
        </w:rPr>
        <w:t>Techninė pagalba nurodoma kaip vienas svarbiausių energijos efektyvumo ir atsinaujinančių energijos išteklių projektų sėkmės elementų.</w:t>
      </w:r>
    </w:p>
    <w:p w14:paraId="6CFA0F26" w14:textId="77777777" w:rsidR="00451BC7" w:rsidRPr="00C97275" w:rsidRDefault="00C83F1B" w:rsidP="00451BC7">
      <w:pPr>
        <w:jc w:val="both"/>
        <w:rPr>
          <w:rFonts w:ascii="Georgia" w:hAnsi="Georgia"/>
          <w:sz w:val="20"/>
          <w:szCs w:val="20"/>
          <w:lang w:val="lt-LT"/>
        </w:rPr>
      </w:pPr>
      <w:r w:rsidRPr="00C97275">
        <w:rPr>
          <w:rFonts w:ascii="Georgia" w:hAnsi="Georgia"/>
          <w:sz w:val="20"/>
          <w:szCs w:val="20"/>
          <w:lang w:val="lt-LT"/>
        </w:rPr>
        <w:t>Egzistuoja keli techninės pagalbos teikimo modeliai</w:t>
      </w:r>
      <w:r w:rsidR="00451BC7" w:rsidRPr="00C97275">
        <w:rPr>
          <w:rFonts w:ascii="Georgia" w:hAnsi="Georgia"/>
          <w:sz w:val="20"/>
          <w:szCs w:val="20"/>
          <w:lang w:val="lt-LT"/>
        </w:rPr>
        <w:t>. Šiuo metu daugumoje miestų plėtros fondų techninė pagalba teikiama išorės institucijų (pvz., BETA Lietuvoje), kadangi miestų plėtros fondų valdytojų funkcijos yra patikėtos komerciniams bankams, kurie neturi reikiamų vidinių techninių išteklių</w:t>
      </w:r>
      <w:r w:rsidRPr="00C97275">
        <w:rPr>
          <w:rFonts w:ascii="Georgia" w:hAnsi="Georgia"/>
          <w:sz w:val="20"/>
          <w:szCs w:val="20"/>
          <w:lang w:val="lt-LT"/>
        </w:rPr>
        <w:t xml:space="preserve"> ir pakankamai patirties užtikrinti techninę pagalbą</w:t>
      </w:r>
      <w:r w:rsidR="00451BC7" w:rsidRPr="00C97275">
        <w:rPr>
          <w:rFonts w:ascii="Georgia" w:hAnsi="Georgia"/>
          <w:sz w:val="20"/>
          <w:szCs w:val="20"/>
          <w:lang w:val="lt-LT"/>
        </w:rPr>
        <w:t>. Tačiau techninę pagalbą taip pat gali teikti institucijos/organizacijos, kurios dalyvauja miestų plėtros fondą valdančiame konsorciume (pvz., „</w:t>
      </w:r>
      <w:r w:rsidR="00451BC7" w:rsidRPr="00C97275">
        <w:rPr>
          <w:rFonts w:ascii="Georgia" w:hAnsi="Georgia"/>
          <w:i/>
          <w:sz w:val="20"/>
          <w:szCs w:val="20"/>
          <w:lang w:val="lt-LT"/>
        </w:rPr>
        <w:t>Arup</w:t>
      </w:r>
      <w:r w:rsidR="00451BC7" w:rsidRPr="00C97275">
        <w:rPr>
          <w:rFonts w:ascii="Georgia" w:hAnsi="Georgia"/>
          <w:sz w:val="20"/>
          <w:szCs w:val="20"/>
          <w:lang w:val="lt-LT"/>
        </w:rPr>
        <w:t xml:space="preserve">“ LEEF atveju) arba miestų plėtros fondų valdytojai, kurie turi pakankamus techninius išteklius. </w:t>
      </w:r>
    </w:p>
    <w:p w14:paraId="50241EB6"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Nebūtinai viena institucija turi būti atsakinga už techninės pagalbos teikimą visuose lygiuose. Atsakingos institucijos turėtų aktyviai bendradarbiauti su nacionalinėmis energetikos agentūromis, nepriklausomomis akredituotomis energijos auditorių įmonėmis, vietiniais konsultantais ir kitomis </w:t>
      </w:r>
      <w:r w:rsidRPr="00C97275">
        <w:rPr>
          <w:rFonts w:ascii="Georgia" w:hAnsi="Georgia"/>
          <w:sz w:val="20"/>
          <w:szCs w:val="20"/>
          <w:lang w:val="lt-LT"/>
        </w:rPr>
        <w:lastRenderedPageBreak/>
        <w:t>institucijomis ir organizacijomis, kurios galėtų padėti užtikrinti reikalingą techninę paramą finansiniams tarpininkams ir galutiniams naudos gavėjams. Atsižvelgiant į konkrečią situaciją, funkcijos turėtų būti priskirtos institucijoms ir organizacijoms pagal jų kompetencijos sritis ir išteklius.</w:t>
      </w:r>
    </w:p>
    <w:p w14:paraId="14BB1A57"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JESSICA KF 3-iojo kvietimo finansiniams tarpininkams atrinkti reikalavimuose buvo nustatytas techninės pagalbos teikimas projektams (t.y. aukštosioms mokykloms ar profesinio mokymo įstaigoms). Kadangi techninės pagalbos teikimas šiems projektams apėmė tokias veiklas, kurios nėra tipinės komercinio banko veiklos (pavyzdžiui, viešųjų pirkimų priežiūra, dokumentacijos parengimas, statybų priežiūra), komerciniai bankai, dalyvavę finansinio tarpininko atrankoje pagal 3-iąjį kvietimą, nebuvo suinteresuoti teikti techninę pagalbą projektams ir prisiimti papildomų funkcijų. Atsižvelgiant į tai, po ilgų derybų su komerciniais bankais finansavimo sutartis buvo pasirašyta su VIPA, kuri kaip valstybės įsteigta finansų įstaiga buvo suinteresuota ir pajėgi užtikrinti techninės pagalbos teikimą.</w:t>
      </w:r>
    </w:p>
    <w:p w14:paraId="68EE367F"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Įvertinus 2007-2013 m. </w:t>
      </w:r>
      <w:r w:rsidR="00C83F1B" w:rsidRPr="00C97275">
        <w:rPr>
          <w:rFonts w:ascii="Georgia" w:hAnsi="Georgia"/>
          <w:sz w:val="20"/>
          <w:szCs w:val="20"/>
          <w:lang w:val="lt-LT"/>
        </w:rPr>
        <w:t>periodo</w:t>
      </w:r>
      <w:r w:rsidRPr="00C97275">
        <w:rPr>
          <w:rFonts w:ascii="Georgia" w:hAnsi="Georgia"/>
          <w:sz w:val="20"/>
          <w:szCs w:val="20"/>
          <w:lang w:val="lt-LT"/>
        </w:rPr>
        <w:t xml:space="preserve"> patirtį galima teigti, jog techninės pagalbos poreikis išlieka aktualus visuose įgyvendinimo ciklo etapuose (tiek finansinių priemonių, tiek konkrečių projektų lygiu), nuo inicijavimo iki užbaigimo ir tolimesnės stebėsenos.</w:t>
      </w:r>
    </w:p>
    <w:p w14:paraId="15AD9D80"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Žmogiškųjų išteklių gebėjimų stiprinimas buvo aktualus visoms finansinių priemonių įgyvendinime dalyvaujančioms šalims, įskaitant nacionalines valdžios institucijas, vadovaujančias institucijas, konkrečių projektų rengėjus ir t. t. Pavyzdžiui, dalis projektų buvo nepakankamai išbaigti todėl, kad savivaldybės neturėjo pakankamų gebėjimų paruošti tinkamus projektus ir užtikrinti, kad būtų pasirengta investicijoms. Žinių stoka galėtų būti sprendžiama organizuojant atsakingų institucijų darbuotojų mokymus ir informacijos jų tarpe sklaidą.</w:t>
      </w:r>
    </w:p>
    <w:p w14:paraId="407FF88A"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Techninei pagalbai teikti gali būti pasinaudojama ELENA ištekliais arba ESI fondų lėšomis.</w:t>
      </w:r>
    </w:p>
    <w:p w14:paraId="086E9316"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Viešinimo veiklos</w:t>
      </w:r>
      <w:r w:rsidRPr="00C97275">
        <w:rPr>
          <w:rFonts w:ascii="Georgia" w:hAnsi="Georgia"/>
          <w:sz w:val="20"/>
          <w:szCs w:val="20"/>
          <w:lang w:val="lt-LT"/>
        </w:rPr>
        <w:t xml:space="preserve"> </w:t>
      </w:r>
    </w:p>
    <w:p w14:paraId="150D7B60"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Nuo tinkamai parinktų ir įgyvendintų rinkodaros ir viešinimo veiklų ženkliai priklauso konkrečios finansinės priemonės įgyvendinimo sėkmė. Tinkama viešinimo kampanija padeda užtikrinti </w:t>
      </w:r>
      <w:r w:rsidR="00C83F1B" w:rsidRPr="00C97275">
        <w:rPr>
          <w:rFonts w:ascii="Georgia" w:hAnsi="Georgia"/>
          <w:sz w:val="20"/>
          <w:szCs w:val="20"/>
          <w:lang w:val="lt-LT"/>
        </w:rPr>
        <w:t xml:space="preserve">projektų vykdytojų pasitikėjimą, informacijos sklaidą, gerosios praktikos pavyzdžių viešinimą, todėl generuojamas stabilus projektų srautas. </w:t>
      </w:r>
      <w:r w:rsidRPr="00C97275">
        <w:rPr>
          <w:rFonts w:ascii="Georgia" w:hAnsi="Georgia"/>
          <w:sz w:val="20"/>
          <w:szCs w:val="20"/>
          <w:lang w:val="lt-LT"/>
        </w:rPr>
        <w:t>Viešinimo veiklos ypač svarbios tiems miestų plėtros fondams, kurie investuoja į energijos efektyvumą būstuose, kadangi jų tikslinė grupė yra labai plati ir sėkmė didžiąja dalimi priklauso nuo pritrauktų klientų skaičiaus.</w:t>
      </w:r>
    </w:p>
    <w:p w14:paraId="4142D72F"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Rekomenduojama praktika, kai fondų valdytojai skirtingiems finansiniams produktams kuria skirtingus prekės ženklus ir taiko strategijas, kurios labiausiai atitinka konkrečių produktų turinį.</w:t>
      </w:r>
    </w:p>
    <w:p w14:paraId="3C460097"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Stebėsena</w:t>
      </w:r>
    </w:p>
    <w:p w14:paraId="64916484"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Finansinių priemonių įgyvendinimo stebėsena yra sudėtingas procesas, reikalaujantis apgalvoto rodiklių, kurie geriausiai iliustruotų fondo teikiamą naudą, pasirinkimo. </w:t>
      </w:r>
    </w:p>
    <w:p w14:paraId="38C9F69E"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2007-2013 m. </w:t>
      </w:r>
      <w:r w:rsidR="00132D6F" w:rsidRPr="00C97275">
        <w:rPr>
          <w:rFonts w:ascii="Georgia" w:hAnsi="Georgia"/>
          <w:sz w:val="20"/>
          <w:szCs w:val="20"/>
          <w:lang w:val="lt-LT"/>
        </w:rPr>
        <w:t xml:space="preserve">periodu </w:t>
      </w:r>
      <w:r w:rsidRPr="00C97275">
        <w:rPr>
          <w:rFonts w:ascii="Georgia" w:hAnsi="Georgia"/>
          <w:sz w:val="20"/>
          <w:szCs w:val="20"/>
          <w:lang w:val="lt-LT"/>
        </w:rPr>
        <w:t>ESI fondų programose trūko rodiklių, kurie būtų tinkami finansinių priemonių stebėsenai, nebuvo takoskyros tarp finansinių priemonių ir subsidijų rodiklių.</w:t>
      </w:r>
    </w:p>
    <w:p w14:paraId="3706DCFF"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Energijos efektyvumo projektuose stebėsenos sistema rodiklių pagalba turėtų leisti įvertinti projekto techninę pažangą, energijos sutaupymus po projekto įgyvendinimo bei finansinę finansinių priemonės veiklos pažangą. Visose grupėse svarbu nustatyti pradines identifikuotų rodiklių reikšmes.</w:t>
      </w:r>
    </w:p>
    <w:p w14:paraId="1D58F50F"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Geroji praktika identifikuoja platesnio socialinio ir ekonominio poveikio matavimo rodiklius, pavyzdžiui, sumažinto degalų skurdo</w:t>
      </w:r>
      <w:r w:rsidRPr="00C97275">
        <w:rPr>
          <w:rStyle w:val="Puslapioinaosnuoroda"/>
          <w:rFonts w:ascii="Georgia" w:hAnsi="Georgia"/>
          <w:sz w:val="20"/>
          <w:szCs w:val="20"/>
          <w:lang w:val="lt-LT"/>
        </w:rPr>
        <w:footnoteReference w:id="165"/>
      </w:r>
      <w:r w:rsidRPr="00C97275">
        <w:rPr>
          <w:rFonts w:ascii="Georgia" w:hAnsi="Georgia"/>
          <w:sz w:val="20"/>
          <w:szCs w:val="20"/>
          <w:lang w:val="lt-LT"/>
        </w:rPr>
        <w:t xml:space="preserve"> arba sukurtų darbo vietų skaičiaus ir pan. kurie įtraukiami į </w:t>
      </w:r>
      <w:r w:rsidRPr="00C97275">
        <w:rPr>
          <w:rFonts w:ascii="Georgia" w:hAnsi="Georgia"/>
          <w:sz w:val="20"/>
          <w:szCs w:val="20"/>
          <w:lang w:val="lt-LT"/>
        </w:rPr>
        <w:lastRenderedPageBreak/>
        <w:t>miestų plėtros fondų veiklos stebėsenos sistemą. Kita vertus, tokie rodikliai ne visada yra matuojami regionų lygiu, todėl jų sekimas gali pareikalauti papildomų finansinių išteklių, o tokių rodiklių vertinimas sudėtingas.</w:t>
      </w:r>
    </w:p>
    <w:p w14:paraId="78BE12CB"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Rekomenduotina praktika yra fondų valdytojų vykdoma kokybės kontrolės peržiūra, atsižvelgiant į bendrus projekto stebėsenos ir vertinimo procesus, pavyzdžiui, užtikrinant, kad įgyvendinamo projekto išlaidos atitiks prognozes, o darbai atitiks kokybės reikalavimus.</w:t>
      </w:r>
    </w:p>
    <w:p w14:paraId="2EE3E77D"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Energijos efektyvumo didinimo projektuose, taip pat turėtų būti įvertintas ir stebėsenos finansinei priemonei baigus aktyvios veiklos etapą poreikis.</w:t>
      </w:r>
    </w:p>
    <w:p w14:paraId="7834760E"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Kiti aspektai</w:t>
      </w:r>
      <w:r w:rsidRPr="00C97275">
        <w:rPr>
          <w:rFonts w:ascii="Georgia" w:hAnsi="Georgia"/>
          <w:sz w:val="20"/>
          <w:szCs w:val="20"/>
          <w:lang w:val="lt-LT"/>
        </w:rPr>
        <w:t xml:space="preserve"> </w:t>
      </w:r>
    </w:p>
    <w:p w14:paraId="0FA1FA83"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Skaidrumas yra svarbus finansinių priemonių veiklos elementas, pvz., aiškūs investavimo kriterijai, pagrįstas administravimo mokestis ir pan.</w:t>
      </w:r>
    </w:p>
    <w:p w14:paraId="54143E25"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Rekomenduotina praktika yra finansuojamų projektų </w:t>
      </w:r>
      <w:r w:rsidR="007A49C1" w:rsidRPr="00C97275">
        <w:rPr>
          <w:rFonts w:ascii="Georgia" w:hAnsi="Georgia"/>
          <w:sz w:val="20"/>
          <w:szCs w:val="20"/>
          <w:lang w:val="lt-LT"/>
        </w:rPr>
        <w:t>kompleksinis planavimas ir lankstumas</w:t>
      </w:r>
      <w:r w:rsidRPr="00C97275">
        <w:rPr>
          <w:rFonts w:ascii="Georgia" w:hAnsi="Georgia"/>
          <w:sz w:val="20"/>
          <w:szCs w:val="20"/>
          <w:lang w:val="lt-LT"/>
        </w:rPr>
        <w:t>, pavyzdžiui, sporto infrastruktūros kaip integralios miesto plėtros plano dalies įtraukimas. Pažymėtina, jog įgyvendinant finansines priemones pastebimas poreikis didesniam lankstumui perkeliant lėšas tarp skirtingų finansinės priemonių.</w:t>
      </w:r>
    </w:p>
    <w:p w14:paraId="27A0E104" w14:textId="77777777" w:rsidR="00451BC7" w:rsidRPr="00C97275" w:rsidRDefault="00451BC7" w:rsidP="00451BC7">
      <w:pPr>
        <w:pStyle w:val="Pagrindinistekstas"/>
        <w:rPr>
          <w:i/>
          <w:lang w:val="lt-LT"/>
        </w:rPr>
      </w:pPr>
      <w:r w:rsidRPr="00C97275">
        <w:rPr>
          <w:i/>
          <w:lang w:val="lt-LT"/>
        </w:rPr>
        <w:t>Atvejo studijos</w:t>
      </w:r>
    </w:p>
    <w:p w14:paraId="61E52C8B" w14:textId="77777777" w:rsidR="00451BC7" w:rsidRPr="00C97275" w:rsidRDefault="00451BC7" w:rsidP="00451BC7">
      <w:pPr>
        <w:jc w:val="both"/>
        <w:rPr>
          <w:rFonts w:ascii="Georgia" w:hAnsi="Georgia"/>
          <w:bCs/>
          <w:sz w:val="20"/>
          <w:szCs w:val="20"/>
          <w:lang w:val="lt-LT"/>
        </w:rPr>
      </w:pPr>
      <w:r w:rsidRPr="00C97275">
        <w:rPr>
          <w:rFonts w:ascii="Georgia" w:hAnsi="Georgia"/>
          <w:bCs/>
          <w:sz w:val="20"/>
          <w:szCs w:val="20"/>
          <w:lang w:val="lt-LT"/>
        </w:rPr>
        <w:t xml:space="preserve">Identifikuojant aktualias išmoktas pamokas taip pat buvo atlikta išsami trijų atvejų studijų analizė. Analizei buvo pasirinkti JESSICA </w:t>
      </w:r>
      <w:r w:rsidR="007A49C1" w:rsidRPr="00C97275">
        <w:rPr>
          <w:rFonts w:ascii="Georgia" w:hAnsi="Georgia"/>
          <w:bCs/>
          <w:sz w:val="20"/>
          <w:szCs w:val="20"/>
          <w:lang w:val="lt-LT"/>
        </w:rPr>
        <w:t>KF</w:t>
      </w:r>
      <w:r w:rsidRPr="00C97275">
        <w:rPr>
          <w:rFonts w:ascii="Georgia" w:hAnsi="Georgia"/>
          <w:bCs/>
          <w:sz w:val="20"/>
          <w:szCs w:val="20"/>
          <w:lang w:val="lt-LT"/>
        </w:rPr>
        <w:t xml:space="preserve"> Lietuvoje, Energijos efektyvumo ir atsinaujinančių išteklių fondas Bulgarijoje (</w:t>
      </w:r>
      <w:r w:rsidRPr="00C97275">
        <w:rPr>
          <w:rFonts w:ascii="Georgia" w:hAnsi="Georgia"/>
          <w:sz w:val="20"/>
          <w:szCs w:val="20"/>
          <w:lang w:val="lt-LT"/>
        </w:rPr>
        <w:t xml:space="preserve">EERSF) </w:t>
      </w:r>
      <w:r w:rsidRPr="00C97275">
        <w:rPr>
          <w:rFonts w:ascii="Georgia" w:hAnsi="Georgia"/>
          <w:bCs/>
          <w:sz w:val="20"/>
          <w:szCs w:val="20"/>
          <w:lang w:val="lt-LT"/>
        </w:rPr>
        <w:t>ir Londono energetinio efektyvumo fondas Jungtinėje Karalystėje (LEEF).</w:t>
      </w:r>
    </w:p>
    <w:p w14:paraId="2FEAC563" w14:textId="4017CD59" w:rsidR="00451BC7" w:rsidRPr="00C97275" w:rsidRDefault="00451BC7" w:rsidP="00451BC7">
      <w:pPr>
        <w:jc w:val="both"/>
        <w:rPr>
          <w:rFonts w:ascii="Georgia" w:hAnsi="Georgia"/>
          <w:sz w:val="20"/>
          <w:szCs w:val="20"/>
          <w:lang w:val="lt-LT"/>
        </w:rPr>
      </w:pPr>
      <w:r w:rsidRPr="00C97275">
        <w:rPr>
          <w:rFonts w:ascii="Georgia" w:hAnsi="Georgia"/>
          <w:bCs/>
          <w:sz w:val="20"/>
          <w:szCs w:val="20"/>
          <w:lang w:val="lt-LT"/>
        </w:rPr>
        <w:t xml:space="preserve">Analizė atlikta pagal 2014-2020 m. </w:t>
      </w:r>
      <w:r w:rsidR="007A49C1" w:rsidRPr="00C97275">
        <w:rPr>
          <w:rFonts w:ascii="Georgia" w:hAnsi="Georgia"/>
          <w:bCs/>
          <w:sz w:val="20"/>
          <w:szCs w:val="20"/>
          <w:lang w:val="lt-LT"/>
        </w:rPr>
        <w:t xml:space="preserve">periodo </w:t>
      </w:r>
      <w:r w:rsidRPr="00C97275">
        <w:rPr>
          <w:rFonts w:ascii="Georgia" w:hAnsi="Georgia"/>
          <w:bCs/>
          <w:sz w:val="20"/>
          <w:szCs w:val="20"/>
          <w:lang w:val="lt-LT"/>
        </w:rPr>
        <w:t>finansinių priemonių e</w:t>
      </w:r>
      <w:r w:rsidR="00300FF4" w:rsidRPr="00C97275">
        <w:rPr>
          <w:rFonts w:ascii="Georgia" w:hAnsi="Georgia"/>
          <w:bCs/>
          <w:sz w:val="20"/>
          <w:szCs w:val="20"/>
          <w:lang w:val="lt-LT"/>
        </w:rPr>
        <w:t>x-ante</w:t>
      </w:r>
      <w:r w:rsidRPr="00C97275">
        <w:rPr>
          <w:rFonts w:ascii="Georgia" w:hAnsi="Georgia"/>
          <w:bCs/>
          <w:sz w:val="20"/>
          <w:szCs w:val="20"/>
          <w:lang w:val="lt-LT"/>
        </w:rPr>
        <w:t xml:space="preserve"> vertinimo metodikoje rekomenduojamą struktūrą, t. y. valstybės/regiono ekonominis ir politinis kontekstas, f</w:t>
      </w:r>
      <w:r w:rsidRPr="00C97275">
        <w:rPr>
          <w:rFonts w:ascii="Georgia" w:hAnsi="Georgia"/>
          <w:sz w:val="20"/>
          <w:szCs w:val="20"/>
          <w:lang w:val="lt-LT"/>
        </w:rPr>
        <w:t>inansinės priemonės tikslai, tikslinė rinka, pateikiamas išsamus finansinio produkto aprašymas (finansinio produkto tipas, finansinio produkto sąlygos, tinkami galutiniai naudos gavėjai, įgyvendinančios institucijos, organizacinė finansinės priemonės struktūra, privatiems investuotojams taikomos lengvatos/paskatos, rezultatai), finansinės priemonės indėlis į veiksmų programos tikslų pasiekimą, sėkmės faktoriai, pasiteisinusios idėjos/elementai, problemos, su kuriomis susidurta, didesnio rizikingumo aspektai ir pasiūlymai. Ši informacija pateikiama 3-6 prieduose.</w:t>
      </w:r>
    </w:p>
    <w:p w14:paraId="5CA3283A"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JESSICA </w:t>
      </w:r>
      <w:r w:rsidR="007A49C1" w:rsidRPr="00C97275">
        <w:rPr>
          <w:rFonts w:ascii="Georgia" w:hAnsi="Georgia"/>
          <w:sz w:val="20"/>
          <w:szCs w:val="20"/>
          <w:lang w:val="lt-LT"/>
        </w:rPr>
        <w:t>KF</w:t>
      </w:r>
      <w:r w:rsidRPr="00C97275">
        <w:rPr>
          <w:rFonts w:ascii="Georgia" w:hAnsi="Georgia"/>
          <w:sz w:val="20"/>
          <w:szCs w:val="20"/>
          <w:lang w:val="lt-LT"/>
        </w:rPr>
        <w:t xml:space="preserve"> Lietuvoje pasirinktas todėl, kad 2014-2020 m. </w:t>
      </w:r>
      <w:r w:rsidR="007A49C1" w:rsidRPr="00C97275">
        <w:rPr>
          <w:rFonts w:ascii="Georgia" w:hAnsi="Georgia"/>
          <w:sz w:val="20"/>
          <w:szCs w:val="20"/>
          <w:lang w:val="lt-LT"/>
        </w:rPr>
        <w:t>periodo</w:t>
      </w:r>
      <w:r w:rsidRPr="00C97275">
        <w:rPr>
          <w:rFonts w:ascii="Georgia" w:hAnsi="Georgia"/>
          <w:sz w:val="20"/>
          <w:szCs w:val="20"/>
          <w:lang w:val="lt-LT"/>
        </w:rPr>
        <w:t xml:space="preserve"> finansinės priemonės neišvengiamai pasinaudos dalimi šio fondo sukauptos patirties. Taip pat, JESSICA </w:t>
      </w:r>
      <w:r w:rsidR="007A49C1" w:rsidRPr="00C97275">
        <w:rPr>
          <w:rFonts w:ascii="Georgia" w:hAnsi="Georgia"/>
          <w:sz w:val="20"/>
          <w:szCs w:val="20"/>
          <w:lang w:val="lt-LT"/>
        </w:rPr>
        <w:t>KF</w:t>
      </w:r>
      <w:r w:rsidRPr="00C97275">
        <w:rPr>
          <w:rFonts w:ascii="Georgia" w:hAnsi="Georgia"/>
          <w:sz w:val="20"/>
          <w:szCs w:val="20"/>
          <w:lang w:val="lt-LT"/>
        </w:rPr>
        <w:t xml:space="preserve"> Lietuvoje pavyzdys naudingas dėl specifinių teisinės ir socialinės aplinkos aspektų, kurių nebūtų galima identifikuoti analizuojant kitų valstybių patirtį.</w:t>
      </w:r>
    </w:p>
    <w:p w14:paraId="7A4B1AEC"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EERSF yra įdomus dėl ESCO teikiamų garantijų bei dėl pamokų, kurias galima išmokti iš priemonių, finansuojamų be struktūrinių fondų pagalbos. Kita priežastis yra ta, jog nepaisant to, kad </w:t>
      </w:r>
      <w:r w:rsidR="007A49C1" w:rsidRPr="00C97275">
        <w:rPr>
          <w:rFonts w:ascii="Georgia" w:hAnsi="Georgia"/>
          <w:sz w:val="20"/>
          <w:szCs w:val="20"/>
          <w:lang w:val="lt-LT"/>
        </w:rPr>
        <w:t>egzis</w:t>
      </w:r>
      <w:r w:rsidRPr="00C97275">
        <w:rPr>
          <w:rFonts w:ascii="Georgia" w:hAnsi="Georgia"/>
          <w:sz w:val="20"/>
          <w:szCs w:val="20"/>
          <w:lang w:val="lt-LT"/>
        </w:rPr>
        <w:t>tuoja</w:t>
      </w:r>
      <w:r w:rsidR="007A49C1" w:rsidRPr="00C97275">
        <w:rPr>
          <w:rFonts w:ascii="Georgia" w:hAnsi="Georgia"/>
          <w:sz w:val="20"/>
          <w:szCs w:val="20"/>
          <w:lang w:val="lt-LT"/>
        </w:rPr>
        <w:t xml:space="preserve"> energijos sektoriuje veikiantys</w:t>
      </w:r>
      <w:r w:rsidRPr="00C97275">
        <w:rPr>
          <w:rFonts w:ascii="Georgia" w:hAnsi="Georgia"/>
          <w:sz w:val="20"/>
          <w:szCs w:val="20"/>
          <w:lang w:val="lt-LT"/>
        </w:rPr>
        <w:t xml:space="preserve"> miestų plėtros fondai, fondų, kuriuose jau įgyvendinami projektai, skaičius yra ribotas. Dar mažiau yra fondų ir įgyvendinimo modelių, kurie pasiteisino įgyvendinant energijos efektyvumo sektoriaus projektus ir turėjo realų poveikį diegiant energijos vartojimo efektyvumo ir atsinaujinančiųjų energijos išteklių sprendimus siekiant tvarios miestų plėtros.</w:t>
      </w:r>
    </w:p>
    <w:p w14:paraId="2E54D87B" w14:textId="77777777" w:rsidR="00451BC7" w:rsidRPr="00C97275" w:rsidRDefault="00451BC7" w:rsidP="00451BC7">
      <w:pPr>
        <w:jc w:val="both"/>
        <w:rPr>
          <w:rFonts w:ascii="Georgia" w:hAnsi="Georgia"/>
          <w:lang w:val="lt-LT"/>
        </w:rPr>
      </w:pPr>
      <w:r w:rsidRPr="00C97275">
        <w:rPr>
          <w:rFonts w:ascii="Georgia" w:hAnsi="Georgia"/>
          <w:sz w:val="20"/>
          <w:szCs w:val="20"/>
          <w:lang w:val="lt-LT"/>
        </w:rPr>
        <w:t xml:space="preserve">LEEF pasirinktas todėl, kad Jungtinė Karalystė turi bene daugiausiai finansinių priemonių, finansuojamų struktūrinių fondų lėšomis, įgyvendinimo patirties. Priemonės buvo pradėtos įgyvendinti 2000-2006 m. laikotarpiu Škotijoje, Šiaurės Airijoje, Anglijoje ir Velse. Vien Anglijoje ir Velse veikė 21 rizikos kapitalo paskolų fondas, kurie valdė beveik 1 mlrd. eurų. Taigi, Jungtinės Karalystės patirtis įdomi dėl sukauptos patirties, kuri galėtų būti pritaikyta naujoviškoms finansinėms priemonėms. Taip pat, LEEF buvo vienas pirmųjų miestų plėtros fondų, pradėjusių veikti 2007-2013 m. </w:t>
      </w:r>
      <w:r w:rsidR="007A49C1" w:rsidRPr="00C97275">
        <w:rPr>
          <w:rFonts w:ascii="Georgia" w:hAnsi="Georgia"/>
          <w:sz w:val="20"/>
          <w:szCs w:val="20"/>
          <w:lang w:val="lt-LT"/>
        </w:rPr>
        <w:t>periodu</w:t>
      </w:r>
      <w:r w:rsidRPr="00C97275">
        <w:rPr>
          <w:rFonts w:ascii="Georgia" w:hAnsi="Georgia"/>
          <w:sz w:val="20"/>
          <w:szCs w:val="20"/>
          <w:lang w:val="lt-LT"/>
        </w:rPr>
        <w:t>, ir yra geras fondo kaip nepriklausomo juridinio asmens steigimo pavyzdys. Fondas pasižymi efektyvia valdymo struktūra, kurioje dalyvauja viešos ir privačios institucijos.</w:t>
      </w:r>
    </w:p>
    <w:p w14:paraId="0801AD32" w14:textId="77777777" w:rsidR="00451BC7" w:rsidRPr="00C97275" w:rsidRDefault="00451BC7" w:rsidP="00451BC7">
      <w:pPr>
        <w:pStyle w:val="Pagrindinistekstas"/>
        <w:rPr>
          <w:i/>
          <w:lang w:val="lt-LT"/>
        </w:rPr>
      </w:pPr>
      <w:r w:rsidRPr="00C97275">
        <w:rPr>
          <w:i/>
          <w:lang w:val="lt-LT"/>
        </w:rPr>
        <w:lastRenderedPageBreak/>
        <w:t xml:space="preserve">JESSICA </w:t>
      </w:r>
      <w:r w:rsidR="007A49C1" w:rsidRPr="00C97275">
        <w:rPr>
          <w:i/>
          <w:lang w:val="lt-LT"/>
        </w:rPr>
        <w:t>KF</w:t>
      </w:r>
      <w:r w:rsidRPr="00C97275">
        <w:rPr>
          <w:i/>
          <w:lang w:val="lt-LT"/>
        </w:rPr>
        <w:t xml:space="preserve"> Lietuvoje</w:t>
      </w:r>
    </w:p>
    <w:p w14:paraId="435E07B8"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JESSICA KF Lietuvoje siekia 1) skatinti daugiabučių namų savininkus atnaujinti (modernizuoti) daugiabučius namus, didinant energinį jų naudingumą, ir 2) modernizuoti bendrabučius, pastatytus pagal iki 1993 metų galiojusius statybos techninius normatyvus, pagerinti studentų bei mokinių gyvenimo sąlygas, taupyti energiją. Fondas finansuoja lengvatines paskolas, teikiamas kartu su kita valstybės parama. Tinkami galutiniai naudos gavėjai yra butų ir patalpų savininkai, atstovaujami daugiabučio namo bendrojo naudojimo objektų valdytojo, daugiabučio namo bendrojo naudojimo objektų valdytojai, daugiabučių namų savininkų bendrijos, savivaldybių administracijos, universitetai.</w:t>
      </w:r>
    </w:p>
    <w:p w14:paraId="095AEC4C"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Svarbiausios pamokos</w:t>
      </w:r>
    </w:p>
    <w:p w14:paraId="0027D9E8"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Pradžioje, kai kuriuose projektuose buvo susidurta su žema statybos darbų kokybe – naudojamos kitos medžiagos nei numatyta arba darbai atliekami nekokybiškai. Pažymėtina, kad darbų klaidos ar nekokybiškų medžiagų naudojimo pasekmės gali pasireikšti net po keleto metų po darbų priėmimo akto pasirašymo. Be to, dažnai, įgyvendinant projektus, siekiama sutaupyti, todėl projektai yra skaičiuojami pagal minimalius reikalavimus, kurie yra numatyti techniniame plane. Tai viena iš priežasčių dėl </w:t>
      </w:r>
      <w:r w:rsidR="00DC5D31" w:rsidRPr="00C97275">
        <w:rPr>
          <w:rFonts w:ascii="Georgia" w:hAnsi="Georgia"/>
          <w:sz w:val="20"/>
          <w:szCs w:val="20"/>
          <w:lang w:val="lt-LT"/>
        </w:rPr>
        <w:t>susidarančio skirtumo</w:t>
      </w:r>
      <w:r w:rsidRPr="00C97275">
        <w:rPr>
          <w:rFonts w:ascii="Georgia" w:hAnsi="Georgia"/>
          <w:sz w:val="20"/>
          <w:szCs w:val="20"/>
          <w:lang w:val="lt-LT"/>
        </w:rPr>
        <w:t xml:space="preserve"> tarp lūkesčių ir realių rezultatų įgyvendinus projektą.</w:t>
      </w:r>
    </w:p>
    <w:p w14:paraId="13DF58E6"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Visuomenės pozicija daugiabučių namų atnaujinimo proceso atžvilgiu yra nuosaiki. Gana </w:t>
      </w:r>
      <w:r w:rsidR="00DC5D31" w:rsidRPr="00C97275">
        <w:rPr>
          <w:rFonts w:ascii="Georgia" w:hAnsi="Georgia"/>
          <w:sz w:val="20"/>
          <w:szCs w:val="20"/>
          <w:lang w:val="lt-LT"/>
        </w:rPr>
        <w:t>saikingą</w:t>
      </w:r>
      <w:r w:rsidRPr="00C97275">
        <w:rPr>
          <w:rFonts w:ascii="Georgia" w:hAnsi="Georgia"/>
          <w:sz w:val="20"/>
          <w:szCs w:val="20"/>
          <w:lang w:val="lt-LT"/>
        </w:rPr>
        <w:t xml:space="preserve"> lietuvių poziciją daugiausiai lemia neaiški ekonominė situacija ir pinigų stygius, t. y. žmonės nenori investuoti, kai nėra tikri dėl savo finansinės ateities.</w:t>
      </w:r>
    </w:p>
    <w:p w14:paraId="7A622B32"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Pasirinkus finansinės priemonės kūrimą per kontroliuojančiojo fondo valdymo schemą, kūrimo procesas užtrunka ilgiau ir lėšos galutinius naudos gavėjus pasiekia vėliau nei per finansinę priemonę be kontroliuojančiojo fondo. JESSICA </w:t>
      </w:r>
      <w:r w:rsidR="00DC5D31" w:rsidRPr="00C97275">
        <w:rPr>
          <w:rFonts w:ascii="Georgia" w:hAnsi="Georgia"/>
          <w:sz w:val="20"/>
          <w:szCs w:val="20"/>
          <w:lang w:val="lt-LT"/>
        </w:rPr>
        <w:t>KF</w:t>
      </w:r>
      <w:r w:rsidRPr="00C97275">
        <w:rPr>
          <w:rFonts w:ascii="Georgia" w:hAnsi="Georgia"/>
          <w:sz w:val="20"/>
          <w:szCs w:val="20"/>
          <w:lang w:val="lt-LT"/>
        </w:rPr>
        <w:t xml:space="preserve"> atveju po finansavimo sutarties dėl kontroliuojančiojo fondo steigimo pasirašymo prireikė 6 mėnesių kol buvo paskelbtas konkursas finansiniams tarpininkams atrinkti, ir tik po metų buvo pasirašyta pirmoji sutartis su finansiniu tarpininku, o po pusantrų metų – pasirašyta pirmoji paskolos sutartis su galutiniu naudos gavėju.</w:t>
      </w:r>
    </w:p>
    <w:p w14:paraId="23201BDA"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2007-2013 m. buvo pirmasis </w:t>
      </w:r>
      <w:r w:rsidR="00DC5D31" w:rsidRPr="00C97275">
        <w:rPr>
          <w:rFonts w:ascii="Georgia" w:hAnsi="Georgia"/>
          <w:sz w:val="20"/>
          <w:szCs w:val="20"/>
          <w:lang w:val="lt-LT"/>
        </w:rPr>
        <w:t>periodas</w:t>
      </w:r>
      <w:r w:rsidRPr="00C97275">
        <w:rPr>
          <w:rFonts w:ascii="Georgia" w:hAnsi="Georgia"/>
          <w:sz w:val="20"/>
          <w:szCs w:val="20"/>
          <w:lang w:val="lt-LT"/>
        </w:rPr>
        <w:t>, kurio metu</w:t>
      </w:r>
      <w:r w:rsidR="00DC5D31" w:rsidRPr="00C97275">
        <w:rPr>
          <w:rFonts w:ascii="Georgia" w:hAnsi="Georgia"/>
          <w:sz w:val="20"/>
          <w:szCs w:val="20"/>
          <w:lang w:val="lt-LT"/>
        </w:rPr>
        <w:t xml:space="preserve"> ES</w:t>
      </w:r>
      <w:r w:rsidRPr="00C97275">
        <w:rPr>
          <w:rFonts w:ascii="Georgia" w:hAnsi="Georgia"/>
          <w:sz w:val="20"/>
          <w:szCs w:val="20"/>
          <w:lang w:val="lt-LT"/>
        </w:rPr>
        <w:t xml:space="preserve"> buvo taip plačiai įgyvendinamos finansinės priemonės finansuojamos ESI fondų lėšomis. Tuo tarpu ESI fondų teisinė bazė buvo labiau pritaikyta subsidijoms – ES teisės aktai nepateikė aiškių atsakymų, susijusių su finansini</w:t>
      </w:r>
      <w:r w:rsidR="00DC5D31" w:rsidRPr="00C97275">
        <w:rPr>
          <w:rFonts w:ascii="Georgia" w:hAnsi="Georgia"/>
          <w:sz w:val="20"/>
          <w:szCs w:val="20"/>
          <w:lang w:val="lt-LT"/>
        </w:rPr>
        <w:t xml:space="preserve">ų priemonių įgyvendinimu, todėl </w:t>
      </w:r>
      <w:r w:rsidRPr="00C97275">
        <w:rPr>
          <w:rFonts w:ascii="Georgia" w:hAnsi="Georgia"/>
          <w:sz w:val="20"/>
          <w:szCs w:val="20"/>
          <w:lang w:val="lt-LT"/>
        </w:rPr>
        <w:t xml:space="preserve">steigiant JESSICA </w:t>
      </w:r>
      <w:r w:rsidR="00DC5D31" w:rsidRPr="00C97275">
        <w:rPr>
          <w:rFonts w:ascii="Georgia" w:hAnsi="Georgia"/>
          <w:sz w:val="20"/>
          <w:szCs w:val="20"/>
          <w:lang w:val="lt-LT"/>
        </w:rPr>
        <w:t>KF</w:t>
      </w:r>
      <w:r w:rsidRPr="00C97275">
        <w:rPr>
          <w:rFonts w:ascii="Georgia" w:hAnsi="Georgia"/>
          <w:sz w:val="20"/>
          <w:szCs w:val="20"/>
          <w:lang w:val="lt-LT"/>
        </w:rPr>
        <w:t xml:space="preserve"> ir vėliau, projektų įgyvendinimo metu, teko aktyviai konsultuotis su Europos Komisija, kitomis institucijomis ir ekspertais, kas reikalavo papildomų laiko sąnaudų.</w:t>
      </w:r>
    </w:p>
    <w:p w14:paraId="21D93B76"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Sukurtos standartinės formos ir pavyzdiniai dokumentai ženkliai prisidėjo prie daugiabučių namų atnaujinimo projektų įgyvendinimo proceso supaprastinimo, patrauklumo ir skaidrumo didinimo. Ypač svarbus yra taisyklių</w:t>
      </w:r>
      <w:r w:rsidR="00DC5D31" w:rsidRPr="00C97275">
        <w:rPr>
          <w:rFonts w:ascii="Georgia" w:hAnsi="Georgia"/>
          <w:sz w:val="20"/>
          <w:szCs w:val="20"/>
          <w:lang w:val="lt-LT"/>
        </w:rPr>
        <w:t xml:space="preserve"> ir teisinės bazės</w:t>
      </w:r>
      <w:r w:rsidRPr="00C97275">
        <w:rPr>
          <w:rFonts w:ascii="Georgia" w:hAnsi="Georgia"/>
          <w:sz w:val="20"/>
          <w:szCs w:val="20"/>
          <w:lang w:val="lt-LT"/>
        </w:rPr>
        <w:t xml:space="preserve"> pastovumas, kuris didina pasitikėjimą visa daugiabučių atnaujinimo programa. </w:t>
      </w:r>
    </w:p>
    <w:p w14:paraId="25CAD95D"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Rekomenduotina praktika yra parengiamųjų projekto darbų finansavimas sąskaitų apmokėjimo būdu deklaruojant patirtas, bet dar neapmokėtas išlaidas. Taip pat pasiteisino praktika, kai daugiabučių namų atnaujinimo projektuose nebuvo taikomas reikalavimas užstatyti turtą, bei susiekti paskolą su renovuotinu turtu.</w:t>
      </w:r>
    </w:p>
    <w:p w14:paraId="720180CD"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Atliekant viešąjį pirkimą per CPO buvo identifikuotas avanso poreikis. Nors teisinėje bazėje ir numatyta galimybė statybinėms įmonėms sumokėti iki 30 proc. avansą, perkant per CPO tokios galimybės nėra. Todėl visos statybų sutartys buvo perkamos be avanso, o statybininkams trūko apyvartinių lėšų.</w:t>
      </w:r>
    </w:p>
    <w:p w14:paraId="3EB72545"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JESSICA </w:t>
      </w:r>
      <w:r w:rsidR="00DC5D31" w:rsidRPr="00C97275">
        <w:rPr>
          <w:rFonts w:ascii="Georgia" w:hAnsi="Georgia"/>
          <w:sz w:val="20"/>
          <w:szCs w:val="20"/>
          <w:lang w:val="lt-LT"/>
        </w:rPr>
        <w:t>KF</w:t>
      </w:r>
      <w:r w:rsidRPr="00C97275">
        <w:rPr>
          <w:rFonts w:ascii="Georgia" w:hAnsi="Georgia"/>
          <w:sz w:val="20"/>
          <w:szCs w:val="20"/>
          <w:lang w:val="lt-LT"/>
        </w:rPr>
        <w:t xml:space="preserve"> sėkmės faktoriai, pasiteisinusios idėjos/elementai, problemos, su kuriomis susidurta, įvairūs rizikingumo aspektai detaliai aptariami 3 priede, taip pat pateikti pasiūlymai, kurie galėtų būti aktualūs kuriant finansines priemones 2014-2020 m. </w:t>
      </w:r>
      <w:r w:rsidR="00DC5D31" w:rsidRPr="00C97275">
        <w:rPr>
          <w:rFonts w:ascii="Georgia" w:hAnsi="Georgia"/>
          <w:sz w:val="20"/>
          <w:szCs w:val="20"/>
          <w:lang w:val="lt-LT"/>
        </w:rPr>
        <w:t>periodu</w:t>
      </w:r>
      <w:r w:rsidRPr="00C97275">
        <w:rPr>
          <w:rFonts w:ascii="Georgia" w:hAnsi="Georgia"/>
          <w:sz w:val="20"/>
          <w:szCs w:val="20"/>
          <w:lang w:val="lt-LT"/>
        </w:rPr>
        <w:t xml:space="preserve"> Lietuvoje.</w:t>
      </w:r>
    </w:p>
    <w:p w14:paraId="131D9805" w14:textId="77777777" w:rsidR="00451BC7" w:rsidRPr="00C97275" w:rsidRDefault="00451BC7" w:rsidP="00451BC7">
      <w:pPr>
        <w:pStyle w:val="Pagrindinistekstas"/>
        <w:spacing w:before="240"/>
        <w:rPr>
          <w:i/>
          <w:lang w:val="lt-LT"/>
        </w:rPr>
      </w:pPr>
      <w:r w:rsidRPr="00C97275">
        <w:rPr>
          <w:i/>
          <w:lang w:val="lt-LT"/>
        </w:rPr>
        <w:lastRenderedPageBreak/>
        <w:t>Energijos efektyvumo ir atsinaujinančių išteklių fondas Bulgarijoje</w:t>
      </w:r>
    </w:p>
    <w:p w14:paraId="715DA405"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Šio fondo tikslas – palengvinti energijos efektyvumo investicijas bei paskatinti energijos efektyvumo sektoriaus rinkos plėtrą ir atsinaujinančių energijos išteklių projektų įgyvendinimą. Fondas teikia paskolas, dalines garantijas ir ESCO portfelines garantijas. Daugiausiai yra investuojama į viešųjų pastatų projektus. Tinkami galutiniai naudos gavėjai yra savivaldybės, verslo įmonės, universitetai, ligoninės ir pan.</w:t>
      </w:r>
    </w:p>
    <w:p w14:paraId="306A5A77"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Svarbiausios pamokos</w:t>
      </w:r>
    </w:p>
    <w:p w14:paraId="7B1D4A70"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Pastebėta, jog siekiant sėkmingai įgyvendinti fondo tikslus svarbu tinkamą dėmesį skirti informacijos sklaidos veikloms, taip pat aktyviai bendradarbiauti su tikslinėmis grupėmis, kurioms skirti fondo produktai.</w:t>
      </w:r>
    </w:p>
    <w:p w14:paraId="2DBDA845"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Pastebėtas neigiamas tame pačiame sektoriuje vykdomų viešųjų intervencijų/kitų finansinių priemonių poveikis EERSF produktų paklausai (ypač pagal Bulgarijos ES</w:t>
      </w:r>
      <w:r w:rsidR="00DC5D31" w:rsidRPr="00C97275">
        <w:rPr>
          <w:rFonts w:ascii="Georgia" w:hAnsi="Georgia"/>
          <w:sz w:val="20"/>
          <w:szCs w:val="20"/>
          <w:lang w:val="lt-LT"/>
        </w:rPr>
        <w:t>I</w:t>
      </w:r>
      <w:r w:rsidRPr="00C97275">
        <w:rPr>
          <w:rFonts w:ascii="Georgia" w:hAnsi="Georgia"/>
          <w:sz w:val="20"/>
          <w:szCs w:val="20"/>
          <w:lang w:val="lt-LT"/>
        </w:rPr>
        <w:t xml:space="preserve"> fondų veiksmų programas skiriamų subsidijų). Todėl rekomenduotina įvertinti konkuruojančių finansinių priemonių sukūrimo naudą, bei kitas intervencijos priemones skirtas tikslinei rinkai.</w:t>
      </w:r>
    </w:p>
    <w:p w14:paraId="5FED2306"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Siūlomų produktų trukmė turėtų būti nustatoma atsižvelgiant į projektų specifiką ir atsipirkimo laiką. Priešingu atveju tai taip pat gali ženkliai įtakoti paklausą.</w:t>
      </w:r>
    </w:p>
    <w:p w14:paraId="276593B8"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Sveikintina praktika yra platus įvairių organizacijų ir ekspertų įtraukimas į fondo valdymo struktūrą. Tai padeda suformuoti įvairiapusišką poziciją, įvertinti poveikį skirtingoms interesų grupėms. Taip pat pažymėtinas fondo lankstumas, kuris leidžia operatyviai reaguoti į rinkos ir konkurencinės aplinkos pokyčius visuose projekto etapuose.</w:t>
      </w:r>
    </w:p>
    <w:p w14:paraId="7EE0BAF4"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Svarbi yra vyriausybės parama, ypač jei organizacija ar priemonė yra nauja. Taip pat prie sėkmės ženkliai prisideda patikima ir aiški teisinė bazė. Tai ypač aktualu kalbant apie ESCO rinkos plėtrą.</w:t>
      </w:r>
    </w:p>
    <w:p w14:paraId="0E711CED"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Pastebėta, kad finansinės programos nebuvo sistemingai vertinamos efektyvumo ir poveikio aspektais. Iniciatyvos dažnai nebuvo tarpusavyje koordinuojamos ir optimaliai suprojektuotos, dėl ko atsirasdavo persidengimas bei būdavo nepakankamai išnaudojamas finansinių priemonių potencialas.</w:t>
      </w:r>
    </w:p>
    <w:p w14:paraId="246F745C"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EERSF sėkmės faktoriai, pasiteisinusios idėjos/elementai, problemos, su kuriomis susidurta, didesnio rizikingumo aspektai detaliai aptariami 4 priede, taip pat pateikti pasiūlymai, kurie galėtų būti aktualūs kuriant finansines priemones 2014-2020 m. finansiniu laikotarpiu Lietuvoje.</w:t>
      </w:r>
    </w:p>
    <w:p w14:paraId="62CFB31A" w14:textId="77777777" w:rsidR="00451BC7" w:rsidRPr="00C97275" w:rsidRDefault="00451BC7" w:rsidP="00451BC7">
      <w:pPr>
        <w:pStyle w:val="Pagrindinistekstas"/>
        <w:keepNext/>
        <w:spacing w:before="240"/>
        <w:rPr>
          <w:i/>
          <w:lang w:val="lt-LT"/>
        </w:rPr>
      </w:pPr>
      <w:r w:rsidRPr="00C97275">
        <w:rPr>
          <w:i/>
          <w:lang w:val="lt-LT"/>
        </w:rPr>
        <w:t>Londono energetinio efektyvumo fondas Jungtinėje Karalystėje</w:t>
      </w:r>
    </w:p>
    <w:p w14:paraId="5516E9CD" w14:textId="77777777" w:rsidR="00451BC7" w:rsidRPr="00C97275" w:rsidRDefault="00451BC7" w:rsidP="00451BC7">
      <w:pPr>
        <w:keepNext/>
        <w:jc w:val="both"/>
        <w:rPr>
          <w:rFonts w:ascii="Georgia" w:hAnsi="Georgia"/>
          <w:sz w:val="20"/>
          <w:szCs w:val="20"/>
          <w:lang w:val="lt-LT"/>
        </w:rPr>
      </w:pPr>
      <w:r w:rsidRPr="00C97275">
        <w:rPr>
          <w:rFonts w:ascii="Georgia" w:hAnsi="Georgia"/>
          <w:sz w:val="20"/>
          <w:szCs w:val="20"/>
          <w:lang w:val="lt-LT"/>
        </w:rPr>
        <w:t xml:space="preserve">Šis fondas finansuoja investicijas į energijos vartojimo efektyvumo didinimo priemones privataus ir viešojo sektoriaus pastatuose. LEEF iki 2015 m. gruodžio siekia investuoti ne mažiau kaip 70 mln. </w:t>
      </w:r>
      <w:r w:rsidR="00F918A0" w:rsidRPr="00C97275">
        <w:rPr>
          <w:rFonts w:ascii="Georgia" w:hAnsi="Georgia"/>
          <w:sz w:val="20"/>
          <w:szCs w:val="20"/>
          <w:lang w:val="lt-LT"/>
        </w:rPr>
        <w:t>svarų sterlingų</w:t>
      </w:r>
      <w:r w:rsidRPr="00C97275">
        <w:rPr>
          <w:rFonts w:ascii="Georgia" w:hAnsi="Georgia"/>
          <w:sz w:val="20"/>
          <w:szCs w:val="20"/>
          <w:lang w:val="lt-LT"/>
        </w:rPr>
        <w:t xml:space="preserve"> daugiausia pirmaeilių (privilegijuotųjų) paskolų bei tarpinio pobūdžio paskolų</w:t>
      </w:r>
      <w:r w:rsidRPr="00C97275">
        <w:rPr>
          <w:rStyle w:val="Puslapioinaosnuoroda"/>
          <w:rFonts w:ascii="Georgia" w:hAnsi="Georgia"/>
          <w:sz w:val="20"/>
          <w:szCs w:val="20"/>
          <w:lang w:val="lt-LT"/>
        </w:rPr>
        <w:footnoteReference w:id="166"/>
      </w:r>
      <w:r w:rsidRPr="00C97275">
        <w:rPr>
          <w:rFonts w:ascii="Georgia" w:hAnsi="Georgia"/>
          <w:sz w:val="20"/>
          <w:szCs w:val="20"/>
          <w:lang w:val="lt-LT"/>
        </w:rPr>
        <w:t xml:space="preserve"> (laikantis ESI fondų programos reikalavimų) forma. Šiuo metu LEEF yra sukaupusi daugiau nei 100 mln. </w:t>
      </w:r>
      <w:r w:rsidR="00F918A0" w:rsidRPr="00C97275">
        <w:rPr>
          <w:rFonts w:ascii="Georgia" w:hAnsi="Georgia"/>
          <w:sz w:val="20"/>
          <w:szCs w:val="20"/>
          <w:lang w:val="lt-LT"/>
        </w:rPr>
        <w:t>svarų sterlingų</w:t>
      </w:r>
      <w:r w:rsidRPr="00C97275">
        <w:rPr>
          <w:rFonts w:ascii="Georgia" w:hAnsi="Georgia"/>
          <w:sz w:val="20"/>
          <w:szCs w:val="20"/>
          <w:lang w:val="lt-LT"/>
        </w:rPr>
        <w:t xml:space="preserve"> lėšų (50 mln. </w:t>
      </w:r>
      <w:r w:rsidR="00F918A0" w:rsidRPr="00C97275">
        <w:rPr>
          <w:rFonts w:ascii="Georgia" w:hAnsi="Georgia"/>
          <w:sz w:val="20"/>
          <w:szCs w:val="20"/>
          <w:lang w:val="lt-LT"/>
        </w:rPr>
        <w:t>GBP</w:t>
      </w:r>
      <w:r w:rsidRPr="00C97275">
        <w:rPr>
          <w:rFonts w:ascii="Georgia" w:hAnsi="Georgia"/>
          <w:sz w:val="20"/>
          <w:szCs w:val="20"/>
          <w:lang w:val="lt-LT"/>
        </w:rPr>
        <w:t xml:space="preserve"> iš LGF ir daugiau nei 50 mln. </w:t>
      </w:r>
      <w:r w:rsidR="00F918A0" w:rsidRPr="00C97275">
        <w:rPr>
          <w:rFonts w:ascii="Georgia" w:hAnsi="Georgia"/>
          <w:sz w:val="20"/>
          <w:szCs w:val="20"/>
          <w:lang w:val="lt-LT"/>
        </w:rPr>
        <w:t>GBP</w:t>
      </w:r>
      <w:r w:rsidRPr="00C97275">
        <w:rPr>
          <w:rFonts w:ascii="Georgia" w:hAnsi="Georgia"/>
          <w:sz w:val="20"/>
          <w:szCs w:val="20"/>
          <w:lang w:val="lt-LT"/>
        </w:rPr>
        <w:t xml:space="preserve"> papildomo privataus finansavimo). Fondas teikia paskolas (išskirtiniais atvejais gali būti investuojamas ir kapitalas). Kiekvienas projektas privalo sutaupyti mažiausiai 20 proc. energijos lyginant su situacija iki projekto įgyvendinimo ir sumažinti metinį anglies dvideginio kiekį bent viena CO</w:t>
      </w:r>
      <w:r w:rsidRPr="00C97275">
        <w:rPr>
          <w:rFonts w:ascii="Georgia" w:hAnsi="Georgia"/>
          <w:sz w:val="20"/>
          <w:szCs w:val="20"/>
          <w:vertAlign w:val="subscript"/>
          <w:lang w:val="lt-LT"/>
        </w:rPr>
        <w:t>2</w:t>
      </w:r>
      <w:r w:rsidRPr="00C97275">
        <w:rPr>
          <w:rFonts w:ascii="Georgia" w:hAnsi="Georgia"/>
          <w:sz w:val="20"/>
          <w:szCs w:val="20"/>
          <w:lang w:val="lt-LT"/>
        </w:rPr>
        <w:t xml:space="preserve"> tona už 5000 </w:t>
      </w:r>
      <w:r w:rsidR="00F918A0" w:rsidRPr="00C97275">
        <w:rPr>
          <w:rFonts w:ascii="Georgia" w:hAnsi="Georgia"/>
          <w:sz w:val="20"/>
          <w:szCs w:val="20"/>
          <w:lang w:val="lt-LT"/>
        </w:rPr>
        <w:t>svarų sterlingų</w:t>
      </w:r>
      <w:r w:rsidRPr="00C97275">
        <w:rPr>
          <w:rFonts w:ascii="Georgia" w:hAnsi="Georgia"/>
          <w:sz w:val="20"/>
          <w:szCs w:val="20"/>
          <w:lang w:val="lt-LT"/>
        </w:rPr>
        <w:t xml:space="preserve"> investicijų. Tinkami galutiniai naudos gavėjai yra viešojo sektoriaus organizacijos, pvz., vietos savivaldos institucijos, universitetai, privatus sektorius, pvz., ESCO, statybų rangovai, patalpų </w:t>
      </w:r>
      <w:r w:rsidRPr="00C97275">
        <w:rPr>
          <w:rFonts w:ascii="Georgia" w:hAnsi="Georgia"/>
          <w:sz w:val="20"/>
          <w:szCs w:val="20"/>
          <w:lang w:val="lt-LT"/>
        </w:rPr>
        <w:lastRenderedPageBreak/>
        <w:t>savininkai. Taip pat LEEF gali investuoti į bendrų įmonių</w:t>
      </w:r>
      <w:r w:rsidRPr="00C97275">
        <w:rPr>
          <w:rStyle w:val="Puslapioinaosnuoroda"/>
          <w:rFonts w:ascii="Georgia" w:hAnsi="Georgia"/>
          <w:sz w:val="20"/>
          <w:szCs w:val="20"/>
          <w:lang w:val="lt-LT"/>
        </w:rPr>
        <w:footnoteReference w:id="167"/>
      </w:r>
      <w:r w:rsidRPr="00C97275">
        <w:rPr>
          <w:rFonts w:ascii="Georgia" w:hAnsi="Georgia"/>
          <w:sz w:val="20"/>
          <w:szCs w:val="20"/>
          <w:lang w:val="lt-LT"/>
        </w:rPr>
        <w:t>, specialios paskirties įmonių valdomus projektus, viešo ir privataus sektorių partnerystės būdu įgyvendinamus projektus.</w:t>
      </w:r>
    </w:p>
    <w:p w14:paraId="6B1432E3" w14:textId="77777777" w:rsidR="00451BC7" w:rsidRPr="00C97275" w:rsidRDefault="00451BC7" w:rsidP="00451BC7">
      <w:pPr>
        <w:jc w:val="both"/>
        <w:rPr>
          <w:rFonts w:ascii="Georgia" w:hAnsi="Georgia"/>
          <w:sz w:val="20"/>
          <w:szCs w:val="20"/>
          <w:lang w:val="lt-LT"/>
        </w:rPr>
      </w:pPr>
      <w:r w:rsidRPr="00C97275">
        <w:rPr>
          <w:rFonts w:ascii="Georgia" w:hAnsi="Georgia"/>
          <w:i/>
          <w:sz w:val="20"/>
          <w:szCs w:val="20"/>
          <w:lang w:val="lt-LT"/>
        </w:rPr>
        <w:t>Svarbiausios pamokos</w:t>
      </w:r>
      <w:r w:rsidRPr="00C97275">
        <w:rPr>
          <w:rFonts w:ascii="Georgia" w:hAnsi="Georgia"/>
          <w:sz w:val="20"/>
          <w:szCs w:val="20"/>
          <w:lang w:val="lt-LT"/>
        </w:rPr>
        <w:t xml:space="preserve"> </w:t>
      </w:r>
    </w:p>
    <w:p w14:paraId="00F1315E"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Pastebėta, jog būtina tiksliai įsivertinti rinkos situaciją ir remiantis šiuo vertinimu apibrėžti konkrečias siūlomo produkto sąlygas (kainą, trukmę, tikslines grupes ir t. t.). Kitas svarbus elementas yra efektyvus priemonių valdymas. Už fondo valdymą atsakinga struktūra turi būti pajėgi priimti nepriklausomus, kompetentingus ir patikimus sprendimus.</w:t>
      </w:r>
    </w:p>
    <w:p w14:paraId="3FFFA336"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Nefinansinių tikslų nustatymas, kuris yra inovacija Jungtinėje Karalystėje, padeda pasiekti didesnę socialinę-ekonominę naudą. Pažymėtina, kad miesto plėtros fondams nuo CO</w:t>
      </w:r>
      <w:r w:rsidRPr="00C97275">
        <w:rPr>
          <w:rFonts w:ascii="Georgia" w:hAnsi="Georgia"/>
          <w:sz w:val="20"/>
          <w:szCs w:val="20"/>
          <w:vertAlign w:val="subscript"/>
          <w:lang w:val="lt-LT"/>
        </w:rPr>
        <w:t>2</w:t>
      </w:r>
      <w:r w:rsidRPr="00C97275">
        <w:rPr>
          <w:rFonts w:ascii="Georgia" w:hAnsi="Georgia"/>
          <w:sz w:val="20"/>
          <w:szCs w:val="20"/>
          <w:lang w:val="lt-LT"/>
        </w:rPr>
        <w:t xml:space="preserve"> taršos sumažėjimo priklauso ir jiems mokamas atlygis, paprastai tai nėra būdinga privačiam sektoriui.</w:t>
      </w:r>
    </w:p>
    <w:p w14:paraId="4D253412"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Svarbus aktyvus bendradarbiavimas su Europos Komisija, ypač sprendžiant klausimus, susijusius su finansinių priemonių įgyvendinimu bei papildomų subsidijų </w:t>
      </w:r>
      <w:r w:rsidR="00F918A0" w:rsidRPr="00C97275">
        <w:rPr>
          <w:rFonts w:ascii="Georgia" w:hAnsi="Georgia"/>
          <w:sz w:val="20"/>
          <w:szCs w:val="20"/>
          <w:lang w:val="lt-LT"/>
        </w:rPr>
        <w:t>teikimu</w:t>
      </w:r>
      <w:r w:rsidRPr="00C97275">
        <w:rPr>
          <w:rFonts w:ascii="Georgia" w:hAnsi="Georgia"/>
          <w:sz w:val="20"/>
          <w:szCs w:val="20"/>
          <w:lang w:val="lt-LT"/>
        </w:rPr>
        <w:t xml:space="preserve"> pasirinktame modelyje. Deramas dėmesys turėtų būti skiriamas papildomo privataus finansavimo pritraukimui tiek fondo, tiek ir konkrečių projektų lygiu. Kita vertus, dėl privačių lėšų kainos gali mažėti paskolų patrauklumas. LEEF lėšos yra pigios, bet susietos su privačiomis lėšomis – pabrangsta. Tai gali turėti neigiamą poveikį produktų konkurencingumui.</w:t>
      </w:r>
    </w:p>
    <w:p w14:paraId="274B7999"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LEEF atveju labai svarbi ilgalaikė vizija ir įsipareigojimas siekiant įveikti fondo gyvavimo pradžioje kilusias problemas. Taip pat reikia stengtis išlaikyti tas nuostatas, kurios veikia praktikoje, ir tobulinti tik tuos elementus, kurie neveikia, o ne visą modelį kurti iš naujo.</w:t>
      </w:r>
    </w:p>
    <w:p w14:paraId="15849B02"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Modelio kūrimo procesas užtruko ilgiau nei planuota. 2007-2013 m. Londono ERPF veiksmų programa buvo patvirtinta 2007 m. gruodį. Nuo šios datos iki pirmos investicijos praėjo 4 metai. Miestų plėtros fondai pradėjo veikti praėjus 30 mėnesių po kontroliuojančiojo fondo įsteigimo. Buvo tikimasi, kad pirmojo miesto plėtros fondo valdytojo atrankos metu įgyta patirtis bus pritaikyta kituose pirkimuose ir dėl to jie vyks greičiau ir paprasčiau. Tačiau LGF atveju miesto plėtros fondai turi unikalią struktūrą, todėl buvo būtina adaptacija siekiant atspindėti skirtumus.</w:t>
      </w:r>
    </w:p>
    <w:p w14:paraId="1B3B4697"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Projektai, ne visada atitinka fondo reikalavimus, todėl kartais nesusidaro prognozuotas projektų srautas. Siekiant sumažinti šią riziką reikia užtikrinant aktyvesnį darbą su potencialiais projektais iki fondo veiklos pradžios. Taip pat padėtų didesnis fondo įgyvendinimo taisyklių lankstumas siekiant prisitaikyti prie kintančių rinkos sąlygų.</w:t>
      </w:r>
    </w:p>
    <w:p w14:paraId="4C0FBE6F"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Pastebėta, jog labai svarbu tinkamai suplanuoti viešinimo veiklas ir skirti joms pakankamus žmogiškuosius ir finansinius išteklius.</w:t>
      </w:r>
    </w:p>
    <w:p w14:paraId="13098F47"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Papildoma pridėtinė nauda gali būti sukurta identifikavus ir sukūrus efektyvų bendradarbiavimo mechanizmą su kitomis finansinėmis priemonėmis, pvz., RE:FIT programa LEEF atveju. </w:t>
      </w:r>
    </w:p>
    <w:p w14:paraId="70CA604C"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Vienas didžiausių iššūkių LEEF buvo ERPF taisyklių, kurios iš principo buvo skirtos subsidijoms, taikymas komercinei aplinkai. ES</w:t>
      </w:r>
      <w:r w:rsidR="00F918A0" w:rsidRPr="00C97275">
        <w:rPr>
          <w:rFonts w:ascii="Georgia" w:hAnsi="Georgia"/>
          <w:sz w:val="20"/>
          <w:szCs w:val="20"/>
          <w:lang w:val="lt-LT"/>
        </w:rPr>
        <w:t>I</w:t>
      </w:r>
      <w:r w:rsidRPr="00C97275">
        <w:rPr>
          <w:rFonts w:ascii="Georgia" w:hAnsi="Georgia"/>
          <w:sz w:val="20"/>
          <w:szCs w:val="20"/>
          <w:lang w:val="lt-LT"/>
        </w:rPr>
        <w:t xml:space="preserve"> fondams taikomos nuostatos pasižymi nelankstumu ir papildomomis sąlygomis, t. y. buvo siūloma komercinė paskola, kuri apipinta papildomais reikalavimais. </w:t>
      </w:r>
    </w:p>
    <w:p w14:paraId="1EDD24B8"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LEEF sėkmės faktoriai, pasiteisinusios idėjos/elementai, problemos, su kuriomis susidurta, įvairaus rizikingumo aspektai detaliai aptariami 5 priede, ten pat pateikti pasiūlymai, kurie galėtų būti aktualūs kuriant finansines priemones 2014-2020 m. </w:t>
      </w:r>
      <w:r w:rsidR="00F918A0" w:rsidRPr="00C97275">
        <w:rPr>
          <w:rFonts w:ascii="Georgia" w:hAnsi="Georgia"/>
          <w:sz w:val="20"/>
          <w:szCs w:val="20"/>
          <w:lang w:val="lt-LT"/>
        </w:rPr>
        <w:t xml:space="preserve">periodu </w:t>
      </w:r>
      <w:r w:rsidRPr="00C97275">
        <w:rPr>
          <w:rFonts w:ascii="Georgia" w:hAnsi="Georgia"/>
          <w:sz w:val="20"/>
          <w:szCs w:val="20"/>
          <w:lang w:val="lt-LT"/>
        </w:rPr>
        <w:t>Lietuvoje.</w:t>
      </w:r>
    </w:p>
    <w:p w14:paraId="24D669E8" w14:textId="6C2D9FF4"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lastRenderedPageBreak/>
        <w:t xml:space="preserve">Atvejo studijų analizė daugeliu atvejų patvirtino informacijos šaltinių, kurie nurodyti </w:t>
      </w:r>
      <w:r w:rsidR="00F918A0" w:rsidRPr="00C97275">
        <w:rPr>
          <w:rFonts w:ascii="Georgia" w:hAnsi="Georgia"/>
          <w:sz w:val="20"/>
          <w:szCs w:val="20"/>
          <w:lang w:val="lt-LT"/>
        </w:rPr>
        <w:t>E</w:t>
      </w:r>
      <w:r w:rsidR="00300FF4" w:rsidRPr="00C97275">
        <w:rPr>
          <w:rFonts w:ascii="Georgia" w:hAnsi="Georgia"/>
          <w:sz w:val="20"/>
          <w:szCs w:val="20"/>
          <w:lang w:val="lt-LT"/>
        </w:rPr>
        <w:t>x-ante</w:t>
      </w:r>
      <w:r w:rsidR="00F918A0" w:rsidRPr="00C97275">
        <w:rPr>
          <w:rFonts w:ascii="Georgia" w:hAnsi="Georgia"/>
          <w:sz w:val="20"/>
          <w:szCs w:val="20"/>
          <w:lang w:val="lt-LT"/>
        </w:rPr>
        <w:t xml:space="preserve"> vertinimo metodologijoje</w:t>
      </w:r>
      <w:r w:rsidRPr="00C97275">
        <w:rPr>
          <w:rFonts w:ascii="Georgia" w:hAnsi="Georgia"/>
          <w:sz w:val="20"/>
          <w:szCs w:val="20"/>
          <w:lang w:val="lt-LT"/>
        </w:rPr>
        <w:t>, ir kitų šaltinių apžvalgos bei interviu rezultatus.</w:t>
      </w:r>
    </w:p>
    <w:p w14:paraId="50A9B28F" w14:textId="77777777" w:rsidR="00451BC7" w:rsidRPr="00C97275" w:rsidRDefault="00451BC7" w:rsidP="00162BF5">
      <w:pPr>
        <w:pStyle w:val="Antrat2"/>
        <w:numPr>
          <w:ilvl w:val="1"/>
          <w:numId w:val="19"/>
        </w:numPr>
        <w:spacing w:after="240"/>
        <w:ind w:left="709"/>
        <w:rPr>
          <w:rFonts w:ascii="Georgia" w:hAnsi="Georgia"/>
          <w:lang w:val="lt-LT"/>
        </w:rPr>
      </w:pPr>
      <w:bookmarkStart w:id="258" w:name="_Toc395795827"/>
      <w:bookmarkStart w:id="259" w:name="_Toc25594720"/>
      <w:r w:rsidRPr="00C97275">
        <w:rPr>
          <w:rFonts w:ascii="Georgia" w:hAnsi="Georgia"/>
          <w:lang w:val="lt-LT"/>
        </w:rPr>
        <w:t xml:space="preserve">Patirties pritaikymas Lietuvoje – rizikos </w:t>
      </w:r>
      <w:bookmarkEnd w:id="258"/>
      <w:r w:rsidRPr="00C97275">
        <w:rPr>
          <w:rFonts w:ascii="Georgia" w:hAnsi="Georgia"/>
          <w:lang w:val="lt-LT"/>
        </w:rPr>
        <w:t>analizė</w:t>
      </w:r>
      <w:bookmarkEnd w:id="259"/>
    </w:p>
    <w:p w14:paraId="19340A84"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 xml:space="preserve">Atliekant rizikos analizę identifikuoti sėkmės faktoriai, pasiteisinusios idėjos/elementai, problemos, su kuriomis susidurta, įvairaus rizikingumo aspektų pagrindu buvo išskirti rizikos veiksniai, kurie galėtų būti aktualūs projektuojant energijos efektyvumo sektoriui skirtas finansines priemones Lietuvoje 2014-2020 m. </w:t>
      </w:r>
      <w:r w:rsidR="00F918A0" w:rsidRPr="00C97275">
        <w:rPr>
          <w:rFonts w:ascii="Georgia" w:hAnsi="Georgia"/>
          <w:sz w:val="20"/>
          <w:szCs w:val="20"/>
          <w:lang w:val="lt-LT"/>
        </w:rPr>
        <w:t>periodu</w:t>
      </w:r>
      <w:r w:rsidRPr="00C97275">
        <w:rPr>
          <w:rFonts w:ascii="Georgia" w:hAnsi="Georgia"/>
          <w:sz w:val="20"/>
          <w:szCs w:val="20"/>
          <w:lang w:val="lt-LT"/>
        </w:rPr>
        <w:t>.</w:t>
      </w:r>
    </w:p>
    <w:p w14:paraId="7C843960" w14:textId="2D5E3E91" w:rsidR="00451BC7" w:rsidRPr="00C97275" w:rsidRDefault="00451BC7" w:rsidP="00451BC7">
      <w:pPr>
        <w:jc w:val="both"/>
        <w:rPr>
          <w:rFonts w:ascii="Georgia" w:hAnsi="Georgia"/>
          <w:bCs/>
          <w:sz w:val="20"/>
          <w:szCs w:val="20"/>
          <w:lang w:val="lt-LT"/>
        </w:rPr>
      </w:pPr>
      <w:r w:rsidRPr="00C97275">
        <w:rPr>
          <w:rFonts w:ascii="Georgia" w:hAnsi="Georgia"/>
          <w:sz w:val="20"/>
          <w:szCs w:val="20"/>
          <w:lang w:val="lt-LT"/>
        </w:rPr>
        <w:t>Šioje e</w:t>
      </w:r>
      <w:r w:rsidR="00300FF4" w:rsidRPr="00C97275">
        <w:rPr>
          <w:rFonts w:ascii="Georgia" w:hAnsi="Georgia"/>
          <w:sz w:val="20"/>
          <w:szCs w:val="20"/>
          <w:lang w:val="lt-LT"/>
        </w:rPr>
        <w:t>x-ante</w:t>
      </w:r>
      <w:r w:rsidRPr="00C97275">
        <w:rPr>
          <w:rFonts w:ascii="Georgia" w:hAnsi="Georgia"/>
          <w:sz w:val="20"/>
          <w:szCs w:val="20"/>
          <w:lang w:val="lt-LT"/>
        </w:rPr>
        <w:t xml:space="preserve"> rizikos veiksniai buvo skirstomi į tris rizikų veiksnių grupes: planavimo, mišrią ir įgyvendinimo:</w:t>
      </w:r>
    </w:p>
    <w:p w14:paraId="779A0664" w14:textId="77777777" w:rsidR="00451BC7" w:rsidRPr="00C97275" w:rsidRDefault="00451BC7" w:rsidP="00C03122">
      <w:pPr>
        <w:numPr>
          <w:ilvl w:val="0"/>
          <w:numId w:val="5"/>
        </w:numPr>
        <w:spacing w:after="0"/>
        <w:ind w:left="714" w:hanging="357"/>
        <w:jc w:val="both"/>
        <w:rPr>
          <w:rFonts w:ascii="Georgia" w:hAnsi="Georgia"/>
          <w:sz w:val="20"/>
          <w:szCs w:val="20"/>
          <w:lang w:val="lt-LT"/>
        </w:rPr>
      </w:pPr>
      <w:r w:rsidRPr="00C97275">
        <w:rPr>
          <w:rFonts w:ascii="Georgia" w:hAnsi="Georgia"/>
          <w:sz w:val="20"/>
          <w:szCs w:val="20"/>
          <w:lang w:val="lt-LT"/>
        </w:rPr>
        <w:t>Planavimo – veiksniai, apimantys veiksmus susijusius su finansinių priemonių kūrimu.</w:t>
      </w:r>
    </w:p>
    <w:p w14:paraId="6AF42788" w14:textId="77777777" w:rsidR="00451BC7" w:rsidRPr="00C97275" w:rsidRDefault="00451BC7" w:rsidP="00C03122">
      <w:pPr>
        <w:numPr>
          <w:ilvl w:val="0"/>
          <w:numId w:val="5"/>
        </w:numPr>
        <w:spacing w:after="0"/>
        <w:ind w:left="714" w:hanging="357"/>
        <w:jc w:val="both"/>
        <w:rPr>
          <w:rFonts w:ascii="Georgia" w:hAnsi="Georgia"/>
          <w:sz w:val="20"/>
          <w:szCs w:val="20"/>
          <w:lang w:val="lt-LT"/>
        </w:rPr>
      </w:pPr>
      <w:r w:rsidRPr="00C97275">
        <w:rPr>
          <w:rFonts w:ascii="Georgia" w:hAnsi="Georgia"/>
          <w:sz w:val="20"/>
          <w:szCs w:val="20"/>
          <w:lang w:val="lt-LT"/>
        </w:rPr>
        <w:t>Mišrūs – veiksniai, kurie aktualūs tiek planavimo, tiek įgyvendinimo etapuose.</w:t>
      </w:r>
    </w:p>
    <w:p w14:paraId="339D7A54" w14:textId="77777777" w:rsidR="00451BC7" w:rsidRPr="00C97275" w:rsidRDefault="00451BC7" w:rsidP="00C03122">
      <w:pPr>
        <w:numPr>
          <w:ilvl w:val="0"/>
          <w:numId w:val="5"/>
        </w:numPr>
        <w:spacing w:after="0"/>
        <w:ind w:left="714" w:hanging="357"/>
        <w:jc w:val="both"/>
        <w:rPr>
          <w:rFonts w:ascii="Georgia" w:hAnsi="Georgia"/>
          <w:sz w:val="20"/>
          <w:szCs w:val="20"/>
          <w:lang w:val="lt-LT"/>
        </w:rPr>
      </w:pPr>
      <w:r w:rsidRPr="00C97275">
        <w:rPr>
          <w:rFonts w:ascii="Georgia" w:hAnsi="Georgia"/>
          <w:sz w:val="20"/>
          <w:szCs w:val="20"/>
          <w:lang w:val="lt-LT"/>
        </w:rPr>
        <w:t>Įgyvendinimo – veiksniai, apimantys veiksmus susijusius su finansinių priemonių įgyvendinimu.</w:t>
      </w:r>
    </w:p>
    <w:p w14:paraId="3B6AADFA" w14:textId="77777777" w:rsidR="00451BC7" w:rsidRPr="00C97275" w:rsidRDefault="00451BC7" w:rsidP="00451BC7">
      <w:pPr>
        <w:jc w:val="both"/>
        <w:rPr>
          <w:rFonts w:ascii="Georgia" w:hAnsi="Georgia"/>
          <w:sz w:val="20"/>
          <w:szCs w:val="20"/>
          <w:lang w:val="lt-LT"/>
        </w:rPr>
      </w:pPr>
    </w:p>
    <w:p w14:paraId="06A111E9"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Vertinamas rizikos faktoriaus, jei jis pasireikštų, poveikis. Kiekvieno rizikos veiksnio poveikis vertinamas keturiais aspektais:</w:t>
      </w:r>
    </w:p>
    <w:p w14:paraId="6C38D30F" w14:textId="77777777" w:rsidR="00451BC7" w:rsidRPr="00C97275" w:rsidRDefault="00451BC7" w:rsidP="00C03122">
      <w:pPr>
        <w:numPr>
          <w:ilvl w:val="0"/>
          <w:numId w:val="5"/>
        </w:numPr>
        <w:spacing w:after="0"/>
        <w:ind w:left="714" w:hanging="357"/>
        <w:jc w:val="both"/>
        <w:rPr>
          <w:rFonts w:ascii="Georgia" w:hAnsi="Georgia"/>
          <w:sz w:val="20"/>
          <w:szCs w:val="20"/>
          <w:lang w:val="lt-LT"/>
        </w:rPr>
      </w:pPr>
      <w:r w:rsidRPr="00C97275">
        <w:rPr>
          <w:rFonts w:ascii="Georgia" w:hAnsi="Georgia"/>
          <w:sz w:val="20"/>
          <w:szCs w:val="20"/>
          <w:lang w:val="lt-LT"/>
        </w:rPr>
        <w:t>poveikiu rezultatams – vertinamas rizikos faktoriaus pasireiškimo poveikis finansinių priemonių rezultatams ir jų kokybei viso priemonės įgyvendinimo laikotarpio metu;</w:t>
      </w:r>
    </w:p>
    <w:p w14:paraId="5B05E839" w14:textId="77777777" w:rsidR="00451BC7" w:rsidRPr="00C97275" w:rsidRDefault="00451BC7" w:rsidP="00C03122">
      <w:pPr>
        <w:numPr>
          <w:ilvl w:val="0"/>
          <w:numId w:val="5"/>
        </w:numPr>
        <w:spacing w:after="0"/>
        <w:ind w:left="714" w:hanging="357"/>
        <w:jc w:val="both"/>
        <w:rPr>
          <w:rFonts w:ascii="Georgia" w:hAnsi="Georgia"/>
          <w:sz w:val="20"/>
          <w:szCs w:val="20"/>
          <w:lang w:val="lt-LT"/>
        </w:rPr>
      </w:pPr>
      <w:r w:rsidRPr="00C97275">
        <w:rPr>
          <w:rFonts w:ascii="Georgia" w:hAnsi="Georgia"/>
          <w:sz w:val="20"/>
          <w:szCs w:val="20"/>
          <w:lang w:val="lt-LT"/>
        </w:rPr>
        <w:t>finansiniu poveikiu – vertinama, ar pasireiškus rizikos veiksniui gali atsirasti neigiamų finansinių padarinių;</w:t>
      </w:r>
    </w:p>
    <w:p w14:paraId="0CAAC3A1" w14:textId="77777777" w:rsidR="00451BC7" w:rsidRPr="00C97275" w:rsidRDefault="00451BC7" w:rsidP="00C03122">
      <w:pPr>
        <w:numPr>
          <w:ilvl w:val="0"/>
          <w:numId w:val="5"/>
        </w:numPr>
        <w:spacing w:after="0"/>
        <w:ind w:left="714" w:hanging="357"/>
        <w:jc w:val="both"/>
        <w:rPr>
          <w:rFonts w:ascii="Georgia" w:hAnsi="Georgia"/>
          <w:sz w:val="20"/>
          <w:szCs w:val="20"/>
          <w:lang w:val="lt-LT"/>
        </w:rPr>
      </w:pPr>
      <w:r w:rsidRPr="00C97275">
        <w:rPr>
          <w:rFonts w:ascii="Georgia" w:hAnsi="Georgia"/>
          <w:sz w:val="20"/>
          <w:szCs w:val="20"/>
          <w:lang w:val="lt-LT"/>
        </w:rPr>
        <w:t>poveikiu įgyvendinimo spartai – vertinama, ar pasireiškus rizikos veiksniui planavimo ir/ar įgyvendinimo etapai truks ilgiau;</w:t>
      </w:r>
    </w:p>
    <w:p w14:paraId="0E1FA0B4" w14:textId="77777777" w:rsidR="00451BC7" w:rsidRPr="00C97275" w:rsidRDefault="00451BC7" w:rsidP="00C03122">
      <w:pPr>
        <w:numPr>
          <w:ilvl w:val="0"/>
          <w:numId w:val="5"/>
        </w:numPr>
        <w:jc w:val="both"/>
        <w:rPr>
          <w:rFonts w:ascii="Georgia" w:hAnsi="Georgia"/>
          <w:sz w:val="20"/>
          <w:szCs w:val="20"/>
          <w:lang w:val="lt-LT"/>
        </w:rPr>
      </w:pPr>
      <w:r w:rsidRPr="00C97275">
        <w:rPr>
          <w:rFonts w:ascii="Georgia" w:hAnsi="Georgia"/>
          <w:sz w:val="20"/>
          <w:szCs w:val="20"/>
          <w:lang w:val="lt-LT"/>
        </w:rPr>
        <w:t>poveikiu reputacijai – vertinama, ar pasireiškęs rizikos veiksnys, gali turėti neigiamų padarinių finansinės priemonės reputacijai.</w:t>
      </w:r>
    </w:p>
    <w:p w14:paraId="6E64C91E"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Rizikos veiksnių poveikio stiprumas skirstomas į neutralų, neženklų, vidutinį ir ženklų.</w:t>
      </w:r>
    </w:p>
    <w:p w14:paraId="2B8478CA" w14:textId="77777777" w:rsidR="00451BC7" w:rsidRPr="00C97275" w:rsidRDefault="00451BC7" w:rsidP="00451BC7">
      <w:pPr>
        <w:jc w:val="both"/>
        <w:rPr>
          <w:rFonts w:ascii="Georgia" w:hAnsi="Georgia"/>
          <w:sz w:val="20"/>
          <w:szCs w:val="20"/>
          <w:lang w:val="lt-LT"/>
        </w:rPr>
      </w:pPr>
      <w:r w:rsidRPr="00C97275">
        <w:rPr>
          <w:rFonts w:ascii="Georgia" w:hAnsi="Georgia"/>
          <w:bCs/>
          <w:sz w:val="20"/>
          <w:szCs w:val="20"/>
          <w:lang w:val="lt-LT"/>
        </w:rPr>
        <w:t xml:space="preserve">Taip pat įvertinama kiekvieno identifikuoto rizikos veiksnio pasireiškimo tikimybė po rizikos valdymo priemonių taikymo. Naudojama vertinimo skalė – </w:t>
      </w:r>
      <w:r w:rsidRPr="00C97275">
        <w:rPr>
          <w:rFonts w:ascii="Georgia" w:hAnsi="Georgia"/>
          <w:sz w:val="20"/>
          <w:szCs w:val="20"/>
          <w:lang w:val="lt-LT"/>
        </w:rPr>
        <w:t>labai maža, maža, vidutinė ir didelė.</w:t>
      </w:r>
    </w:p>
    <w:p w14:paraId="141A9EA6"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Identifikuoti rizikos faktoriai ir jų valdymo planas pateikiami lentelėje 6 priede.</w:t>
      </w:r>
    </w:p>
    <w:p w14:paraId="5C4501CC" w14:textId="77777777" w:rsidR="00451BC7" w:rsidRPr="00C97275" w:rsidRDefault="00451BC7" w:rsidP="00451BC7">
      <w:pPr>
        <w:jc w:val="both"/>
        <w:rPr>
          <w:rFonts w:ascii="Georgia" w:hAnsi="Georgia"/>
          <w:sz w:val="20"/>
          <w:szCs w:val="20"/>
          <w:lang w:val="lt-LT"/>
        </w:rPr>
      </w:pPr>
      <w:r w:rsidRPr="00C97275">
        <w:rPr>
          <w:rFonts w:ascii="Georgia" w:hAnsi="Georgia"/>
          <w:sz w:val="20"/>
          <w:szCs w:val="20"/>
          <w:lang w:val="lt-LT"/>
        </w:rPr>
        <w:t>Įgyvendinus numatytas rizikos valdymo priemones visų rizikos veiksnių pasireiškimo tikimybė vertinama kaip maža arba labai maža. Todėl daroma išvada, kad numatomų finansinių priemonių rizikos lygis yra priimtinas</w:t>
      </w:r>
      <w:r w:rsidR="00B62D03" w:rsidRPr="00C97275">
        <w:rPr>
          <w:rFonts w:ascii="Georgia" w:hAnsi="Georgia"/>
          <w:sz w:val="20"/>
          <w:szCs w:val="20"/>
          <w:lang w:val="lt-LT"/>
        </w:rPr>
        <w:t xml:space="preserve"> su sąlyga, kad numatytos rizikos valdymo priemonės bus efektyviai įgyvendintos. </w:t>
      </w:r>
    </w:p>
    <w:p w14:paraId="5E62D17D" w14:textId="77777777" w:rsidR="00E84A38" w:rsidRPr="00C97275" w:rsidRDefault="00E84A38" w:rsidP="00E84A38">
      <w:pPr>
        <w:jc w:val="both"/>
        <w:rPr>
          <w:rFonts w:ascii="Georgia" w:hAnsi="Georgia"/>
          <w:sz w:val="20"/>
          <w:szCs w:val="20"/>
          <w:lang w:val="lt-LT"/>
        </w:rPr>
        <w:sectPr w:rsidR="00E84A38" w:rsidRPr="00C97275" w:rsidSect="000E3422">
          <w:headerReference w:type="default" r:id="rId50"/>
          <w:pgSz w:w="11906" w:h="16838" w:code="9"/>
          <w:pgMar w:top="1440" w:right="1440" w:bottom="1440" w:left="1440" w:header="708" w:footer="708" w:gutter="0"/>
          <w:cols w:space="708"/>
          <w:titlePg/>
          <w:docGrid w:linePitch="360"/>
        </w:sectPr>
      </w:pPr>
    </w:p>
    <w:p w14:paraId="100B9536" w14:textId="77777777" w:rsidR="00E044B9" w:rsidRPr="00C97275" w:rsidRDefault="00E044B9" w:rsidP="00162BF5">
      <w:pPr>
        <w:pStyle w:val="Antrat1"/>
        <w:numPr>
          <w:ilvl w:val="0"/>
          <w:numId w:val="19"/>
        </w:numPr>
        <w:ind w:hanging="720"/>
        <w:rPr>
          <w:lang w:val="lt-LT"/>
        </w:rPr>
      </w:pPr>
      <w:bookmarkStart w:id="260" w:name="_Toc398567600"/>
      <w:bookmarkStart w:id="261" w:name="_Toc25594721"/>
      <w:r w:rsidRPr="00C97275">
        <w:rPr>
          <w:lang w:val="lt-LT"/>
        </w:rPr>
        <w:lastRenderedPageBreak/>
        <w:t>Investavimo strategija</w:t>
      </w:r>
      <w:bookmarkEnd w:id="260"/>
      <w:bookmarkEnd w:id="261"/>
    </w:p>
    <w:p w14:paraId="2767E234" w14:textId="6DF00D72" w:rsidR="00151543" w:rsidRPr="00C97275" w:rsidRDefault="00151543" w:rsidP="00151543">
      <w:pPr>
        <w:pStyle w:val="prastasis1"/>
        <w:spacing w:line="276" w:lineRule="auto"/>
        <w:jc w:val="both"/>
        <w:rPr>
          <w:rFonts w:ascii="Georgia" w:hAnsi="Georgia"/>
          <w:sz w:val="20"/>
          <w:szCs w:val="20"/>
        </w:rPr>
      </w:pPr>
      <w:r w:rsidRPr="00C97275">
        <w:rPr>
          <w:rFonts w:ascii="Georgia" w:hAnsi="Georgia"/>
          <w:sz w:val="20"/>
          <w:szCs w:val="20"/>
        </w:rPr>
        <w:t>Šioje e</w:t>
      </w:r>
      <w:r w:rsidR="00300FF4" w:rsidRPr="00C97275">
        <w:rPr>
          <w:rFonts w:ascii="Georgia" w:hAnsi="Georgia"/>
          <w:sz w:val="20"/>
          <w:szCs w:val="20"/>
        </w:rPr>
        <w:t>x-ante</w:t>
      </w:r>
      <w:r w:rsidRPr="00C97275">
        <w:rPr>
          <w:rFonts w:ascii="Georgia" w:hAnsi="Georgia"/>
          <w:sz w:val="20"/>
          <w:szCs w:val="20"/>
        </w:rPr>
        <w:t xml:space="preserve"> analizėje analizuojamos šios energijos efektyvumo sritys: </w:t>
      </w:r>
    </w:p>
    <w:p w14:paraId="2BBD6090" w14:textId="561FB125" w:rsidR="007A2ACA" w:rsidRPr="00C97275" w:rsidRDefault="007A2ACA" w:rsidP="00162BF5">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daugiabučių namų modernizavimas</w:t>
      </w:r>
    </w:p>
    <w:p w14:paraId="41540A26" w14:textId="589D75CF" w:rsidR="00151543" w:rsidRPr="00C97275" w:rsidRDefault="00151543" w:rsidP="00162BF5">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centrinės valdžios (valstybės nuosavybės teise valdomų) viešųjų pastatų renovacija;</w:t>
      </w:r>
    </w:p>
    <w:p w14:paraId="003AA997" w14:textId="77777777" w:rsidR="00151543" w:rsidRPr="00C97275" w:rsidRDefault="00151543" w:rsidP="00162BF5">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gatvių apšvietimo modernizavimas.</w:t>
      </w:r>
    </w:p>
    <w:p w14:paraId="6588A792" w14:textId="2056EC27" w:rsidR="00151543" w:rsidRPr="00C97275" w:rsidRDefault="00B718B4" w:rsidP="00151543">
      <w:pPr>
        <w:pStyle w:val="prastasis1"/>
        <w:spacing w:line="276" w:lineRule="auto"/>
        <w:jc w:val="both"/>
        <w:rPr>
          <w:rFonts w:ascii="Georgia" w:hAnsi="Georgia"/>
          <w:sz w:val="20"/>
          <w:szCs w:val="20"/>
        </w:rPr>
      </w:pPr>
      <w:r w:rsidRPr="00C97275">
        <w:rPr>
          <w:rFonts w:ascii="Georgia" w:hAnsi="Georgia"/>
          <w:sz w:val="20"/>
          <w:szCs w:val="20"/>
        </w:rPr>
        <w:t xml:space="preserve">Šioje Investavimo strategijoje </w:t>
      </w:r>
      <w:r w:rsidR="00151543" w:rsidRPr="00C97275">
        <w:rPr>
          <w:rFonts w:ascii="Georgia" w:hAnsi="Georgia"/>
          <w:sz w:val="20"/>
          <w:szCs w:val="20"/>
        </w:rPr>
        <w:t>yra išskiriamos</w:t>
      </w:r>
      <w:r w:rsidR="007A2ACA" w:rsidRPr="00C97275">
        <w:rPr>
          <w:rFonts w:ascii="Georgia" w:hAnsi="Georgia"/>
          <w:sz w:val="20"/>
          <w:szCs w:val="20"/>
        </w:rPr>
        <w:t xml:space="preserve"> daugiabučių namų modernizavimo,</w:t>
      </w:r>
      <w:r w:rsidR="00151543" w:rsidRPr="00C97275">
        <w:rPr>
          <w:rFonts w:ascii="Georgia" w:hAnsi="Georgia"/>
          <w:sz w:val="20"/>
          <w:szCs w:val="20"/>
        </w:rPr>
        <w:t xml:space="preserve"> viešųjų pastatų ir gatvių apšvietimo mode</w:t>
      </w:r>
      <w:r w:rsidR="007A2ACA" w:rsidRPr="00C97275">
        <w:rPr>
          <w:rFonts w:ascii="Georgia" w:hAnsi="Georgia"/>
          <w:sz w:val="20"/>
          <w:szCs w:val="20"/>
        </w:rPr>
        <w:t>rnizavimo investavimo strategijos</w:t>
      </w:r>
      <w:r w:rsidR="00151543" w:rsidRPr="00C97275">
        <w:rPr>
          <w:rFonts w:ascii="Georgia" w:hAnsi="Georgia"/>
          <w:sz w:val="20"/>
          <w:szCs w:val="20"/>
        </w:rPr>
        <w:t xml:space="preserve">. </w:t>
      </w:r>
    </w:p>
    <w:p w14:paraId="6AAB0F33" w14:textId="68E396B0" w:rsidR="00D26082" w:rsidRPr="00C97275" w:rsidRDefault="00D26082" w:rsidP="00162BF5">
      <w:pPr>
        <w:pStyle w:val="Antrat2"/>
        <w:numPr>
          <w:ilvl w:val="1"/>
          <w:numId w:val="19"/>
        </w:numPr>
        <w:spacing w:after="240"/>
        <w:ind w:left="1080"/>
        <w:rPr>
          <w:rFonts w:ascii="Georgia" w:hAnsi="Georgia"/>
          <w:lang w:val="lt-LT"/>
        </w:rPr>
      </w:pPr>
      <w:bookmarkStart w:id="262" w:name="_Toc398043861"/>
      <w:bookmarkStart w:id="263" w:name="_Toc398567613"/>
      <w:bookmarkStart w:id="264" w:name="_Toc25594722"/>
      <w:r w:rsidRPr="00C97275">
        <w:rPr>
          <w:rFonts w:ascii="Georgia" w:hAnsi="Georgia"/>
          <w:lang w:val="lt-LT"/>
        </w:rPr>
        <w:t>Daugiabučių</w:t>
      </w:r>
      <w:r w:rsidR="00F1290F" w:rsidRPr="00C97275">
        <w:rPr>
          <w:rFonts w:ascii="Georgia" w:hAnsi="Georgia"/>
          <w:lang w:val="lt-LT"/>
        </w:rPr>
        <w:t xml:space="preserve"> namų modernizavimo investavimo strategija</w:t>
      </w:r>
      <w:bookmarkEnd w:id="264"/>
    </w:p>
    <w:p w14:paraId="0857A81D" w14:textId="77777777" w:rsidR="00AA7568" w:rsidRPr="00C97275" w:rsidRDefault="00AA7568" w:rsidP="00AA7568">
      <w:pPr>
        <w:pStyle w:val="Antrat2"/>
        <w:numPr>
          <w:ilvl w:val="2"/>
          <w:numId w:val="2"/>
        </w:numPr>
        <w:spacing w:after="240"/>
        <w:rPr>
          <w:rFonts w:ascii="Georgia" w:hAnsi="Georgia"/>
          <w:lang w:val="lt-LT"/>
        </w:rPr>
      </w:pPr>
      <w:bookmarkStart w:id="265" w:name="_Toc398567602"/>
      <w:bookmarkStart w:id="266" w:name="_Toc25594723"/>
      <w:r w:rsidRPr="00C97275">
        <w:rPr>
          <w:rFonts w:ascii="Georgia" w:hAnsi="Georgia"/>
          <w:lang w:val="lt-LT"/>
        </w:rPr>
        <w:t>Finansinės priemonės apimtis ir tiksliniai galutiniai naudos gavėjai</w:t>
      </w:r>
      <w:bookmarkEnd w:id="265"/>
      <w:bookmarkEnd w:id="266"/>
      <w:r w:rsidRPr="00C97275">
        <w:rPr>
          <w:rFonts w:ascii="Georgia" w:hAnsi="Georgia"/>
          <w:lang w:val="lt-LT"/>
        </w:rPr>
        <w:t xml:space="preserve"> </w:t>
      </w:r>
    </w:p>
    <w:p w14:paraId="71A2CAD3" w14:textId="2AC1CF75" w:rsidR="007A4263" w:rsidRPr="00C97275" w:rsidRDefault="007A4263" w:rsidP="00AA7568">
      <w:pPr>
        <w:pStyle w:val="prastasis1"/>
        <w:spacing w:line="276" w:lineRule="auto"/>
        <w:jc w:val="both"/>
        <w:rPr>
          <w:rFonts w:ascii="Georgia" w:hAnsi="Georgia"/>
          <w:sz w:val="20"/>
          <w:szCs w:val="20"/>
        </w:rPr>
      </w:pPr>
      <w:r w:rsidRPr="00C97275">
        <w:rPr>
          <w:rFonts w:ascii="Georgia" w:hAnsi="Georgia"/>
          <w:sz w:val="20"/>
          <w:szCs w:val="20"/>
        </w:rPr>
        <w:t xml:space="preserve">Pradinėje ataskaitoje </w:t>
      </w:r>
      <w:r w:rsidR="00AA7568" w:rsidRPr="00C97275">
        <w:rPr>
          <w:rFonts w:ascii="Georgia" w:hAnsi="Georgia"/>
          <w:sz w:val="20"/>
          <w:szCs w:val="20"/>
        </w:rPr>
        <w:t xml:space="preserve">įvertinta, jog siekiant pasiekti užsibrėžtus rezultatus, Lietuvoje per 2014-2020 metų programavimo laikotarpį reikia daugiabučių renovacijai skirti daugiau kaip 1,3 mlrd. eurų, tačiau išnagrinėjus visus rinkoje prieinamus finansavimo šaltinius (įskaitant ir ESI fondų lėšas) bendras finansavimas daugiabučių renovacijai yra nepakankamas. Siekiant tęsti 2009 m. sukurto JESSICA KF veiklas, 2014-2020 m. periodu iš ESI fondų lėšų daugiabučių namų renovacijai </w:t>
      </w:r>
      <w:r w:rsidRPr="00C97275">
        <w:rPr>
          <w:rFonts w:ascii="Georgia" w:hAnsi="Georgia"/>
          <w:sz w:val="20"/>
          <w:szCs w:val="20"/>
        </w:rPr>
        <w:t xml:space="preserve">buvo </w:t>
      </w:r>
      <w:r w:rsidR="00AA7568" w:rsidRPr="00C97275">
        <w:rPr>
          <w:rFonts w:ascii="Georgia" w:hAnsi="Georgia"/>
          <w:sz w:val="20"/>
          <w:szCs w:val="20"/>
        </w:rPr>
        <w:t>numat</w:t>
      </w:r>
      <w:r w:rsidRPr="00C97275">
        <w:rPr>
          <w:rFonts w:ascii="Georgia" w:hAnsi="Georgia"/>
          <w:sz w:val="20"/>
          <w:szCs w:val="20"/>
        </w:rPr>
        <w:t>yta skirti apie 280,9 mln. eurų, vėliau šis skaičius peržiūrėtas ir padidintas iki 314 mln.</w:t>
      </w:r>
      <w:r w:rsidR="00AA7568" w:rsidRPr="00C97275">
        <w:rPr>
          <w:rFonts w:ascii="Georgia" w:hAnsi="Georgia"/>
          <w:sz w:val="20"/>
          <w:szCs w:val="20"/>
        </w:rPr>
        <w:t xml:space="preserve"> Tačiau net ir </w:t>
      </w:r>
      <w:r w:rsidR="00F46C41" w:rsidRPr="00C97275">
        <w:rPr>
          <w:rFonts w:ascii="Georgia" w:hAnsi="Georgia"/>
          <w:sz w:val="20"/>
          <w:szCs w:val="20"/>
        </w:rPr>
        <w:t xml:space="preserve">papildomai </w:t>
      </w:r>
      <w:r w:rsidR="00AA7568" w:rsidRPr="00C97275">
        <w:rPr>
          <w:rFonts w:ascii="Georgia" w:hAnsi="Georgia"/>
          <w:sz w:val="20"/>
          <w:szCs w:val="20"/>
        </w:rPr>
        <w:t xml:space="preserve">vertinant </w:t>
      </w:r>
      <w:r w:rsidRPr="00C97275">
        <w:rPr>
          <w:rFonts w:ascii="Georgia" w:hAnsi="Georgia"/>
          <w:sz w:val="20"/>
          <w:szCs w:val="20"/>
        </w:rPr>
        <w:t>grįžtančias</w:t>
      </w:r>
      <w:r w:rsidR="00AA7568" w:rsidRPr="00C97275">
        <w:rPr>
          <w:rFonts w:ascii="Georgia" w:hAnsi="Georgia"/>
          <w:sz w:val="20"/>
          <w:szCs w:val="20"/>
        </w:rPr>
        <w:t xml:space="preserve"> JESSICA KF lėšas, porei</w:t>
      </w:r>
      <w:r w:rsidRPr="00C97275">
        <w:rPr>
          <w:rFonts w:ascii="Georgia" w:hAnsi="Georgia"/>
          <w:sz w:val="20"/>
          <w:szCs w:val="20"/>
        </w:rPr>
        <w:t xml:space="preserve">kis investicijoms yra daugiau </w:t>
      </w:r>
      <w:r w:rsidR="00300FF4" w:rsidRPr="00C97275">
        <w:rPr>
          <w:rFonts w:ascii="Georgia" w:hAnsi="Georgia"/>
          <w:sz w:val="20"/>
          <w:szCs w:val="20"/>
        </w:rPr>
        <w:t xml:space="preserve">negu </w:t>
      </w:r>
      <w:r w:rsidRPr="00C97275">
        <w:rPr>
          <w:rFonts w:ascii="Georgia" w:hAnsi="Georgia"/>
          <w:sz w:val="20"/>
          <w:szCs w:val="20"/>
        </w:rPr>
        <w:t xml:space="preserve">kelis </w:t>
      </w:r>
      <w:r w:rsidR="00AA7568" w:rsidRPr="00C97275">
        <w:rPr>
          <w:rFonts w:ascii="Georgia" w:hAnsi="Georgia"/>
          <w:sz w:val="20"/>
          <w:szCs w:val="20"/>
        </w:rPr>
        <w:t xml:space="preserve">kartus didesnis. </w:t>
      </w:r>
    </w:p>
    <w:p w14:paraId="25D917AF" w14:textId="5AFC48AC"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sz w:val="20"/>
          <w:szCs w:val="20"/>
        </w:rPr>
        <w:t>Siekiant finansuoti daugiau projektų, būtina finansavimą teikti ne subsidijų, bet grįžtančias lėšas generuojančių ir privačias lėšas pritraukiančių finansinių priemonių pagrindu.</w:t>
      </w:r>
      <w:r w:rsidR="003337C3" w:rsidRPr="00C97275">
        <w:rPr>
          <w:rFonts w:ascii="Georgia" w:hAnsi="Georgia"/>
          <w:sz w:val="20"/>
          <w:szCs w:val="20"/>
        </w:rPr>
        <w:t xml:space="preserve"> </w:t>
      </w:r>
    </w:p>
    <w:p w14:paraId="6F215197" w14:textId="10E097B7"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sz w:val="20"/>
          <w:szCs w:val="20"/>
        </w:rPr>
        <w:t xml:space="preserve">Finansinės priemonės daugiabučių </w:t>
      </w:r>
      <w:r w:rsidR="003204A9" w:rsidRPr="00C97275">
        <w:rPr>
          <w:rFonts w:ascii="Georgia" w:hAnsi="Georgia"/>
          <w:sz w:val="20"/>
          <w:szCs w:val="20"/>
        </w:rPr>
        <w:t xml:space="preserve">namų </w:t>
      </w:r>
      <w:r w:rsidRPr="00C97275">
        <w:rPr>
          <w:rFonts w:ascii="Georgia" w:hAnsi="Georgia"/>
          <w:sz w:val="20"/>
          <w:szCs w:val="20"/>
        </w:rPr>
        <w:t xml:space="preserve">renovacijai planuojamos įgyvendinti visoje </w:t>
      </w:r>
      <w:r w:rsidR="007A4263" w:rsidRPr="00C97275">
        <w:rPr>
          <w:rFonts w:ascii="Georgia" w:hAnsi="Georgia"/>
          <w:sz w:val="20"/>
          <w:szCs w:val="20"/>
        </w:rPr>
        <w:t>Lietuvoje</w:t>
      </w:r>
      <w:r w:rsidRPr="00C97275">
        <w:rPr>
          <w:rFonts w:ascii="Georgia" w:hAnsi="Georgia"/>
          <w:sz w:val="20"/>
          <w:szCs w:val="20"/>
        </w:rPr>
        <w:t xml:space="preserve">. Vadovaujantis šiuo metu galiojančiu teisiniu reglamentavimu, </w:t>
      </w:r>
      <w:r w:rsidRPr="00C97275">
        <w:rPr>
          <w:rFonts w:ascii="Georgia" w:eastAsiaTheme="majorEastAsia" w:hAnsi="Georgia" w:cstheme="majorBidi"/>
          <w:b/>
          <w:bCs/>
          <w:color w:val="821A1A"/>
          <w:sz w:val="20"/>
          <w:szCs w:val="20"/>
          <w:lang w:eastAsia="en-US"/>
        </w:rPr>
        <w:t>galutiniais naudos gavėjais laikomi daugiabučio namo butų ir kitų patalpų savininkai</w:t>
      </w:r>
      <w:r w:rsidR="00A27A99" w:rsidRPr="00C97275">
        <w:rPr>
          <w:rFonts w:ascii="Georgia" w:eastAsiaTheme="majorEastAsia" w:hAnsi="Georgia" w:cstheme="majorBidi"/>
          <w:b/>
          <w:bCs/>
          <w:color w:val="821A1A"/>
          <w:sz w:val="20"/>
          <w:szCs w:val="20"/>
          <w:lang w:eastAsia="en-US"/>
        </w:rPr>
        <w:t>.</w:t>
      </w:r>
    </w:p>
    <w:p w14:paraId="6C44133A" w14:textId="77777777" w:rsidR="00AA7568" w:rsidRPr="00C97275" w:rsidRDefault="00AA7568" w:rsidP="00AA7568">
      <w:pPr>
        <w:pStyle w:val="Antrat2"/>
        <w:numPr>
          <w:ilvl w:val="2"/>
          <w:numId w:val="2"/>
        </w:numPr>
        <w:spacing w:after="240"/>
        <w:rPr>
          <w:rFonts w:ascii="Georgia" w:hAnsi="Georgia"/>
          <w:lang w:val="lt-LT"/>
        </w:rPr>
      </w:pPr>
      <w:bookmarkStart w:id="267" w:name="_Toc398567603"/>
      <w:bookmarkStart w:id="268" w:name="_Toc25594724"/>
      <w:r w:rsidRPr="00C97275">
        <w:rPr>
          <w:rFonts w:ascii="Georgia" w:hAnsi="Georgia"/>
          <w:lang w:val="lt-LT"/>
        </w:rPr>
        <w:t>Finansinio produkto parinkimas</w:t>
      </w:r>
      <w:bookmarkEnd w:id="267"/>
      <w:bookmarkEnd w:id="268"/>
    </w:p>
    <w:p w14:paraId="3A8ED505" w14:textId="5BBDEB30" w:rsidR="005743FF" w:rsidRPr="00C97275" w:rsidRDefault="00AA7568" w:rsidP="005743FF">
      <w:pPr>
        <w:jc w:val="both"/>
        <w:rPr>
          <w:rFonts w:ascii="Georgia" w:hAnsi="Georgia"/>
          <w:sz w:val="20"/>
          <w:szCs w:val="20"/>
          <w:lang w:val="lt-LT"/>
        </w:rPr>
      </w:pPr>
      <w:r w:rsidRPr="00C97275">
        <w:rPr>
          <w:rFonts w:ascii="Georgia" w:hAnsi="Georgia"/>
          <w:sz w:val="20"/>
          <w:szCs w:val="20"/>
          <w:lang w:val="lt-LT"/>
        </w:rPr>
        <w:t>Siekiant parinkti optimaliausią finansinį produktą daugiabučių modernizavimo projektų finansavimui, buvo įvertinti (4.1.</w:t>
      </w:r>
      <w:r w:rsidR="007A4263" w:rsidRPr="00C97275">
        <w:rPr>
          <w:rFonts w:ascii="Georgia" w:hAnsi="Georgia"/>
          <w:sz w:val="20"/>
          <w:szCs w:val="20"/>
          <w:lang w:val="lt-LT"/>
        </w:rPr>
        <w:t>4</w:t>
      </w:r>
      <w:r w:rsidRPr="00C97275">
        <w:rPr>
          <w:rFonts w:ascii="Georgia" w:hAnsi="Georgia"/>
          <w:sz w:val="20"/>
          <w:szCs w:val="20"/>
          <w:lang w:val="lt-LT"/>
        </w:rPr>
        <w:t xml:space="preserve">.1 skyrius) </w:t>
      </w:r>
      <w:r w:rsidR="005B7AD5" w:rsidRPr="00C97275">
        <w:rPr>
          <w:rFonts w:ascii="Georgia" w:hAnsi="Georgia"/>
          <w:sz w:val="20"/>
          <w:szCs w:val="20"/>
          <w:lang w:val="lt-LT"/>
        </w:rPr>
        <w:t xml:space="preserve">šeši </w:t>
      </w:r>
      <w:r w:rsidRPr="00C97275">
        <w:rPr>
          <w:rFonts w:ascii="Georgia" w:hAnsi="Georgia"/>
          <w:sz w:val="20"/>
          <w:szCs w:val="20"/>
          <w:lang w:val="lt-LT"/>
        </w:rPr>
        <w:t>scenarijai su skirtingais finansavimo modeliais. Atsižvelgiant į 4 skyriuje išdėstytus kiekvienos alternatyvos kiekybinius rezultatus, privalumus ir trūkumus bei prognozuojamą lėšų poreikį priemonei įgyvendinti, siūloma vadovaujančiai institucijai kartu su Aplinkos ministerija</w:t>
      </w:r>
      <w:r w:rsidR="005743FF" w:rsidRPr="00C97275">
        <w:rPr>
          <w:rFonts w:ascii="Georgia" w:hAnsi="Georgia"/>
          <w:sz w:val="20"/>
          <w:szCs w:val="20"/>
          <w:lang w:val="lt-LT"/>
        </w:rPr>
        <w:t xml:space="preserve"> taikyti vieno ar kelių modelių derinį, t.y.:</w:t>
      </w:r>
    </w:p>
    <w:p w14:paraId="0BBEE1C5" w14:textId="3F7ECCB9" w:rsidR="00C82F22" w:rsidRPr="00C97275" w:rsidRDefault="00C82F22" w:rsidP="00553F5A">
      <w:pPr>
        <w:pStyle w:val="prastasis1"/>
        <w:numPr>
          <w:ilvl w:val="0"/>
          <w:numId w:val="6"/>
        </w:numPr>
        <w:spacing w:line="276" w:lineRule="auto"/>
        <w:jc w:val="both"/>
        <w:rPr>
          <w:rFonts w:ascii="Georgia" w:eastAsiaTheme="majorEastAsia" w:hAnsi="Georgia" w:cstheme="majorBidi"/>
          <w:b/>
          <w:bCs/>
          <w:color w:val="821A1A"/>
          <w:sz w:val="20"/>
          <w:szCs w:val="20"/>
          <w:lang w:eastAsia="en-US"/>
        </w:rPr>
      </w:pPr>
      <w:r w:rsidRPr="00C97275">
        <w:rPr>
          <w:rFonts w:ascii="Georgia" w:eastAsiaTheme="majorEastAsia" w:hAnsi="Georgia" w:cstheme="majorBidi"/>
          <w:b/>
          <w:bCs/>
          <w:color w:val="821A1A"/>
          <w:sz w:val="20"/>
          <w:szCs w:val="20"/>
          <w:lang w:eastAsia="en-US"/>
        </w:rPr>
        <w:t xml:space="preserve">paskolų finansinę </w:t>
      </w:r>
      <w:r w:rsidR="000226F2" w:rsidRPr="00C97275">
        <w:rPr>
          <w:rFonts w:ascii="Georgia" w:eastAsiaTheme="majorEastAsia" w:hAnsi="Georgia" w:cstheme="majorBidi"/>
          <w:b/>
          <w:bCs/>
          <w:color w:val="821A1A"/>
          <w:sz w:val="20"/>
          <w:szCs w:val="20"/>
          <w:lang w:eastAsia="en-US"/>
        </w:rPr>
        <w:t>priemonę pagal Daugiabučių scenarijų Nr. 6,</w:t>
      </w:r>
      <w:r w:rsidRPr="00C97275">
        <w:rPr>
          <w:rFonts w:ascii="Georgia" w:eastAsiaTheme="majorEastAsia" w:hAnsi="Georgia" w:cstheme="majorBidi"/>
          <w:b/>
          <w:bCs/>
          <w:color w:val="821A1A"/>
          <w:sz w:val="20"/>
          <w:szCs w:val="20"/>
          <w:lang w:eastAsia="en-US"/>
        </w:rPr>
        <w:t xml:space="preserve"> taikant asimetrinės rizikos pasidalijimo modelį;</w:t>
      </w:r>
    </w:p>
    <w:p w14:paraId="56571248" w14:textId="4359C48E" w:rsidR="00C82F22" w:rsidRPr="00C97275" w:rsidRDefault="00C82F22" w:rsidP="00E3420F">
      <w:pPr>
        <w:pStyle w:val="prastasis1"/>
        <w:numPr>
          <w:ilvl w:val="0"/>
          <w:numId w:val="6"/>
        </w:numPr>
        <w:spacing w:line="276" w:lineRule="auto"/>
        <w:jc w:val="both"/>
        <w:rPr>
          <w:rFonts w:ascii="Georgia" w:eastAsiaTheme="majorEastAsia" w:hAnsi="Georgia" w:cstheme="majorBidi"/>
          <w:b/>
          <w:bCs/>
          <w:color w:val="821A1A"/>
          <w:sz w:val="20"/>
          <w:szCs w:val="20"/>
        </w:rPr>
      </w:pPr>
      <w:r w:rsidRPr="00C97275">
        <w:rPr>
          <w:rFonts w:ascii="Georgia" w:eastAsiaTheme="majorEastAsia" w:hAnsi="Georgia" w:cstheme="majorBidi"/>
          <w:b/>
          <w:bCs/>
          <w:color w:val="821A1A"/>
          <w:sz w:val="20"/>
          <w:szCs w:val="20"/>
          <w:lang w:eastAsia="en-US"/>
        </w:rPr>
        <w:t xml:space="preserve">atsiradus didesniam rinkos susidomėjimui – ir garantijų modelį. </w:t>
      </w:r>
    </w:p>
    <w:p w14:paraId="10C02638" w14:textId="24314F1B" w:rsidR="007A4263" w:rsidRPr="00C97275" w:rsidRDefault="005743FF" w:rsidP="00553F5A">
      <w:pPr>
        <w:pStyle w:val="prastasis1"/>
        <w:spacing w:line="276" w:lineRule="auto"/>
        <w:jc w:val="both"/>
        <w:rPr>
          <w:rFonts w:ascii="Georgia" w:eastAsiaTheme="majorEastAsia" w:hAnsi="Georgia" w:cstheme="majorBidi"/>
          <w:b/>
          <w:bCs/>
          <w:color w:val="821A1A"/>
          <w:sz w:val="20"/>
          <w:szCs w:val="20"/>
          <w:lang w:eastAsia="en-US"/>
        </w:rPr>
      </w:pPr>
      <w:r w:rsidRPr="00C97275">
        <w:rPr>
          <w:rFonts w:ascii="Georgia" w:hAnsi="Georgia"/>
          <w:sz w:val="20"/>
          <w:szCs w:val="20"/>
        </w:rPr>
        <w:lastRenderedPageBreak/>
        <w:t>Pažymėtina, kad ministerijos</w:t>
      </w:r>
      <w:r w:rsidR="004C1C3C" w:rsidRPr="00C97275">
        <w:rPr>
          <w:rFonts w:ascii="Georgia" w:hAnsi="Georgia"/>
          <w:sz w:val="20"/>
          <w:szCs w:val="20"/>
        </w:rPr>
        <w:t>, nekeičiant šio</w:t>
      </w:r>
      <w:r w:rsidRPr="00C97275">
        <w:rPr>
          <w:rFonts w:ascii="Georgia" w:hAnsi="Georgia"/>
          <w:sz w:val="20"/>
          <w:szCs w:val="20"/>
        </w:rPr>
        <w:t xml:space="preserve"> ex ante</w:t>
      </w:r>
      <w:r w:rsidR="004C1C3C" w:rsidRPr="00C97275">
        <w:rPr>
          <w:rFonts w:ascii="Georgia" w:hAnsi="Georgia"/>
          <w:sz w:val="20"/>
          <w:szCs w:val="20"/>
        </w:rPr>
        <w:t xml:space="preserve"> vertinimo</w:t>
      </w:r>
      <w:r w:rsidRPr="00C97275">
        <w:rPr>
          <w:rFonts w:ascii="Georgia" w:hAnsi="Georgia"/>
          <w:sz w:val="20"/>
          <w:szCs w:val="20"/>
        </w:rPr>
        <w:t>, galėtų taikyti</w:t>
      </w:r>
      <w:r w:rsidR="004C1C3C" w:rsidRPr="00C97275">
        <w:rPr>
          <w:rFonts w:ascii="Georgia" w:hAnsi="Georgia"/>
          <w:sz w:val="20"/>
          <w:szCs w:val="20"/>
        </w:rPr>
        <w:t xml:space="preserve"> ir</w:t>
      </w:r>
      <w:r w:rsidRPr="00C97275">
        <w:rPr>
          <w:rFonts w:ascii="Georgia" w:hAnsi="Georgia"/>
          <w:sz w:val="20"/>
          <w:szCs w:val="20"/>
        </w:rPr>
        <w:t xml:space="preserve"> kitas </w:t>
      </w:r>
      <w:r w:rsidR="004C1C3C" w:rsidRPr="00C97275">
        <w:rPr>
          <w:rFonts w:ascii="Georgia" w:hAnsi="Georgia"/>
          <w:sz w:val="20"/>
          <w:szCs w:val="20"/>
        </w:rPr>
        <w:t xml:space="preserve">finansines </w:t>
      </w:r>
      <w:r w:rsidRPr="00C97275">
        <w:rPr>
          <w:rFonts w:ascii="Georgia" w:hAnsi="Georgia"/>
          <w:sz w:val="20"/>
          <w:szCs w:val="20"/>
        </w:rPr>
        <w:t>priemones, kurios leidžia pasiekti panašius rezultatus</w:t>
      </w:r>
      <w:r w:rsidRPr="00C97275">
        <w:rPr>
          <w:rStyle w:val="Puslapioinaosnuoroda"/>
          <w:rFonts w:ascii="Georgia" w:hAnsi="Georgia"/>
          <w:sz w:val="20"/>
          <w:szCs w:val="20"/>
        </w:rPr>
        <w:footnoteReference w:id="168"/>
      </w:r>
      <w:r w:rsidRPr="00C97275">
        <w:rPr>
          <w:rFonts w:ascii="Georgia" w:hAnsi="Georgia"/>
          <w:sz w:val="20"/>
          <w:szCs w:val="20"/>
        </w:rPr>
        <w:t>.</w:t>
      </w:r>
    </w:p>
    <w:p w14:paraId="7930FDE8" w14:textId="4DFA7FB4" w:rsidR="00AC0A17" w:rsidRPr="00C97275" w:rsidRDefault="00AA7568" w:rsidP="007A4263">
      <w:pPr>
        <w:pStyle w:val="prastasis1"/>
        <w:spacing w:line="276" w:lineRule="auto"/>
        <w:jc w:val="both"/>
        <w:rPr>
          <w:rFonts w:ascii="Georgia" w:hAnsi="Georgia"/>
          <w:sz w:val="20"/>
          <w:szCs w:val="20"/>
        </w:rPr>
      </w:pPr>
      <w:r w:rsidRPr="00C97275">
        <w:rPr>
          <w:rFonts w:ascii="Georgia" w:hAnsi="Georgia"/>
          <w:sz w:val="20"/>
          <w:szCs w:val="20"/>
        </w:rPr>
        <w:t>Ši</w:t>
      </w:r>
      <w:r w:rsidR="00AC0A17" w:rsidRPr="00C97275">
        <w:rPr>
          <w:rFonts w:ascii="Georgia" w:hAnsi="Georgia"/>
          <w:sz w:val="20"/>
          <w:szCs w:val="20"/>
        </w:rPr>
        <w:t>os</w:t>
      </w:r>
      <w:r w:rsidRPr="00C97275">
        <w:rPr>
          <w:rFonts w:ascii="Georgia" w:hAnsi="Georgia"/>
          <w:sz w:val="20"/>
          <w:szCs w:val="20"/>
        </w:rPr>
        <w:t xml:space="preserve"> rekomend</w:t>
      </w:r>
      <w:r w:rsidR="00AC0A17" w:rsidRPr="00C97275">
        <w:rPr>
          <w:rFonts w:ascii="Georgia" w:hAnsi="Georgia"/>
          <w:sz w:val="20"/>
          <w:szCs w:val="20"/>
        </w:rPr>
        <w:t>acijos pagrįstos:</w:t>
      </w:r>
    </w:p>
    <w:p w14:paraId="4331A2AA" w14:textId="1E020A50" w:rsidR="00633FDB" w:rsidRPr="00C97275" w:rsidRDefault="00AC0A17" w:rsidP="00AC0A17">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būtinybe reaguoti ir nuolat besikeičiančią padėtį rinkoje</w:t>
      </w:r>
      <w:r w:rsidR="00B67A8E" w:rsidRPr="00C97275">
        <w:rPr>
          <w:rFonts w:ascii="Georgia" w:hAnsi="Georgia"/>
          <w:sz w:val="20"/>
          <w:szCs w:val="20"/>
        </w:rPr>
        <w:t>;</w:t>
      </w:r>
    </w:p>
    <w:p w14:paraId="3BACD9B2" w14:textId="0C17FE06" w:rsidR="00633FDB" w:rsidRPr="00C97275" w:rsidRDefault="00633FDB" w:rsidP="00AC0A17">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siekti įvairiose strategijose, veiksmų programose ir kituose teisės aktuose numtytų rezultatų</w:t>
      </w:r>
      <w:r w:rsidR="00B67A8E" w:rsidRPr="00C97275">
        <w:rPr>
          <w:rFonts w:ascii="Georgia" w:hAnsi="Georgia"/>
          <w:sz w:val="20"/>
          <w:szCs w:val="20"/>
        </w:rPr>
        <w:t>;</w:t>
      </w:r>
    </w:p>
    <w:p w14:paraId="4C6EB7C1" w14:textId="0CF62ECE" w:rsidR="00AA7568" w:rsidRPr="00C97275" w:rsidRDefault="00633FDB" w:rsidP="0063781D">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siekti užtikrinti</w:t>
      </w:r>
      <w:r w:rsidR="006F4E6E" w:rsidRPr="00C97275">
        <w:rPr>
          <w:rFonts w:ascii="Georgia" w:hAnsi="Georgia"/>
          <w:sz w:val="20"/>
          <w:szCs w:val="20"/>
        </w:rPr>
        <w:t xml:space="preserve"> tolygų perėjimą iš vieno programavimo p</w:t>
      </w:r>
      <w:r w:rsidR="00D52E5C" w:rsidRPr="00C97275">
        <w:rPr>
          <w:rFonts w:ascii="Georgia" w:hAnsi="Georgia"/>
          <w:sz w:val="20"/>
          <w:szCs w:val="20"/>
        </w:rPr>
        <w:t>eriodo į kitą bei nenutrūkstantį</w:t>
      </w:r>
      <w:r w:rsidR="006F4E6E" w:rsidRPr="00C97275">
        <w:rPr>
          <w:rFonts w:ascii="Georgia" w:hAnsi="Georgia"/>
          <w:sz w:val="20"/>
          <w:szCs w:val="20"/>
        </w:rPr>
        <w:t xml:space="preserve"> projektų finansavimą</w:t>
      </w:r>
      <w:r w:rsidR="00D52E5C" w:rsidRPr="00C97275">
        <w:rPr>
          <w:rFonts w:ascii="Georgia" w:hAnsi="Georgia"/>
          <w:sz w:val="20"/>
          <w:szCs w:val="20"/>
        </w:rPr>
        <w:t>.</w:t>
      </w:r>
    </w:p>
    <w:p w14:paraId="310CD402" w14:textId="636CE482"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sz w:val="20"/>
          <w:szCs w:val="20"/>
        </w:rPr>
        <w:t xml:space="preserve">Siūlomo finansinio produkto – </w:t>
      </w:r>
      <w:r w:rsidRPr="00C97275">
        <w:rPr>
          <w:rFonts w:ascii="Georgia" w:hAnsi="Georgia"/>
          <w:b/>
          <w:sz w:val="20"/>
          <w:szCs w:val="20"/>
        </w:rPr>
        <w:t>lengvatinių paskolų</w:t>
      </w:r>
      <w:r w:rsidRPr="00C97275">
        <w:rPr>
          <w:rFonts w:ascii="Georgia" w:hAnsi="Georgia"/>
          <w:sz w:val="20"/>
          <w:szCs w:val="20"/>
        </w:rPr>
        <w:t xml:space="preserve"> – sąlygos</w:t>
      </w:r>
      <w:r w:rsidR="002840CD" w:rsidRPr="00C97275">
        <w:rPr>
          <w:rFonts w:ascii="Georgia" w:hAnsi="Georgia"/>
          <w:sz w:val="20"/>
          <w:szCs w:val="20"/>
        </w:rPr>
        <w:t xml:space="preserve"> galutiniam naudos gavėjui būtų</w:t>
      </w:r>
      <w:r w:rsidRPr="00C97275">
        <w:rPr>
          <w:rFonts w:ascii="Georgia" w:hAnsi="Georgia"/>
          <w:sz w:val="20"/>
          <w:szCs w:val="20"/>
        </w:rPr>
        <w:t>:</w:t>
      </w:r>
    </w:p>
    <w:p w14:paraId="1F69E1DE" w14:textId="35CBF959" w:rsidR="002840CD" w:rsidRPr="00C97275" w:rsidRDefault="00AC0A17" w:rsidP="002840CD">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pa</w:t>
      </w:r>
      <w:r w:rsidR="00CD5FB1" w:rsidRPr="00C97275">
        <w:rPr>
          <w:rFonts w:ascii="Georgia" w:hAnsi="Georgia"/>
          <w:sz w:val="20"/>
          <w:szCs w:val="20"/>
        </w:rPr>
        <w:t>l</w:t>
      </w:r>
      <w:r w:rsidRPr="00C97275">
        <w:rPr>
          <w:rFonts w:ascii="Georgia" w:hAnsi="Georgia"/>
          <w:sz w:val="20"/>
          <w:szCs w:val="20"/>
        </w:rPr>
        <w:t>ūkanos – taip kaip numatyta daugiabučių modernizavimo programą reglamentuojančiuose teisės aktuose</w:t>
      </w:r>
      <w:r w:rsidR="002840CD" w:rsidRPr="00C97275">
        <w:rPr>
          <w:rFonts w:ascii="Georgia" w:hAnsi="Georgia"/>
          <w:sz w:val="20"/>
          <w:szCs w:val="20"/>
        </w:rPr>
        <w:t xml:space="preserve">; </w:t>
      </w:r>
    </w:p>
    <w:p w14:paraId="3C0ABC51" w14:textId="46281904" w:rsidR="002840CD" w:rsidRPr="00C97275" w:rsidRDefault="002840CD" w:rsidP="002840CD">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 xml:space="preserve">paskolos terminas iki 20 metų; </w:t>
      </w:r>
    </w:p>
    <w:p w14:paraId="02E751E3" w14:textId="301F8522" w:rsidR="002840CD" w:rsidRPr="00C97275" w:rsidRDefault="002840CD" w:rsidP="002840CD">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30% subsidija iš LR biudžeto (Klimato kaitos programa ar kiti šaltiniai)</w:t>
      </w:r>
      <w:r w:rsidR="00AC0A17" w:rsidRPr="00C97275">
        <w:rPr>
          <w:rFonts w:ascii="Georgia" w:hAnsi="Georgia"/>
          <w:sz w:val="20"/>
          <w:szCs w:val="20"/>
        </w:rPr>
        <w:t xml:space="preserve"> arba </w:t>
      </w:r>
      <w:r w:rsidR="0034796F" w:rsidRPr="00C97275">
        <w:rPr>
          <w:rFonts w:ascii="Georgia" w:hAnsi="Georgia"/>
          <w:sz w:val="20"/>
          <w:szCs w:val="20"/>
        </w:rPr>
        <w:t>tokia subsidija,</w:t>
      </w:r>
      <w:r w:rsidR="00AC0A17" w:rsidRPr="00C97275">
        <w:rPr>
          <w:rFonts w:ascii="Georgia" w:hAnsi="Georgia"/>
          <w:sz w:val="20"/>
          <w:szCs w:val="20"/>
        </w:rPr>
        <w:t xml:space="preserve"> kokią atsižvelgiant į valstybės </w:t>
      </w:r>
      <w:r w:rsidR="0034796F" w:rsidRPr="00C97275">
        <w:rPr>
          <w:rFonts w:ascii="Georgia" w:hAnsi="Georgia"/>
          <w:sz w:val="20"/>
          <w:szCs w:val="20"/>
        </w:rPr>
        <w:t xml:space="preserve">biudžeto ir kitų šaltinių </w:t>
      </w:r>
      <w:r w:rsidR="00AC0A17" w:rsidRPr="00C97275">
        <w:rPr>
          <w:rFonts w:ascii="Georgia" w:hAnsi="Georgia"/>
          <w:sz w:val="20"/>
          <w:szCs w:val="20"/>
        </w:rPr>
        <w:t>gali</w:t>
      </w:r>
      <w:r w:rsidR="00B67A8E" w:rsidRPr="00C97275">
        <w:rPr>
          <w:rFonts w:ascii="Georgia" w:hAnsi="Georgia"/>
          <w:sz w:val="20"/>
          <w:szCs w:val="20"/>
        </w:rPr>
        <w:t>m</w:t>
      </w:r>
      <w:r w:rsidR="00AC0A17" w:rsidRPr="00C97275">
        <w:rPr>
          <w:rFonts w:ascii="Georgia" w:hAnsi="Georgia"/>
          <w:sz w:val="20"/>
          <w:szCs w:val="20"/>
        </w:rPr>
        <w:t xml:space="preserve">ybes bei </w:t>
      </w:r>
      <w:r w:rsidR="00B67A8E" w:rsidRPr="00C97275">
        <w:rPr>
          <w:rFonts w:ascii="Georgia" w:hAnsi="Georgia"/>
          <w:sz w:val="20"/>
          <w:szCs w:val="20"/>
        </w:rPr>
        <w:t xml:space="preserve">rinkos </w:t>
      </w:r>
      <w:r w:rsidR="0034796F" w:rsidRPr="00C97275">
        <w:rPr>
          <w:rFonts w:ascii="Georgia" w:hAnsi="Georgia"/>
          <w:sz w:val="20"/>
          <w:szCs w:val="20"/>
        </w:rPr>
        <w:t>situaciją nustato valstybė</w:t>
      </w:r>
      <w:r w:rsidRPr="00C97275">
        <w:rPr>
          <w:rFonts w:ascii="Georgia" w:hAnsi="Georgia"/>
          <w:sz w:val="20"/>
          <w:szCs w:val="20"/>
        </w:rPr>
        <w:t xml:space="preserve">; </w:t>
      </w:r>
    </w:p>
    <w:p w14:paraId="7F3D1880" w14:textId="3624BA3F" w:rsidR="002840CD" w:rsidRPr="00C97275" w:rsidRDefault="002840CD" w:rsidP="002840CD">
      <w:pPr>
        <w:pStyle w:val="prastasis1"/>
        <w:numPr>
          <w:ilvl w:val="0"/>
          <w:numId w:val="6"/>
        </w:numPr>
        <w:spacing w:line="276" w:lineRule="auto"/>
        <w:jc w:val="both"/>
        <w:rPr>
          <w:rFonts w:ascii="Georgia" w:hAnsi="Georgia"/>
          <w:sz w:val="20"/>
          <w:szCs w:val="20"/>
        </w:rPr>
      </w:pPr>
      <w:r w:rsidRPr="00C97275">
        <w:rPr>
          <w:rFonts w:ascii="Georgia" w:hAnsi="Georgia"/>
          <w:sz w:val="20"/>
          <w:szCs w:val="20"/>
        </w:rPr>
        <w:t>fondo valdytojo, finansinių tarpininkų bei garantijos teikėjo administravimo mokesčiai nustatomi vadovaujantis D</w:t>
      </w:r>
      <w:r w:rsidR="0034796F" w:rsidRPr="00C97275">
        <w:rPr>
          <w:rFonts w:ascii="Georgia" w:hAnsi="Georgia"/>
          <w:sz w:val="20"/>
          <w:szCs w:val="20"/>
        </w:rPr>
        <w:t>eleguoto reglamento nuostatomis.</w:t>
      </w:r>
    </w:p>
    <w:p w14:paraId="334A18D8" w14:textId="300D36A8"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sz w:val="20"/>
          <w:szCs w:val="20"/>
        </w:rPr>
        <w:t>Siūlomas finansinis produktas (paskola) yra pažįstamas daugeliui modelio įgyvendinime dalyvaujančių subjektų, t.y. vadovaujančiai institucijai, Aplinkos ministe</w:t>
      </w:r>
      <w:r w:rsidR="00057748" w:rsidRPr="00C97275">
        <w:rPr>
          <w:rFonts w:ascii="Georgia" w:hAnsi="Georgia"/>
          <w:sz w:val="20"/>
          <w:szCs w:val="20"/>
        </w:rPr>
        <w:t>rijai, finansiniams tarpininkams</w:t>
      </w:r>
      <w:r w:rsidRPr="00C97275">
        <w:rPr>
          <w:rFonts w:ascii="Georgia" w:hAnsi="Georgia"/>
          <w:sz w:val="20"/>
          <w:szCs w:val="20"/>
        </w:rPr>
        <w:t xml:space="preserve">, projektų vykdytojams bei galutiniams naudos gavėjams. </w:t>
      </w:r>
      <w:r w:rsidR="00294638" w:rsidRPr="00C97275">
        <w:rPr>
          <w:rFonts w:ascii="Georgia" w:hAnsi="Georgia"/>
          <w:sz w:val="20"/>
          <w:szCs w:val="20"/>
        </w:rPr>
        <w:t xml:space="preserve">Sukaupta daugiabučių </w:t>
      </w:r>
      <w:r w:rsidR="00057748" w:rsidRPr="00C97275">
        <w:rPr>
          <w:rFonts w:ascii="Georgia" w:hAnsi="Georgia"/>
          <w:sz w:val="20"/>
          <w:szCs w:val="20"/>
        </w:rPr>
        <w:t xml:space="preserve">namų </w:t>
      </w:r>
      <w:r w:rsidR="00294638" w:rsidRPr="00C97275">
        <w:rPr>
          <w:rFonts w:ascii="Georgia" w:hAnsi="Georgia"/>
          <w:sz w:val="20"/>
          <w:szCs w:val="20"/>
        </w:rPr>
        <w:t>modernizavimo programų patirtis</w:t>
      </w:r>
      <w:r w:rsidRPr="00C97275">
        <w:rPr>
          <w:rFonts w:ascii="Georgia" w:hAnsi="Georgia"/>
          <w:sz w:val="20"/>
          <w:szCs w:val="20"/>
        </w:rPr>
        <w:t xml:space="preserve"> rodo, kad net ir nedideli finansinio produkto sąlygų pakeitimai daro ženklią įtaką galutinių naudos gavėjų</w:t>
      </w:r>
      <w:r w:rsidR="006C3D55" w:rsidRPr="00C97275">
        <w:rPr>
          <w:rFonts w:ascii="Georgia" w:hAnsi="Georgia"/>
          <w:sz w:val="20"/>
          <w:szCs w:val="20"/>
        </w:rPr>
        <w:t>, o taip pat ir finansinių tarpininkų,</w:t>
      </w:r>
      <w:r w:rsidRPr="00C97275">
        <w:rPr>
          <w:rFonts w:ascii="Georgia" w:hAnsi="Georgia"/>
          <w:sz w:val="20"/>
          <w:szCs w:val="20"/>
        </w:rPr>
        <w:t xml:space="preserve"> suinteresuotumui dalyvauti daugiabučių</w:t>
      </w:r>
      <w:r w:rsidR="00057748" w:rsidRPr="00C97275">
        <w:rPr>
          <w:rFonts w:ascii="Georgia" w:hAnsi="Georgia"/>
          <w:sz w:val="20"/>
          <w:szCs w:val="20"/>
        </w:rPr>
        <w:t xml:space="preserve"> namų</w:t>
      </w:r>
      <w:r w:rsidRPr="00C97275">
        <w:rPr>
          <w:rFonts w:ascii="Georgia" w:hAnsi="Georgia"/>
          <w:sz w:val="20"/>
          <w:szCs w:val="20"/>
        </w:rPr>
        <w:t xml:space="preserve"> modernizavimo programoje. Todėl rekomenduojama 2014-2020 m. periodu įgyvendinti tokį finansinį produktą, kuris </w:t>
      </w:r>
      <w:r w:rsidR="006C3D55" w:rsidRPr="00C97275">
        <w:rPr>
          <w:rFonts w:ascii="Georgia" w:hAnsi="Georgia"/>
          <w:sz w:val="20"/>
          <w:szCs w:val="20"/>
        </w:rPr>
        <w:t xml:space="preserve">iš esmės </w:t>
      </w:r>
      <w:r w:rsidRPr="00C97275">
        <w:rPr>
          <w:rFonts w:ascii="Georgia" w:hAnsi="Georgia"/>
          <w:sz w:val="20"/>
          <w:szCs w:val="20"/>
        </w:rPr>
        <w:t>būtų JESSICA KF finansinio produkto tęsinys bei</w:t>
      </w:r>
      <w:r w:rsidR="006C3D55" w:rsidRPr="00C97275">
        <w:rPr>
          <w:rFonts w:ascii="Georgia" w:hAnsi="Georgia"/>
          <w:sz w:val="20"/>
          <w:szCs w:val="20"/>
        </w:rPr>
        <w:t xml:space="preserve"> nerekomenduojama daryti drastiškų įgyvendinimo modelio pakeitimų, siekiant nedaryti</w:t>
      </w:r>
      <w:r w:rsidRPr="00C97275">
        <w:rPr>
          <w:rFonts w:ascii="Georgia" w:hAnsi="Georgia"/>
          <w:sz w:val="20"/>
          <w:szCs w:val="20"/>
        </w:rPr>
        <w:t xml:space="preserve"> </w:t>
      </w:r>
      <w:r w:rsidR="006C3D55" w:rsidRPr="00C97275">
        <w:rPr>
          <w:rFonts w:ascii="Georgia" w:hAnsi="Georgia"/>
          <w:sz w:val="20"/>
          <w:szCs w:val="20"/>
        </w:rPr>
        <w:t>neigiamos</w:t>
      </w:r>
      <w:r w:rsidRPr="00C97275">
        <w:rPr>
          <w:rFonts w:ascii="Georgia" w:hAnsi="Georgia"/>
          <w:sz w:val="20"/>
          <w:szCs w:val="20"/>
        </w:rPr>
        <w:t xml:space="preserve"> įtakos šiuo metu įsibėgėjusiam renovacijos procesui.</w:t>
      </w:r>
      <w:r w:rsidR="00B67A8E" w:rsidRPr="00C97275">
        <w:rPr>
          <w:rFonts w:ascii="Georgia" w:hAnsi="Georgia"/>
          <w:sz w:val="20"/>
          <w:szCs w:val="20"/>
        </w:rPr>
        <w:t xml:space="preserve"> Atsižvelgiant į aukščiau suformuotą rekomendaciją</w:t>
      </w:r>
      <w:r w:rsidR="006C3D55" w:rsidRPr="00C97275">
        <w:rPr>
          <w:rFonts w:ascii="Georgia" w:hAnsi="Georgia"/>
          <w:sz w:val="20"/>
          <w:szCs w:val="20"/>
        </w:rPr>
        <w:t>,</w:t>
      </w:r>
      <w:r w:rsidR="00B67A8E" w:rsidRPr="00C97275">
        <w:rPr>
          <w:rFonts w:ascii="Georgia" w:hAnsi="Georgia"/>
          <w:sz w:val="20"/>
          <w:szCs w:val="20"/>
        </w:rPr>
        <w:t xml:space="preserve"> siūloma susidarius tinkamai situacijai siekti įgyvendinti garantijų priemonę. Pabrėžtina, jog </w:t>
      </w:r>
      <w:r w:rsidR="006C3D55" w:rsidRPr="00C97275">
        <w:rPr>
          <w:rFonts w:ascii="Georgia" w:hAnsi="Georgia"/>
          <w:sz w:val="20"/>
          <w:szCs w:val="20"/>
        </w:rPr>
        <w:t xml:space="preserve">skirtingos daugiabučių renovacijai skirtos </w:t>
      </w:r>
      <w:r w:rsidR="00B67A8E" w:rsidRPr="00C97275">
        <w:rPr>
          <w:rFonts w:ascii="Georgia" w:hAnsi="Georgia"/>
          <w:sz w:val="20"/>
          <w:szCs w:val="20"/>
        </w:rPr>
        <w:t>priemonės gali veikti tiek kartu, tiek atskirai.</w:t>
      </w:r>
    </w:p>
    <w:p w14:paraId="6853EBC2" w14:textId="756875A5" w:rsidR="00B67A8E" w:rsidRPr="00C97275" w:rsidRDefault="00B67A8E" w:rsidP="00AA7568">
      <w:pPr>
        <w:pStyle w:val="prastasis1"/>
        <w:spacing w:line="276" w:lineRule="auto"/>
        <w:jc w:val="both"/>
        <w:rPr>
          <w:rFonts w:ascii="Georgia" w:hAnsi="Georgia"/>
          <w:sz w:val="20"/>
          <w:szCs w:val="20"/>
        </w:rPr>
      </w:pPr>
      <w:r w:rsidRPr="00C97275">
        <w:rPr>
          <w:rFonts w:ascii="Georgia" w:hAnsi="Georgia"/>
          <w:sz w:val="20"/>
          <w:szCs w:val="20"/>
        </w:rPr>
        <w:t>Papildomų lėšų pritraukimui paskolos priemonės atveju siūloma taikyti asimetrinį rizikos pasidalijimo modelį</w:t>
      </w:r>
      <w:r w:rsidR="005B7AD5" w:rsidRPr="00C97275">
        <w:rPr>
          <w:rFonts w:ascii="Georgia" w:hAnsi="Georgia"/>
          <w:sz w:val="20"/>
          <w:szCs w:val="20"/>
        </w:rPr>
        <w:t xml:space="preserve"> pagal Scenarijų Nr. 6</w:t>
      </w:r>
      <w:r w:rsidRPr="00C97275">
        <w:rPr>
          <w:rFonts w:ascii="Georgia" w:hAnsi="Georgia"/>
          <w:sz w:val="20"/>
          <w:szCs w:val="20"/>
        </w:rPr>
        <w:t xml:space="preserve">. </w:t>
      </w:r>
    </w:p>
    <w:p w14:paraId="3CA7DF99" w14:textId="77777777" w:rsidR="00AA7568" w:rsidRPr="00C97275" w:rsidRDefault="00AA7568" w:rsidP="00AA7568">
      <w:pPr>
        <w:pStyle w:val="Antrat2"/>
        <w:numPr>
          <w:ilvl w:val="2"/>
          <w:numId w:val="2"/>
        </w:numPr>
        <w:spacing w:after="240"/>
        <w:rPr>
          <w:rFonts w:ascii="Georgia" w:hAnsi="Georgia"/>
          <w:lang w:val="lt-LT"/>
        </w:rPr>
      </w:pPr>
      <w:bookmarkStart w:id="269" w:name="_Toc398567604"/>
      <w:bookmarkStart w:id="270" w:name="_Toc25594725"/>
      <w:r w:rsidRPr="00C97275">
        <w:rPr>
          <w:rFonts w:ascii="Georgia" w:hAnsi="Georgia"/>
          <w:lang w:val="lt-LT"/>
        </w:rPr>
        <w:t>Finansinės priemonės derinimas su parama</w:t>
      </w:r>
      <w:bookmarkEnd w:id="269"/>
      <w:bookmarkEnd w:id="270"/>
    </w:p>
    <w:p w14:paraId="0F39D537" w14:textId="77777777"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sz w:val="20"/>
          <w:szCs w:val="20"/>
        </w:rPr>
        <w:t>Bendrųjų nuostatų reglamento 13 straipsnio 7-8 dalys reglamentuoja finansinių priemonių derinimą su kitomis paramos formomis:</w:t>
      </w:r>
    </w:p>
    <w:p w14:paraId="38B55049" w14:textId="77777777" w:rsidR="00AA7568" w:rsidRPr="00C97275" w:rsidRDefault="00AA7568" w:rsidP="00AA7568">
      <w:pPr>
        <w:pStyle w:val="prastasis1"/>
        <w:spacing w:line="276" w:lineRule="auto"/>
        <w:jc w:val="both"/>
        <w:rPr>
          <w:rFonts w:ascii="Georgia" w:hAnsi="Georgia"/>
          <w:i/>
          <w:sz w:val="20"/>
          <w:szCs w:val="20"/>
        </w:rPr>
      </w:pPr>
      <w:r w:rsidRPr="00C97275">
        <w:rPr>
          <w:rFonts w:ascii="Georgia" w:hAnsi="Georgia"/>
          <w:i/>
          <w:sz w:val="20"/>
          <w:szCs w:val="20"/>
        </w:rPr>
        <w:t>„7.   Finansinės priemonės gali būti derinamos su subsidijomis, palūkanų normos subsidijomis arba garantijos mokesčio subsidijomis. Tais atvejais, kai ESI fondų parama teikiama pasitelkiant finansines priemones ir kai ji, vykdant vieną veiksmą, derinama su kitų formų parama tiesiogiai susieta su finansinėmis priemonėmis, skirtomis tiems patiems galutiniams naudos gavėjams, įskaitant techninę pagalbą, palūkanų normos subsidijas ir garantijos mokesčio subsidijas, finansinėms priemonėms taikytinos nuostatos taikomos visų formų paramai, teikiamai tam veiksmui. Tokiais atvejais laikomasi taikytinų Sąjungos valstybės pagalbos taisyklių ir kiekvienos formos paramos atveju tvarkoma atskira apskaita.</w:t>
      </w:r>
    </w:p>
    <w:p w14:paraId="1ED5C7EE" w14:textId="77777777" w:rsidR="00AA7568" w:rsidRPr="00C97275" w:rsidRDefault="00AA7568" w:rsidP="00AA7568">
      <w:pPr>
        <w:pStyle w:val="prastasis1"/>
        <w:spacing w:line="276" w:lineRule="auto"/>
        <w:jc w:val="both"/>
        <w:rPr>
          <w:rFonts w:ascii="Georgia" w:hAnsi="Georgia"/>
          <w:i/>
          <w:sz w:val="20"/>
          <w:szCs w:val="20"/>
        </w:rPr>
      </w:pPr>
      <w:r w:rsidRPr="00C97275">
        <w:rPr>
          <w:rFonts w:ascii="Georgia" w:hAnsi="Georgia"/>
          <w:i/>
          <w:sz w:val="20"/>
          <w:szCs w:val="20"/>
        </w:rPr>
        <w:lastRenderedPageBreak/>
        <w:t>8.   Pagal ESI fondo finansinę priemonę remiami galutiniai naudos gavėjai gali gauti finansavimą ir pagal kitą ESI fondų prioritetą ar programą arba pagal kitą Sąjungos biudžeto lėšomis remiamą priemonę, laikantis taikytinų Sąjungos valstybės pagalbos taisyklių. Tuo atveju tvarkoma atskira kiekvieno pagalbos šaltinio apskaita, o ESI fondų finansinės priemonės parama turi sudaryti dalį veiksmo, kurio tinkamos finansuoti išlaidos atskirtos nuo kitų finansavimo šaltinių.</w:t>
      </w:r>
    </w:p>
    <w:p w14:paraId="0A63ACE9" w14:textId="77777777" w:rsidR="00AA7568" w:rsidRPr="00C97275" w:rsidRDefault="00AA7568" w:rsidP="00AA7568">
      <w:pPr>
        <w:pStyle w:val="prastasis1"/>
        <w:spacing w:line="276" w:lineRule="auto"/>
        <w:jc w:val="both"/>
        <w:rPr>
          <w:rFonts w:ascii="Georgia" w:hAnsi="Georgia"/>
          <w:i/>
          <w:sz w:val="20"/>
          <w:szCs w:val="20"/>
        </w:rPr>
      </w:pPr>
      <w:r w:rsidRPr="00C97275">
        <w:rPr>
          <w:rFonts w:ascii="Georgia" w:hAnsi="Georgia"/>
          <w:i/>
          <w:sz w:val="20"/>
          <w:szCs w:val="20"/>
        </w:rPr>
        <w:t>9.   Derinant subsidijomis ir finansinėmis priemonėmis teikiamą finansavimą, kaip nurodyta 7 ir 8 dalyse nurodytas jei laikomasi taikytinų Sąjungos valstybės pagalbos taisyklių, galima finansuoti tą patį išlaidų elementą, jei visų derinamų formų paramos suma neviršija visos atitinkamo išlaidų elemento sumos. Subsidijos nenaudojamos finansavimui, gautam pagal finansines priemones, apmokėti. Finansinės priemonės nenaudojamos iš anksto, kol negautas subsidijų finansavimas.“</w:t>
      </w:r>
    </w:p>
    <w:p w14:paraId="12B7A30A" w14:textId="3036535F" w:rsidR="00AA7568" w:rsidRPr="00C97275" w:rsidRDefault="00B67A8E" w:rsidP="002840CD">
      <w:pPr>
        <w:pStyle w:val="prastasis1"/>
        <w:spacing w:line="276" w:lineRule="auto"/>
        <w:jc w:val="both"/>
        <w:rPr>
          <w:rFonts w:ascii="Georgia" w:hAnsi="Georgia"/>
          <w:sz w:val="20"/>
          <w:szCs w:val="20"/>
        </w:rPr>
      </w:pPr>
      <w:r w:rsidRPr="00C97275">
        <w:rPr>
          <w:rFonts w:ascii="Georgia" w:hAnsi="Georgia"/>
          <w:sz w:val="20"/>
        </w:rPr>
        <w:t>Jautrumo analizės ir kokybinės analizės vertinimu buvo nustatyta, jog daugiabučių pastatų renovacijai reikėtų taikyti subsidiją, tačiau nebuvo diskutuojama kokio tipo turėtų būti subsidija</w:t>
      </w:r>
      <w:r w:rsidR="00B60E46" w:rsidRPr="00C97275">
        <w:rPr>
          <w:rFonts w:ascii="Georgia" w:hAnsi="Georgia"/>
          <w:sz w:val="20"/>
        </w:rPr>
        <w:t xml:space="preserve"> ir jos derinimo galimybės su finansinėmis priemonėmis</w:t>
      </w:r>
      <w:r w:rsidRPr="00C97275">
        <w:rPr>
          <w:rFonts w:ascii="Georgia" w:hAnsi="Georgia"/>
          <w:sz w:val="20"/>
        </w:rPr>
        <w:t xml:space="preserve">. </w:t>
      </w:r>
      <w:r w:rsidR="003849D3" w:rsidRPr="00C97275">
        <w:rPr>
          <w:rFonts w:ascii="Georgia" w:hAnsi="Georgia"/>
          <w:sz w:val="20"/>
          <w:szCs w:val="20"/>
        </w:rPr>
        <w:t>D</w:t>
      </w:r>
      <w:r w:rsidR="00AA7568" w:rsidRPr="00C97275">
        <w:rPr>
          <w:rFonts w:ascii="Georgia" w:hAnsi="Georgia"/>
          <w:sz w:val="20"/>
          <w:szCs w:val="20"/>
        </w:rPr>
        <w:t xml:space="preserve">augiabučių modernizavimo projektams </w:t>
      </w:r>
      <w:r w:rsidR="003849D3" w:rsidRPr="00C97275">
        <w:rPr>
          <w:rFonts w:ascii="Georgia" w:hAnsi="Georgia"/>
          <w:sz w:val="20"/>
          <w:szCs w:val="20"/>
        </w:rPr>
        <w:t>skiriama subsidija apibrėžta šią veiklą reglamentuojančiuose teisės aktuose remiantis valstybės galimybėmis tokią subsidiją teikti</w:t>
      </w:r>
      <w:r w:rsidR="00AA7568" w:rsidRPr="00C97275">
        <w:rPr>
          <w:rFonts w:ascii="Georgia" w:hAnsi="Georgia"/>
          <w:sz w:val="20"/>
          <w:szCs w:val="20"/>
        </w:rPr>
        <w:t xml:space="preserve">. </w:t>
      </w:r>
    </w:p>
    <w:p w14:paraId="29F66132" w14:textId="2F293975"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sz w:val="20"/>
          <w:szCs w:val="20"/>
        </w:rPr>
        <w:t xml:space="preserve">Gyventojams taip pat svarbu, jog prie mažesnių subsidijų būtų pereinama laipsniškai, </w:t>
      </w:r>
      <w:r w:rsidR="00B60E46" w:rsidRPr="00C97275">
        <w:rPr>
          <w:rFonts w:ascii="Georgia" w:hAnsi="Georgia"/>
          <w:sz w:val="20"/>
          <w:szCs w:val="20"/>
        </w:rPr>
        <w:t xml:space="preserve">kadangi </w:t>
      </w:r>
      <w:r w:rsidRPr="00C97275">
        <w:rPr>
          <w:rFonts w:ascii="Georgia" w:hAnsi="Georgia"/>
          <w:sz w:val="20"/>
          <w:szCs w:val="20"/>
        </w:rPr>
        <w:t>tai palaikytų stabilesnį gyventojų suinteresuotumą renovacijos procesu.</w:t>
      </w:r>
    </w:p>
    <w:p w14:paraId="6BFB753B" w14:textId="77777777" w:rsidR="00AA7568" w:rsidRPr="00C97275" w:rsidRDefault="00AA7568" w:rsidP="00AA7568">
      <w:pPr>
        <w:pStyle w:val="Antrat2"/>
        <w:numPr>
          <w:ilvl w:val="2"/>
          <w:numId w:val="2"/>
        </w:numPr>
        <w:spacing w:after="240"/>
        <w:rPr>
          <w:rFonts w:ascii="Georgia" w:hAnsi="Georgia"/>
          <w:lang w:val="lt-LT"/>
        </w:rPr>
      </w:pPr>
      <w:bookmarkStart w:id="271" w:name="_Toc398567605"/>
      <w:bookmarkStart w:id="272" w:name="_Toc25594726"/>
      <w:r w:rsidRPr="00C97275">
        <w:rPr>
          <w:rFonts w:ascii="Georgia" w:hAnsi="Georgia"/>
          <w:lang w:val="lt-LT"/>
        </w:rPr>
        <w:t>Finansinės priemonės įgyvendinimo struktūra</w:t>
      </w:r>
      <w:bookmarkEnd w:id="271"/>
      <w:bookmarkEnd w:id="272"/>
    </w:p>
    <w:p w14:paraId="28CD4FDF" w14:textId="13D68ACF"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sz w:val="20"/>
          <w:szCs w:val="20"/>
        </w:rPr>
        <w:t xml:space="preserve">Kaip jau buvo nurodyta 1.3 skyriuje, nuostatos reglamentuojančios vadovaujančiosios institucijos galimybes pasirinkti finansinių priemonių įgyvendinimo struktūrą yra apibrėžtos Bendrųjų nuostatų reglamento </w:t>
      </w:r>
      <w:r w:rsidR="002840CD" w:rsidRPr="00C97275">
        <w:rPr>
          <w:rFonts w:ascii="Georgia" w:hAnsi="Georgia"/>
          <w:sz w:val="20"/>
          <w:szCs w:val="20"/>
        </w:rPr>
        <w:br/>
      </w:r>
      <w:r w:rsidRPr="00C97275">
        <w:rPr>
          <w:rFonts w:ascii="Georgia" w:hAnsi="Georgia"/>
          <w:sz w:val="20"/>
          <w:szCs w:val="20"/>
        </w:rPr>
        <w:t>38 straipsnyje.</w:t>
      </w:r>
    </w:p>
    <w:p w14:paraId="067198C6" w14:textId="102B495D" w:rsidR="007E64DB" w:rsidRPr="00C97275" w:rsidRDefault="00AA7568" w:rsidP="00AC115A">
      <w:pPr>
        <w:pStyle w:val="prastasis1"/>
        <w:spacing w:line="276" w:lineRule="auto"/>
        <w:jc w:val="both"/>
        <w:rPr>
          <w:rFonts w:ascii="Georgia" w:hAnsi="Georgia"/>
          <w:sz w:val="20"/>
          <w:szCs w:val="20"/>
        </w:rPr>
      </w:pPr>
      <w:r w:rsidRPr="00C97275">
        <w:rPr>
          <w:rFonts w:ascii="Georgia" w:hAnsi="Georgia"/>
          <w:sz w:val="20"/>
          <w:szCs w:val="20"/>
        </w:rPr>
        <w:t>Atsižvelgiant į tai, kad daugiabučių namų</w:t>
      </w:r>
      <w:r w:rsidR="001F784A" w:rsidRPr="00C97275">
        <w:rPr>
          <w:rFonts w:ascii="Georgia" w:hAnsi="Georgia"/>
          <w:sz w:val="20"/>
          <w:szCs w:val="20"/>
        </w:rPr>
        <w:t xml:space="preserve"> </w:t>
      </w:r>
      <w:r w:rsidRPr="00C97275">
        <w:rPr>
          <w:rFonts w:ascii="Georgia" w:hAnsi="Georgia"/>
          <w:sz w:val="20"/>
          <w:szCs w:val="20"/>
        </w:rPr>
        <w:t>renovacijos</w:t>
      </w:r>
      <w:r w:rsidR="001F784A" w:rsidRPr="00C97275">
        <w:rPr>
          <w:rFonts w:ascii="Georgia" w:hAnsi="Georgia"/>
          <w:sz w:val="20"/>
          <w:szCs w:val="20"/>
        </w:rPr>
        <w:t xml:space="preserve"> procese</w:t>
      </w:r>
      <w:r w:rsidRPr="00C97275">
        <w:rPr>
          <w:rFonts w:ascii="Georgia" w:hAnsi="Georgia"/>
          <w:sz w:val="20"/>
          <w:szCs w:val="20"/>
        </w:rPr>
        <w:t xml:space="preserve"> susidaro </w:t>
      </w:r>
      <w:r w:rsidR="001F784A" w:rsidRPr="00C97275">
        <w:rPr>
          <w:rFonts w:ascii="Georgia" w:hAnsi="Georgia"/>
          <w:sz w:val="20"/>
          <w:szCs w:val="20"/>
        </w:rPr>
        <w:t xml:space="preserve">pakankamai </w:t>
      </w:r>
      <w:r w:rsidRPr="00C97275">
        <w:rPr>
          <w:rFonts w:ascii="Georgia" w:hAnsi="Georgia"/>
          <w:sz w:val="20"/>
          <w:szCs w:val="20"/>
        </w:rPr>
        <w:t>didelis</w:t>
      </w:r>
      <w:r w:rsidR="002840CD" w:rsidRPr="00C97275">
        <w:rPr>
          <w:rFonts w:ascii="Georgia" w:hAnsi="Georgia"/>
          <w:sz w:val="20"/>
          <w:szCs w:val="20"/>
        </w:rPr>
        <w:t xml:space="preserve"> </w:t>
      </w:r>
      <w:r w:rsidR="00057748" w:rsidRPr="00C97275">
        <w:rPr>
          <w:rFonts w:ascii="Georgia" w:hAnsi="Georgia"/>
          <w:sz w:val="20"/>
          <w:szCs w:val="20"/>
        </w:rPr>
        <w:t>projektų srautas</w:t>
      </w:r>
      <w:r w:rsidR="001F784A" w:rsidRPr="00C97275">
        <w:rPr>
          <w:rFonts w:ascii="Georgia" w:hAnsi="Georgia"/>
          <w:sz w:val="20"/>
          <w:szCs w:val="20"/>
        </w:rPr>
        <w:t>, p</w:t>
      </w:r>
      <w:r w:rsidR="00057748" w:rsidRPr="00C97275">
        <w:rPr>
          <w:rFonts w:ascii="Georgia" w:hAnsi="Georgia"/>
          <w:sz w:val="20"/>
          <w:szCs w:val="20"/>
        </w:rPr>
        <w:t>rojektai yra</w:t>
      </w:r>
      <w:r w:rsidRPr="00C97275">
        <w:rPr>
          <w:rFonts w:ascii="Georgia" w:hAnsi="Georgia"/>
          <w:sz w:val="20"/>
          <w:szCs w:val="20"/>
        </w:rPr>
        <w:t xml:space="preserve"> išsisklaidę po visą šalies teritorij</w:t>
      </w:r>
      <w:r w:rsidR="001F784A" w:rsidRPr="00C97275">
        <w:rPr>
          <w:rFonts w:ascii="Georgia" w:hAnsi="Georgia"/>
          <w:sz w:val="20"/>
          <w:szCs w:val="20"/>
        </w:rPr>
        <w:t>ą, pats modernizavimo procesas yra paka</w:t>
      </w:r>
      <w:r w:rsidR="00557736" w:rsidRPr="00C97275">
        <w:rPr>
          <w:rFonts w:ascii="Georgia" w:hAnsi="Georgia"/>
          <w:sz w:val="20"/>
          <w:szCs w:val="20"/>
        </w:rPr>
        <w:t>nkamai įsibėgėjęs ir itin svarbu</w:t>
      </w:r>
      <w:r w:rsidR="001F784A" w:rsidRPr="00C97275">
        <w:rPr>
          <w:rFonts w:ascii="Georgia" w:hAnsi="Georgia"/>
          <w:sz w:val="20"/>
          <w:szCs w:val="20"/>
        </w:rPr>
        <w:t xml:space="preserve"> užtikrinti</w:t>
      </w:r>
      <w:r w:rsidR="00AC115A" w:rsidRPr="00C97275">
        <w:rPr>
          <w:rFonts w:ascii="Georgia" w:hAnsi="Georgia"/>
          <w:sz w:val="20"/>
          <w:szCs w:val="20"/>
        </w:rPr>
        <w:t xml:space="preserve"> </w:t>
      </w:r>
      <w:r w:rsidR="001F784A" w:rsidRPr="00C97275">
        <w:rPr>
          <w:rFonts w:ascii="Georgia" w:hAnsi="Georgia"/>
          <w:sz w:val="20"/>
          <w:szCs w:val="20"/>
        </w:rPr>
        <w:t>jo</w:t>
      </w:r>
      <w:r w:rsidR="00557736" w:rsidRPr="00C97275">
        <w:rPr>
          <w:rFonts w:ascii="Georgia" w:hAnsi="Georgia"/>
          <w:sz w:val="20"/>
          <w:szCs w:val="20"/>
        </w:rPr>
        <w:t xml:space="preserve"> tęstinumą</w:t>
      </w:r>
      <w:r w:rsidR="00AC115A" w:rsidRPr="00C97275">
        <w:rPr>
          <w:rFonts w:ascii="Georgia" w:hAnsi="Georgia"/>
          <w:sz w:val="20"/>
          <w:szCs w:val="20"/>
        </w:rPr>
        <w:t xml:space="preserve"> pereinant iš 2007-2013 m. į  2014-2020 m. </w:t>
      </w:r>
      <w:r w:rsidR="001F784A" w:rsidRPr="00C97275">
        <w:rPr>
          <w:rFonts w:ascii="Georgia" w:hAnsi="Georgia"/>
          <w:sz w:val="20"/>
          <w:szCs w:val="20"/>
        </w:rPr>
        <w:t>laikotarpį bei</w:t>
      </w:r>
      <w:r w:rsidR="00AC115A" w:rsidRPr="00C97275">
        <w:rPr>
          <w:rFonts w:ascii="Georgia" w:hAnsi="Georgia"/>
          <w:sz w:val="20"/>
          <w:szCs w:val="20"/>
        </w:rPr>
        <w:t xml:space="preserve"> sklandų</w:t>
      </w:r>
      <w:r w:rsidR="001F784A" w:rsidRPr="00C97275">
        <w:rPr>
          <w:rFonts w:ascii="Georgia" w:hAnsi="Georgia"/>
          <w:sz w:val="20"/>
          <w:szCs w:val="20"/>
        </w:rPr>
        <w:t xml:space="preserve"> ir nenutrūkstamą</w:t>
      </w:r>
      <w:r w:rsidR="00AC115A" w:rsidRPr="00C97275">
        <w:rPr>
          <w:rFonts w:ascii="Georgia" w:hAnsi="Georgia"/>
          <w:sz w:val="20"/>
          <w:szCs w:val="20"/>
        </w:rPr>
        <w:t xml:space="preserve"> suformuoto projektų srauto finansavimą</w:t>
      </w:r>
      <w:r w:rsidR="006B3DB6" w:rsidRPr="00C97275">
        <w:rPr>
          <w:rFonts w:ascii="Georgia" w:hAnsi="Georgia"/>
          <w:sz w:val="20"/>
          <w:szCs w:val="20"/>
        </w:rPr>
        <w:t>,</w:t>
      </w:r>
      <w:r w:rsidR="00AC115A" w:rsidRPr="00C97275">
        <w:rPr>
          <w:rFonts w:ascii="Georgia" w:hAnsi="Georgia"/>
          <w:sz w:val="20"/>
          <w:szCs w:val="20"/>
        </w:rPr>
        <w:t xml:space="preserve"> </w:t>
      </w:r>
      <w:r w:rsidR="00AC115A" w:rsidRPr="00C97275">
        <w:rPr>
          <w:rFonts w:ascii="Georgia" w:eastAsiaTheme="majorEastAsia" w:hAnsi="Georgia" w:cstheme="majorBidi"/>
          <w:b/>
          <w:bCs/>
          <w:color w:val="821A1A"/>
          <w:sz w:val="20"/>
          <w:szCs w:val="20"/>
          <w:lang w:eastAsia="en-US"/>
        </w:rPr>
        <w:t xml:space="preserve">rekomenduojame daugiabučių modernizavimo procesui taikyti </w:t>
      </w:r>
      <w:r w:rsidR="001F784A" w:rsidRPr="00C97275">
        <w:rPr>
          <w:rFonts w:ascii="Georgia" w:eastAsiaTheme="majorEastAsia" w:hAnsi="Georgia" w:cstheme="majorBidi"/>
          <w:b/>
          <w:bCs/>
          <w:color w:val="821A1A"/>
          <w:sz w:val="20"/>
          <w:szCs w:val="20"/>
        </w:rPr>
        <w:t xml:space="preserve">kiek įmanoma </w:t>
      </w:r>
      <w:r w:rsidR="00AC115A" w:rsidRPr="00C97275">
        <w:rPr>
          <w:rFonts w:ascii="Georgia" w:eastAsiaTheme="majorEastAsia" w:hAnsi="Georgia" w:cstheme="majorBidi"/>
          <w:b/>
          <w:bCs/>
          <w:color w:val="821A1A"/>
          <w:sz w:val="20"/>
          <w:szCs w:val="20"/>
          <w:lang w:eastAsia="en-US"/>
        </w:rPr>
        <w:t>lanks</w:t>
      </w:r>
      <w:r w:rsidR="001F784A" w:rsidRPr="00C97275">
        <w:rPr>
          <w:rFonts w:ascii="Georgia" w:eastAsiaTheme="majorEastAsia" w:hAnsi="Georgia" w:cstheme="majorBidi"/>
          <w:b/>
          <w:bCs/>
          <w:color w:val="821A1A"/>
          <w:sz w:val="20"/>
          <w:szCs w:val="20"/>
        </w:rPr>
        <w:t>tesnę</w:t>
      </w:r>
      <w:r w:rsidR="00AC115A" w:rsidRPr="00C97275">
        <w:rPr>
          <w:rFonts w:ascii="Georgia" w:eastAsiaTheme="majorEastAsia" w:hAnsi="Georgia" w:cstheme="majorBidi"/>
          <w:b/>
          <w:bCs/>
          <w:color w:val="821A1A"/>
          <w:sz w:val="20"/>
          <w:szCs w:val="20"/>
          <w:lang w:eastAsia="en-US"/>
        </w:rPr>
        <w:t xml:space="preserve"> įgyvendinimo </w:t>
      </w:r>
      <w:r w:rsidR="001F784A" w:rsidRPr="00C97275">
        <w:rPr>
          <w:rFonts w:ascii="Georgia" w:eastAsiaTheme="majorEastAsia" w:hAnsi="Georgia" w:cstheme="majorBidi"/>
          <w:b/>
          <w:bCs/>
          <w:color w:val="821A1A"/>
          <w:sz w:val="20"/>
          <w:szCs w:val="20"/>
        </w:rPr>
        <w:t>struktūrą</w:t>
      </w:r>
      <w:r w:rsidR="00AC115A" w:rsidRPr="00C97275">
        <w:rPr>
          <w:rFonts w:ascii="Georgia" w:eastAsiaTheme="majorEastAsia" w:hAnsi="Georgia" w:cstheme="majorBidi"/>
          <w:b/>
          <w:bCs/>
          <w:color w:val="821A1A"/>
          <w:sz w:val="20"/>
          <w:szCs w:val="20"/>
          <w:lang w:eastAsia="en-US"/>
        </w:rPr>
        <w:t xml:space="preserve">, tai yra derinti fondų fondo </w:t>
      </w:r>
      <w:r w:rsidR="001F784A" w:rsidRPr="00C97275">
        <w:rPr>
          <w:rFonts w:ascii="Georgia" w:eastAsiaTheme="majorEastAsia" w:hAnsi="Georgia" w:cstheme="majorBidi"/>
          <w:b/>
          <w:bCs/>
          <w:color w:val="821A1A"/>
          <w:sz w:val="20"/>
          <w:szCs w:val="20"/>
        </w:rPr>
        <w:t>ir</w:t>
      </w:r>
      <w:r w:rsidR="00AC115A" w:rsidRPr="00C97275">
        <w:rPr>
          <w:rFonts w:ascii="Georgia" w:eastAsiaTheme="majorEastAsia" w:hAnsi="Georgia" w:cstheme="majorBidi"/>
          <w:b/>
          <w:bCs/>
          <w:color w:val="821A1A"/>
          <w:sz w:val="20"/>
          <w:szCs w:val="20"/>
          <w:lang w:eastAsia="en-US"/>
        </w:rPr>
        <w:t xml:space="preserve"> finansinės priemonės struktūras.</w:t>
      </w:r>
      <w:r w:rsidR="006B3DB6" w:rsidRPr="00C97275">
        <w:rPr>
          <w:rFonts w:ascii="Georgia" w:eastAsiaTheme="majorEastAsia" w:hAnsi="Georgia" w:cstheme="majorBidi"/>
          <w:b/>
          <w:bCs/>
          <w:color w:val="821A1A"/>
          <w:sz w:val="20"/>
          <w:szCs w:val="20"/>
          <w:lang w:eastAsia="en-US"/>
        </w:rPr>
        <w:t xml:space="preserve"> </w:t>
      </w:r>
      <w:r w:rsidR="006B3DB6" w:rsidRPr="00C97275">
        <w:rPr>
          <w:rFonts w:ascii="Georgia" w:hAnsi="Georgia"/>
          <w:sz w:val="20"/>
          <w:szCs w:val="20"/>
        </w:rPr>
        <w:t>P</w:t>
      </w:r>
      <w:r w:rsidR="00AC115A" w:rsidRPr="00C97275">
        <w:rPr>
          <w:rFonts w:ascii="Georgia" w:hAnsi="Georgia"/>
          <w:sz w:val="20"/>
          <w:szCs w:val="20"/>
        </w:rPr>
        <w:t>agal poreikį</w:t>
      </w:r>
      <w:r w:rsidR="006B3DB6" w:rsidRPr="00C97275">
        <w:rPr>
          <w:rFonts w:ascii="Georgia" w:hAnsi="Georgia"/>
          <w:sz w:val="20"/>
          <w:szCs w:val="20"/>
        </w:rPr>
        <w:t xml:space="preserve"> vadovaujanti institucija ir Aplinkos ministerija daugiabučių namų </w:t>
      </w:r>
      <w:r w:rsidR="001F784A" w:rsidRPr="00C97275">
        <w:rPr>
          <w:rFonts w:ascii="Georgia" w:hAnsi="Georgia"/>
          <w:sz w:val="20"/>
          <w:szCs w:val="20"/>
        </w:rPr>
        <w:t>modernizavimo priemonių įgyvendinimui</w:t>
      </w:r>
      <w:r w:rsidR="00AC115A" w:rsidRPr="00C97275">
        <w:rPr>
          <w:rFonts w:ascii="Georgia" w:hAnsi="Georgia"/>
          <w:sz w:val="20"/>
          <w:szCs w:val="20"/>
        </w:rPr>
        <w:t xml:space="preserve"> nacionaliniame lygmenyje  gali </w:t>
      </w:r>
      <w:r w:rsidR="006B3DB6" w:rsidRPr="00C97275">
        <w:rPr>
          <w:rFonts w:ascii="Georgia" w:hAnsi="Georgia"/>
          <w:sz w:val="20"/>
          <w:szCs w:val="20"/>
        </w:rPr>
        <w:t xml:space="preserve">įsteigti </w:t>
      </w:r>
      <w:r w:rsidR="00AC115A" w:rsidRPr="00C97275">
        <w:rPr>
          <w:rFonts w:ascii="Georgia" w:hAnsi="Georgia"/>
          <w:sz w:val="20"/>
          <w:szCs w:val="20"/>
        </w:rPr>
        <w:t>vieną ar keli</w:t>
      </w:r>
      <w:r w:rsidR="006B3DB6" w:rsidRPr="00C97275">
        <w:rPr>
          <w:rFonts w:ascii="Georgia" w:hAnsi="Georgia"/>
          <w:sz w:val="20"/>
          <w:szCs w:val="20"/>
        </w:rPr>
        <w:t>a</w:t>
      </w:r>
      <w:r w:rsidR="00AC115A" w:rsidRPr="00C97275">
        <w:rPr>
          <w:rFonts w:ascii="Georgia" w:hAnsi="Georgia"/>
          <w:sz w:val="20"/>
          <w:szCs w:val="20"/>
        </w:rPr>
        <w:t>s finansines priemones</w:t>
      </w:r>
      <w:r w:rsidR="007E64DB" w:rsidRPr="00C97275">
        <w:rPr>
          <w:rFonts w:ascii="Georgia" w:hAnsi="Georgia"/>
          <w:sz w:val="20"/>
          <w:szCs w:val="20"/>
        </w:rPr>
        <w:t xml:space="preserve"> pasitelkti vieną ar kelis fondų valdytojus.  </w:t>
      </w:r>
    </w:p>
    <w:p w14:paraId="5F54EEA2" w14:textId="35500AEC" w:rsidR="00AC115A" w:rsidRPr="00C97275" w:rsidRDefault="006B3DB6" w:rsidP="00AC115A">
      <w:pPr>
        <w:pStyle w:val="prastasis1"/>
        <w:spacing w:line="276" w:lineRule="auto"/>
        <w:jc w:val="both"/>
        <w:rPr>
          <w:rFonts w:ascii="Georgia" w:hAnsi="Georgia"/>
          <w:sz w:val="20"/>
          <w:szCs w:val="20"/>
        </w:rPr>
      </w:pPr>
      <w:r w:rsidRPr="00C97275">
        <w:rPr>
          <w:rFonts w:ascii="Georgia" w:hAnsi="Georgia"/>
          <w:sz w:val="20"/>
          <w:szCs w:val="20"/>
        </w:rPr>
        <w:t>Atkreiptinas dėmesys, kad</w:t>
      </w:r>
      <w:r w:rsidR="001F784A" w:rsidRPr="00C97275">
        <w:rPr>
          <w:rFonts w:ascii="Georgia" w:hAnsi="Georgia"/>
          <w:sz w:val="20"/>
          <w:szCs w:val="20"/>
        </w:rPr>
        <w:t xml:space="preserve"> toliau pavaizduotoje</w:t>
      </w:r>
      <w:r w:rsidRPr="00C97275">
        <w:rPr>
          <w:rFonts w:ascii="Georgia" w:hAnsi="Georgia"/>
          <w:sz w:val="20"/>
          <w:szCs w:val="20"/>
        </w:rPr>
        <w:t xml:space="preserve"> III-ojoje</w:t>
      </w:r>
      <w:r w:rsidR="00ED4ADE" w:rsidRPr="00C97275">
        <w:rPr>
          <w:rFonts w:ascii="Georgia" w:hAnsi="Georgia"/>
          <w:sz w:val="20"/>
          <w:szCs w:val="20"/>
        </w:rPr>
        <w:t xml:space="preserve"> struktūroje finansini</w:t>
      </w:r>
      <w:r w:rsidRPr="00C97275">
        <w:rPr>
          <w:rFonts w:ascii="Georgia" w:hAnsi="Georgia"/>
          <w:sz w:val="20"/>
          <w:szCs w:val="20"/>
        </w:rPr>
        <w:t>o</w:t>
      </w:r>
      <w:r w:rsidR="00ED4ADE" w:rsidRPr="00C97275">
        <w:rPr>
          <w:rFonts w:ascii="Georgia" w:hAnsi="Georgia"/>
          <w:sz w:val="20"/>
          <w:szCs w:val="20"/>
        </w:rPr>
        <w:t xml:space="preserve"> tarpinink</w:t>
      </w:r>
      <w:r w:rsidRPr="00C97275">
        <w:rPr>
          <w:rFonts w:ascii="Georgia" w:hAnsi="Georgia"/>
          <w:sz w:val="20"/>
          <w:szCs w:val="20"/>
        </w:rPr>
        <w:t>o dalyvavimas</w:t>
      </w:r>
      <w:r w:rsidR="00ED4ADE" w:rsidRPr="00C97275">
        <w:rPr>
          <w:rFonts w:ascii="Georgia" w:hAnsi="Georgia"/>
          <w:sz w:val="20"/>
          <w:szCs w:val="20"/>
        </w:rPr>
        <w:t xml:space="preserve"> nėra būtinas. </w:t>
      </w:r>
      <w:r w:rsidR="002840CD" w:rsidRPr="00C97275">
        <w:rPr>
          <w:rFonts w:ascii="Georgia" w:hAnsi="Georgia"/>
          <w:sz w:val="20"/>
          <w:szCs w:val="20"/>
        </w:rPr>
        <w:t xml:space="preserve">Finansinio tarpininko poreikis priklausys nuo pasirinkto fondo </w:t>
      </w:r>
      <w:r w:rsidR="0054716E" w:rsidRPr="00C97275">
        <w:rPr>
          <w:rFonts w:ascii="Georgia" w:hAnsi="Georgia"/>
          <w:sz w:val="20"/>
          <w:szCs w:val="20"/>
        </w:rPr>
        <w:t xml:space="preserve">įgyvendinimo modelio ir fondo </w:t>
      </w:r>
      <w:r w:rsidR="002840CD" w:rsidRPr="00C97275">
        <w:rPr>
          <w:rFonts w:ascii="Georgia" w:hAnsi="Georgia"/>
          <w:sz w:val="20"/>
          <w:szCs w:val="20"/>
        </w:rPr>
        <w:t>valdytojo. Jei fondo valdytojas turi pakankamai administracinių ir žmogiškųjų resursų, užtikrina sklandų galutinių naudos gavėjų aptarnavimą visoje šalies teritorijoje (per savo padalinių tinklą ar elektroninio ryšio priemonėmis)</w:t>
      </w:r>
      <w:r w:rsidR="0054716E" w:rsidRPr="00C97275">
        <w:rPr>
          <w:rFonts w:ascii="Georgia" w:hAnsi="Georgia"/>
          <w:sz w:val="20"/>
          <w:szCs w:val="20"/>
        </w:rPr>
        <w:t xml:space="preserve">, </w:t>
      </w:r>
      <w:r w:rsidR="002840CD" w:rsidRPr="00C97275">
        <w:rPr>
          <w:rFonts w:ascii="Georgia" w:hAnsi="Georgia"/>
          <w:sz w:val="20"/>
          <w:szCs w:val="20"/>
        </w:rPr>
        <w:t xml:space="preserve">gali būti </w:t>
      </w:r>
      <w:r w:rsidR="008C6C25" w:rsidRPr="00C97275">
        <w:rPr>
          <w:rFonts w:ascii="Georgia" w:hAnsi="Georgia"/>
          <w:sz w:val="20"/>
          <w:szCs w:val="20"/>
        </w:rPr>
        <w:t>nuspręsta pasirinkti</w:t>
      </w:r>
      <w:r w:rsidR="002840CD" w:rsidRPr="00C97275">
        <w:rPr>
          <w:rFonts w:ascii="Georgia" w:hAnsi="Georgia"/>
          <w:sz w:val="20"/>
          <w:szCs w:val="20"/>
        </w:rPr>
        <w:t xml:space="preserve"> finansinės </w:t>
      </w:r>
      <w:r w:rsidR="0054716E" w:rsidRPr="00C97275">
        <w:rPr>
          <w:rFonts w:ascii="Georgia" w:hAnsi="Georgia"/>
          <w:sz w:val="20"/>
          <w:szCs w:val="20"/>
        </w:rPr>
        <w:t>priemonės įgyvendinimo struktūrą</w:t>
      </w:r>
      <w:r w:rsidR="002840CD" w:rsidRPr="00C97275">
        <w:rPr>
          <w:rFonts w:ascii="Georgia" w:hAnsi="Georgia"/>
          <w:sz w:val="20"/>
          <w:szCs w:val="20"/>
        </w:rPr>
        <w:t xml:space="preserve"> be finansinių tarpininkų.</w:t>
      </w:r>
      <w:r w:rsidRPr="00C97275">
        <w:rPr>
          <w:rFonts w:ascii="Georgia" w:hAnsi="Georgia"/>
          <w:sz w:val="20"/>
          <w:szCs w:val="20"/>
        </w:rPr>
        <w:t xml:space="preserve"> Ši aplinkybė ypač svarbi užtikr</w:t>
      </w:r>
      <w:r w:rsidR="0054716E" w:rsidRPr="00C97275">
        <w:rPr>
          <w:rFonts w:ascii="Georgia" w:hAnsi="Georgia"/>
          <w:sz w:val="20"/>
          <w:szCs w:val="20"/>
        </w:rPr>
        <w:t>in</w:t>
      </w:r>
      <w:r w:rsidRPr="00C97275">
        <w:rPr>
          <w:rFonts w:ascii="Georgia" w:hAnsi="Georgia"/>
          <w:sz w:val="20"/>
          <w:szCs w:val="20"/>
        </w:rPr>
        <w:t>ant sklandų ir nenutrūkstamą suformuoto projekto srauto finansavimą, kadangi</w:t>
      </w:r>
      <w:r w:rsidR="007E64DB" w:rsidRPr="00C97275">
        <w:rPr>
          <w:rFonts w:ascii="Georgia" w:hAnsi="Georgia"/>
          <w:sz w:val="20"/>
          <w:szCs w:val="20"/>
        </w:rPr>
        <w:t xml:space="preserve"> kaip rodo sukaupta patirtis, </w:t>
      </w:r>
      <w:r w:rsidRPr="00C97275">
        <w:rPr>
          <w:rFonts w:ascii="Georgia" w:hAnsi="Georgia"/>
          <w:sz w:val="20"/>
          <w:szCs w:val="20"/>
        </w:rPr>
        <w:t xml:space="preserve"> finansinių tarpininkų atrinkimas yra pakanakami ilgą laiką užtrukantis procesas.</w:t>
      </w:r>
    </w:p>
    <w:p w14:paraId="3B997301" w14:textId="59614061" w:rsidR="00AA7568" w:rsidRPr="00C97275" w:rsidRDefault="00AC115A" w:rsidP="00AA7568">
      <w:pPr>
        <w:pStyle w:val="Antrat"/>
        <w:rPr>
          <w:szCs w:val="20"/>
          <w:lang w:val="lt-LT"/>
        </w:rPr>
      </w:pPr>
      <w:bookmarkStart w:id="273" w:name="_Toc19105298"/>
      <w:r w:rsidRPr="00C97275">
        <w:rPr>
          <w:rFonts w:eastAsia="Times New Roman"/>
          <w:noProof/>
          <w:szCs w:val="20"/>
          <w:lang w:val="lt-LT" w:eastAsia="lt-LT"/>
        </w:rPr>
        <w:lastRenderedPageBreak/>
        <mc:AlternateContent>
          <mc:Choice Requires="wps">
            <w:drawing>
              <wp:anchor distT="0" distB="0" distL="114300" distR="114300" simplePos="0" relativeHeight="251668992" behindDoc="0" locked="0" layoutInCell="1" allowOverlap="1" wp14:anchorId="516438A6" wp14:editId="1746A009">
                <wp:simplePos x="0" y="0"/>
                <wp:positionH relativeFrom="column">
                  <wp:posOffset>3958783</wp:posOffset>
                </wp:positionH>
                <wp:positionV relativeFrom="paragraph">
                  <wp:posOffset>390249</wp:posOffset>
                </wp:positionV>
                <wp:extent cx="1802130" cy="3003550"/>
                <wp:effectExtent l="0" t="0" r="26670" b="25400"/>
                <wp:wrapTopAndBottom/>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3003550"/>
                        </a:xfrm>
                        <a:prstGeom prst="rect">
                          <a:avLst/>
                        </a:prstGeom>
                        <a:noFill/>
                        <a:ln w="19050">
                          <a:solidFill>
                            <a:srgbClr val="E36C0A"/>
                          </a:solidFill>
                          <a:miter lim="800000"/>
                          <a:headEnd/>
                          <a:tailEnd/>
                        </a:ln>
                      </wps:spPr>
                      <wps:txbx>
                        <w:txbxContent>
                          <w:p w14:paraId="7F848192" w14:textId="77777777" w:rsidR="00D1128E" w:rsidRDefault="00D1128E" w:rsidP="00AC115A">
                            <w:pPr>
                              <w:rPr>
                                <w:sz w:val="24"/>
                                <w:szCs w:val="24"/>
                              </w:rPr>
                            </w:pPr>
                            <w:r>
                              <w:rPr>
                                <w:rFonts w:ascii="Arial" w:eastAsia="Times New Roman" w:hAnsi="Arial"/>
                              </w:rPr>
                              <w:t> </w:t>
                            </w:r>
                          </w:p>
                        </w:txbxContent>
                      </wps:txbx>
                      <wps:bodyPr rot="0" vert="horz" wrap="square" lIns="91440" tIns="45720" rIns="91440" bIns="45720" anchor="t" anchorCtr="0" upright="1">
                        <a:noAutofit/>
                      </wps:bodyPr>
                    </wps:wsp>
                  </a:graphicData>
                </a:graphic>
              </wp:anchor>
            </w:drawing>
          </mc:Choice>
          <mc:Fallback>
            <w:pict>
              <v:rect id="Rectangle 178" o:spid="_x0000_s1092" style="position:absolute;margin-left:311.7pt;margin-top:30.75pt;width:141.9pt;height:236.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" filled="f" strokecolor="#e36c0a" strokeweight="1.5pt">
                <v:textbox>
                  <w:txbxContent>
                    <w:p w14:paraId="7F848192" w14:textId="77777777" w:rsidR="00D1128E" w:rsidRDefault="00D1128E" w:rsidP="00AC115A">
                      <w:pPr>
                        <w:rPr>
                          <w:sz w:val="24"/>
                          <w:szCs w:val="24"/>
                        </w:rPr>
                      </w:pPr>
                      <w:r>
                        <w:rPr>
                          <w:rFonts w:ascii="Arial" w:eastAsia="Times New Roman" w:hAnsi="Arial"/>
                        </w:rPr>
                        <w:t> </w:t>
                      </w:r>
                    </w:p>
                  </w:txbxContent>
                </v:textbox>
                <w10:wrap type="topAndBottom"/>
              </v: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71040" behindDoc="0" locked="0" layoutInCell="1" allowOverlap="1" wp14:anchorId="02967E9C" wp14:editId="0B764759">
                <wp:simplePos x="0" y="0"/>
                <wp:positionH relativeFrom="column">
                  <wp:posOffset>4309110</wp:posOffset>
                </wp:positionH>
                <wp:positionV relativeFrom="paragraph">
                  <wp:posOffset>2228215</wp:posOffset>
                </wp:positionV>
                <wp:extent cx="1001395" cy="436880"/>
                <wp:effectExtent l="0" t="0" r="27305" b="20320"/>
                <wp:wrapTopAndBottom/>
                <wp:docPr id="182" name="Straight Connector 182"/>
                <wp:cNvGraphicFramePr/>
                <a:graphic xmlns:a="http://schemas.openxmlformats.org/drawingml/2006/main">
                  <a:graphicData uri="http://schemas.microsoft.com/office/word/2010/wordprocessingShape">
                    <wps:wsp>
                      <wps:cNvCnPr/>
                      <wps:spPr>
                        <a:xfrm flipH="1" flipV="1">
                          <a:off x="0" y="0"/>
                          <a:ext cx="1001395" cy="43688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345AF" id="Straight Connector 182"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175.45pt" to="418.15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" strokecolor="#f79646 [3209]" strokeweight="1.5pt">
                <w10:wrap type="topAndBottom"/>
              </v:lin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2128" behindDoc="0" locked="0" layoutInCell="1" allowOverlap="1" wp14:anchorId="55DE3D4D" wp14:editId="539BDF26">
                <wp:simplePos x="0" y="0"/>
                <wp:positionH relativeFrom="column">
                  <wp:posOffset>0</wp:posOffset>
                </wp:positionH>
                <wp:positionV relativeFrom="paragraph">
                  <wp:posOffset>375202</wp:posOffset>
                </wp:positionV>
                <wp:extent cx="1802711" cy="3005658"/>
                <wp:effectExtent l="0" t="0" r="26670" b="23495"/>
                <wp:wrapTopAndBottom/>
                <wp:docPr id="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11" cy="3005658"/>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00B7E" id="Rectangle 8" o:spid="_x0000_s1026" style="position:absolute;margin-left:0;margin-top:29.55pt;width:141.95pt;height:236.6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" strokecolor="#e36c0a" strokeweight="1.5pt">
                <w10:wrap type="topAndBottom"/>
              </v: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3152" behindDoc="0" locked="0" layoutInCell="1" allowOverlap="1" wp14:anchorId="142F6E81" wp14:editId="1DCC8907">
                <wp:simplePos x="0" y="0"/>
                <wp:positionH relativeFrom="column">
                  <wp:posOffset>246380</wp:posOffset>
                </wp:positionH>
                <wp:positionV relativeFrom="paragraph">
                  <wp:posOffset>557530</wp:posOffset>
                </wp:positionV>
                <wp:extent cx="1423670" cy="240665"/>
                <wp:effectExtent l="0" t="0" r="24130" b="26035"/>
                <wp:wrapTopAndBottom/>
                <wp:docPr id="9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0665"/>
                        </a:xfrm>
                        <a:prstGeom prst="roundRect">
                          <a:avLst>
                            <a:gd name="adj" fmla="val 16667"/>
                          </a:avLst>
                        </a:prstGeom>
                        <a:solidFill>
                          <a:srgbClr val="E36C0A"/>
                        </a:solidFill>
                        <a:ln w="9525">
                          <a:solidFill>
                            <a:srgbClr val="974706"/>
                          </a:solidFill>
                          <a:round/>
                          <a:headEnd/>
                          <a:tailEnd/>
                        </a:ln>
                      </wps:spPr>
                      <wps:txbx>
                        <w:txbxContent>
                          <w:p w14:paraId="228D0BE3" w14:textId="77777777" w:rsidR="00D1128E" w:rsidRDefault="00D1128E" w:rsidP="00AC115A">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a:graphicData>
                </a:graphic>
              </wp:anchor>
            </w:drawing>
          </mc:Choice>
          <mc:Fallback>
            <w:pict>
              <v:roundrect id="AutoShape 11" o:spid="_x0000_s1093" style="position:absolute;margin-left:19.4pt;margin-top:43.9pt;width:112.1pt;height:18.95pt;z-index:2516331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" fillcolor="#e36c0a" strokecolor="#974706">
                <v:textbox>
                  <w:txbxContent>
                    <w:p w14:paraId="228D0BE3" w14:textId="77777777" w:rsidR="00D1128E" w:rsidRDefault="00D1128E" w:rsidP="00AC115A">
                      <w:pPr>
                        <w:spacing w:after="0" w:line="240" w:lineRule="auto"/>
                        <w:jc w:val="center"/>
                        <w:rPr>
                          <w:b/>
                          <w:color w:val="FFFFFF"/>
                          <w:sz w:val="16"/>
                          <w:szCs w:val="16"/>
                        </w:rPr>
                      </w:pPr>
                      <w:r>
                        <w:rPr>
                          <w:b/>
                          <w:color w:val="FFFFFF"/>
                          <w:sz w:val="16"/>
                          <w:szCs w:val="16"/>
                        </w:rPr>
                        <w:t>Vadovaujančioji institucija</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4176" behindDoc="0" locked="0" layoutInCell="1" allowOverlap="1" wp14:anchorId="26CA7C7E" wp14:editId="4AB18B50">
                <wp:simplePos x="0" y="0"/>
                <wp:positionH relativeFrom="column">
                  <wp:posOffset>214630</wp:posOffset>
                </wp:positionH>
                <wp:positionV relativeFrom="paragraph">
                  <wp:posOffset>2800350</wp:posOffset>
                </wp:positionV>
                <wp:extent cx="1468755" cy="465455"/>
                <wp:effectExtent l="0" t="0" r="17145" b="10795"/>
                <wp:wrapTopAndBottom/>
                <wp:docPr id="9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65455"/>
                        </a:xfrm>
                        <a:prstGeom prst="roundRect">
                          <a:avLst>
                            <a:gd name="adj" fmla="val 16667"/>
                          </a:avLst>
                        </a:prstGeom>
                        <a:solidFill>
                          <a:srgbClr val="E36C0A"/>
                        </a:solidFill>
                        <a:ln w="9525">
                          <a:solidFill>
                            <a:srgbClr val="974706"/>
                          </a:solidFill>
                          <a:round/>
                          <a:headEnd/>
                          <a:tailEnd/>
                        </a:ln>
                      </wps:spPr>
                      <wps:txbx>
                        <w:txbxContent>
                          <w:p w14:paraId="180DC913" w14:textId="77777777" w:rsidR="00D1128E" w:rsidRDefault="00D1128E" w:rsidP="00AC115A">
                            <w:pPr>
                              <w:spacing w:after="0" w:line="240" w:lineRule="auto"/>
                              <w:jc w:val="center"/>
                              <w:rPr>
                                <w:b/>
                                <w:color w:val="FFFFFF"/>
                                <w:sz w:val="16"/>
                                <w:szCs w:val="16"/>
                              </w:rPr>
                            </w:pPr>
                            <w:r>
                              <w:rPr>
                                <w:b/>
                                <w:color w:val="FFFFFF"/>
                                <w:sz w:val="16"/>
                                <w:szCs w:val="16"/>
                              </w:rPr>
                              <w:t>Galutiniai paramos</w:t>
                            </w:r>
                          </w:p>
                          <w:p w14:paraId="63E7ADED" w14:textId="77777777" w:rsidR="00D1128E" w:rsidRDefault="00D1128E" w:rsidP="00AC115A">
                            <w:pPr>
                              <w:spacing w:after="0" w:line="240" w:lineRule="auto"/>
                              <w:jc w:val="center"/>
                              <w:rPr>
                                <w:b/>
                                <w:color w:val="FFFFFF"/>
                                <w:sz w:val="16"/>
                                <w:szCs w:val="16"/>
                              </w:rPr>
                            </w:pPr>
                            <w:r>
                              <w:rPr>
                                <w:b/>
                                <w:color w:val="FFFFFF"/>
                                <w:sz w:val="16"/>
                                <w:szCs w:val="16"/>
                              </w:rPr>
                              <w:t xml:space="preserve"> gavėjai</w:t>
                            </w:r>
                          </w:p>
                          <w:p w14:paraId="4A0836A3" w14:textId="77777777" w:rsidR="00D1128E" w:rsidRDefault="00D1128E" w:rsidP="00AC115A">
                            <w:pPr>
                              <w:spacing w:after="0" w:line="240" w:lineRule="auto"/>
                              <w:jc w:val="center"/>
                              <w:rPr>
                                <w:b/>
                                <w:color w:val="FFFFFF"/>
                                <w:sz w:val="16"/>
                                <w:szCs w:val="16"/>
                              </w:rPr>
                            </w:pPr>
                          </w:p>
                        </w:txbxContent>
                      </wps:txbx>
                      <wps:bodyPr rot="0" vert="horz" wrap="square" lIns="91440" tIns="45720" rIns="91440" bIns="45720" anchor="t" anchorCtr="0" upright="1">
                        <a:noAutofit/>
                      </wps:bodyPr>
                    </wps:wsp>
                  </a:graphicData>
                </a:graphic>
              </wp:anchor>
            </w:drawing>
          </mc:Choice>
          <mc:Fallback>
            <w:pict>
              <v:roundrect id="AutoShape 14" o:spid="_x0000_s1094" style="position:absolute;margin-left:16.9pt;margin-top:220.5pt;width:115.65pt;height:36.65pt;z-index:2516341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" fillcolor="#e36c0a" strokecolor="#974706">
                <v:textbox>
                  <w:txbxContent>
                    <w:p w14:paraId="180DC913" w14:textId="77777777" w:rsidR="00D1128E" w:rsidRDefault="00D1128E" w:rsidP="00AC115A">
                      <w:pPr>
                        <w:spacing w:after="0" w:line="240" w:lineRule="auto"/>
                        <w:jc w:val="center"/>
                        <w:rPr>
                          <w:b/>
                          <w:color w:val="FFFFFF"/>
                          <w:sz w:val="16"/>
                          <w:szCs w:val="16"/>
                        </w:rPr>
                      </w:pPr>
                      <w:r>
                        <w:rPr>
                          <w:b/>
                          <w:color w:val="FFFFFF"/>
                          <w:sz w:val="16"/>
                          <w:szCs w:val="16"/>
                        </w:rPr>
                        <w:t>Galutiniai paramos</w:t>
                      </w:r>
                    </w:p>
                    <w:p w14:paraId="63E7ADED" w14:textId="77777777" w:rsidR="00D1128E" w:rsidRDefault="00D1128E" w:rsidP="00AC115A">
                      <w:pPr>
                        <w:spacing w:after="0" w:line="240" w:lineRule="auto"/>
                        <w:jc w:val="center"/>
                        <w:rPr>
                          <w:b/>
                          <w:color w:val="FFFFFF"/>
                          <w:sz w:val="16"/>
                          <w:szCs w:val="16"/>
                        </w:rPr>
                      </w:pPr>
                      <w:r>
                        <w:rPr>
                          <w:b/>
                          <w:color w:val="FFFFFF"/>
                          <w:sz w:val="16"/>
                          <w:szCs w:val="16"/>
                        </w:rPr>
                        <w:t xml:space="preserve"> gavėjai</w:t>
                      </w:r>
                    </w:p>
                    <w:p w14:paraId="4A0836A3" w14:textId="77777777" w:rsidR="00D1128E" w:rsidRDefault="00D1128E" w:rsidP="00AC115A">
                      <w:pPr>
                        <w:spacing w:after="0" w:line="240" w:lineRule="auto"/>
                        <w:jc w:val="center"/>
                        <w:rPr>
                          <w:b/>
                          <w:color w:val="FFFFFF"/>
                          <w:sz w:val="16"/>
                          <w:szCs w:val="16"/>
                        </w:rPr>
                      </w:pP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5200" behindDoc="0" locked="0" layoutInCell="1" allowOverlap="1" wp14:anchorId="220BA2AD" wp14:editId="183A57A1">
                <wp:simplePos x="0" y="0"/>
                <wp:positionH relativeFrom="column">
                  <wp:posOffset>246380</wp:posOffset>
                </wp:positionH>
                <wp:positionV relativeFrom="paragraph">
                  <wp:posOffset>1877695</wp:posOffset>
                </wp:positionV>
                <wp:extent cx="1423670" cy="421005"/>
                <wp:effectExtent l="0" t="0" r="24130" b="17145"/>
                <wp:wrapTopAndBottom/>
                <wp:docPr id="9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21005"/>
                        </a:xfrm>
                        <a:prstGeom prst="roundRect">
                          <a:avLst>
                            <a:gd name="adj" fmla="val 16667"/>
                          </a:avLst>
                        </a:prstGeom>
                        <a:solidFill>
                          <a:srgbClr val="E36C0A"/>
                        </a:solidFill>
                        <a:ln w="9525">
                          <a:solidFill>
                            <a:srgbClr val="974706"/>
                          </a:solidFill>
                          <a:round/>
                          <a:headEnd/>
                          <a:tailEnd/>
                        </a:ln>
                      </wps:spPr>
                      <wps:txbx>
                        <w:txbxContent>
                          <w:p w14:paraId="3824E761" w14:textId="77777777" w:rsidR="00D1128E" w:rsidRDefault="00D1128E" w:rsidP="00AC115A">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a:graphicData>
                </a:graphic>
              </wp:anchor>
            </w:drawing>
          </mc:Choice>
          <mc:Fallback>
            <w:pict>
              <v:roundrect id="AutoShape 16" o:spid="_x0000_s1095" style="position:absolute;margin-left:19.4pt;margin-top:147.85pt;width:112.1pt;height:33.15pt;z-index:2516352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" fillcolor="#e36c0a" strokecolor="#974706">
                <v:textbox>
                  <w:txbxContent>
                    <w:p w14:paraId="3824E761" w14:textId="77777777" w:rsidR="00D1128E" w:rsidRDefault="00D1128E" w:rsidP="00AC115A">
                      <w:pPr>
                        <w:spacing w:after="0" w:line="240" w:lineRule="auto"/>
                        <w:jc w:val="center"/>
                        <w:rPr>
                          <w:b/>
                          <w:color w:val="FFFFFF"/>
                          <w:sz w:val="16"/>
                          <w:szCs w:val="16"/>
                        </w:rPr>
                      </w:pPr>
                      <w:r>
                        <w:rPr>
                          <w:b/>
                          <w:color w:val="FFFFFF"/>
                          <w:sz w:val="16"/>
                          <w:szCs w:val="16"/>
                        </w:rPr>
                        <w:t>Finansinės priemonės valdytojas</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6224" behindDoc="0" locked="0" layoutInCell="1" allowOverlap="1" wp14:anchorId="645B4B49" wp14:editId="11406D9E">
                <wp:simplePos x="0" y="0"/>
                <wp:positionH relativeFrom="column">
                  <wp:posOffset>381635</wp:posOffset>
                </wp:positionH>
                <wp:positionV relativeFrom="paragraph">
                  <wp:posOffset>1019175</wp:posOffset>
                </wp:positionV>
                <wp:extent cx="1139825" cy="643890"/>
                <wp:effectExtent l="0" t="0" r="22225" b="22860"/>
                <wp:wrapTopAndBottom/>
                <wp:docPr id="9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43890"/>
                        </a:xfrm>
                        <a:prstGeom prst="ellipse">
                          <a:avLst/>
                        </a:prstGeom>
                        <a:solidFill>
                          <a:srgbClr val="FFC000"/>
                        </a:solidFill>
                        <a:ln w="9525">
                          <a:solidFill>
                            <a:srgbClr val="974706"/>
                          </a:solidFill>
                          <a:round/>
                          <a:headEnd/>
                          <a:tailEnd/>
                        </a:ln>
                      </wps:spPr>
                      <wps:txbx>
                        <w:txbxContent>
                          <w:p w14:paraId="7ACD37BF" w14:textId="77777777" w:rsidR="00D1128E" w:rsidRPr="00873719" w:rsidRDefault="00D1128E" w:rsidP="00AC115A">
                            <w:pPr>
                              <w:jc w:val="center"/>
                              <w:rPr>
                                <w:b/>
                                <w:color w:val="FFFFFF"/>
                                <w:lang w:val="lt-LT"/>
                              </w:rPr>
                            </w:pPr>
                            <w:r>
                              <w:rPr>
                                <w:b/>
                                <w:color w:val="FFFFFF"/>
                                <w:sz w:val="18"/>
                                <w:lang w:val="lt-LT"/>
                              </w:rPr>
                              <w:t>Finansinė priemonė</w:t>
                            </w:r>
                          </w:p>
                          <w:p w14:paraId="2DE08D7A" w14:textId="77777777" w:rsidR="00D1128E" w:rsidRPr="00873719" w:rsidRDefault="00D1128E" w:rsidP="00AC115A">
                            <w:pPr>
                              <w:jc w:val="center"/>
                              <w:rPr>
                                <w:b/>
                                <w:color w:val="FFFFFF"/>
                                <w:lang w:val="lt-LT"/>
                              </w:rPr>
                            </w:pPr>
                          </w:p>
                        </w:txbxContent>
                      </wps:txbx>
                      <wps:bodyPr rot="0" vert="horz" wrap="square" lIns="91440" tIns="45720" rIns="91440" bIns="45720" anchor="t" anchorCtr="0" upright="1">
                        <a:noAutofit/>
                      </wps:bodyPr>
                    </wps:wsp>
                  </a:graphicData>
                </a:graphic>
              </wp:anchor>
            </w:drawing>
          </mc:Choice>
          <mc:Fallback>
            <w:pict>
              <v:oval id="Oval 20" o:spid="_x0000_s1096" style="position:absolute;margin-left:30.05pt;margin-top:80.25pt;width:89.75pt;height:50.7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" fillcolor="#ffc000" strokecolor="#974706">
                <v:textbox>
                  <w:txbxContent>
                    <w:p w14:paraId="7ACD37BF" w14:textId="77777777" w:rsidR="00D1128E" w:rsidRPr="00873719" w:rsidRDefault="00D1128E" w:rsidP="00AC115A">
                      <w:pPr>
                        <w:jc w:val="center"/>
                        <w:rPr>
                          <w:b/>
                          <w:color w:val="FFFFFF"/>
                          <w:lang w:val="lt-LT"/>
                        </w:rPr>
                      </w:pPr>
                      <w:r>
                        <w:rPr>
                          <w:b/>
                          <w:color w:val="FFFFFF"/>
                          <w:sz w:val="18"/>
                          <w:lang w:val="lt-LT"/>
                        </w:rPr>
                        <w:t>Finansinė priemonė</w:t>
                      </w:r>
                    </w:p>
                    <w:p w14:paraId="2DE08D7A" w14:textId="77777777" w:rsidR="00D1128E" w:rsidRPr="00873719" w:rsidRDefault="00D1128E" w:rsidP="00AC115A">
                      <w:pPr>
                        <w:jc w:val="center"/>
                        <w:rPr>
                          <w:b/>
                          <w:color w:val="FFFFFF"/>
                          <w:lang w:val="lt-LT"/>
                        </w:rPr>
                      </w:pPr>
                    </w:p>
                  </w:txbxContent>
                </v:textbox>
                <w10:wrap type="topAndBottom"/>
              </v:oval>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7248" behindDoc="0" locked="0" layoutInCell="1" allowOverlap="1" wp14:anchorId="26F2249B" wp14:editId="6FBA0DBA">
                <wp:simplePos x="0" y="0"/>
                <wp:positionH relativeFrom="column">
                  <wp:posOffset>953770</wp:posOffset>
                </wp:positionH>
                <wp:positionV relativeFrom="paragraph">
                  <wp:posOffset>1663065</wp:posOffset>
                </wp:positionV>
                <wp:extent cx="0" cy="211455"/>
                <wp:effectExtent l="76200" t="0" r="57150" b="55245"/>
                <wp:wrapTopAndBottom/>
                <wp:docPr id="1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BFD52" id="AutoShape 24" o:spid="_x0000_s1026" type="#_x0000_t32" style="position:absolute;margin-left:75.1pt;margin-top:130.95pt;width:0;height:16.65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8272" behindDoc="0" locked="0" layoutInCell="1" allowOverlap="1" wp14:anchorId="046567AC" wp14:editId="4FAD95C6">
                <wp:simplePos x="0" y="0"/>
                <wp:positionH relativeFrom="column">
                  <wp:posOffset>953770</wp:posOffset>
                </wp:positionH>
                <wp:positionV relativeFrom="paragraph">
                  <wp:posOffset>2299335</wp:posOffset>
                </wp:positionV>
                <wp:extent cx="2540" cy="497205"/>
                <wp:effectExtent l="76200" t="0" r="73660" b="55245"/>
                <wp:wrapTopAndBottom/>
                <wp:docPr id="1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C6662" id="AutoShape 25" o:spid="_x0000_s1026" type="#_x0000_t32" style="position:absolute;margin-left:75.1pt;margin-top:181.05pt;width:.2pt;height:39.15pt;flip:x;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39296" behindDoc="0" locked="0" layoutInCell="1" allowOverlap="1" wp14:anchorId="5A206823" wp14:editId="5157BAD9">
                <wp:simplePos x="0" y="0"/>
                <wp:positionH relativeFrom="column">
                  <wp:posOffset>953770</wp:posOffset>
                </wp:positionH>
                <wp:positionV relativeFrom="paragraph">
                  <wp:posOffset>796290</wp:posOffset>
                </wp:positionV>
                <wp:extent cx="0" cy="226695"/>
                <wp:effectExtent l="76200" t="0" r="57150" b="59055"/>
                <wp:wrapTopAndBottom/>
                <wp:docPr id="1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2C814" id="AutoShape 26" o:spid="_x0000_s1026" type="#_x0000_t32" style="position:absolute;margin-left:75.1pt;margin-top:62.7pt;width:0;height:17.85pt;flip:x;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0320" behindDoc="0" locked="0" layoutInCell="1" allowOverlap="1" wp14:anchorId="6C330E94" wp14:editId="2DA80295">
                <wp:simplePos x="0" y="0"/>
                <wp:positionH relativeFrom="column">
                  <wp:posOffset>198755</wp:posOffset>
                </wp:positionH>
                <wp:positionV relativeFrom="paragraph">
                  <wp:posOffset>1270</wp:posOffset>
                </wp:positionV>
                <wp:extent cx="1423035" cy="240030"/>
                <wp:effectExtent l="0" t="0" r="24765" b="26670"/>
                <wp:wrapTopAndBottom/>
                <wp:docPr id="1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4003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1AA05B29" w14:textId="77777777" w:rsidR="00D1128E" w:rsidRDefault="00D1128E" w:rsidP="00AC115A">
                            <w:pPr>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a:graphicData>
                </a:graphic>
              </wp:anchor>
            </w:drawing>
          </mc:Choice>
          <mc:Fallback>
            <w:pict>
              <v:roundrect id="AutoShape 10" o:spid="_x0000_s1097" style="position:absolute;margin-left:15.65pt;margin-top:.1pt;width:112.05pt;height:18.9pt;z-index:251640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" fillcolor="white [3201]" strokecolor="#f79646 [3209]" strokeweight="2pt">
                <v:textbox>
                  <w:txbxContent>
                    <w:p w14:paraId="1AA05B29" w14:textId="77777777" w:rsidR="00D1128E" w:rsidRDefault="00D1128E" w:rsidP="00AC115A">
                      <w:pPr>
                        <w:jc w:val="center"/>
                      </w:pPr>
                      <w:r>
                        <w:rPr>
                          <w:rFonts w:ascii="Calibri" w:eastAsia="Calibri" w:hAnsi="Calibri"/>
                          <w:b/>
                          <w:bCs/>
                          <w:sz w:val="16"/>
                          <w:szCs w:val="16"/>
                        </w:rPr>
                        <w:t>II STRUKTŪRA</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1344" behindDoc="0" locked="0" layoutInCell="1" allowOverlap="1" wp14:anchorId="446CF15D" wp14:editId="2177C940">
                <wp:simplePos x="0" y="0"/>
                <wp:positionH relativeFrom="column">
                  <wp:posOffset>2130425</wp:posOffset>
                </wp:positionH>
                <wp:positionV relativeFrom="paragraph">
                  <wp:posOffset>8890</wp:posOffset>
                </wp:positionV>
                <wp:extent cx="1423035" cy="240030"/>
                <wp:effectExtent l="0" t="0" r="24765" b="26670"/>
                <wp:wrapTopAndBottom/>
                <wp:docPr id="14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4003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14D60592" w14:textId="77777777" w:rsidR="00D1128E" w:rsidRDefault="00D1128E" w:rsidP="00AC115A">
                            <w:pPr>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a:graphicData>
                </a:graphic>
              </wp:anchor>
            </w:drawing>
          </mc:Choice>
          <mc:Fallback>
            <w:pict>
              <v:roundrect id="_x0000_s1098" style="position:absolute;margin-left:167.75pt;margin-top:.7pt;width:112.05pt;height:18.9pt;z-index:251641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" fillcolor="white [3201]" strokecolor="#f79646 [3209]" strokeweight="2pt">
                <v:textbox>
                  <w:txbxContent>
                    <w:p w14:paraId="14D60592" w14:textId="77777777" w:rsidR="00D1128E" w:rsidRDefault="00D1128E" w:rsidP="00AC115A">
                      <w:pPr>
                        <w:jc w:val="center"/>
                      </w:pPr>
                      <w:r>
                        <w:rPr>
                          <w:rFonts w:ascii="Calibri" w:eastAsia="Calibri" w:hAnsi="Calibri"/>
                          <w:b/>
                          <w:bCs/>
                          <w:sz w:val="16"/>
                          <w:szCs w:val="16"/>
                        </w:rPr>
                        <w:t>III STRUKTŪRA</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2368" behindDoc="0" locked="0" layoutInCell="1" allowOverlap="1" wp14:anchorId="616EA95A" wp14:editId="0B705BCB">
                <wp:simplePos x="0" y="0"/>
                <wp:positionH relativeFrom="column">
                  <wp:posOffset>1939925</wp:posOffset>
                </wp:positionH>
                <wp:positionV relativeFrom="paragraph">
                  <wp:posOffset>374650</wp:posOffset>
                </wp:positionV>
                <wp:extent cx="1802130" cy="3004185"/>
                <wp:effectExtent l="0" t="0" r="26670" b="24765"/>
                <wp:wrapTopAndBottom/>
                <wp:docPr id="1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3004185"/>
                        </a:xfrm>
                        <a:prstGeom prst="rect">
                          <a:avLst/>
                        </a:prstGeom>
                        <a:solidFill>
                          <a:srgbClr val="FFFFFF"/>
                        </a:solidFill>
                        <a:ln w="19050">
                          <a:solidFill>
                            <a:srgbClr val="E36C0A"/>
                          </a:solidFill>
                          <a:miter lim="800000"/>
                          <a:headEnd/>
                          <a:tailEnd/>
                        </a:ln>
                      </wps:spPr>
                      <wps:txbx>
                        <w:txbxContent>
                          <w:p w14:paraId="71A06510" w14:textId="77777777" w:rsidR="00D1128E" w:rsidRDefault="00D1128E" w:rsidP="00AC115A">
                            <w:pPr>
                              <w:rPr>
                                <w:rFonts w:eastAsia="Times New Roman"/>
                              </w:rPr>
                            </w:pPr>
                          </w:p>
                        </w:txbxContent>
                      </wps:txbx>
                      <wps:bodyPr rot="0" vert="horz" wrap="square" lIns="91440" tIns="45720" rIns="91440" bIns="45720" anchor="t" anchorCtr="0" upright="1">
                        <a:noAutofit/>
                      </wps:bodyPr>
                    </wps:wsp>
                  </a:graphicData>
                </a:graphic>
              </wp:anchor>
            </w:drawing>
          </mc:Choice>
          <mc:Fallback>
            <w:pict>
              <v:rect id="Rectangle 9" o:spid="_x0000_s1099" style="position:absolute;margin-left:152.75pt;margin-top:29.5pt;width:141.9pt;height:236.5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" strokecolor="#e36c0a" strokeweight="1.5pt">
                <v:textbox>
                  <w:txbxContent>
                    <w:p w14:paraId="71A06510" w14:textId="77777777" w:rsidR="00D1128E" w:rsidRDefault="00D1128E" w:rsidP="00AC115A">
                      <w:pPr>
                        <w:rPr>
                          <w:rFonts w:eastAsia="Times New Roman"/>
                        </w:rPr>
                      </w:pPr>
                    </w:p>
                  </w:txbxContent>
                </v:textbox>
                <w10:wrap type="topAndBottom"/>
              </v: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3392" behindDoc="0" locked="0" layoutInCell="1" allowOverlap="1" wp14:anchorId="27437B41" wp14:editId="707E2F6B">
                <wp:simplePos x="0" y="0"/>
                <wp:positionH relativeFrom="column">
                  <wp:posOffset>2114550</wp:posOffset>
                </wp:positionH>
                <wp:positionV relativeFrom="paragraph">
                  <wp:posOffset>557530</wp:posOffset>
                </wp:positionV>
                <wp:extent cx="1423670" cy="240030"/>
                <wp:effectExtent l="0" t="0" r="24130" b="26670"/>
                <wp:wrapTopAndBottom/>
                <wp:docPr id="1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0030"/>
                        </a:xfrm>
                        <a:prstGeom prst="roundRect">
                          <a:avLst>
                            <a:gd name="adj" fmla="val 16667"/>
                          </a:avLst>
                        </a:prstGeom>
                        <a:solidFill>
                          <a:srgbClr val="E36C0A"/>
                        </a:solidFill>
                        <a:ln w="9525">
                          <a:solidFill>
                            <a:srgbClr val="974706"/>
                          </a:solidFill>
                          <a:round/>
                          <a:headEnd/>
                          <a:tailEnd/>
                        </a:ln>
                      </wps:spPr>
                      <wps:txbx>
                        <w:txbxContent>
                          <w:p w14:paraId="31520B67" w14:textId="77777777" w:rsidR="00D1128E" w:rsidRDefault="00D1128E" w:rsidP="00AC115A">
                            <w:pPr>
                              <w:spacing w:after="0"/>
                              <w:jc w:val="center"/>
                            </w:pPr>
                            <w:r>
                              <w:rPr>
                                <w:rFonts w:ascii="Calibri" w:eastAsia="Calibri" w:hAnsi="Calibri"/>
                                <w:b/>
                                <w:bCs/>
                                <w:color w:val="FFFFFF"/>
                                <w:sz w:val="16"/>
                                <w:szCs w:val="16"/>
                              </w:rPr>
                              <w:t>Vadovaujančioji institucija</w:t>
                            </w:r>
                          </w:p>
                        </w:txbxContent>
                      </wps:txbx>
                      <wps:bodyPr rot="0" vert="horz" wrap="square" lIns="91440" tIns="45720" rIns="91440" bIns="45720" anchor="t" anchorCtr="0" upright="1">
                        <a:noAutofit/>
                      </wps:bodyPr>
                    </wps:wsp>
                  </a:graphicData>
                </a:graphic>
              </wp:anchor>
            </w:drawing>
          </mc:Choice>
          <mc:Fallback>
            <w:pict>
              <v:roundrect id="AutoShape 12" o:spid="_x0000_s1100" style="position:absolute;margin-left:166.5pt;margin-top:43.9pt;width:112.1pt;height:18.9pt;z-index:2516433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" fillcolor="#e36c0a" strokecolor="#974706">
                <v:textbox>
                  <w:txbxContent>
                    <w:p w14:paraId="31520B67" w14:textId="77777777" w:rsidR="00D1128E" w:rsidRDefault="00D1128E" w:rsidP="00AC115A">
                      <w:pPr>
                        <w:spacing w:after="0"/>
                        <w:jc w:val="center"/>
                      </w:pPr>
                      <w:r>
                        <w:rPr>
                          <w:rFonts w:ascii="Calibri" w:eastAsia="Calibri" w:hAnsi="Calibri"/>
                          <w:b/>
                          <w:bCs/>
                          <w:color w:val="FFFFFF"/>
                          <w:sz w:val="16"/>
                          <w:szCs w:val="16"/>
                        </w:rPr>
                        <w:t>Vadovaujančioji institucija</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4416" behindDoc="0" locked="0" layoutInCell="1" allowOverlap="1" wp14:anchorId="31F5E1F6" wp14:editId="33EE1050">
                <wp:simplePos x="0" y="0"/>
                <wp:positionH relativeFrom="column">
                  <wp:posOffset>2114550</wp:posOffset>
                </wp:positionH>
                <wp:positionV relativeFrom="paragraph">
                  <wp:posOffset>2800350</wp:posOffset>
                </wp:positionV>
                <wp:extent cx="1423670" cy="465455"/>
                <wp:effectExtent l="0" t="0" r="24130" b="10795"/>
                <wp:wrapTopAndBottom/>
                <wp:docPr id="15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65455"/>
                        </a:xfrm>
                        <a:prstGeom prst="roundRect">
                          <a:avLst>
                            <a:gd name="adj" fmla="val 16667"/>
                          </a:avLst>
                        </a:prstGeom>
                        <a:solidFill>
                          <a:srgbClr val="E36C0A"/>
                        </a:solidFill>
                        <a:ln w="9525">
                          <a:solidFill>
                            <a:srgbClr val="974706"/>
                          </a:solidFill>
                          <a:round/>
                          <a:headEnd/>
                          <a:tailEnd/>
                        </a:ln>
                      </wps:spPr>
                      <wps:txbx>
                        <w:txbxContent>
                          <w:p w14:paraId="338C3A2C" w14:textId="77777777" w:rsidR="00D1128E" w:rsidRDefault="00D1128E" w:rsidP="00AC115A">
                            <w:pPr>
                              <w:spacing w:after="0"/>
                              <w:jc w:val="center"/>
                            </w:pPr>
                            <w:r>
                              <w:rPr>
                                <w:rFonts w:ascii="Calibri" w:eastAsia="Calibri" w:hAnsi="Calibri"/>
                                <w:b/>
                                <w:bCs/>
                                <w:color w:val="FFFFFF"/>
                                <w:sz w:val="16"/>
                                <w:szCs w:val="16"/>
                              </w:rPr>
                              <w:t>Galutiniai paramos</w:t>
                            </w:r>
                          </w:p>
                          <w:p w14:paraId="25A075F7" w14:textId="77777777" w:rsidR="00D1128E" w:rsidRDefault="00D1128E" w:rsidP="00AC115A">
                            <w:pPr>
                              <w:spacing w:after="0"/>
                              <w:jc w:val="center"/>
                            </w:pPr>
                            <w:r>
                              <w:rPr>
                                <w:rFonts w:ascii="Calibri" w:eastAsia="Calibri" w:hAnsi="Calibri"/>
                                <w:b/>
                                <w:bCs/>
                                <w:color w:val="FFFFFF"/>
                                <w:sz w:val="16"/>
                                <w:szCs w:val="16"/>
                              </w:rPr>
                              <w:t xml:space="preserve"> gavėjai</w:t>
                            </w:r>
                          </w:p>
                          <w:p w14:paraId="17DA3F41" w14:textId="77777777" w:rsidR="00D1128E" w:rsidRDefault="00D1128E" w:rsidP="00AC115A">
                            <w:pPr>
                              <w:spacing w:after="0"/>
                              <w:jc w:val="center"/>
                            </w:pPr>
                            <w:r>
                              <w:rPr>
                                <w:rFonts w:ascii="Calibri" w:eastAsia="Calibri" w:hAnsi="Calibri"/>
                                <w:b/>
                                <w:bCs/>
                                <w:color w:val="FFFFFF"/>
                                <w:sz w:val="16"/>
                                <w:szCs w:val="16"/>
                              </w:rPr>
                              <w:t> </w:t>
                            </w:r>
                          </w:p>
                        </w:txbxContent>
                      </wps:txbx>
                      <wps:bodyPr rot="0" vert="horz" wrap="square" lIns="91440" tIns="45720" rIns="91440" bIns="45720" anchor="t" anchorCtr="0" upright="1">
                        <a:noAutofit/>
                      </wps:bodyPr>
                    </wps:wsp>
                  </a:graphicData>
                </a:graphic>
              </wp:anchor>
            </w:drawing>
          </mc:Choice>
          <mc:Fallback>
            <w:pict>
              <v:roundrect id="AutoShape 15" o:spid="_x0000_s1101" style="position:absolute;margin-left:166.5pt;margin-top:220.5pt;width:112.1pt;height:36.65pt;z-index:251644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" fillcolor="#e36c0a" strokecolor="#974706">
                <v:textbox>
                  <w:txbxContent>
                    <w:p w14:paraId="338C3A2C" w14:textId="77777777" w:rsidR="00D1128E" w:rsidRDefault="00D1128E" w:rsidP="00AC115A">
                      <w:pPr>
                        <w:spacing w:after="0"/>
                        <w:jc w:val="center"/>
                      </w:pPr>
                      <w:r>
                        <w:rPr>
                          <w:rFonts w:ascii="Calibri" w:eastAsia="Calibri" w:hAnsi="Calibri"/>
                          <w:b/>
                          <w:bCs/>
                          <w:color w:val="FFFFFF"/>
                          <w:sz w:val="16"/>
                          <w:szCs w:val="16"/>
                        </w:rPr>
                        <w:t>Galutiniai paramos</w:t>
                      </w:r>
                    </w:p>
                    <w:p w14:paraId="25A075F7" w14:textId="77777777" w:rsidR="00D1128E" w:rsidRDefault="00D1128E" w:rsidP="00AC115A">
                      <w:pPr>
                        <w:spacing w:after="0"/>
                        <w:jc w:val="center"/>
                      </w:pPr>
                      <w:r>
                        <w:rPr>
                          <w:rFonts w:ascii="Calibri" w:eastAsia="Calibri" w:hAnsi="Calibri"/>
                          <w:b/>
                          <w:bCs/>
                          <w:color w:val="FFFFFF"/>
                          <w:sz w:val="16"/>
                          <w:szCs w:val="16"/>
                        </w:rPr>
                        <w:t xml:space="preserve"> gavėjai</w:t>
                      </w:r>
                    </w:p>
                    <w:p w14:paraId="17DA3F41" w14:textId="77777777" w:rsidR="00D1128E" w:rsidRDefault="00D1128E" w:rsidP="00AC115A">
                      <w:pPr>
                        <w:spacing w:after="0"/>
                        <w:jc w:val="center"/>
                      </w:pPr>
                      <w:r>
                        <w:rPr>
                          <w:rFonts w:ascii="Calibri" w:eastAsia="Calibri" w:hAnsi="Calibri"/>
                          <w:b/>
                          <w:bCs/>
                          <w:color w:val="FFFFFF"/>
                          <w:sz w:val="16"/>
                          <w:szCs w:val="16"/>
                        </w:rPr>
                        <w:t> </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5440" behindDoc="0" locked="0" layoutInCell="1" allowOverlap="1" wp14:anchorId="7945D74A" wp14:editId="4EF48B07">
                <wp:simplePos x="0" y="0"/>
                <wp:positionH relativeFrom="column">
                  <wp:posOffset>2114550</wp:posOffset>
                </wp:positionH>
                <wp:positionV relativeFrom="paragraph">
                  <wp:posOffset>2315210</wp:posOffset>
                </wp:positionV>
                <wp:extent cx="1424305" cy="241300"/>
                <wp:effectExtent l="0" t="0" r="23495" b="25400"/>
                <wp:wrapTopAndBottom/>
                <wp:docPr id="1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241300"/>
                        </a:xfrm>
                        <a:prstGeom prst="roundRect">
                          <a:avLst>
                            <a:gd name="adj" fmla="val 16667"/>
                          </a:avLst>
                        </a:prstGeom>
                        <a:solidFill>
                          <a:srgbClr val="E36C0A"/>
                        </a:solidFill>
                        <a:ln w="9525">
                          <a:solidFill>
                            <a:srgbClr val="974706"/>
                          </a:solidFill>
                          <a:prstDash val="dash"/>
                          <a:round/>
                          <a:headEnd/>
                          <a:tailEnd/>
                        </a:ln>
                      </wps:spPr>
                      <wps:txbx>
                        <w:txbxContent>
                          <w:p w14:paraId="2AB94EC5" w14:textId="77777777" w:rsidR="00D1128E" w:rsidRDefault="00D1128E" w:rsidP="00AC115A">
                            <w:pPr>
                              <w:spacing w:after="0"/>
                              <w:jc w:val="center"/>
                            </w:pPr>
                            <w:r>
                              <w:rPr>
                                <w:rFonts w:ascii="Calibri" w:eastAsia="Calibri" w:hAnsi="Calibri"/>
                                <w:b/>
                                <w:bCs/>
                                <w:color w:val="FFFFFF"/>
                                <w:sz w:val="16"/>
                                <w:szCs w:val="16"/>
                              </w:rPr>
                              <w:t>Finansinis tarpininkas</w:t>
                            </w:r>
                          </w:p>
                        </w:txbxContent>
                      </wps:txbx>
                      <wps:bodyPr rot="0" vert="horz" wrap="square" lIns="91440" tIns="45720" rIns="91440" bIns="45720" anchor="t" anchorCtr="0" upright="1">
                        <a:noAutofit/>
                      </wps:bodyPr>
                    </wps:wsp>
                  </a:graphicData>
                </a:graphic>
              </wp:anchor>
            </w:drawing>
          </mc:Choice>
          <mc:Fallback>
            <w:pict>
              <v:roundrect id="AutoShape 17" o:spid="_x0000_s1102" style="position:absolute;margin-left:166.5pt;margin-top:182.3pt;width:112.15pt;height:19pt;z-index:251645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" fillcolor="#e36c0a" strokecolor="#974706">
                <v:stroke dashstyle="dash"/>
                <v:textbox>
                  <w:txbxContent>
                    <w:p w14:paraId="2AB94EC5" w14:textId="77777777" w:rsidR="00D1128E" w:rsidRDefault="00D1128E" w:rsidP="00AC115A">
                      <w:pPr>
                        <w:spacing w:after="0"/>
                        <w:jc w:val="center"/>
                      </w:pPr>
                      <w:r>
                        <w:rPr>
                          <w:rFonts w:ascii="Calibri" w:eastAsia="Calibri" w:hAnsi="Calibri"/>
                          <w:b/>
                          <w:bCs/>
                          <w:color w:val="FFFFFF"/>
                          <w:sz w:val="16"/>
                          <w:szCs w:val="16"/>
                        </w:rPr>
                        <w:t>Finansinis tarpininkas</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7488" behindDoc="0" locked="0" layoutInCell="1" allowOverlap="1" wp14:anchorId="37BCBCE0" wp14:editId="16866DB4">
                <wp:simplePos x="0" y="0"/>
                <wp:positionH relativeFrom="column">
                  <wp:posOffset>2122805</wp:posOffset>
                </wp:positionH>
                <wp:positionV relativeFrom="paragraph">
                  <wp:posOffset>1082675</wp:posOffset>
                </wp:positionV>
                <wp:extent cx="1423670" cy="241300"/>
                <wp:effectExtent l="0" t="0" r="24130" b="25400"/>
                <wp:wrapTopAndBottom/>
                <wp:docPr id="1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1300"/>
                        </a:xfrm>
                        <a:prstGeom prst="roundRect">
                          <a:avLst>
                            <a:gd name="adj" fmla="val 16667"/>
                          </a:avLst>
                        </a:prstGeom>
                        <a:solidFill>
                          <a:srgbClr val="E36C0A"/>
                        </a:solidFill>
                        <a:ln w="9525">
                          <a:solidFill>
                            <a:srgbClr val="974706"/>
                          </a:solidFill>
                          <a:round/>
                          <a:headEnd/>
                          <a:tailEnd/>
                        </a:ln>
                      </wps:spPr>
                      <wps:txbx>
                        <w:txbxContent>
                          <w:p w14:paraId="220FB136" w14:textId="77777777" w:rsidR="00D1128E" w:rsidRDefault="00D1128E" w:rsidP="00AC115A">
                            <w:pPr>
                              <w:spacing w:after="0"/>
                              <w:jc w:val="center"/>
                            </w:pPr>
                            <w:r>
                              <w:rPr>
                                <w:rFonts w:ascii="Calibri" w:eastAsia="Calibri" w:hAnsi="Calibri"/>
                                <w:b/>
                                <w:bCs/>
                                <w:color w:val="FFFFFF"/>
                                <w:sz w:val="16"/>
                                <w:szCs w:val="16"/>
                              </w:rPr>
                              <w:t>Fondų fondas</w:t>
                            </w:r>
                          </w:p>
                        </w:txbxContent>
                      </wps:txbx>
                      <wps:bodyPr rot="0" vert="horz" wrap="square" lIns="91440" tIns="45720" rIns="91440" bIns="45720" anchor="t" anchorCtr="0" upright="1">
                        <a:noAutofit/>
                      </wps:bodyPr>
                    </wps:wsp>
                  </a:graphicData>
                </a:graphic>
              </wp:anchor>
            </w:drawing>
          </mc:Choice>
          <mc:Fallback>
            <w:pict>
              <v:roundrect id="AutoShape 18" o:spid="_x0000_s1103" style="position:absolute;margin-left:167.15pt;margin-top:85.25pt;width:112.1pt;height:19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" fillcolor="#e36c0a" strokecolor="#974706">
                <v:textbox>
                  <w:txbxContent>
                    <w:p w14:paraId="220FB136" w14:textId="77777777" w:rsidR="00D1128E" w:rsidRDefault="00D1128E" w:rsidP="00AC115A">
                      <w:pPr>
                        <w:spacing w:after="0"/>
                        <w:jc w:val="center"/>
                      </w:pPr>
                      <w:r>
                        <w:rPr>
                          <w:rFonts w:ascii="Calibri" w:eastAsia="Calibri" w:hAnsi="Calibri"/>
                          <w:b/>
                          <w:bCs/>
                          <w:color w:val="FFFFFF"/>
                          <w:sz w:val="16"/>
                          <w:szCs w:val="16"/>
                        </w:rPr>
                        <w:t>Fondų fondas</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49536" behindDoc="0" locked="0" layoutInCell="1" allowOverlap="1" wp14:anchorId="3DA720F4" wp14:editId="3E2B43EB">
                <wp:simplePos x="0" y="0"/>
                <wp:positionH relativeFrom="column">
                  <wp:posOffset>2830195</wp:posOffset>
                </wp:positionH>
                <wp:positionV relativeFrom="paragraph">
                  <wp:posOffset>1329055</wp:posOffset>
                </wp:positionV>
                <wp:extent cx="2540" cy="133350"/>
                <wp:effectExtent l="76200" t="0" r="73660" b="57150"/>
                <wp:wrapTopAndBottom/>
                <wp:docPr id="1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D264B" id="AutoShape 27" o:spid="_x0000_s1026" type="#_x0000_t32" style="position:absolute;margin-left:222.85pt;margin-top:104.65pt;width:.2pt;height:10.5pt;flip:x;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50560" behindDoc="0" locked="0" layoutInCell="1" allowOverlap="1" wp14:anchorId="7C4246E1" wp14:editId="1CD96AAF">
                <wp:simplePos x="0" y="0"/>
                <wp:positionH relativeFrom="column">
                  <wp:posOffset>2822575</wp:posOffset>
                </wp:positionH>
                <wp:positionV relativeFrom="paragraph">
                  <wp:posOffset>2108200</wp:posOffset>
                </wp:positionV>
                <wp:extent cx="1270" cy="210185"/>
                <wp:effectExtent l="76200" t="0" r="74930" b="56515"/>
                <wp:wrapTopAndBottom/>
                <wp:docPr id="15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9D701" id="AutoShape 28" o:spid="_x0000_s1026" type="#_x0000_t32" style="position:absolute;margin-left:222.25pt;margin-top:166pt;width:.1pt;height:16.55pt;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51584" behindDoc="0" locked="0" layoutInCell="1" allowOverlap="1" wp14:anchorId="2097910F" wp14:editId="5BDE8D05">
                <wp:simplePos x="0" y="0"/>
                <wp:positionH relativeFrom="column">
                  <wp:posOffset>2822575</wp:posOffset>
                </wp:positionH>
                <wp:positionV relativeFrom="paragraph">
                  <wp:posOffset>2561590</wp:posOffset>
                </wp:positionV>
                <wp:extent cx="1270" cy="239395"/>
                <wp:effectExtent l="76200" t="0" r="74930" b="65405"/>
                <wp:wrapTopAndBottom/>
                <wp:docPr id="15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03C6B" id="AutoShape 29" o:spid="_x0000_s1026" type="#_x0000_t32" style="position:absolute;margin-left:222.25pt;margin-top:201.7pt;width:.1pt;height:18.85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56704" behindDoc="0" locked="0" layoutInCell="1" allowOverlap="1" wp14:anchorId="7894E8CB" wp14:editId="03D4E3AB">
                <wp:simplePos x="0" y="0"/>
                <wp:positionH relativeFrom="column">
                  <wp:posOffset>2830195</wp:posOffset>
                </wp:positionH>
                <wp:positionV relativeFrom="paragraph">
                  <wp:posOffset>796290</wp:posOffset>
                </wp:positionV>
                <wp:extent cx="635" cy="288925"/>
                <wp:effectExtent l="76200" t="0" r="75565" b="53975"/>
                <wp:wrapTopAndBottom/>
                <wp:docPr id="15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A0FDF" id="AutoShape 26" o:spid="_x0000_s1026" type="#_x0000_t32" style="position:absolute;margin-left:222.85pt;margin-top:62.7pt;width:.05pt;height:22.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57728" behindDoc="0" locked="0" layoutInCell="1" allowOverlap="1" wp14:anchorId="1E5656AF" wp14:editId="192ECB59">
                <wp:simplePos x="0" y="0"/>
                <wp:positionH relativeFrom="column">
                  <wp:posOffset>2258060</wp:posOffset>
                </wp:positionH>
                <wp:positionV relativeFrom="paragraph">
                  <wp:posOffset>1464310</wp:posOffset>
                </wp:positionV>
                <wp:extent cx="1139825" cy="643255"/>
                <wp:effectExtent l="0" t="0" r="22225" b="23495"/>
                <wp:wrapTopAndBottom/>
                <wp:docPr id="158"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43255"/>
                        </a:xfrm>
                        <a:prstGeom prst="ellipse">
                          <a:avLst/>
                        </a:prstGeom>
                        <a:solidFill>
                          <a:srgbClr val="FFC000"/>
                        </a:solidFill>
                        <a:ln w="9525">
                          <a:solidFill>
                            <a:srgbClr val="974706"/>
                          </a:solidFill>
                          <a:round/>
                          <a:headEnd/>
                          <a:tailEnd/>
                        </a:ln>
                      </wps:spPr>
                      <wps:txbx>
                        <w:txbxContent>
                          <w:p w14:paraId="4F0E2FB2" w14:textId="77777777" w:rsidR="00D1128E" w:rsidRDefault="00D1128E" w:rsidP="00AC115A">
                            <w:pPr>
                              <w:jc w:val="center"/>
                            </w:pPr>
                            <w:r>
                              <w:rPr>
                                <w:rFonts w:ascii="Calibri" w:eastAsia="Calibri" w:hAnsi="Calibri"/>
                                <w:b/>
                                <w:bCs/>
                                <w:color w:val="FFFFFF"/>
                                <w:sz w:val="18"/>
                                <w:szCs w:val="18"/>
                              </w:rPr>
                              <w:t>Finansinė priemonė</w:t>
                            </w:r>
                          </w:p>
                          <w:p w14:paraId="6E4899A7" w14:textId="77777777" w:rsidR="00D1128E" w:rsidRDefault="00D1128E" w:rsidP="00AC115A">
                            <w:pPr>
                              <w:jc w:val="center"/>
                            </w:pPr>
                            <w:r>
                              <w:rPr>
                                <w:rFonts w:ascii="Calibri" w:eastAsia="Calibri" w:hAnsi="Calibri"/>
                                <w:b/>
                                <w:bCs/>
                                <w:color w:val="FFFFFF"/>
                              </w:rPr>
                              <w:t> </w:t>
                            </w:r>
                          </w:p>
                        </w:txbxContent>
                      </wps:txbx>
                      <wps:bodyPr rot="0" vert="horz" wrap="square" lIns="91440" tIns="45720" rIns="91440" bIns="45720" anchor="t" anchorCtr="0" upright="1">
                        <a:noAutofit/>
                      </wps:bodyPr>
                    </wps:wsp>
                  </a:graphicData>
                </a:graphic>
              </wp:anchor>
            </w:drawing>
          </mc:Choice>
          <mc:Fallback>
            <w:pict>
              <v:oval id="Oval 166" o:spid="_x0000_s1104" style="position:absolute;margin-left:177.8pt;margin-top:115.3pt;width:89.75pt;height:50.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" fillcolor="#ffc000" strokecolor="#974706">
                <v:textbox>
                  <w:txbxContent>
                    <w:p w14:paraId="4F0E2FB2" w14:textId="77777777" w:rsidR="00D1128E" w:rsidRDefault="00D1128E" w:rsidP="00AC115A">
                      <w:pPr>
                        <w:jc w:val="center"/>
                      </w:pPr>
                      <w:r>
                        <w:rPr>
                          <w:rFonts w:ascii="Calibri" w:eastAsia="Calibri" w:hAnsi="Calibri"/>
                          <w:b/>
                          <w:bCs/>
                          <w:color w:val="FFFFFF"/>
                          <w:sz w:val="18"/>
                          <w:szCs w:val="18"/>
                        </w:rPr>
                        <w:t>Finansinė priemonė</w:t>
                      </w:r>
                    </w:p>
                    <w:p w14:paraId="6E4899A7" w14:textId="77777777" w:rsidR="00D1128E" w:rsidRDefault="00D1128E" w:rsidP="00AC115A">
                      <w:pPr>
                        <w:jc w:val="center"/>
                      </w:pPr>
                      <w:r>
                        <w:rPr>
                          <w:rFonts w:ascii="Calibri" w:eastAsia="Calibri" w:hAnsi="Calibri"/>
                          <w:b/>
                          <w:bCs/>
                          <w:color w:val="FFFFFF"/>
                        </w:rPr>
                        <w:t> </w:t>
                      </w:r>
                    </w:p>
                  </w:txbxContent>
                </v:textbox>
                <w10:wrap type="topAndBottom"/>
              </v:oval>
            </w:pict>
          </mc:Fallback>
        </mc:AlternateContent>
      </w:r>
      <w:r w:rsidRPr="00C97275">
        <w:rPr>
          <w:rFonts w:eastAsia="Times New Roman"/>
          <w:noProof/>
          <w:szCs w:val="20"/>
          <w:lang w:val="lt-LT" w:eastAsia="lt-LT"/>
        </w:rPr>
        <mc:AlternateContent>
          <mc:Choice Requires="wps">
            <w:drawing>
              <wp:anchor distT="0" distB="0" distL="114300" distR="114300" simplePos="0" relativeHeight="251658752" behindDoc="0" locked="0" layoutInCell="1" allowOverlap="1" wp14:anchorId="7B85626A" wp14:editId="333BDFF6">
                <wp:simplePos x="0" y="0"/>
                <wp:positionH relativeFrom="column">
                  <wp:posOffset>4094480</wp:posOffset>
                </wp:positionH>
                <wp:positionV relativeFrom="paragraph">
                  <wp:posOffset>1270</wp:posOffset>
                </wp:positionV>
                <wp:extent cx="1423035" cy="239395"/>
                <wp:effectExtent l="0" t="0" r="24765" b="27305"/>
                <wp:wrapTopAndBottom/>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39395"/>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723B7B46" w14:textId="77777777" w:rsidR="00D1128E" w:rsidRDefault="00D1128E" w:rsidP="00AC115A">
                            <w:pPr>
                              <w:spacing w:after="0"/>
                              <w:jc w:val="center"/>
                              <w:rPr>
                                <w:sz w:val="24"/>
                                <w:szCs w:val="24"/>
                              </w:rPr>
                            </w:pPr>
                            <w:r>
                              <w:rPr>
                                <w:rFonts w:ascii="Calibri" w:eastAsia="Calibri" w:hAnsi="Calibri"/>
                                <w:b/>
                                <w:bCs/>
                                <w:sz w:val="16"/>
                                <w:szCs w:val="16"/>
                                <w:lang w:val="en-GB"/>
                              </w:rPr>
                              <w:t>III STRUKTŪRA</w:t>
                            </w:r>
                          </w:p>
                        </w:txbxContent>
                      </wps:txbx>
                      <wps:bodyPr rot="0" vert="horz" wrap="square" lIns="91440" tIns="45720" rIns="91440" bIns="45720" anchor="t" anchorCtr="0" upright="1">
                        <a:noAutofit/>
                      </wps:bodyPr>
                    </wps:wsp>
                  </a:graphicData>
                </a:graphic>
              </wp:anchor>
            </w:drawing>
          </mc:Choice>
          <mc:Fallback>
            <w:pict>
              <v:roundrect id="_x0000_s1105" style="position:absolute;margin-left:322.4pt;margin-top:.1pt;width:112.05pt;height:18.85pt;z-index:2516587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" fillcolor="white [3201]" strokecolor="#f79646 [3209]" strokeweight="2pt">
                <v:textbox>
                  <w:txbxContent>
                    <w:p w14:paraId="723B7B46" w14:textId="77777777" w:rsidR="00D1128E" w:rsidRDefault="00D1128E" w:rsidP="00AC115A">
                      <w:pPr>
                        <w:spacing w:after="0"/>
                        <w:jc w:val="center"/>
                        <w:rPr>
                          <w:sz w:val="24"/>
                          <w:szCs w:val="24"/>
                        </w:rPr>
                      </w:pPr>
                      <w:r>
                        <w:rPr>
                          <w:rFonts w:ascii="Calibri" w:eastAsia="Calibri" w:hAnsi="Calibri"/>
                          <w:b/>
                          <w:bCs/>
                          <w:sz w:val="16"/>
                          <w:szCs w:val="16"/>
                          <w:lang w:val="en-GB"/>
                        </w:rPr>
                        <w:t>III STRUKTŪRA</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59776" behindDoc="0" locked="0" layoutInCell="1" allowOverlap="1" wp14:anchorId="4EF5FE81" wp14:editId="1B0BB6E9">
                <wp:simplePos x="0" y="0"/>
                <wp:positionH relativeFrom="column">
                  <wp:posOffset>4142105</wp:posOffset>
                </wp:positionH>
                <wp:positionV relativeFrom="paragraph">
                  <wp:posOffset>557530</wp:posOffset>
                </wp:positionV>
                <wp:extent cx="1423670" cy="239395"/>
                <wp:effectExtent l="0" t="0" r="24130" b="27305"/>
                <wp:wrapTopAndBottom/>
                <wp:docPr id="15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39395"/>
                        </a:xfrm>
                        <a:prstGeom prst="roundRect">
                          <a:avLst>
                            <a:gd name="adj" fmla="val 16667"/>
                          </a:avLst>
                        </a:prstGeom>
                        <a:solidFill>
                          <a:srgbClr val="E36C0A"/>
                        </a:solidFill>
                        <a:ln w="9525">
                          <a:solidFill>
                            <a:srgbClr val="974706"/>
                          </a:solidFill>
                          <a:round/>
                          <a:headEnd/>
                          <a:tailEnd/>
                        </a:ln>
                      </wps:spPr>
                      <wps:txbx>
                        <w:txbxContent>
                          <w:p w14:paraId="6EF523F0" w14:textId="77777777" w:rsidR="00D1128E" w:rsidRDefault="00D1128E" w:rsidP="00AC115A">
                            <w:pPr>
                              <w:spacing w:after="0"/>
                              <w:jc w:val="center"/>
                              <w:rPr>
                                <w:sz w:val="24"/>
                                <w:szCs w:val="24"/>
                              </w:rPr>
                            </w:pPr>
                            <w:r>
                              <w:rPr>
                                <w:rFonts w:ascii="Calibri" w:eastAsia="Calibri" w:hAnsi="Calibri"/>
                                <w:b/>
                                <w:bCs/>
                                <w:color w:val="FFFFFF"/>
                                <w:sz w:val="16"/>
                                <w:szCs w:val="16"/>
                              </w:rPr>
                              <w:t>Vadovaujančioji institucija</w:t>
                            </w:r>
                          </w:p>
                        </w:txbxContent>
                      </wps:txbx>
                      <wps:bodyPr rot="0" vert="horz" wrap="square" lIns="91440" tIns="45720" rIns="91440" bIns="45720" anchor="t" anchorCtr="0" upright="1">
                        <a:noAutofit/>
                      </wps:bodyPr>
                    </wps:wsp>
                  </a:graphicData>
                </a:graphic>
              </wp:anchor>
            </w:drawing>
          </mc:Choice>
          <mc:Fallback>
            <w:pict>
              <v:roundrect id="_x0000_s1106" style="position:absolute;margin-left:326.15pt;margin-top:43.9pt;width:112.1pt;height:18.85pt;z-index:2516597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" fillcolor="#e36c0a" strokecolor="#974706">
                <v:textbox>
                  <w:txbxContent>
                    <w:p w14:paraId="6EF523F0" w14:textId="77777777" w:rsidR="00D1128E" w:rsidRDefault="00D1128E" w:rsidP="00AC115A">
                      <w:pPr>
                        <w:spacing w:after="0"/>
                        <w:jc w:val="center"/>
                        <w:rPr>
                          <w:sz w:val="24"/>
                          <w:szCs w:val="24"/>
                        </w:rPr>
                      </w:pPr>
                      <w:r>
                        <w:rPr>
                          <w:rFonts w:ascii="Calibri" w:eastAsia="Calibri" w:hAnsi="Calibri"/>
                          <w:b/>
                          <w:bCs/>
                          <w:color w:val="FFFFFF"/>
                          <w:sz w:val="16"/>
                          <w:szCs w:val="16"/>
                        </w:rPr>
                        <w:t>Vadovaujančioji institucija</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0800" behindDoc="0" locked="0" layoutInCell="1" allowOverlap="1" wp14:anchorId="5C0EBB46" wp14:editId="2B74DA9E">
                <wp:simplePos x="0" y="0"/>
                <wp:positionH relativeFrom="column">
                  <wp:posOffset>4142105</wp:posOffset>
                </wp:positionH>
                <wp:positionV relativeFrom="paragraph">
                  <wp:posOffset>2800350</wp:posOffset>
                </wp:positionV>
                <wp:extent cx="1423670" cy="464820"/>
                <wp:effectExtent l="0" t="0" r="24130" b="11430"/>
                <wp:wrapTopAndBottom/>
                <wp:docPr id="1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64820"/>
                        </a:xfrm>
                        <a:prstGeom prst="roundRect">
                          <a:avLst>
                            <a:gd name="adj" fmla="val 16667"/>
                          </a:avLst>
                        </a:prstGeom>
                        <a:solidFill>
                          <a:srgbClr val="E36C0A"/>
                        </a:solidFill>
                        <a:ln w="9525">
                          <a:solidFill>
                            <a:srgbClr val="974706"/>
                          </a:solidFill>
                          <a:round/>
                          <a:headEnd/>
                          <a:tailEnd/>
                        </a:ln>
                      </wps:spPr>
                      <wps:txbx>
                        <w:txbxContent>
                          <w:p w14:paraId="4D70A39A" w14:textId="77777777" w:rsidR="00D1128E" w:rsidRDefault="00D1128E" w:rsidP="00AC115A">
                            <w:pPr>
                              <w:spacing w:after="0"/>
                              <w:jc w:val="center"/>
                              <w:rPr>
                                <w:sz w:val="24"/>
                                <w:szCs w:val="24"/>
                              </w:rPr>
                            </w:pPr>
                            <w:r>
                              <w:rPr>
                                <w:rFonts w:ascii="Calibri" w:eastAsia="Calibri" w:hAnsi="Calibri"/>
                                <w:b/>
                                <w:bCs/>
                                <w:color w:val="FFFFFF"/>
                                <w:sz w:val="16"/>
                                <w:szCs w:val="16"/>
                              </w:rPr>
                              <w:t>Galutiniai paramos</w:t>
                            </w:r>
                          </w:p>
                          <w:p w14:paraId="754116B2" w14:textId="77777777" w:rsidR="00D1128E" w:rsidRDefault="00D1128E" w:rsidP="00AC115A">
                            <w:pPr>
                              <w:spacing w:after="0"/>
                              <w:jc w:val="center"/>
                            </w:pPr>
                            <w:r>
                              <w:rPr>
                                <w:rFonts w:ascii="Calibri" w:eastAsia="Calibri" w:hAnsi="Calibri"/>
                                <w:b/>
                                <w:bCs/>
                                <w:color w:val="FFFFFF"/>
                                <w:sz w:val="16"/>
                                <w:szCs w:val="16"/>
                              </w:rPr>
                              <w:t xml:space="preserve"> gavėjai</w:t>
                            </w:r>
                          </w:p>
                          <w:p w14:paraId="5D109D01" w14:textId="77777777" w:rsidR="00D1128E" w:rsidRDefault="00D1128E" w:rsidP="00AC115A">
                            <w:pPr>
                              <w:spacing w:after="0"/>
                              <w:jc w:val="center"/>
                            </w:pPr>
                            <w:r>
                              <w:rPr>
                                <w:rFonts w:ascii="Calibri" w:eastAsia="Calibri" w:hAnsi="Calibri"/>
                                <w:b/>
                                <w:bCs/>
                                <w:color w:val="FFFFFF"/>
                                <w:sz w:val="16"/>
                                <w:szCs w:val="16"/>
                              </w:rPr>
                              <w:t> </w:t>
                            </w:r>
                          </w:p>
                        </w:txbxContent>
                      </wps:txbx>
                      <wps:bodyPr rot="0" vert="horz" wrap="square" lIns="91440" tIns="45720" rIns="91440" bIns="45720" anchor="t" anchorCtr="0" upright="1">
                        <a:noAutofit/>
                      </wps:bodyPr>
                    </wps:wsp>
                  </a:graphicData>
                </a:graphic>
              </wp:anchor>
            </w:drawing>
          </mc:Choice>
          <mc:Fallback>
            <w:pict>
              <v:roundrect id="_x0000_s1107" style="position:absolute;margin-left:326.15pt;margin-top:220.5pt;width:112.1pt;height:36.6pt;z-index:2516608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" fillcolor="#e36c0a" strokecolor="#974706">
                <v:textbox>
                  <w:txbxContent>
                    <w:p w14:paraId="4D70A39A" w14:textId="77777777" w:rsidR="00D1128E" w:rsidRDefault="00D1128E" w:rsidP="00AC115A">
                      <w:pPr>
                        <w:spacing w:after="0"/>
                        <w:jc w:val="center"/>
                        <w:rPr>
                          <w:sz w:val="24"/>
                          <w:szCs w:val="24"/>
                        </w:rPr>
                      </w:pPr>
                      <w:r>
                        <w:rPr>
                          <w:rFonts w:ascii="Calibri" w:eastAsia="Calibri" w:hAnsi="Calibri"/>
                          <w:b/>
                          <w:bCs/>
                          <w:color w:val="FFFFFF"/>
                          <w:sz w:val="16"/>
                          <w:szCs w:val="16"/>
                        </w:rPr>
                        <w:t>Galutiniai paramos</w:t>
                      </w:r>
                    </w:p>
                    <w:p w14:paraId="754116B2" w14:textId="77777777" w:rsidR="00D1128E" w:rsidRDefault="00D1128E" w:rsidP="00AC115A">
                      <w:pPr>
                        <w:spacing w:after="0"/>
                        <w:jc w:val="center"/>
                      </w:pPr>
                      <w:r>
                        <w:rPr>
                          <w:rFonts w:ascii="Calibri" w:eastAsia="Calibri" w:hAnsi="Calibri"/>
                          <w:b/>
                          <w:bCs/>
                          <w:color w:val="FFFFFF"/>
                          <w:sz w:val="16"/>
                          <w:szCs w:val="16"/>
                        </w:rPr>
                        <w:t xml:space="preserve"> gavėjai</w:t>
                      </w:r>
                    </w:p>
                    <w:p w14:paraId="5D109D01" w14:textId="77777777" w:rsidR="00D1128E" w:rsidRDefault="00D1128E" w:rsidP="00AC115A">
                      <w:pPr>
                        <w:spacing w:after="0"/>
                        <w:jc w:val="center"/>
                      </w:pPr>
                      <w:r>
                        <w:rPr>
                          <w:rFonts w:ascii="Calibri" w:eastAsia="Calibri" w:hAnsi="Calibri"/>
                          <w:b/>
                          <w:bCs/>
                          <w:color w:val="FFFFFF"/>
                          <w:sz w:val="16"/>
                          <w:szCs w:val="16"/>
                        </w:rPr>
                        <w:t> </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1824" behindDoc="0" locked="0" layoutInCell="1" allowOverlap="1" wp14:anchorId="19491224" wp14:editId="3CF3AE4C">
                <wp:simplePos x="0" y="0"/>
                <wp:positionH relativeFrom="column">
                  <wp:posOffset>4134485</wp:posOffset>
                </wp:positionH>
                <wp:positionV relativeFrom="paragraph">
                  <wp:posOffset>2322830</wp:posOffset>
                </wp:positionV>
                <wp:extent cx="1424305" cy="240665"/>
                <wp:effectExtent l="0" t="0" r="23495" b="26035"/>
                <wp:wrapTopAndBottom/>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240665"/>
                        </a:xfrm>
                        <a:prstGeom prst="roundRect">
                          <a:avLst>
                            <a:gd name="adj" fmla="val 16667"/>
                          </a:avLst>
                        </a:prstGeom>
                        <a:solidFill>
                          <a:srgbClr val="E36C0A"/>
                        </a:solidFill>
                        <a:ln w="9525">
                          <a:solidFill>
                            <a:srgbClr val="974706"/>
                          </a:solidFill>
                          <a:prstDash val="dash"/>
                          <a:round/>
                          <a:headEnd/>
                          <a:tailEnd/>
                        </a:ln>
                      </wps:spPr>
                      <wps:txbx>
                        <w:txbxContent>
                          <w:p w14:paraId="61641065" w14:textId="77777777" w:rsidR="00D1128E" w:rsidRDefault="00D1128E" w:rsidP="00AC115A">
                            <w:pPr>
                              <w:spacing w:after="0"/>
                              <w:jc w:val="center"/>
                              <w:rPr>
                                <w:sz w:val="24"/>
                                <w:szCs w:val="24"/>
                              </w:rPr>
                            </w:pPr>
                            <w:r>
                              <w:rPr>
                                <w:rFonts w:ascii="Calibri" w:eastAsia="Calibri" w:hAnsi="Calibri"/>
                                <w:b/>
                                <w:bCs/>
                                <w:color w:val="FFFFFF"/>
                                <w:sz w:val="16"/>
                                <w:szCs w:val="16"/>
                              </w:rPr>
                              <w:t>Finansinis tarpininkas</w:t>
                            </w:r>
                          </w:p>
                        </w:txbxContent>
                      </wps:txbx>
                      <wps:bodyPr rot="0" vert="horz" wrap="square" lIns="91440" tIns="45720" rIns="91440" bIns="45720" anchor="t" anchorCtr="0" upright="1">
                        <a:noAutofit/>
                      </wps:bodyPr>
                    </wps:wsp>
                  </a:graphicData>
                </a:graphic>
              </wp:anchor>
            </w:drawing>
          </mc:Choice>
          <mc:Fallback>
            <w:pict>
              <v:roundrect id="_x0000_s1108" style="position:absolute;margin-left:325.55pt;margin-top:182.9pt;width:112.15pt;height:18.95pt;z-index:2516618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" fillcolor="#e36c0a" strokecolor="#974706">
                <v:stroke dashstyle="dash"/>
                <v:textbox>
                  <w:txbxContent>
                    <w:p w14:paraId="61641065" w14:textId="77777777" w:rsidR="00D1128E" w:rsidRDefault="00D1128E" w:rsidP="00AC115A">
                      <w:pPr>
                        <w:spacing w:after="0"/>
                        <w:jc w:val="center"/>
                        <w:rPr>
                          <w:sz w:val="24"/>
                          <w:szCs w:val="24"/>
                        </w:rPr>
                      </w:pPr>
                      <w:r>
                        <w:rPr>
                          <w:rFonts w:ascii="Calibri" w:eastAsia="Calibri" w:hAnsi="Calibri"/>
                          <w:b/>
                          <w:bCs/>
                          <w:color w:val="FFFFFF"/>
                          <w:sz w:val="16"/>
                          <w:szCs w:val="16"/>
                        </w:rPr>
                        <w:t>Finansinis tarpininkas</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2848" behindDoc="0" locked="0" layoutInCell="1" allowOverlap="1" wp14:anchorId="5E4F2C54" wp14:editId="6B727DB6">
                <wp:simplePos x="0" y="0"/>
                <wp:positionH relativeFrom="column">
                  <wp:posOffset>4142105</wp:posOffset>
                </wp:positionH>
                <wp:positionV relativeFrom="paragraph">
                  <wp:posOffset>1090295</wp:posOffset>
                </wp:positionV>
                <wp:extent cx="1423670" cy="240665"/>
                <wp:effectExtent l="0" t="0" r="24130" b="26035"/>
                <wp:wrapTopAndBottom/>
                <wp:docPr id="1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0665"/>
                        </a:xfrm>
                        <a:prstGeom prst="roundRect">
                          <a:avLst>
                            <a:gd name="adj" fmla="val 16667"/>
                          </a:avLst>
                        </a:prstGeom>
                        <a:solidFill>
                          <a:srgbClr val="E36C0A"/>
                        </a:solidFill>
                        <a:ln w="9525">
                          <a:solidFill>
                            <a:srgbClr val="974706"/>
                          </a:solidFill>
                          <a:round/>
                          <a:headEnd/>
                          <a:tailEnd/>
                        </a:ln>
                      </wps:spPr>
                      <wps:txbx>
                        <w:txbxContent>
                          <w:p w14:paraId="56D5D525" w14:textId="77777777" w:rsidR="00D1128E" w:rsidRDefault="00D1128E" w:rsidP="00AC115A">
                            <w:pPr>
                              <w:spacing w:after="0"/>
                              <w:jc w:val="center"/>
                              <w:rPr>
                                <w:sz w:val="24"/>
                                <w:szCs w:val="24"/>
                              </w:rPr>
                            </w:pPr>
                            <w:r>
                              <w:rPr>
                                <w:rFonts w:ascii="Calibri" w:eastAsia="Calibri" w:hAnsi="Calibri"/>
                                <w:b/>
                                <w:bCs/>
                                <w:color w:val="FFFFFF"/>
                                <w:sz w:val="16"/>
                                <w:szCs w:val="16"/>
                              </w:rPr>
                              <w:t>Fondų fondas</w:t>
                            </w:r>
                          </w:p>
                        </w:txbxContent>
                      </wps:txbx>
                      <wps:bodyPr rot="0" vert="horz" wrap="square" lIns="91440" tIns="45720" rIns="91440" bIns="45720" anchor="t" anchorCtr="0" upright="1">
                        <a:noAutofit/>
                      </wps:bodyPr>
                    </wps:wsp>
                  </a:graphicData>
                </a:graphic>
              </wp:anchor>
            </w:drawing>
          </mc:Choice>
          <mc:Fallback>
            <w:pict>
              <v:roundrect id="_x0000_s1109" style="position:absolute;margin-left:326.15pt;margin-top:85.85pt;width:112.1pt;height:18.95pt;z-index:251662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" fillcolor="#e36c0a" strokecolor="#974706">
                <v:textbox>
                  <w:txbxContent>
                    <w:p w14:paraId="56D5D525" w14:textId="77777777" w:rsidR="00D1128E" w:rsidRDefault="00D1128E" w:rsidP="00AC115A">
                      <w:pPr>
                        <w:spacing w:after="0"/>
                        <w:jc w:val="center"/>
                        <w:rPr>
                          <w:sz w:val="24"/>
                          <w:szCs w:val="24"/>
                        </w:rPr>
                      </w:pPr>
                      <w:r>
                        <w:rPr>
                          <w:rFonts w:ascii="Calibri" w:eastAsia="Calibri" w:hAnsi="Calibri"/>
                          <w:b/>
                          <w:bCs/>
                          <w:color w:val="FFFFFF"/>
                          <w:sz w:val="16"/>
                          <w:szCs w:val="16"/>
                        </w:rPr>
                        <w:t>Fondų fondas</w:t>
                      </w:r>
                    </w:p>
                  </w:txbxContent>
                </v:textbox>
                <w10:wrap type="topAndBottom"/>
              </v:roundrect>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3872" behindDoc="0" locked="0" layoutInCell="1" allowOverlap="1" wp14:anchorId="1160A569" wp14:editId="224DA2BC">
                <wp:simplePos x="0" y="0"/>
                <wp:positionH relativeFrom="column">
                  <wp:posOffset>4850130</wp:posOffset>
                </wp:positionH>
                <wp:positionV relativeFrom="paragraph">
                  <wp:posOffset>1329055</wp:posOffset>
                </wp:positionV>
                <wp:extent cx="2540" cy="132715"/>
                <wp:effectExtent l="76200" t="0" r="73660" b="57785"/>
                <wp:wrapTopAndBottom/>
                <wp:docPr id="16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02FE0" id="AutoShape 27" o:spid="_x0000_s1026" type="#_x0000_t32" style="position:absolute;margin-left:381.9pt;margin-top:104.65pt;width:.2pt;height:10.4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4896" behindDoc="0" locked="0" layoutInCell="1" allowOverlap="1" wp14:anchorId="46A8654E" wp14:editId="1768C444">
                <wp:simplePos x="0" y="0"/>
                <wp:positionH relativeFrom="column">
                  <wp:posOffset>4850130</wp:posOffset>
                </wp:positionH>
                <wp:positionV relativeFrom="paragraph">
                  <wp:posOffset>2108200</wp:posOffset>
                </wp:positionV>
                <wp:extent cx="1270" cy="209550"/>
                <wp:effectExtent l="76200" t="0" r="74930" b="57150"/>
                <wp:wrapTopAndBottom/>
                <wp:docPr id="16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20C0A" id="AutoShape 28" o:spid="_x0000_s1026" type="#_x0000_t32" style="position:absolute;margin-left:381.9pt;margin-top:166pt;width:.1pt;height:16.5pt;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5920" behindDoc="0" locked="0" layoutInCell="1" allowOverlap="1" wp14:anchorId="3E92A6E9" wp14:editId="293E207F">
                <wp:simplePos x="0" y="0"/>
                <wp:positionH relativeFrom="column">
                  <wp:posOffset>4850130</wp:posOffset>
                </wp:positionH>
                <wp:positionV relativeFrom="paragraph">
                  <wp:posOffset>2561590</wp:posOffset>
                </wp:positionV>
                <wp:extent cx="1270" cy="238760"/>
                <wp:effectExtent l="76200" t="0" r="74930" b="66040"/>
                <wp:wrapTopAndBottom/>
                <wp:docPr id="16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F82C0" id="AutoShape 29" o:spid="_x0000_s1026" type="#_x0000_t32" style="position:absolute;margin-left:381.9pt;margin-top:201.7pt;width:.1pt;height:18.8pt;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6944" behindDoc="0" locked="0" layoutInCell="1" allowOverlap="1" wp14:anchorId="4146D85F" wp14:editId="4F718007">
                <wp:simplePos x="0" y="0"/>
                <wp:positionH relativeFrom="column">
                  <wp:posOffset>4850130</wp:posOffset>
                </wp:positionH>
                <wp:positionV relativeFrom="paragraph">
                  <wp:posOffset>804545</wp:posOffset>
                </wp:positionV>
                <wp:extent cx="635" cy="288290"/>
                <wp:effectExtent l="76200" t="0" r="75565" b="54610"/>
                <wp:wrapTopAndBottom/>
                <wp:docPr id="17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A3BD7" id="AutoShape 26" o:spid="_x0000_s1026" type="#_x0000_t32" style="position:absolute;margin-left:381.9pt;margin-top:63.35pt;width:.05pt;height:22.7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">
                <v:stroke endarrow="block"/>
                <w10:wrap type="topAndBottom"/>
              </v:shape>
            </w:pict>
          </mc:Fallback>
        </mc:AlternateContent>
      </w:r>
      <w:r w:rsidRPr="00C97275">
        <w:rPr>
          <w:rFonts w:eastAsia="Times New Roman"/>
          <w:noProof/>
          <w:szCs w:val="20"/>
          <w:lang w:val="lt-LT" w:eastAsia="lt-LT"/>
        </w:rPr>
        <mc:AlternateContent>
          <mc:Choice Requires="wps">
            <w:drawing>
              <wp:anchor distT="0" distB="0" distL="114300" distR="114300" simplePos="0" relativeHeight="251667968" behindDoc="0" locked="0" layoutInCell="1" allowOverlap="1" wp14:anchorId="307AB6CA" wp14:editId="504968DB">
                <wp:simplePos x="0" y="0"/>
                <wp:positionH relativeFrom="column">
                  <wp:posOffset>4277360</wp:posOffset>
                </wp:positionH>
                <wp:positionV relativeFrom="paragraph">
                  <wp:posOffset>1464310</wp:posOffset>
                </wp:positionV>
                <wp:extent cx="1139825" cy="642620"/>
                <wp:effectExtent l="0" t="0" r="22225" b="24130"/>
                <wp:wrapTopAndBottom/>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42620"/>
                        </a:xfrm>
                        <a:prstGeom prst="ellipse">
                          <a:avLst/>
                        </a:prstGeom>
                        <a:solidFill>
                          <a:srgbClr val="FFC000"/>
                        </a:solidFill>
                        <a:ln w="9525">
                          <a:solidFill>
                            <a:srgbClr val="974706"/>
                          </a:solidFill>
                          <a:round/>
                          <a:headEnd/>
                          <a:tailEnd/>
                        </a:ln>
                      </wps:spPr>
                      <wps:txbx>
                        <w:txbxContent>
                          <w:p w14:paraId="645EE034" w14:textId="77777777" w:rsidR="00D1128E" w:rsidRDefault="00D1128E" w:rsidP="00AC115A">
                            <w:pPr>
                              <w:jc w:val="center"/>
                              <w:rPr>
                                <w:sz w:val="24"/>
                                <w:szCs w:val="24"/>
                              </w:rPr>
                            </w:pPr>
                            <w:r>
                              <w:rPr>
                                <w:rFonts w:ascii="Calibri" w:eastAsia="Calibri" w:hAnsi="Calibri"/>
                                <w:b/>
                                <w:bCs/>
                                <w:color w:val="FFFFFF"/>
                                <w:sz w:val="18"/>
                                <w:szCs w:val="18"/>
                                <w:lang w:val="en-GB"/>
                              </w:rPr>
                              <w:t>Finansinė priemonė</w:t>
                            </w:r>
                          </w:p>
                          <w:p w14:paraId="26CC1D15" w14:textId="77777777" w:rsidR="00D1128E" w:rsidRDefault="00D1128E" w:rsidP="00AC115A">
                            <w:pPr>
                              <w:jc w:val="center"/>
                            </w:pPr>
                            <w:r>
                              <w:rPr>
                                <w:rFonts w:ascii="Calibri" w:eastAsia="Calibri" w:hAnsi="Calibri"/>
                                <w:b/>
                                <w:bCs/>
                                <w:color w:val="FFFFFF"/>
                                <w:lang w:val="en-GB"/>
                              </w:rPr>
                              <w:t> </w:t>
                            </w:r>
                          </w:p>
                        </w:txbxContent>
                      </wps:txbx>
                      <wps:bodyPr rot="0" vert="horz" wrap="square" lIns="91440" tIns="45720" rIns="91440" bIns="45720" anchor="t" anchorCtr="0" upright="1">
                        <a:noAutofit/>
                      </wps:bodyPr>
                    </wps:wsp>
                  </a:graphicData>
                </a:graphic>
              </wp:anchor>
            </w:drawing>
          </mc:Choice>
          <mc:Fallback>
            <w:pict>
              <v:oval id="Oval 174" o:spid="_x0000_s1110" style="position:absolute;margin-left:336.8pt;margin-top:115.3pt;width:89.75pt;height:50.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" fillcolor="#ffc000" strokecolor="#974706">
                <v:textbox>
                  <w:txbxContent>
                    <w:p w14:paraId="645EE034" w14:textId="77777777" w:rsidR="00D1128E" w:rsidRDefault="00D1128E" w:rsidP="00AC115A">
                      <w:pPr>
                        <w:jc w:val="center"/>
                        <w:rPr>
                          <w:sz w:val="24"/>
                          <w:szCs w:val="24"/>
                        </w:rPr>
                      </w:pPr>
                      <w:r>
                        <w:rPr>
                          <w:rFonts w:ascii="Calibri" w:eastAsia="Calibri" w:hAnsi="Calibri"/>
                          <w:b/>
                          <w:bCs/>
                          <w:color w:val="FFFFFF"/>
                          <w:sz w:val="18"/>
                          <w:szCs w:val="18"/>
                          <w:lang w:val="en-GB"/>
                        </w:rPr>
                        <w:t>Finansinė priemonė</w:t>
                      </w:r>
                    </w:p>
                    <w:p w14:paraId="26CC1D15" w14:textId="77777777" w:rsidR="00D1128E" w:rsidRDefault="00D1128E" w:rsidP="00AC115A">
                      <w:pPr>
                        <w:jc w:val="center"/>
                      </w:pPr>
                      <w:r>
                        <w:rPr>
                          <w:rFonts w:ascii="Calibri" w:eastAsia="Calibri" w:hAnsi="Calibri"/>
                          <w:b/>
                          <w:bCs/>
                          <w:color w:val="FFFFFF"/>
                          <w:lang w:val="en-GB"/>
                        </w:rPr>
                        <w:t> </w:t>
                      </w:r>
                    </w:p>
                  </w:txbxContent>
                </v:textbox>
                <w10:wrap type="topAndBottom"/>
              </v:oval>
            </w:pict>
          </mc:Fallback>
        </mc:AlternateContent>
      </w:r>
      <w:r w:rsidRPr="00C97275">
        <w:rPr>
          <w:rFonts w:eastAsia="Times New Roman"/>
          <w:noProof/>
          <w:szCs w:val="20"/>
          <w:lang w:val="lt-LT" w:eastAsia="lt-LT"/>
        </w:rPr>
        <mc:AlternateContent>
          <mc:Choice Requires="wps">
            <w:drawing>
              <wp:anchor distT="0" distB="0" distL="114300" distR="114300" simplePos="0" relativeHeight="251670016" behindDoc="0" locked="0" layoutInCell="1" allowOverlap="1" wp14:anchorId="3E96DDEB" wp14:editId="2B486B02">
                <wp:simplePos x="0" y="0"/>
                <wp:positionH relativeFrom="column">
                  <wp:posOffset>4317365</wp:posOffset>
                </wp:positionH>
                <wp:positionV relativeFrom="paragraph">
                  <wp:posOffset>2203450</wp:posOffset>
                </wp:positionV>
                <wp:extent cx="1009650" cy="508635"/>
                <wp:effectExtent l="0" t="0" r="19050" b="24765"/>
                <wp:wrapTopAndBottom/>
                <wp:docPr id="181" name="Straight Connector 181"/>
                <wp:cNvGraphicFramePr/>
                <a:graphic xmlns:a="http://schemas.openxmlformats.org/drawingml/2006/main">
                  <a:graphicData uri="http://schemas.microsoft.com/office/word/2010/wordprocessingShape">
                    <wps:wsp>
                      <wps:cNvCnPr/>
                      <wps:spPr>
                        <a:xfrm flipH="1">
                          <a:off x="0" y="0"/>
                          <a:ext cx="1009650" cy="50863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DE9FF" id="Straight Connector 181" o:spid="_x0000_s1026" style="position:absolute;flip:x;z-index:251670016;visibility:visible;mso-wrap-style:square;mso-wrap-distance-left:9pt;mso-wrap-distance-top:0;mso-wrap-distance-right:9pt;mso-wrap-distance-bottom:0;mso-position-horizontal:absolute;mso-position-horizontal-relative:text;mso-position-vertical:absolute;mso-position-vertical-relative:text" from="339.95pt,173.5pt" to="419.4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" strokecolor="#f79646 [3209]" strokeweight="1.5pt">
                <w10:wrap type="topAndBottom"/>
              </v:line>
            </w:pict>
          </mc:Fallback>
        </mc:AlternateContent>
      </w:r>
      <w:r w:rsidR="00AA7568" w:rsidRPr="00C97275">
        <w:rPr>
          <w:lang w:val="lt-LT"/>
        </w:rPr>
        <w:t xml:space="preserve">Paveikslas </w:t>
      </w:r>
      <w:r w:rsidR="00AA7568" w:rsidRPr="00C97275">
        <w:rPr>
          <w:lang w:val="lt-LT"/>
        </w:rPr>
        <w:fldChar w:fldCharType="begin"/>
      </w:r>
      <w:r w:rsidR="00AA7568" w:rsidRPr="00C97275">
        <w:rPr>
          <w:lang w:val="lt-LT"/>
        </w:rPr>
        <w:instrText xml:space="preserve"> SEQ Paveikslas \* ARABIC </w:instrText>
      </w:r>
      <w:r w:rsidR="00AA7568" w:rsidRPr="00C97275">
        <w:rPr>
          <w:lang w:val="lt-LT"/>
        </w:rPr>
        <w:fldChar w:fldCharType="separate"/>
      </w:r>
      <w:r w:rsidR="001028BC" w:rsidRPr="00C97275">
        <w:rPr>
          <w:noProof/>
          <w:lang w:val="lt-LT"/>
        </w:rPr>
        <w:t>14</w:t>
      </w:r>
      <w:r w:rsidR="00AA7568" w:rsidRPr="00C97275">
        <w:rPr>
          <w:lang w:val="lt-LT"/>
        </w:rPr>
        <w:fldChar w:fldCharType="end"/>
      </w:r>
      <w:r w:rsidR="00AA7568" w:rsidRPr="00C97275">
        <w:rPr>
          <w:lang w:val="lt-LT"/>
        </w:rPr>
        <w:t xml:space="preserve">. </w:t>
      </w:r>
      <w:r w:rsidR="00AA7568" w:rsidRPr="00C97275">
        <w:rPr>
          <w:rFonts w:eastAsiaTheme="minorHAnsi" w:cstheme="minorBidi"/>
          <w:szCs w:val="20"/>
          <w:lang w:val="lt-LT"/>
        </w:rPr>
        <w:t xml:space="preserve">Siūloma </w:t>
      </w:r>
      <w:r w:rsidR="00B56D02" w:rsidRPr="00C97275">
        <w:rPr>
          <w:rFonts w:eastAsiaTheme="minorHAnsi" w:cstheme="minorBidi"/>
          <w:szCs w:val="20"/>
          <w:lang w:val="lt-LT"/>
        </w:rPr>
        <w:t xml:space="preserve">paskolinės </w:t>
      </w:r>
      <w:r w:rsidR="00AA7568" w:rsidRPr="00C97275">
        <w:rPr>
          <w:rFonts w:eastAsiaTheme="minorHAnsi" w:cstheme="minorBidi"/>
          <w:szCs w:val="20"/>
          <w:lang w:val="lt-LT"/>
        </w:rPr>
        <w:t>finansinės priemonės įgyvendinimo struktūra.</w:t>
      </w:r>
      <w:bookmarkEnd w:id="273"/>
    </w:p>
    <w:p w14:paraId="08DDD298" w14:textId="36A1FDF5" w:rsidR="00AA7568" w:rsidRPr="00C97275" w:rsidRDefault="00AA7568" w:rsidP="00AA7568">
      <w:pPr>
        <w:pStyle w:val="prastasis1"/>
        <w:spacing w:line="276" w:lineRule="auto"/>
        <w:jc w:val="both"/>
        <w:rPr>
          <w:rFonts w:ascii="Georgia" w:hAnsi="Georgia"/>
          <w:sz w:val="20"/>
          <w:szCs w:val="20"/>
        </w:rPr>
      </w:pPr>
      <w:r w:rsidRPr="00C97275">
        <w:rPr>
          <w:rFonts w:ascii="Georgia" w:hAnsi="Georgia"/>
          <w:b/>
          <w:i/>
          <w:sz w:val="20"/>
          <w:szCs w:val="20"/>
        </w:rPr>
        <w:t xml:space="preserve">Fondų fondo valdytojas </w:t>
      </w:r>
      <w:r w:rsidRPr="00C97275">
        <w:rPr>
          <w:rFonts w:ascii="Georgia" w:hAnsi="Georgia"/>
          <w:sz w:val="20"/>
          <w:szCs w:val="20"/>
        </w:rPr>
        <w:t>galėtų būti paskiriamas vadovaujantis Bendrųjų nuostatų reglamento 38(4) straipsnyje nurodytomis fondų fondo valdytojo paskyrimo alternatyvomis. Vadovaujančioji institucija turi galimybę investuoti į juridinį vienetą, įgyvendinimo užduotis pavesti EIB (38.4(b)(i)), nacionalinei finansų įstaigai (38.4(b)(ii)) ir/arba konkurso būdu atrinkti kitą viešosios ir privačiosios teisės subjektą (38.4(b)(iii)) arba įgyvendinimo užduotis įgyvendinti pati. Vadovaujanti institucija taip pat turi galimybę įgyvendinimo užduotis paskirti ne vienai</w:t>
      </w:r>
      <w:r w:rsidR="006563FA" w:rsidRPr="00C97275">
        <w:rPr>
          <w:rFonts w:ascii="Georgia" w:hAnsi="Georgia"/>
          <w:sz w:val="20"/>
          <w:szCs w:val="20"/>
        </w:rPr>
        <w:t>,</w:t>
      </w:r>
      <w:r w:rsidRPr="00C97275">
        <w:rPr>
          <w:rFonts w:ascii="Georgia" w:hAnsi="Georgia"/>
          <w:sz w:val="20"/>
          <w:szCs w:val="20"/>
        </w:rPr>
        <w:t xml:space="preserve"> bet kelioms 38.4(b) punkte nurodytoms institucijoms, pavyzdžiui EIB ir nacionalinei finansų įstaigai. Šiuo atveju</w:t>
      </w:r>
      <w:r w:rsidR="00ED4ADE" w:rsidRPr="00C97275">
        <w:rPr>
          <w:rFonts w:ascii="Georgia" w:hAnsi="Georgia"/>
          <w:sz w:val="20"/>
          <w:szCs w:val="20"/>
        </w:rPr>
        <w:t xml:space="preserve"> kiekviena</w:t>
      </w:r>
      <w:r w:rsidRPr="00C97275">
        <w:rPr>
          <w:rFonts w:ascii="Georgia" w:hAnsi="Georgia"/>
          <w:sz w:val="20"/>
          <w:szCs w:val="20"/>
        </w:rPr>
        <w:t xml:space="preserve"> institucij</w:t>
      </w:r>
      <w:r w:rsidR="00ED4ADE" w:rsidRPr="00C97275">
        <w:rPr>
          <w:rFonts w:ascii="Georgia" w:hAnsi="Georgia"/>
          <w:sz w:val="20"/>
          <w:szCs w:val="20"/>
        </w:rPr>
        <w:t>a</w:t>
      </w:r>
      <w:r w:rsidRPr="00C97275">
        <w:rPr>
          <w:rFonts w:ascii="Georgia" w:hAnsi="Georgia"/>
          <w:sz w:val="20"/>
          <w:szCs w:val="20"/>
        </w:rPr>
        <w:t xml:space="preserve"> turėtų turėti aiškia</w:t>
      </w:r>
      <w:r w:rsidR="00ED4ADE" w:rsidRPr="00C97275">
        <w:rPr>
          <w:rFonts w:ascii="Georgia" w:hAnsi="Georgia"/>
          <w:sz w:val="20"/>
          <w:szCs w:val="20"/>
        </w:rPr>
        <w:t>s</w:t>
      </w:r>
      <w:r w:rsidRPr="00C97275">
        <w:rPr>
          <w:rFonts w:ascii="Georgia" w:hAnsi="Georgia"/>
          <w:sz w:val="20"/>
          <w:szCs w:val="20"/>
        </w:rPr>
        <w:t xml:space="preserve"> funkcijas ir atsakomybes, apibrėžtas bendradarbiavimo sutarty</w:t>
      </w:r>
      <w:r w:rsidR="00ED4ADE" w:rsidRPr="00C97275">
        <w:rPr>
          <w:rFonts w:ascii="Georgia" w:hAnsi="Georgia"/>
          <w:sz w:val="20"/>
          <w:szCs w:val="20"/>
        </w:rPr>
        <w:t>se</w:t>
      </w:r>
      <w:r w:rsidRPr="00C97275">
        <w:rPr>
          <w:rFonts w:ascii="Georgia" w:hAnsi="Georgia"/>
          <w:sz w:val="20"/>
          <w:szCs w:val="20"/>
        </w:rPr>
        <w:t>.</w:t>
      </w:r>
    </w:p>
    <w:p w14:paraId="32B01761" w14:textId="63E48099" w:rsidR="00AA7568" w:rsidRPr="00C97275" w:rsidRDefault="00AA7568" w:rsidP="00553F5A">
      <w:pPr>
        <w:pStyle w:val="prastasis1"/>
        <w:spacing w:line="276" w:lineRule="auto"/>
        <w:jc w:val="both"/>
        <w:rPr>
          <w:rFonts w:ascii="Georgia" w:hAnsi="Georgia"/>
        </w:rPr>
      </w:pPr>
      <w:r w:rsidRPr="00C97275">
        <w:rPr>
          <w:rFonts w:ascii="Georgia" w:hAnsi="Georgia"/>
          <w:b/>
          <w:i/>
          <w:sz w:val="20"/>
          <w:szCs w:val="20"/>
        </w:rPr>
        <w:t>Fondų fondo valdytojas gali finansines priemones įgyvendinti pats tiesiogiai arba dalį įgyvendinimo užduočių pavesti finansiniams tarpininkams.</w:t>
      </w:r>
      <w:r w:rsidRPr="00C97275">
        <w:rPr>
          <w:rFonts w:ascii="Georgia" w:hAnsi="Georgia"/>
          <w:sz w:val="20"/>
          <w:szCs w:val="20"/>
        </w:rPr>
        <w:t xml:space="preserve"> </w:t>
      </w:r>
      <w:r w:rsidRPr="00C97275">
        <w:rPr>
          <w:rFonts w:ascii="Georgia" w:hAnsi="Georgia"/>
          <w:sz w:val="20"/>
        </w:rPr>
        <w:t xml:space="preserve">Bendrųjų nuostatų reglamento 38 str. 5 dalis numato, kad subjektai, kuriems patikėta įgyvendinti </w:t>
      </w:r>
      <w:r w:rsidR="006563FA" w:rsidRPr="00C97275">
        <w:rPr>
          <w:rFonts w:ascii="Georgia" w:hAnsi="Georgia"/>
          <w:sz w:val="20"/>
        </w:rPr>
        <w:t xml:space="preserve">finansinę priemonę ar </w:t>
      </w:r>
      <w:r w:rsidRPr="00C97275">
        <w:rPr>
          <w:rFonts w:ascii="Georgia" w:hAnsi="Georgia"/>
          <w:sz w:val="20"/>
        </w:rPr>
        <w:t>fondų fondą, užduotis gali įgyvendinti patys arba jas patikėti vykdyti finansiniams tarpininkams. Iš to seka išvada, kad fondo</w:t>
      </w:r>
      <w:r w:rsidR="006563FA" w:rsidRPr="00C97275">
        <w:rPr>
          <w:rFonts w:ascii="Georgia" w:hAnsi="Georgia"/>
          <w:sz w:val="20"/>
        </w:rPr>
        <w:t xml:space="preserve"> ar finansinės priemonės</w:t>
      </w:r>
      <w:r w:rsidRPr="00C97275">
        <w:rPr>
          <w:rFonts w:ascii="Georgia" w:hAnsi="Georgia"/>
          <w:sz w:val="20"/>
        </w:rPr>
        <w:t xml:space="preserve"> v</w:t>
      </w:r>
      <w:r w:rsidR="006563FA" w:rsidRPr="00C97275">
        <w:rPr>
          <w:rFonts w:ascii="Georgia" w:hAnsi="Georgia"/>
          <w:sz w:val="20"/>
        </w:rPr>
        <w:t xml:space="preserve">aldytojas (priėmus atitinkamus </w:t>
      </w:r>
      <w:r w:rsidRPr="00C97275">
        <w:rPr>
          <w:rFonts w:ascii="Georgia" w:hAnsi="Georgia"/>
          <w:sz w:val="20"/>
        </w:rPr>
        <w:t xml:space="preserve">valdymo organų sprendimus) galėtų tiesiogiai finansuoti projektus, atitinkančius fondo veiklos tikslus ir investavimo strategiją. </w:t>
      </w:r>
      <w:r w:rsidRPr="00C97275">
        <w:rPr>
          <w:rFonts w:ascii="Georgia" w:hAnsi="Georgia"/>
          <w:sz w:val="20"/>
          <w:szCs w:val="20"/>
        </w:rPr>
        <w:t>Tiesioginis (be finansinių tarpininkų) užduočių vykdymas tikslingas tuomet, kai finansiniai tarpininkai nedalyvauja savo lėšomis, kai dėl tam tikrų priežasčių užsitęsia sutarčių su finansiniais tarpininkais derybos ir pasirašymas, kai finansiniai tarpininkai nesuinteresuoti finansinės priemonės įgyvendinimu arba kai finansiniai tarpininkai negali įvykdyti visos numatytos finansinės priemonės įgyvendinimo.</w:t>
      </w:r>
      <w:bookmarkStart w:id="274" w:name="_Toc398567612"/>
    </w:p>
    <w:p w14:paraId="287DC1E7" w14:textId="77777777" w:rsidR="00AA7568" w:rsidRPr="00C97275" w:rsidRDefault="00AA7568" w:rsidP="000C035D">
      <w:pPr>
        <w:pStyle w:val="Antrat2"/>
        <w:numPr>
          <w:ilvl w:val="2"/>
          <w:numId w:val="2"/>
        </w:numPr>
        <w:spacing w:after="240"/>
        <w:rPr>
          <w:rFonts w:ascii="Georgia" w:hAnsi="Georgia"/>
          <w:lang w:val="lt-LT"/>
        </w:rPr>
      </w:pPr>
      <w:bookmarkStart w:id="275" w:name="_Toc25594727"/>
      <w:r w:rsidRPr="00C97275">
        <w:rPr>
          <w:rFonts w:ascii="Georgia" w:hAnsi="Georgia"/>
          <w:lang w:val="lt-LT"/>
        </w:rPr>
        <w:t>Stebėsenos sistemos apibrėžimas</w:t>
      </w:r>
      <w:bookmarkEnd w:id="274"/>
      <w:bookmarkEnd w:id="275"/>
    </w:p>
    <w:p w14:paraId="7B847057" w14:textId="77777777" w:rsidR="00AA7568" w:rsidRPr="00C97275" w:rsidRDefault="00AA7568" w:rsidP="00AA7568">
      <w:pPr>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 xml:space="preserve">Siekiant užtikrinti, kad visi energijos efektyvumo tikslai yra pasiekiami, o finansinė priemonė įgyvendinama efektyviai, be to, lėšos naudojamos pagal patikimus finansų principus, yra tinkamai reaguojama į rinkos pokyčius ar kitus didelę įtaką darančius veiksnius, lemiančius rezultatų pasiekimą, yra būtina apibrėžti tinkamą stebėsenos sistemą finansinės priemonės įgyvendinimui. </w:t>
      </w:r>
    </w:p>
    <w:p w14:paraId="22D6A701" w14:textId="77777777" w:rsidR="00AA7568" w:rsidRPr="00C97275" w:rsidRDefault="00AA7568" w:rsidP="00AA7568">
      <w:pPr>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Pagrindiniai stebėsenos sistemos elementai yra šie:</w:t>
      </w:r>
    </w:p>
    <w:p w14:paraId="1FD18C56" w14:textId="77777777" w:rsidR="00AA7568" w:rsidRPr="00C97275" w:rsidRDefault="00AA7568" w:rsidP="00AA7568">
      <w:pPr>
        <w:rPr>
          <w:rFonts w:ascii="Georgia" w:eastAsia="Times New Roman" w:hAnsi="Georgia" w:cs="Times New Roman"/>
          <w:sz w:val="20"/>
          <w:szCs w:val="20"/>
          <w:lang w:val="lt-LT" w:eastAsia="lt-LT"/>
        </w:rPr>
      </w:pPr>
      <w:r w:rsidRPr="00C97275">
        <w:rPr>
          <w:rFonts w:ascii="Georgia" w:eastAsia="Times New Roman" w:hAnsi="Georgia" w:cs="Times New Roman"/>
          <w:noProof/>
          <w:sz w:val="20"/>
          <w:szCs w:val="20"/>
          <w:lang w:val="lt-LT" w:eastAsia="lt-LT"/>
        </w:rPr>
        <w:lastRenderedPageBreak/>
        <mc:AlternateContent>
          <mc:Choice Requires="wpg">
            <w:drawing>
              <wp:inline distT="0" distB="0" distL="0" distR="0" wp14:anchorId="4651B0DB" wp14:editId="46FA9C4C">
                <wp:extent cx="6129960" cy="914400"/>
                <wp:effectExtent l="0" t="0" r="23495" b="19050"/>
                <wp:docPr id="265" name="Group 265"/>
                <wp:cNvGraphicFramePr/>
                <a:graphic xmlns:a="http://schemas.openxmlformats.org/drawingml/2006/main">
                  <a:graphicData uri="http://schemas.microsoft.com/office/word/2010/wordprocessingGroup">
                    <wpg:wgp>
                      <wpg:cNvGrpSpPr/>
                      <wpg:grpSpPr>
                        <a:xfrm>
                          <a:off x="0" y="0"/>
                          <a:ext cx="6129960" cy="914400"/>
                          <a:chOff x="0" y="0"/>
                          <a:chExt cx="6129960" cy="914400"/>
                        </a:xfrm>
                      </wpg:grpSpPr>
                      <wps:wsp>
                        <wps:cNvPr id="266" name="Text Box 266"/>
                        <wps:cNvSpPr txBox="1"/>
                        <wps:spPr>
                          <a:xfrm>
                            <a:off x="4198925" y="102413"/>
                            <a:ext cx="1931035"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1D2A8"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Ataskaitos</w:t>
                              </w:r>
                            </w:p>
                            <w:p w14:paraId="5CAB5FDB"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Komunikacija</w:t>
                              </w:r>
                            </w:p>
                            <w:p w14:paraId="358932D2"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FB083"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Rodiklių matavimas</w:t>
                              </w:r>
                            </w:p>
                            <w:p w14:paraId="56C34F8E"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Kita informacija ir duomenys</w:t>
                              </w:r>
                            </w:p>
                            <w:p w14:paraId="1DCFDCBF"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ight Arrow 268"/>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B1B952" w14:textId="77777777" w:rsidR="00D1128E" w:rsidRPr="00480762" w:rsidRDefault="00D1128E" w:rsidP="00AA7568">
                              <w:pPr>
                                <w:jc w:val="center"/>
                                <w:rPr>
                                  <w:rFonts w:ascii="Georgia" w:hAnsi="Georgia"/>
                                  <w:b/>
                                  <w:lang w:val="lt-LT"/>
                                </w:rPr>
                              </w:pPr>
                              <w:r w:rsidRPr="00480762">
                                <w:rPr>
                                  <w:rFonts w:ascii="Georgia" w:hAnsi="Georgia"/>
                                  <w:b/>
                                  <w:lang w:val="lt-LT"/>
                                </w:rPr>
                                <w:t>ANALIZĖ</w:t>
                              </w:r>
                            </w:p>
                            <w:p w14:paraId="691F503C" w14:textId="77777777" w:rsidR="00D1128E" w:rsidRPr="00480762" w:rsidRDefault="00D1128E" w:rsidP="00AA7568">
                              <w:pPr>
                                <w:jc w:val="center"/>
                                <w:rPr>
                                  <w:rFonts w:ascii="Georgia" w:hAnsi="Georgia"/>
                                  <w:b/>
                                  <w:lang w:val="lt-LT"/>
                                </w:rPr>
                              </w:pPr>
                              <w:r w:rsidRPr="00480762">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5" o:spid="_x0000_s1111" style="width:482.65pt;height:1in;mso-position-horizontal-relative:char;mso-position-vertical-relative:line" coordsize="6129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">
                <v:shape id="Text Box 266" o:spid="_x0000_s1112" type="#_x0000_t202" style="position:absolute;left:41989;top:1024;width:19310;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sIA&#10;AADcAAAADwAAAGRycy9kb3ducmV2LnhtbESPQUsDMRSE74L/ITzBm83aw7JdmxaVtgg9tYrnx+Y1&#10;CW5eliRu139vCoUeh5n5hlmuJ9+LkWJygRU8zyoQxF3Qjo2Cr8/tUwMiZWSNfWBS8EcJ1qv7uyW2&#10;Opz5QOMxG1EgnFpUYHMeWilTZ8ljmoWBuHinED3mIqOROuK5wH0v51VVS4+Oy4LFgd4tdT/HX69g&#10;82YWpmsw2k2jnRun79Pe7JR6fJheX0BkmvItfG1/aAXzuo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DZiwgAAANwAAAAPAAAAAAAAAAAAAAAAAJgCAABkcnMvZG93&#10;bnJldi54bWxQSwUGAAAAAAQABAD1AAAAhwMAAAAA&#10;" fillcolor="white [3201]" strokeweight=".5pt">
                  <v:textbox>
                    <w:txbxContent>
                      <w:p w14:paraId="4F71D2A8"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Ataskaitos</w:t>
                        </w:r>
                      </w:p>
                      <w:p w14:paraId="5CAB5FDB"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Komunikacija</w:t>
                        </w:r>
                      </w:p>
                      <w:p w14:paraId="358932D2"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Veiksmai</w:t>
                        </w:r>
                      </w:p>
                    </w:txbxContent>
                  </v:textbox>
                </v:shape>
                <v:shape id="Text Box 267" o:spid="_x0000_s1113"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T+cMA&#10;AADcAAAADwAAAGRycy9kb3ducmV2LnhtbESPQWsCMRSE74X+h/AKvdVsPeh2NYotthQ8VYvnx+aZ&#10;BDcvS5Ku23/fCEKPw8x8wyzXo+/EQDG5wAqeJxUI4jZox0bB9+H9qQaRMrLGLjAp+KUE69X93RIb&#10;HS78RcM+G1EgnBpUYHPuGylTa8ljmoSeuHinED3mIqOROuKlwH0np1U1kx4dlwWLPb1Zas/7H69g&#10;+2peTFtjtNtaOzeMx9POfCj1+DBuFiAyjfk/fGt/agXT2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T+cMAAADcAAAADwAAAAAAAAAAAAAAAACYAgAAZHJzL2Rv&#10;d25yZXYueG1sUEsFBgAAAAAEAAQA9QAAAIgDAAAAAA==&#10;" fillcolor="white [3201]" strokeweight=".5pt">
                  <v:textbox>
                    <w:txbxContent>
                      <w:p w14:paraId="2C1FB083"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Rodiklių matavimas</w:t>
                        </w:r>
                      </w:p>
                      <w:p w14:paraId="56C34F8E"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Kita informacija ir duomenys</w:t>
                        </w:r>
                      </w:p>
                      <w:p w14:paraId="1DCFDCBF" w14:textId="77777777" w:rsidR="00D1128E" w:rsidRPr="00480762" w:rsidRDefault="00D1128E" w:rsidP="00AA7568">
                        <w:pPr>
                          <w:pStyle w:val="Sraopastraipa"/>
                          <w:numPr>
                            <w:ilvl w:val="0"/>
                            <w:numId w:val="38"/>
                          </w:numPr>
                          <w:rPr>
                            <w:rFonts w:ascii="Georgia" w:hAnsi="Georgia"/>
                            <w:sz w:val="20"/>
                          </w:rPr>
                        </w:pPr>
                        <w:r w:rsidRPr="00480762">
                          <w:rPr>
                            <w:rFonts w:ascii="Georgia" w:hAnsi="Georgia"/>
                            <w:sz w:val="20"/>
                            <w:lang w:val="lt-LT"/>
                          </w:rPr>
                          <w:t>Vertinimo ataskaitos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8" o:spid="_x0000_s1114"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1C8MA&#10;AADcAAAADwAAAGRycy9kb3ducmV2LnhtbERPXWvCMBR9F/Yfwh34pumKE6mmxQ0ENxiyTsS9XZq7&#10;pq65KU2m9d8vD4KPh/O9KgbbijP1vnGs4GmagCCunG64VrD/2kwWIHxA1tg6JgVX8lDkD6MVZtpd&#10;+JPOZahFDGGfoQITQpdJ6StDFv3UdcSR+3G9xRBhX0vd4yWG21amSTKXFhuODQY7ejVU/ZZ/VgEe&#10;y+/ddfamXw7y4/lkU2/8+0Kp8eOwXoIINIS7+ObeagXpP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1C8MAAADcAAAADwAAAAAAAAAAAAAAAACYAgAAZHJzL2Rv&#10;d25yZXYueG1sUEsFBgAAAAAEAAQA9QAAAIgDAAAAAA==&#10;" adj="19377" fillcolor="#c0504d [3205]" strokecolor="#622423 [1605]" strokeweight="2pt"/>
                <v:shape id="Text Box 269" o:spid="_x0000_s1115"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9q8EA&#10;AADcAAAADwAAAGRycy9kb3ducmV2LnhtbESPQYvCMBSE74L/ITzBm6brQbQaRRaFetPqxdujeduG&#10;bV5KE2v990YQPA4z8w2z3va2Fh213jhW8DNNQBAXThsuFVwvh8kChA/IGmvHpOBJHrab4WCNqXYP&#10;PlOXh1JECPsUFVQhNKmUvqjIop+6hjh6f661GKJsS6lbfES4reUsSebSouG4UGFDvxUV//ndKjg8&#10;s33WL0/6tjvKBR2LLjdGKjUe9bsViEB9+IY/7UwrmM2X8D4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VfavBAAAA3AAAAA8AAAAAAAAAAAAAAAAAmAIAAGRycy9kb3du&#10;cmV2LnhtbFBLBQYAAAAABAAEAPUAAACGAwAAAAA=&#10;" fillcolor="#ffd03b" strokeweight=".5pt">
                  <v:textbox>
                    <w:txbxContent>
                      <w:p w14:paraId="1CB1B952" w14:textId="77777777" w:rsidR="00D1128E" w:rsidRPr="00480762" w:rsidRDefault="00D1128E" w:rsidP="00AA7568">
                        <w:pPr>
                          <w:jc w:val="center"/>
                          <w:rPr>
                            <w:rFonts w:ascii="Georgia" w:hAnsi="Georgia"/>
                            <w:b/>
                            <w:lang w:val="lt-LT"/>
                          </w:rPr>
                        </w:pPr>
                        <w:r w:rsidRPr="00480762">
                          <w:rPr>
                            <w:rFonts w:ascii="Georgia" w:hAnsi="Georgia"/>
                            <w:b/>
                            <w:lang w:val="lt-LT"/>
                          </w:rPr>
                          <w:t>ANALIZĖ</w:t>
                        </w:r>
                      </w:p>
                      <w:p w14:paraId="691F503C" w14:textId="77777777" w:rsidR="00D1128E" w:rsidRPr="00480762" w:rsidRDefault="00D1128E" w:rsidP="00AA7568">
                        <w:pPr>
                          <w:jc w:val="center"/>
                          <w:rPr>
                            <w:rFonts w:ascii="Georgia" w:hAnsi="Georgia"/>
                            <w:b/>
                            <w:lang w:val="lt-LT"/>
                          </w:rPr>
                        </w:pPr>
                        <w:r w:rsidRPr="00480762">
                          <w:rPr>
                            <w:rFonts w:ascii="Georgia" w:hAnsi="Georgia"/>
                            <w:b/>
                            <w:lang w:val="lt-LT"/>
                          </w:rPr>
                          <w:t>SPRENDIMŲ PRIĖMIMAS</w:t>
                        </w:r>
                      </w:p>
                    </w:txbxContent>
                  </v:textbox>
                </v:shape>
                <w10:anchorlock/>
              </v:group>
            </w:pict>
          </mc:Fallback>
        </mc:AlternateContent>
      </w:r>
    </w:p>
    <w:p w14:paraId="450170D8" w14:textId="02EFBB82" w:rsidR="00AA7568" w:rsidRPr="00C97275" w:rsidRDefault="00AA7568" w:rsidP="00AA7568">
      <w:pPr>
        <w:pStyle w:val="Antrat"/>
        <w:rPr>
          <w:szCs w:val="20"/>
          <w:lang w:val="lt-LT"/>
        </w:rPr>
      </w:pPr>
      <w:bookmarkStart w:id="276" w:name="_Toc19105299"/>
      <w:r w:rsidRPr="00C97275">
        <w:rPr>
          <w:lang w:val="lt-LT"/>
        </w:rPr>
        <w:t xml:space="preserve">Paveikslas </w:t>
      </w:r>
      <w:r w:rsidRPr="00C97275">
        <w:rPr>
          <w:lang w:val="lt-LT"/>
        </w:rPr>
        <w:fldChar w:fldCharType="begin"/>
      </w:r>
      <w:r w:rsidRPr="00C97275">
        <w:rPr>
          <w:lang w:val="lt-LT"/>
        </w:rPr>
        <w:instrText xml:space="preserve"> SEQ Paveikslas \* ARABIC </w:instrText>
      </w:r>
      <w:r w:rsidRPr="00C97275">
        <w:rPr>
          <w:lang w:val="lt-LT"/>
        </w:rPr>
        <w:fldChar w:fldCharType="separate"/>
      </w:r>
      <w:r w:rsidR="001028BC" w:rsidRPr="00C97275">
        <w:rPr>
          <w:noProof/>
          <w:lang w:val="lt-LT"/>
        </w:rPr>
        <w:t>15</w:t>
      </w:r>
      <w:r w:rsidRPr="00C97275">
        <w:rPr>
          <w:lang w:val="lt-LT"/>
        </w:rPr>
        <w:fldChar w:fldCharType="end"/>
      </w:r>
      <w:r w:rsidRPr="00C97275">
        <w:rPr>
          <w:lang w:val="lt-LT"/>
        </w:rPr>
        <w:t xml:space="preserve">. </w:t>
      </w:r>
      <w:r w:rsidRPr="00C97275">
        <w:rPr>
          <w:szCs w:val="20"/>
          <w:lang w:val="lt-LT"/>
        </w:rPr>
        <w:t>Pagrindiniai stebėsenos elementai</w:t>
      </w:r>
      <w:bookmarkEnd w:id="276"/>
    </w:p>
    <w:p w14:paraId="6352F1BF" w14:textId="77777777" w:rsidR="00AA7568" w:rsidRPr="00C97275" w:rsidRDefault="00AA7568" w:rsidP="00AA7568">
      <w:pPr>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 xml:space="preserve">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w:t>
      </w:r>
    </w:p>
    <w:p w14:paraId="00112015" w14:textId="77777777" w:rsidR="00AA7568" w:rsidRPr="00C97275" w:rsidRDefault="00AA7568" w:rsidP="00AA7568">
      <w:pPr>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 xml:space="preserve">Vadovaujančioji institucija pirmiausia turi užtikrinti, jog finansavimo sutartyje su fondų fondo valdytoju yra aiškiai apibrėžti ataskaitų teikimo reikalavimai. Pagrindiniai ataskaitų teikimo reikalavimai fondų fondo valdytojui pirmiausia bus apibrėžti Europos Komisijos Įgyvendinimo reglamente, kuris šiuo metu yra rengiamas. Tačiau vadovaujančioji institucija gali neapsiriboti Įgyvendinimo reglamento reikalavimais ir siūlomas ataskaitų formas papildyti jai reikalinga informacija. Vadovaujančiosios institucijos ataskaitų teikimo formos bus tvirtinamos Finansinių priemonių taisyklėse. </w:t>
      </w:r>
    </w:p>
    <w:p w14:paraId="2C086420" w14:textId="77777777" w:rsidR="00AA7568" w:rsidRPr="00C97275" w:rsidRDefault="00AA7568" w:rsidP="00AA7568">
      <w:pPr>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 xml:space="preserve">Tuo atveju, kai fondų fondo valdytojas pasitelkia finansinius tarpininkus finansinės priemonės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pilnai fondų fondo valdytojo atsakomybė. </w:t>
      </w:r>
    </w:p>
    <w:p w14:paraId="58F5F6B1" w14:textId="77777777" w:rsidR="00AA7568" w:rsidRPr="00C97275" w:rsidRDefault="00AA7568" w:rsidP="00AA7568">
      <w:pPr>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6F05CE52" w14:textId="77777777" w:rsidR="00AA7568" w:rsidRPr="00C97275" w:rsidRDefault="00AA7568" w:rsidP="00AA7568">
      <w:pPr>
        <w:keepNext/>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Ataskaitų teikimas turėtų būti įgyvendinamas šiais etapais:</w:t>
      </w:r>
    </w:p>
    <w:p w14:paraId="4CC920D1" w14:textId="77777777" w:rsidR="00AA7568" w:rsidRPr="00C97275" w:rsidRDefault="00AA7568" w:rsidP="00AA7568">
      <w:pPr>
        <w:pStyle w:val="Sraopastraipa"/>
        <w:keepNext/>
        <w:numPr>
          <w:ilvl w:val="6"/>
          <w:numId w:val="134"/>
        </w:numPr>
        <w:ind w:left="709"/>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Duomenų rinkimas</w:t>
      </w:r>
    </w:p>
    <w:p w14:paraId="5AFCC3AC" w14:textId="77777777" w:rsidR="00AA7568" w:rsidRPr="00C97275" w:rsidRDefault="00AA7568" w:rsidP="00AA7568">
      <w:pPr>
        <w:pStyle w:val="Sraopastraipa"/>
        <w:keepNext/>
        <w:numPr>
          <w:ilvl w:val="6"/>
          <w:numId w:val="134"/>
        </w:numPr>
        <w:ind w:left="709"/>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Įgyvendinimo ataskaitos</w:t>
      </w:r>
    </w:p>
    <w:p w14:paraId="2DEB7DD8" w14:textId="77777777" w:rsidR="00AA7568" w:rsidRPr="00C97275" w:rsidRDefault="00AA7568" w:rsidP="00AA7568">
      <w:pPr>
        <w:pStyle w:val="Sraopastraipa"/>
        <w:keepNext/>
        <w:numPr>
          <w:ilvl w:val="6"/>
          <w:numId w:val="134"/>
        </w:numPr>
        <w:ind w:left="709"/>
        <w:jc w:val="both"/>
        <w:rPr>
          <w:rFonts w:ascii="Georgia" w:eastAsia="Times New Roman" w:hAnsi="Georgia" w:cs="Times New Roman"/>
          <w:sz w:val="20"/>
          <w:szCs w:val="20"/>
          <w:lang w:val="lt-LT" w:eastAsia="lt-LT"/>
        </w:rPr>
      </w:pPr>
      <w:r w:rsidRPr="00C97275">
        <w:rPr>
          <w:rFonts w:ascii="Georgia" w:eastAsia="Times New Roman" w:hAnsi="Georgia" w:cs="Times New Roman"/>
          <w:sz w:val="20"/>
          <w:szCs w:val="20"/>
          <w:lang w:val="lt-LT" w:eastAsia="lt-LT"/>
        </w:rPr>
        <w:t>Finansinės ataskaitos</w:t>
      </w:r>
    </w:p>
    <w:p w14:paraId="3E479193" w14:textId="77777777" w:rsidR="00AA7568" w:rsidRPr="00C97275" w:rsidRDefault="00AA7568" w:rsidP="00AA7568">
      <w:pPr>
        <w:jc w:val="both"/>
        <w:rPr>
          <w:rFonts w:ascii="Georgia" w:eastAsiaTheme="majorEastAsia" w:hAnsi="Georgia" w:cstheme="majorBidi"/>
          <w:b/>
          <w:bCs/>
          <w:color w:val="365F91" w:themeColor="accent1" w:themeShade="BF"/>
          <w:sz w:val="28"/>
          <w:szCs w:val="28"/>
          <w:lang w:val="lt-LT"/>
        </w:rPr>
      </w:pPr>
      <w:r w:rsidRPr="00C97275">
        <w:rPr>
          <w:rFonts w:ascii="Georgia" w:hAnsi="Georgia"/>
          <w:sz w:val="20"/>
          <w:lang w:val="lt-LT"/>
        </w:rPr>
        <w:t xml:space="preserve">Toks ataskaitų teikimo ciklas leidžia užtikrinti, kad prieinami duomenys yra tikslūs ir atspindi realią situaciją, šių duomenų pagrindu rengiamos pažangos ataskaitos yra teisingos ir galiausiai leidžia užtikrinti finansinį lėšų naudojimo teisingumą. </w:t>
      </w:r>
    </w:p>
    <w:p w14:paraId="5AA88087" w14:textId="77777777" w:rsidR="00AA7568" w:rsidRPr="00C97275" w:rsidRDefault="00AA7568" w:rsidP="00AA7568">
      <w:pPr>
        <w:rPr>
          <w:rFonts w:ascii="Georgia" w:eastAsiaTheme="majorEastAsia" w:hAnsi="Georgia" w:cstheme="majorBidi"/>
          <w:b/>
          <w:bCs/>
          <w:color w:val="4F81BD" w:themeColor="accent1"/>
          <w:sz w:val="26"/>
          <w:szCs w:val="26"/>
          <w:lang w:val="lt-LT"/>
        </w:rPr>
      </w:pPr>
      <w:r w:rsidRPr="00C97275">
        <w:rPr>
          <w:rFonts w:ascii="Georgia" w:hAnsi="Georgia"/>
          <w:lang w:val="lt-LT"/>
        </w:rPr>
        <w:br w:type="page"/>
      </w:r>
    </w:p>
    <w:p w14:paraId="7E18D8BE" w14:textId="77777777" w:rsidR="007841B1" w:rsidRPr="00C97275" w:rsidRDefault="007841B1" w:rsidP="007841B1">
      <w:pPr>
        <w:rPr>
          <w:rFonts w:ascii="Georgia" w:hAnsi="Georgia"/>
          <w:lang w:val="lt-LT"/>
        </w:rPr>
      </w:pPr>
    </w:p>
    <w:p w14:paraId="1EB81DA9" w14:textId="34097A71" w:rsidR="00151543" w:rsidRPr="00C97275" w:rsidRDefault="00151543" w:rsidP="00B21367">
      <w:pPr>
        <w:pStyle w:val="Antrat2"/>
        <w:numPr>
          <w:ilvl w:val="1"/>
          <w:numId w:val="19"/>
        </w:numPr>
        <w:spacing w:after="240"/>
        <w:ind w:left="1080"/>
        <w:rPr>
          <w:rFonts w:ascii="Georgia" w:hAnsi="Georgia"/>
          <w:lang w:val="lt-LT"/>
        </w:rPr>
      </w:pPr>
      <w:bookmarkStart w:id="277" w:name="_Toc25594728"/>
      <w:r w:rsidRPr="00C97275">
        <w:rPr>
          <w:rFonts w:ascii="Georgia" w:hAnsi="Georgia"/>
          <w:lang w:val="lt-LT"/>
        </w:rPr>
        <w:t>Centrinės valdžios viešųjų pastatų ir gatvių apšvietimo modernizavimo investavimo strategija</w:t>
      </w:r>
      <w:bookmarkEnd w:id="262"/>
      <w:bookmarkEnd w:id="263"/>
      <w:bookmarkEnd w:id="277"/>
    </w:p>
    <w:p w14:paraId="475A63B2" w14:textId="6EFE2BCA" w:rsidR="00AE1892" w:rsidRPr="00C97275" w:rsidRDefault="00AE1892" w:rsidP="0063781D">
      <w:pPr>
        <w:pStyle w:val="Antrat2"/>
        <w:numPr>
          <w:ilvl w:val="1"/>
          <w:numId w:val="19"/>
        </w:numPr>
        <w:spacing w:after="240"/>
        <w:ind w:left="1080"/>
        <w:rPr>
          <w:rFonts w:ascii="Georgia" w:hAnsi="Georgia"/>
          <w:lang w:val="lt-LT"/>
        </w:rPr>
      </w:pPr>
      <w:bookmarkStart w:id="278" w:name="_Toc25594729"/>
      <w:r w:rsidRPr="00C97275">
        <w:rPr>
          <w:rFonts w:ascii="Georgia" w:hAnsi="Georgia"/>
          <w:lang w:val="lt-LT"/>
        </w:rPr>
        <w:t>Savivaldybių viešųjų pastatų modernizavimo investavimo strategija</w:t>
      </w:r>
      <w:bookmarkEnd w:id="278"/>
    </w:p>
    <w:p w14:paraId="47B932F9" w14:textId="77777777" w:rsidR="003863BF" w:rsidRDefault="00231758" w:rsidP="003863BF">
      <w:pPr>
        <w:pStyle w:val="Antrat1"/>
        <w:numPr>
          <w:ilvl w:val="0"/>
          <w:numId w:val="2"/>
        </w:numPr>
        <w:ind w:hanging="720"/>
        <w:rPr>
          <w:lang w:val="lt-LT"/>
        </w:rPr>
      </w:pPr>
      <w:r w:rsidRPr="00C97275">
        <w:rPr>
          <w:rFonts w:eastAsia="Times New Roman" w:cs="Times New Roman"/>
          <w:sz w:val="20"/>
          <w:szCs w:val="20"/>
          <w:lang w:val="lt-LT" w:eastAsia="lt-LT"/>
        </w:rPr>
        <w:br w:type="page"/>
      </w:r>
      <w:bookmarkStart w:id="279" w:name="_Toc25589999"/>
      <w:bookmarkStart w:id="280" w:name="_Toc25594730"/>
      <w:r w:rsidR="003863BF">
        <w:rPr>
          <w:lang w:val="lt-LT"/>
        </w:rPr>
        <w:lastRenderedPageBreak/>
        <w:t>Ataskaitos pabaiga</w:t>
      </w:r>
      <w:bookmarkEnd w:id="279"/>
      <w:bookmarkEnd w:id="280"/>
      <w:r w:rsidR="003863BF">
        <w:rPr>
          <w:lang w:val="lt-LT"/>
        </w:rPr>
        <w:t xml:space="preserve"> </w:t>
      </w:r>
    </w:p>
    <w:p w14:paraId="26E54AA2" w14:textId="77777777" w:rsidR="003863BF" w:rsidRPr="008263A8" w:rsidRDefault="003863BF" w:rsidP="003863BF">
      <w:pPr>
        <w:pStyle w:val="Antrat1"/>
        <w:numPr>
          <w:ilvl w:val="1"/>
          <w:numId w:val="2"/>
        </w:numPr>
        <w:rPr>
          <w:sz w:val="32"/>
          <w:szCs w:val="32"/>
          <w:lang w:val="lt-LT"/>
        </w:rPr>
      </w:pPr>
      <w:bookmarkStart w:id="281" w:name="_Toc25590000"/>
      <w:bookmarkStart w:id="282" w:name="_Toc25594731"/>
      <w:r w:rsidRPr="008263A8">
        <w:rPr>
          <w:sz w:val="32"/>
          <w:szCs w:val="32"/>
          <w:lang w:val="lt-LT"/>
        </w:rPr>
        <w:t>Nuostatos ex-ante vertinimo peržiūrėjimui</w:t>
      </w:r>
      <w:bookmarkEnd w:id="281"/>
      <w:bookmarkEnd w:id="282"/>
      <w:r w:rsidRPr="008263A8">
        <w:rPr>
          <w:sz w:val="32"/>
          <w:szCs w:val="32"/>
          <w:lang w:val="lt-LT"/>
        </w:rPr>
        <w:t xml:space="preserve"> </w:t>
      </w:r>
    </w:p>
    <w:p w14:paraId="456CE9F7" w14:textId="77777777" w:rsidR="003863BF" w:rsidRPr="00592921" w:rsidRDefault="003863BF" w:rsidP="003863BF">
      <w:pPr>
        <w:rPr>
          <w:lang w:val="lt-LT"/>
        </w:rPr>
      </w:pPr>
    </w:p>
    <w:p w14:paraId="7E587CA6" w14:textId="77777777" w:rsidR="003863BF" w:rsidRPr="002142B8" w:rsidRDefault="003863BF" w:rsidP="003863BF">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Siekiant užtikrinti ex-ante vertinimo tinkamą naudojimą finansinių priemonių įgyvendinimui, ir, svarbiausia – atitikimą esamai situacijai rinkoje, ex-ante vertinimo pabaigoje turi būti numatytos nuostatos ir atvejai, skirti ex-ante vertinimo peržiūrėjimui ir keitimui. Tai pažymi esminius faktorius, kurių pasikeitimą reikėtų įvertinti ir apsispręsti, ar veikianti finansinė priemonė vis dar atitinka rinkos situaciją ir yra tinkama. Jeigu nustatoma, kad finansinė priemonė nebeatitinka esamos rinkos situacijos, nedemonstruoja gerų rezultatų, ex-ante vertinimas gali būti koreguojamas ir taip sukuriamas pagrindas modifikuoti finansinę priemonę. </w:t>
      </w:r>
    </w:p>
    <w:p w14:paraId="23B2D6EE" w14:textId="77777777" w:rsidR="003863BF" w:rsidRPr="002142B8" w:rsidRDefault="003863BF" w:rsidP="003863BF">
      <w:pPr>
        <w:jc w:val="both"/>
        <w:rPr>
          <w:rFonts w:ascii="Georgia" w:hAnsi="Georgia"/>
          <w:sz w:val="20"/>
          <w:szCs w:val="20"/>
          <w:lang w:val="lt-LT"/>
        </w:rPr>
      </w:pPr>
      <w:r w:rsidRPr="002142B8">
        <w:rPr>
          <w:rFonts w:ascii="Georgia" w:eastAsia="Times New Roman" w:hAnsi="Georgia" w:cs="Times New Roman"/>
          <w:sz w:val="20"/>
          <w:szCs w:val="20"/>
          <w:lang w:val="lt-LT" w:eastAsia="lt-LT"/>
        </w:rPr>
        <w:t>Ex-ante vertinimą rekomenduojama peržiūrėti pasikeitus šiems faktoriams:</w:t>
      </w:r>
    </w:p>
    <w:p w14:paraId="1EEC2E39"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 xml:space="preserve">Reikšmingai pasikeitus prielaidoms, kuriomis remiantis buvo atliekami skaičiavimai šioje ex-ante, kadangi dėl to gali būti nepasiekiami ex-ante vertinime apskaičiuoti rezultatai: </w:t>
      </w:r>
    </w:p>
    <w:p w14:paraId="65B5F84D" w14:textId="77777777" w:rsidR="003863BF" w:rsidRPr="002142B8" w:rsidRDefault="003863BF" w:rsidP="003863BF">
      <w:pPr>
        <w:pStyle w:val="Sraopastraipa"/>
        <w:numPr>
          <w:ilvl w:val="1"/>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Reikšmingai pasikeitus šilumos energijos kainai. Žymus energijos kainos pasikeitimas daro įtaką projektų atsipirkimo laikui ir subsidijos poreikį. Šio elemento derinimas turi būti vertinamas kartu su įgyvendinamų projektų skaičiumi ir turimų laisvų lėšų suma;</w:t>
      </w:r>
    </w:p>
    <w:p w14:paraId="110399A3" w14:textId="77777777" w:rsidR="003863BF" w:rsidRPr="002142B8" w:rsidRDefault="003863BF" w:rsidP="003863BF">
      <w:pPr>
        <w:pStyle w:val="Sraopastraipa"/>
        <w:numPr>
          <w:ilvl w:val="1"/>
          <w:numId w:val="41"/>
        </w:numPr>
        <w:jc w:val="both"/>
        <w:rPr>
          <w:rFonts w:ascii="Georgia" w:hAnsi="Georgia"/>
          <w:sz w:val="20"/>
          <w:szCs w:val="20"/>
          <w:lang w:val="lt-LT"/>
        </w:rPr>
      </w:pPr>
      <w:r w:rsidRPr="002142B8">
        <w:rPr>
          <w:rFonts w:ascii="Georgia" w:hAnsi="Georgia"/>
          <w:sz w:val="20"/>
          <w:szCs w:val="20"/>
          <w:lang w:val="lt-LT"/>
        </w:rPr>
        <w:t>reikšmingai pasikeitus renovacijos kainai (1 kv. m. renovacijos kaina);</w:t>
      </w:r>
    </w:p>
    <w:p w14:paraId="5229B8C3" w14:textId="77777777" w:rsidR="003863BF" w:rsidRPr="002142B8" w:rsidRDefault="003863BF" w:rsidP="003863BF">
      <w:pPr>
        <w:pStyle w:val="Sraopastraipa"/>
        <w:numPr>
          <w:ilvl w:val="1"/>
          <w:numId w:val="41"/>
        </w:numPr>
        <w:jc w:val="both"/>
        <w:rPr>
          <w:rFonts w:ascii="Georgia" w:hAnsi="Georgia"/>
          <w:sz w:val="20"/>
          <w:szCs w:val="20"/>
          <w:lang w:val="lt-LT"/>
        </w:rPr>
      </w:pPr>
      <w:r w:rsidRPr="002142B8">
        <w:rPr>
          <w:rFonts w:ascii="Georgia" w:hAnsi="Georgia"/>
          <w:sz w:val="20"/>
          <w:szCs w:val="20"/>
          <w:lang w:val="lt-LT"/>
        </w:rPr>
        <w:t>pasikeitus energetinio efektyvumo reikalavimams ir tikslams;</w:t>
      </w:r>
    </w:p>
    <w:p w14:paraId="25A1F3AC" w14:textId="77777777" w:rsidR="003863BF" w:rsidRPr="002142B8" w:rsidRDefault="003863BF" w:rsidP="003863BF">
      <w:pPr>
        <w:pStyle w:val="Sraopastraipa"/>
        <w:numPr>
          <w:ilvl w:val="1"/>
          <w:numId w:val="41"/>
        </w:numPr>
        <w:jc w:val="both"/>
        <w:rPr>
          <w:rFonts w:ascii="Georgia" w:hAnsi="Georgia"/>
          <w:sz w:val="20"/>
          <w:szCs w:val="20"/>
          <w:lang w:val="lt-LT"/>
        </w:rPr>
      </w:pPr>
      <w:r w:rsidRPr="002142B8">
        <w:rPr>
          <w:rFonts w:ascii="Georgia" w:hAnsi="Georgia"/>
          <w:sz w:val="20"/>
          <w:szCs w:val="20"/>
          <w:lang w:val="lt-LT"/>
        </w:rPr>
        <w:t>reikšmingai pasikeitus kitoms šioje ex-ante numatytoms prielaidoms.</w:t>
      </w:r>
    </w:p>
    <w:p w14:paraId="510DD75D"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 xml:space="preserve">Pasikeitus prielaidoms dėl subsidijos projekto daliai finansuoti tikslingumo. </w:t>
      </w:r>
    </w:p>
    <w:p w14:paraId="1B0BE860"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Įgyvendinant ex-ante vertinime pasiūlytas finansines priemones susiduriama su reikšmingomis teisinėmis kliūtimis ar prieštaravimais, kurie iš esmės neleidžia įgyvendinti pasiūlytų alternatyvų.</w:t>
      </w:r>
    </w:p>
    <w:p w14:paraId="32DE5955"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Pakeitus ar papildžius energetinio efektyvumo reikalavimų teisinę bazę.</w:t>
      </w:r>
    </w:p>
    <w:p w14:paraId="1715DD09"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Pasikeitus Lietuvos ar ES teisės aktams, kurie suvaržo siūlomų finansinių priemonių įgyvendinimą.</w:t>
      </w:r>
    </w:p>
    <w:p w14:paraId="3CCD5CDD"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 xml:space="preserve">Pasikeitus Lietuvos ar ES teisės aktams, kurie atveria galimybes įgyvendinti finansines priemones lengviau, paprasčiau, patiriant mažiau </w:t>
      </w:r>
      <w:r>
        <w:rPr>
          <w:rFonts w:ascii="Georgia" w:hAnsi="Georgia"/>
          <w:sz w:val="20"/>
          <w:szCs w:val="20"/>
          <w:lang w:val="lt-LT"/>
        </w:rPr>
        <w:t>sąnaudų</w:t>
      </w:r>
      <w:r w:rsidRPr="002142B8">
        <w:rPr>
          <w:rFonts w:ascii="Georgia" w:hAnsi="Georgia"/>
          <w:sz w:val="20"/>
          <w:szCs w:val="20"/>
          <w:lang w:val="lt-LT"/>
        </w:rPr>
        <w:t xml:space="preserve"> ir pan. (pavyzdžiui, EK patvirtina naujas standartizuotas finansines priemones (angl. </w:t>
      </w:r>
      <w:r w:rsidRPr="002142B8">
        <w:rPr>
          <w:rFonts w:ascii="Georgia" w:hAnsi="Georgia"/>
          <w:i/>
          <w:sz w:val="20"/>
          <w:szCs w:val="20"/>
          <w:lang w:val="lt-LT"/>
        </w:rPr>
        <w:t>off-the-shelf instruments</w:t>
      </w:r>
      <w:r w:rsidRPr="002142B8">
        <w:rPr>
          <w:rFonts w:ascii="Georgia" w:hAnsi="Georgia"/>
          <w:sz w:val="20"/>
          <w:szCs w:val="20"/>
          <w:lang w:val="lt-LT"/>
        </w:rPr>
        <w:t>).</w:t>
      </w:r>
    </w:p>
    <w:p w14:paraId="2D7065C6"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Pasikeitus strateginiams Lietuvos tikslams ir uždaviniams, siektiniems rezultatams ir pan.</w:t>
      </w:r>
    </w:p>
    <w:p w14:paraId="4BFD2E74"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 xml:space="preserve">Vadovaujančiai institucijai nurodžius papildyti ex-ante vertinimą tokiu atveju, kai ex-ante pildoma dalimis, arba vadovaujančiai institucijai ir kitoms suinteresuotoms šalims argumentuotai pagrindus, kodėl yra reikalingas ex-ante vertinimo pakeitimas. </w:t>
      </w:r>
    </w:p>
    <w:p w14:paraId="4AEBE398"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Išnaudojus, arba išnaudojus didžiąją dalį (pvz. daugiau kaip 90 proc.) atskiroms sritims skirtų ESI fondų lėšų.</w:t>
      </w:r>
    </w:p>
    <w:p w14:paraId="568714AF" w14:textId="77777777" w:rsidR="003863BF" w:rsidRPr="002142B8" w:rsidRDefault="003863BF" w:rsidP="003863BF">
      <w:pPr>
        <w:pStyle w:val="Sraopastraipa"/>
        <w:numPr>
          <w:ilvl w:val="0"/>
          <w:numId w:val="41"/>
        </w:numPr>
        <w:jc w:val="both"/>
        <w:rPr>
          <w:rFonts w:ascii="Georgia" w:hAnsi="Georgia"/>
          <w:sz w:val="20"/>
          <w:szCs w:val="20"/>
          <w:lang w:val="lt-LT"/>
        </w:rPr>
      </w:pPr>
      <w:r>
        <w:rPr>
          <w:rFonts w:ascii="Georgia" w:hAnsi="Georgia"/>
          <w:sz w:val="20"/>
          <w:szCs w:val="20"/>
          <w:lang w:val="lt-LT"/>
        </w:rPr>
        <w:t>Nustačius riziką</w:t>
      </w:r>
      <w:r w:rsidRPr="002142B8">
        <w:rPr>
          <w:rFonts w:ascii="Georgia" w:hAnsi="Georgia"/>
          <w:sz w:val="20"/>
          <w:szCs w:val="20"/>
          <w:lang w:val="lt-LT"/>
        </w:rPr>
        <w:t>, jog ex-ante nurodytomis sąlygomis nebus pasiekti numatyti rezultatai.</w:t>
      </w:r>
    </w:p>
    <w:p w14:paraId="17316EF2" w14:textId="77777777" w:rsidR="003863BF" w:rsidRPr="002142B8" w:rsidRDefault="003863BF" w:rsidP="003863BF">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Pasikeitus kitoms sąlygoms kurios ženkliai galėtų įtakoti šios ex-ante rezultatus.</w:t>
      </w:r>
    </w:p>
    <w:p w14:paraId="5E79E692" w14:textId="77777777" w:rsidR="003863BF" w:rsidRPr="00776D82" w:rsidRDefault="003863BF" w:rsidP="003863BF">
      <w:pPr>
        <w:jc w:val="both"/>
        <w:rPr>
          <w:rFonts w:ascii="Georgia" w:hAnsi="Georgia"/>
          <w:sz w:val="20"/>
          <w:szCs w:val="20"/>
          <w:lang w:val="lt-LT"/>
        </w:rPr>
      </w:pPr>
      <w:r w:rsidRPr="002142B8">
        <w:rPr>
          <w:rFonts w:ascii="Georgia" w:hAnsi="Georgia"/>
          <w:sz w:val="20"/>
          <w:szCs w:val="20"/>
          <w:lang w:val="lt-LT"/>
        </w:rPr>
        <w:t>Pažymėtina, jog siekiant laiku įvertinti susiklosčiusius pokyčius, išvardintus 1-10 punktuose aukščiau, turėtų būti užtikrinama šios informacijos stebėsena per ataskaitų teikimą. Rekomenduojame fondo valdytojui kasmet teikiant metines ataskaitas peržiūrėti 1-10 punktuose išvardintus aspektus bei pateikti savo rekomendacijas dėl jų esminių ar neesminių pasikeitimų bei savo nuomonę, ar ex-ante vertinimas teisingai atspindi esamą situaciją ir ar nėra reikalingas ex-ante vertinimo pakeitimas.</w:t>
      </w:r>
      <w:r w:rsidRPr="00B23A70">
        <w:rPr>
          <w:rFonts w:ascii="Georgia" w:hAnsi="Georgia"/>
          <w:sz w:val="20"/>
          <w:szCs w:val="20"/>
          <w:lang w:val="lt-LT"/>
        </w:rPr>
        <w:t xml:space="preserve"> </w:t>
      </w:r>
    </w:p>
    <w:p w14:paraId="058F52C6" w14:textId="77777777" w:rsidR="003863BF" w:rsidRDefault="003863BF" w:rsidP="003863BF">
      <w:pPr>
        <w:pStyle w:val="Sraopastraipa"/>
        <w:keepNext/>
        <w:keepLines/>
        <w:numPr>
          <w:ilvl w:val="1"/>
          <w:numId w:val="2"/>
        </w:numPr>
        <w:spacing w:before="480" w:after="0"/>
        <w:outlineLvl w:val="0"/>
        <w:rPr>
          <w:rFonts w:ascii="Georgia" w:hAnsi="Georgia"/>
          <w:b/>
          <w:color w:val="632423" w:themeColor="accent2" w:themeShade="80"/>
          <w:sz w:val="32"/>
          <w:szCs w:val="32"/>
          <w:lang w:val="lt-LT"/>
        </w:rPr>
      </w:pPr>
      <w:bookmarkStart w:id="283" w:name="_Toc25590001"/>
      <w:bookmarkStart w:id="284" w:name="_Toc25594732"/>
      <w:r w:rsidRPr="008263A8">
        <w:rPr>
          <w:rFonts w:ascii="Georgia" w:hAnsi="Georgia"/>
          <w:b/>
          <w:color w:val="632423" w:themeColor="accent2" w:themeShade="80"/>
          <w:sz w:val="32"/>
          <w:szCs w:val="32"/>
          <w:lang w:val="lt-LT"/>
        </w:rPr>
        <w:lastRenderedPageBreak/>
        <w:t>Ex ante santrauka ir išvados</w:t>
      </w:r>
      <w:bookmarkEnd w:id="283"/>
      <w:bookmarkEnd w:id="284"/>
      <w:r w:rsidRPr="008263A8">
        <w:rPr>
          <w:rFonts w:ascii="Georgia" w:hAnsi="Georgia"/>
          <w:b/>
          <w:color w:val="632423" w:themeColor="accent2" w:themeShade="80"/>
          <w:sz w:val="32"/>
          <w:szCs w:val="32"/>
          <w:lang w:val="lt-LT"/>
        </w:rPr>
        <w:t xml:space="preserve"> </w:t>
      </w:r>
    </w:p>
    <w:p w14:paraId="66672056" w14:textId="77777777" w:rsidR="003863BF" w:rsidRDefault="003863BF" w:rsidP="003863BF">
      <w:pPr>
        <w:pStyle w:val="Sraopastraipa"/>
        <w:keepNext/>
        <w:keepLines/>
        <w:spacing w:before="480" w:after="0"/>
        <w:outlineLvl w:val="0"/>
        <w:rPr>
          <w:rFonts w:ascii="Georgia" w:hAnsi="Georgia"/>
          <w:b/>
          <w:color w:val="632423" w:themeColor="accent2" w:themeShade="80"/>
          <w:sz w:val="32"/>
          <w:szCs w:val="32"/>
          <w:lang w:val="lt-LT"/>
        </w:rPr>
      </w:pPr>
    </w:p>
    <w:p w14:paraId="1D507C1B"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Finansinės priemonės yra tvarus finansavimo būdas ilguoju laikotarpiu ir finansinės priemonės tampa vis svarbesnis įrankis (tai pažymėta ir Bendrųjų nuostatų reglamento preambulės (34)-(35) punktuose) pasiekti strateginius rezultatus. Vadovaujantis Bendrųjų nuostatų reglamento 37.2 punktu, finansinių priemonių įgyvendinimas turi būti pagrįstas ex ante vertinimu, kurį atliekant turi būti nustatyti rinkos trūkumai arba beveik optimalios investavimo situacijos, apskaičiuotas viešųjų investicijų poreikių mastas ir apimtis, rinkos trūkumo susidarymo priežastys, įvairių finansinių produktų kiekybinė ir kokybinė analizė, įvertintas poreikis derinti finansines priemones su subsidijomis, finansinės priemonės valdymo alternatyvos ir stebėsena. Įvertinus poreikį kurti finansines priemones siekiant padengti susidariusius rinkos trūkumus (finansavimo trūkumus), turi būti pasiūlyti finansinių priemonių tipai, jų valdymo struktūra, investavimo strategija. Ex ante vertinimas turi būti baigtas iki vadovaujančiajai institucijai priimant sprendimą dėl įnašų pagal programą skyrimo finansinei priemonei.</w:t>
      </w:r>
    </w:p>
    <w:p w14:paraId="33B5CAC3"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Finansų ministerijos užsakymu 2013-2014 m. buvo atliekama PwC studija, kuria buvo siekiama įvertinti JESSICA KF tęstinumą 2014-2020 m. periodu, išanalizuoti potencialius ūkio sektorius finansinių priemonių taikymui bei atlikti pilotinį ex ante vertinimą daugiabučių, viešųjų pastatų ir gatvių apšvietimo modernizavimo sritims. Atsižvelgiant į tai, kad PwC studija buvo atlikta iki Bendrųjų nuostatų reglamento patvirtinimo, kuris apibrėžia ex ante vertinimo turinį, PwC studijoje atliktas pilotinis ex ante vertinimas turi būti papildytas pagal patvirtintas nuostatas ex ante vertinimo atlikimui. </w:t>
      </w:r>
    </w:p>
    <w:p w14:paraId="60306218"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Atsižvelgdama į teisinį reglamentavimą bei poreikį papildyti PwC studijoje atliktą pilotinį ex ante vertinimą, taip pat vykdydama ESI fondų vadovaujančiosios institucijos funkcijas bei siekdama užtikrinti efektyvų ESI fondų panaudojimą, Finansų ministerija inicijavo Viešosios infrastruktūros ir Energijos efektyvumo ex ante vertinimus. Viešosios infrastruktūros ex ante vertinimas apima įvairius viešosios infrastruktūros sektorius, tokius kaip aplinkosaugos, vandentvarkos, energetikos, transporto, švietimo, kultūros bei socialinius sektorius. Nors Viešosios infrastruktūros ex ante vertinimas turi sąsajų su Energijos efektyvumo ex ante vertinimu energetikos srityje, pažymėtina, kad šiuose vertinimuose analizuojamos sritys yra skirtingos. Viešosios infrastruktūros ex ante vertinime energetikos srityje nagrinėjamos šilumos tinklų, elektros tinklų, dujų tinklų ir atsinaujinančių energijos išteklių sritys, o Energijos efektyvumo ex ante vertinimas apima pastatų (daugiabučių ir viešųjų) energetinį efektyvumą ir gatvių apšvietimo energetinį efektyvumą.</w:t>
      </w:r>
    </w:p>
    <w:p w14:paraId="3B3028F5" w14:textId="77777777" w:rsidR="003863BF" w:rsidRPr="008263A8" w:rsidRDefault="003863BF" w:rsidP="003863BF">
      <w:pPr>
        <w:jc w:val="both"/>
        <w:rPr>
          <w:rFonts w:ascii="Georgia" w:hAnsi="Georgia" w:cs="Times New Roman"/>
          <w:sz w:val="20"/>
          <w:lang w:val="lt-LT"/>
        </w:rPr>
      </w:pPr>
      <w:r w:rsidRPr="008263A8">
        <w:rPr>
          <w:rFonts w:ascii="Georgia" w:hAnsi="Georgia" w:cs="Times New Roman"/>
          <w:sz w:val="20"/>
          <w:lang w:val="lt-LT"/>
        </w:rPr>
        <w:t xml:space="preserve">Ši energijos vartojimo efektyvumo ex ante analizė apima daugiabučių namų modernizavimą, centrinės valdžios viešųjų pastatų modernizavimą, gatvių apšvietimo modernizavimą ir savivaldybių viešųjų pastatų modernizavimą. </w:t>
      </w:r>
    </w:p>
    <w:p w14:paraId="41A00A9B"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Šis ex ante vertinimas buvo atliktas pilnai vadovaujantis Europos Komisijos užsakymu atliktos 2014-2020 metų programavimo laikotarpio finansinių priemonių ex ante vertinimo metodologijos  bendrąja ir 4-ąja dalimis ("Perėjimas prie mažai anglies dioksido į aplinką išskiriančių technologijų ekonomikos“). Taip pat buvo vadovaujamasi šiuo metu galiojančiais teisės aktais ir strateginiais dokumentais, kurie daro įtaką finansinių priemonių įgyvendinimui ar konkrečių rezultatų siekimui. </w:t>
      </w:r>
    </w:p>
    <w:p w14:paraId="33C3C0B7" w14:textId="1942D1D2" w:rsidR="003863BF" w:rsidRPr="00911B4C"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Vadovaujantis ex ante vertinimo rengimo rekomendacijomis, įvertinus įsipareigojimus pagal ES direktyvas ir kitus dokumentus bei nacionalinių strateginių dokumentų apibrėžtus tikslus buvo apskaičiuota </w:t>
      </w:r>
      <w:r w:rsidRPr="008263A8">
        <w:rPr>
          <w:rFonts w:ascii="Georgia" w:eastAsia="Times New Roman" w:hAnsi="Georgia" w:cs="Times New Roman"/>
          <w:sz w:val="20"/>
          <w:szCs w:val="20"/>
          <w:u w:val="single"/>
          <w:lang w:val="lt-LT" w:eastAsia="lt-LT"/>
        </w:rPr>
        <w:t>investicijų paklausa</w:t>
      </w:r>
      <w:r w:rsidRPr="008263A8">
        <w:rPr>
          <w:rFonts w:ascii="Georgia" w:eastAsia="Times New Roman" w:hAnsi="Georgia" w:cs="Times New Roman"/>
          <w:sz w:val="20"/>
          <w:szCs w:val="20"/>
          <w:lang w:val="lt-LT" w:eastAsia="lt-LT"/>
        </w:rPr>
        <w:t xml:space="preserve"> kiekvienai iš keturių nagrinėjamų sričių. </w:t>
      </w:r>
      <w:r w:rsidRPr="00513E18">
        <w:rPr>
          <w:rFonts w:ascii="Georgia" w:eastAsia="Times New Roman" w:hAnsi="Georgia" w:cs="Times New Roman"/>
          <w:sz w:val="20"/>
          <w:szCs w:val="20"/>
          <w:lang w:val="lt-LT" w:eastAsia="lt-LT"/>
        </w:rPr>
        <w:t xml:space="preserve">Atnaujintame Energijos vartojimo efektyvumo ex ante vertinime </w:t>
      </w:r>
      <w:r w:rsidR="00737776" w:rsidRPr="00513E18">
        <w:rPr>
          <w:rFonts w:ascii="Georgia" w:hAnsi="Georgia" w:cs="Georgia"/>
          <w:sz w:val="20"/>
          <w:szCs w:val="20"/>
          <w:lang w:val="lt-LT"/>
        </w:rPr>
        <w:t xml:space="preserve">kiekvienai iš sričių </w:t>
      </w:r>
      <w:r w:rsidR="00737776">
        <w:rPr>
          <w:rFonts w:ascii="Georgia" w:hAnsi="Georgia" w:cs="Georgia"/>
          <w:sz w:val="20"/>
          <w:szCs w:val="20"/>
          <w:lang w:val="lt-LT"/>
        </w:rPr>
        <w:t>(</w:t>
      </w:r>
      <w:r w:rsidR="00737776" w:rsidRPr="00737776">
        <w:rPr>
          <w:rFonts w:ascii="Georgia" w:hAnsi="Georgia" w:cs="Georgia"/>
          <w:sz w:val="20"/>
          <w:szCs w:val="20"/>
          <w:lang w:val="lt-LT"/>
        </w:rPr>
        <w:t>daugiabučių modernizavimui, savivaldybių viešųjų pastatų modernizavimui, centrinės valdžios viešųjų pastatų modernizavimui ir gatvių apšvietimo modernizavimui</w:t>
      </w:r>
      <w:r w:rsidR="00737776">
        <w:rPr>
          <w:rFonts w:ascii="Georgia" w:hAnsi="Georgia" w:cs="Georgia"/>
          <w:sz w:val="20"/>
          <w:szCs w:val="20"/>
          <w:lang w:val="lt-LT"/>
        </w:rPr>
        <w:t>)</w:t>
      </w:r>
      <w:r w:rsidR="00737776">
        <w:rPr>
          <w:rFonts w:ascii="Georgia" w:hAnsi="Georgia" w:cs="Georgia"/>
          <w:sz w:val="20"/>
          <w:szCs w:val="20"/>
          <w:lang w:val="lt-LT"/>
        </w:rPr>
        <w:t xml:space="preserve"> </w:t>
      </w:r>
      <w:r w:rsidRPr="00513E18">
        <w:rPr>
          <w:rFonts w:ascii="Georgia" w:eastAsia="Times New Roman" w:hAnsi="Georgia" w:cs="Times New Roman"/>
          <w:sz w:val="20"/>
          <w:szCs w:val="20"/>
          <w:lang w:val="lt-LT" w:eastAsia="lt-LT"/>
        </w:rPr>
        <w:t>nustatyta</w:t>
      </w:r>
      <w:r w:rsidR="00737776">
        <w:rPr>
          <w:rFonts w:ascii="Georgia" w:eastAsia="Times New Roman" w:hAnsi="Georgia" w:cs="Times New Roman"/>
          <w:sz w:val="20"/>
          <w:szCs w:val="20"/>
          <w:lang w:val="lt-LT" w:eastAsia="lt-LT"/>
        </w:rPr>
        <w:t>s investicijų poreikis.</w:t>
      </w:r>
    </w:p>
    <w:p w14:paraId="77C4EF3D" w14:textId="5C6CB047" w:rsidR="003863BF" w:rsidRPr="008263A8" w:rsidRDefault="003863BF" w:rsidP="003863BF">
      <w:pPr>
        <w:jc w:val="both"/>
        <w:rPr>
          <w:rFonts w:ascii="Georgia" w:hAnsi="Georgia" w:cs="Georgia"/>
          <w:sz w:val="20"/>
          <w:szCs w:val="20"/>
          <w:lang w:val="lt-LT"/>
        </w:rPr>
      </w:pPr>
      <w:r w:rsidRPr="008263A8">
        <w:rPr>
          <w:rFonts w:ascii="Georgia" w:eastAsia="Times New Roman" w:hAnsi="Georgia" w:cs="Times New Roman"/>
          <w:sz w:val="20"/>
          <w:szCs w:val="20"/>
          <w:lang w:val="lt-LT" w:eastAsia="lt-LT"/>
        </w:rPr>
        <w:t xml:space="preserve">Siekiant įvertinti, koks rinkos trūkumas susidaro kiekvienoje iš analizuojamų sričių, reikalinga įvertinti </w:t>
      </w:r>
      <w:r w:rsidRPr="008263A8">
        <w:rPr>
          <w:rFonts w:ascii="Georgia" w:eastAsia="Times New Roman" w:hAnsi="Georgia" w:cs="Times New Roman"/>
          <w:sz w:val="20"/>
          <w:szCs w:val="20"/>
          <w:u w:val="single"/>
          <w:lang w:val="lt-LT" w:eastAsia="lt-LT"/>
        </w:rPr>
        <w:t>finansavimo pasiūlą</w:t>
      </w:r>
      <w:r w:rsidRPr="008263A8">
        <w:rPr>
          <w:rFonts w:ascii="Georgia" w:eastAsia="Times New Roman" w:hAnsi="Georgia" w:cs="Times New Roman"/>
          <w:sz w:val="20"/>
          <w:szCs w:val="20"/>
          <w:lang w:val="lt-LT" w:eastAsia="lt-LT"/>
        </w:rPr>
        <w:t xml:space="preserve">. Atlikus pasiūlos analizę buvo įvertintas </w:t>
      </w:r>
      <w:r w:rsidRPr="008263A8">
        <w:rPr>
          <w:rFonts w:ascii="Georgia" w:hAnsi="Georgia" w:cs="Georgia"/>
          <w:sz w:val="20"/>
          <w:szCs w:val="20"/>
          <w:lang w:val="lt-LT"/>
        </w:rPr>
        <w:t xml:space="preserve">egzistuojantis finansavimas energijos efektyvumo projektams bei potencialus 2014-2020 m. finansavimas. Analizuojant egzistuojantį finansavimą </w:t>
      </w:r>
      <w:r w:rsidRPr="008263A8">
        <w:rPr>
          <w:rFonts w:ascii="Georgia" w:hAnsi="Georgia" w:cs="Georgia"/>
          <w:sz w:val="20"/>
          <w:szCs w:val="20"/>
          <w:lang w:val="lt-LT"/>
        </w:rPr>
        <w:lastRenderedPageBreak/>
        <w:t xml:space="preserve">buvo remiamasi pirminiais ir antriniais informacijos šaltiniais, tuo tarpu vertinant potencialų finansavimą papildomai buvo atlikta komercinių bankų, kredito unijų, tarptautinių finansinių institucijų, pensijų fondų ir valstybės institucijų apklausa (klausimynų ir interviu pagalba). Tarp potencialių energijos efektyvumą didinančių priemonių finansavimo šaltinių išskirti – ESI fondai, Klimato kaitos programos lėšos, grįžusios JESSICA programos lėšos (daugiabučiams), bankų </w:t>
      </w:r>
      <w:r w:rsidRPr="00513E18">
        <w:rPr>
          <w:rFonts w:ascii="Georgia" w:hAnsi="Georgia" w:cs="Georgia"/>
          <w:sz w:val="20"/>
          <w:szCs w:val="20"/>
          <w:lang w:val="lt-LT"/>
        </w:rPr>
        <w:t xml:space="preserve">lėšos ir nuosavos lėšos. Taip pat buvo analizuojami kiti lėšų pritraukimo šaltiniai (kitos ES finansuojamos programos), tačiau jų finansavimo apimties nustatyti nepavyko. Įvertinus visus finansavimo šaltinius, kiekvienai iš sričių </w:t>
      </w:r>
      <w:r w:rsidR="00737776">
        <w:rPr>
          <w:rFonts w:ascii="Georgia" w:hAnsi="Georgia" w:cs="Georgia"/>
          <w:sz w:val="20"/>
          <w:szCs w:val="20"/>
          <w:lang w:val="lt-LT"/>
        </w:rPr>
        <w:t>(</w:t>
      </w:r>
      <w:r w:rsidR="00737776" w:rsidRPr="00737776">
        <w:rPr>
          <w:rFonts w:ascii="Georgia" w:hAnsi="Georgia" w:cs="Georgia"/>
          <w:sz w:val="20"/>
          <w:szCs w:val="20"/>
          <w:lang w:val="lt-LT"/>
        </w:rPr>
        <w:t>daugiabučių modernizavimui, savivaldybių viešųjų pastatų modernizavimui, centrinės valdžios viešųjų pastatų modernizavimui ir gatvių apšvietimo modernizavimui</w:t>
      </w:r>
      <w:r w:rsidR="00737776">
        <w:rPr>
          <w:rFonts w:ascii="Georgia" w:hAnsi="Georgia" w:cs="Georgia"/>
          <w:sz w:val="20"/>
          <w:szCs w:val="20"/>
          <w:lang w:val="lt-LT"/>
        </w:rPr>
        <w:t xml:space="preserve">) </w:t>
      </w:r>
      <w:r w:rsidRPr="00513E18">
        <w:rPr>
          <w:rFonts w:ascii="Georgia" w:eastAsia="Times New Roman" w:hAnsi="Georgia" w:cs="Times New Roman"/>
          <w:sz w:val="20"/>
          <w:szCs w:val="20"/>
          <w:lang w:val="lt-LT" w:eastAsia="lt-LT"/>
        </w:rPr>
        <w:t xml:space="preserve">atnaujintame Energijos vartojimo efektyvumo ex ante vertinime </w:t>
      </w:r>
      <w:r w:rsidRPr="00513E18">
        <w:rPr>
          <w:rFonts w:ascii="Georgia" w:hAnsi="Georgia" w:cs="Georgia"/>
          <w:sz w:val="20"/>
          <w:szCs w:val="20"/>
          <w:lang w:val="lt-LT"/>
        </w:rPr>
        <w:t>buvo identifikuota pasiūla</w:t>
      </w:r>
      <w:r w:rsidRPr="00513E18">
        <w:rPr>
          <w:rFonts w:ascii="Georgia" w:eastAsia="Times New Roman" w:hAnsi="Georgia" w:cs="Times New Roman"/>
          <w:sz w:val="20"/>
          <w:szCs w:val="20"/>
          <w:lang w:val="lt-LT" w:eastAsia="lt-LT"/>
        </w:rPr>
        <w:t>.</w:t>
      </w:r>
      <w:r w:rsidRPr="008263A8">
        <w:rPr>
          <w:rFonts w:ascii="Georgia" w:eastAsia="Times New Roman" w:hAnsi="Georgia" w:cs="Times New Roman"/>
          <w:sz w:val="20"/>
          <w:szCs w:val="20"/>
          <w:lang w:val="lt-LT" w:eastAsia="lt-LT"/>
        </w:rPr>
        <w:t xml:space="preserve"> </w:t>
      </w:r>
    </w:p>
    <w:p w14:paraId="591AF14B" w14:textId="77777777" w:rsidR="003863BF" w:rsidRPr="008263A8" w:rsidRDefault="003863BF" w:rsidP="003863BF">
      <w:pPr>
        <w:jc w:val="both"/>
        <w:rPr>
          <w:rFonts w:ascii="Georgia" w:hAnsi="Georgia" w:cs="Georgia"/>
          <w:sz w:val="20"/>
          <w:szCs w:val="20"/>
          <w:lang w:val="lt-LT"/>
        </w:rPr>
      </w:pPr>
      <w:r w:rsidRPr="008263A8">
        <w:rPr>
          <w:rFonts w:ascii="Georgia" w:hAnsi="Georgia" w:cs="Georgia"/>
          <w:sz w:val="20"/>
          <w:szCs w:val="20"/>
          <w:lang w:val="lt-LT"/>
        </w:rPr>
        <w:t xml:space="preserve">Atlikus investicijų paklausos ir finansavimo pasiūlos analizę buvo įvertintas rinkų </w:t>
      </w:r>
      <w:r w:rsidRPr="008263A8">
        <w:rPr>
          <w:rFonts w:ascii="Georgia" w:hAnsi="Georgia" w:cs="Georgia"/>
          <w:sz w:val="20"/>
          <w:szCs w:val="20"/>
          <w:u w:val="single"/>
          <w:lang w:val="lt-LT"/>
        </w:rPr>
        <w:t>finansavimo trūkumas</w:t>
      </w:r>
      <w:r w:rsidRPr="008263A8">
        <w:rPr>
          <w:rFonts w:ascii="Georgia" w:hAnsi="Georgia" w:cs="Georgia"/>
          <w:sz w:val="20"/>
          <w:szCs w:val="20"/>
          <w:lang w:val="lt-LT"/>
        </w:rPr>
        <w:t xml:space="preserve"> (rinkos finansavimo trūkumas yra investicijų paklausos ir finansavimo pasiūlos skirtumas), šio </w:t>
      </w:r>
      <w:r w:rsidRPr="008263A8">
        <w:rPr>
          <w:rFonts w:ascii="Georgia" w:hAnsi="Georgia" w:cs="Georgia"/>
          <w:sz w:val="20"/>
          <w:szCs w:val="20"/>
          <w:u w:val="single"/>
          <w:lang w:val="lt-LT"/>
        </w:rPr>
        <w:t>trūkumo susidarymo priežastys</w:t>
      </w:r>
      <w:r w:rsidRPr="008263A8">
        <w:rPr>
          <w:rFonts w:ascii="Georgia" w:hAnsi="Georgia" w:cs="Georgia"/>
          <w:sz w:val="20"/>
          <w:szCs w:val="20"/>
          <w:lang w:val="lt-LT"/>
        </w:rPr>
        <w:t xml:space="preserve"> bei n</w:t>
      </w:r>
      <w:r w:rsidRPr="008263A8">
        <w:rPr>
          <w:rFonts w:ascii="Georgia" w:eastAsia="Times New Roman" w:hAnsi="Georgia" w:cs="Times New Roman"/>
          <w:sz w:val="20"/>
          <w:szCs w:val="20"/>
          <w:lang w:val="lt-LT" w:eastAsia="lt-LT"/>
        </w:rPr>
        <w:t xml:space="preserve">ustatytos didžiausios finansinių priemonių plėtros kliūtys. Identifikuota, jog didžiausias finansavimo trūkumas susidaro daugiabučių namų modernizavimo srityje, tačiau didžiausios rinkos kliūtys buvo nustatytos centrinės valdžios viešųjų pastatų modernizavimo srityje, kurioje siekiama pritaikyti ESCO modelį. </w:t>
      </w:r>
    </w:p>
    <w:p w14:paraId="79A7A6EE"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u w:val="single"/>
          <w:lang w:val="lt-LT" w:eastAsia="lt-LT"/>
        </w:rPr>
        <w:t>Papildomų privačių lėšų pritraukimo</w:t>
      </w:r>
      <w:r w:rsidRPr="008263A8">
        <w:rPr>
          <w:rFonts w:ascii="Georgia" w:eastAsia="Times New Roman" w:hAnsi="Georgia" w:cs="Times New Roman"/>
          <w:sz w:val="20"/>
          <w:szCs w:val="20"/>
          <w:lang w:val="lt-LT" w:eastAsia="lt-LT"/>
        </w:rPr>
        <w:t xml:space="preserve"> dalyje buvo išanalizuotos tarptautinių finansinių institucijų investavimo energijos efektyvumo didinimo srityje ir Lietuvoje apimtys, tokių kaip: </w:t>
      </w:r>
      <w:r w:rsidRPr="008263A8">
        <w:rPr>
          <w:rFonts w:ascii="Georgia" w:hAnsi="Georgia" w:cs="Arial"/>
          <w:sz w:val="20"/>
          <w:szCs w:val="20"/>
          <w:lang w:val="lt-LT"/>
        </w:rPr>
        <w:t>Europos rekonstrukcijos ir plėtros bankas (</w:t>
      </w:r>
      <w:r w:rsidRPr="008263A8">
        <w:rPr>
          <w:rFonts w:ascii="Georgia" w:hAnsi="Georgia" w:cs="Arial"/>
          <w:i/>
          <w:sz w:val="20"/>
          <w:szCs w:val="20"/>
          <w:lang w:val="lt-LT"/>
        </w:rPr>
        <w:t>angl. European Bank for Restructuring and Development</w:t>
      </w:r>
      <w:r w:rsidRPr="008263A8">
        <w:rPr>
          <w:rFonts w:ascii="Georgia" w:hAnsi="Georgia" w:cs="Arial"/>
          <w:sz w:val="20"/>
          <w:szCs w:val="20"/>
          <w:lang w:val="lt-LT"/>
        </w:rPr>
        <w:t>); Šiaurės investicijų bankas (angl. Nordic Investment Bank); Europos investicijų bankas (</w:t>
      </w:r>
      <w:r w:rsidRPr="008263A8">
        <w:rPr>
          <w:rFonts w:ascii="Georgia" w:hAnsi="Georgia" w:cs="Arial"/>
          <w:i/>
          <w:sz w:val="20"/>
          <w:szCs w:val="20"/>
          <w:lang w:val="lt-LT"/>
        </w:rPr>
        <w:t>angl. European Investment Bank</w:t>
      </w:r>
      <w:r w:rsidRPr="008263A8">
        <w:rPr>
          <w:rFonts w:ascii="Georgia" w:hAnsi="Georgia" w:cs="Arial"/>
          <w:sz w:val="20"/>
          <w:szCs w:val="20"/>
          <w:lang w:val="lt-LT"/>
        </w:rPr>
        <w:t>); Europos Tarybos vystymo banko (</w:t>
      </w:r>
      <w:r w:rsidRPr="008263A8">
        <w:rPr>
          <w:rFonts w:ascii="Georgia" w:hAnsi="Georgia" w:cs="Arial"/>
          <w:i/>
          <w:sz w:val="20"/>
          <w:szCs w:val="20"/>
          <w:lang w:val="lt-LT"/>
        </w:rPr>
        <w:t>angl. Council of Europe Development Bank</w:t>
      </w:r>
      <w:r w:rsidRPr="008263A8">
        <w:rPr>
          <w:rFonts w:ascii="Georgia" w:hAnsi="Georgia" w:cs="Arial"/>
          <w:sz w:val="20"/>
          <w:szCs w:val="20"/>
          <w:lang w:val="lt-LT"/>
        </w:rPr>
        <w:t>). Taip pat kiti finansavimo šaltiniai: Connecting Europe facility (Europos infrastruktūros tinklų priemonė); Intelligent Energy Europe (“Pažangi energetika Europai”); Horizon 2020; ELENA; LIFE+Programme (2014-2020); 2020 European Fund for Energy, Climate Change and Infrastructure (the Marguerite Fund) ir kitos. Buvo identifikuoti privačių investicijų pritraukimo lygiai ir būdai, bei privačių investicijų pritraukimo skatinimo elementai.</w:t>
      </w:r>
    </w:p>
    <w:p w14:paraId="2FBBECC0" w14:textId="77777777" w:rsidR="003863BF" w:rsidRPr="008263A8" w:rsidRDefault="003863BF" w:rsidP="003863BF">
      <w:pPr>
        <w:jc w:val="both"/>
        <w:rPr>
          <w:rFonts w:ascii="Georgia" w:hAnsi="Georgia" w:cs="Times New Roman"/>
          <w:sz w:val="20"/>
          <w:lang w:val="lt-LT"/>
        </w:rPr>
      </w:pPr>
      <w:r w:rsidRPr="008263A8">
        <w:rPr>
          <w:rFonts w:ascii="Georgia" w:hAnsi="Georgia" w:cs="Times New Roman"/>
          <w:sz w:val="20"/>
          <w:lang w:val="lt-LT"/>
        </w:rPr>
        <w:t xml:space="preserve">Siekiant išsiaiškinti tipinių projektų kiekvienoje iš analizuojamų sričių gyvybingumą, buvo atlikta </w:t>
      </w:r>
      <w:r w:rsidRPr="008263A8">
        <w:rPr>
          <w:rFonts w:ascii="Georgia" w:hAnsi="Georgia" w:cs="Times New Roman"/>
          <w:sz w:val="20"/>
          <w:u w:val="single"/>
          <w:lang w:val="lt-LT"/>
        </w:rPr>
        <w:t>jautrumo analizė</w:t>
      </w:r>
      <w:r w:rsidRPr="008263A8">
        <w:rPr>
          <w:rFonts w:ascii="Georgia" w:hAnsi="Georgia" w:cs="Times New Roman"/>
          <w:sz w:val="20"/>
          <w:lang w:val="lt-LT"/>
        </w:rPr>
        <w:t xml:space="preserve">. Jautrumo </w:t>
      </w:r>
      <w:r w:rsidRPr="00911B4C">
        <w:rPr>
          <w:rFonts w:ascii="Georgia" w:hAnsi="Georgia" w:cs="Times New Roman"/>
          <w:sz w:val="20"/>
          <w:lang w:val="lt-LT"/>
        </w:rPr>
        <w:t>analizės tikslas – įvertinti, kaip keičiasi subsidijos poreikis projektui besikeičiant kitiems veiksniams, pavyzdžiui, projekto atsipirkimo laikotarpiui, energijos kainai ir kt. Jautrumo analizė buvo atlikta įvairiais pjūviais ir nustatyta, jog daugiabučių namų modernizavimo projektams reikalinga papildoma 30 proc. projekto apimties subsidija siekiant, kad projektas atsipirktų per 20 metų. Ši 30 proc. subsidija galėtų būti teikiama šiuo metu galiojančią tvarką, t.y. 15 proc. palūkanų kompensavimo priemonė finansuojama iš fondo lėšų, bei 15 proc. papildoma valstybės paramos dalis, šiuo metu teikiama iš Klimato kaitos programos.</w:t>
      </w:r>
      <w:r w:rsidRPr="008263A8">
        <w:rPr>
          <w:rFonts w:ascii="Georgia" w:hAnsi="Georgia" w:cs="Times New Roman"/>
          <w:sz w:val="20"/>
          <w:lang w:val="lt-LT"/>
        </w:rPr>
        <w:t xml:space="preserve"> </w:t>
      </w:r>
    </w:p>
    <w:p w14:paraId="577657FE" w14:textId="77777777" w:rsidR="003863BF" w:rsidRPr="0030769D" w:rsidRDefault="003863BF" w:rsidP="003863BF">
      <w:pPr>
        <w:jc w:val="both"/>
        <w:rPr>
          <w:rFonts w:ascii="Georgia" w:hAnsi="Georgia" w:cs="Times New Roman"/>
          <w:sz w:val="20"/>
          <w:lang w:val="lt-LT"/>
        </w:rPr>
      </w:pPr>
      <w:r w:rsidRPr="0030769D">
        <w:rPr>
          <w:rFonts w:ascii="Georgia" w:hAnsi="Georgia" w:cs="Times New Roman"/>
          <w:sz w:val="20"/>
          <w:lang w:val="lt-LT"/>
        </w:rPr>
        <w:t xml:space="preserve">Savivaldybių ir centrinės valdžios viešųjų pastatų modernizavimo projektams jautrumo analizės metu buvo nustatyta reikalinga 20 proc. subsidija, kad energijos efektyvumo didinimo projektai atsipirktų per 20 m. laikotarpį. Europos Komisijos išleistos gairės dėl subsidijos teikimo finansinės priemonės apimtyje yra ypač varžančios, kas tokį subsidijos teikimo procesą padaro per daug sudėtingą. </w:t>
      </w:r>
      <w:r w:rsidRPr="0030769D">
        <w:rPr>
          <w:rFonts w:ascii="Georgia" w:eastAsia="Times New Roman" w:hAnsi="Georgia" w:cs="Times New Roman"/>
          <w:sz w:val="20"/>
          <w:szCs w:val="20"/>
          <w:lang w:val="lt-LT" w:eastAsia="lt-LT"/>
        </w:rPr>
        <w:t>Atsiradus galimybei skirti papildomą subsidiją iš kitų šaltinių (pvz. Klimato kaitos programos lėšų), siūloma išnaudoti tokią galimybę siekiant sutrumpinti projektų atsipirkimo laikotarpį ir motyvuoti pastatų savininkus aktyviau atnaujinti viešuosius pastatus, tokiu būdu prisidedant prie energijos taupymo strateginių tikslų, taip pat</w:t>
      </w:r>
      <w:r w:rsidRPr="0030769D">
        <w:rPr>
          <w:rFonts w:ascii="Georgia" w:hAnsi="Georgia" w:cs="Times New Roman"/>
          <w:sz w:val="20"/>
          <w:lang w:val="lt-LT"/>
        </w:rPr>
        <w:t xml:space="preserve"> tokiu būdu būtų užtikrinamas lengvesnis perėjimą nuo paramos subsidijos forma prie gražintinos formos priemonių. Jautrumo analizės metu buvo nustatyta, kad gatvių apšvietimo projektams subsidija nėra reikalinga siekiant, kad projektas atsipirktų per 20 m. laikotarpį, todėl rekomenduojama gatvių apšvietimo projektams papildomos paramos neskirti. </w:t>
      </w:r>
    </w:p>
    <w:p w14:paraId="721A87BB" w14:textId="77777777" w:rsidR="003863BF" w:rsidRPr="008263A8" w:rsidRDefault="003863BF" w:rsidP="003863BF">
      <w:pPr>
        <w:jc w:val="both"/>
        <w:rPr>
          <w:rFonts w:ascii="Georgia" w:eastAsia="Times New Roman" w:hAnsi="Georgia" w:cs="Times New Roman"/>
          <w:sz w:val="20"/>
          <w:szCs w:val="20"/>
          <w:lang w:val="lt-LT" w:eastAsia="lt-LT"/>
        </w:rPr>
      </w:pPr>
      <w:r w:rsidRPr="0030769D">
        <w:rPr>
          <w:rFonts w:ascii="Georgia" w:eastAsia="Times New Roman" w:hAnsi="Georgia" w:cs="Times New Roman"/>
          <w:sz w:val="20"/>
          <w:szCs w:val="20"/>
          <w:lang w:val="lt-LT" w:eastAsia="lt-LT"/>
        </w:rPr>
        <w:t>Centrinės valdžios viešųjų pastatų modernizavimui yra reikalingas ne tik didelis kiekis lėšų, bet ir egzistuoja teisiniai apribojimai, kurie draudžia biudžetinių įstaigų tiesioginį skolinimąsi, o taip pat šioje srityje privalo</w:t>
      </w:r>
      <w:r w:rsidRPr="008263A8">
        <w:rPr>
          <w:rFonts w:ascii="Georgia" w:eastAsia="Times New Roman" w:hAnsi="Georgia" w:cs="Times New Roman"/>
          <w:sz w:val="20"/>
          <w:szCs w:val="20"/>
          <w:lang w:val="lt-LT" w:eastAsia="lt-LT"/>
        </w:rPr>
        <w:t xml:space="preserve"> būti pasiekti Energijos efektyvumo direktyvos keliami reikalavimai ir tikslai. Šiame kontekste centrinės valdžios viešųjų pastatų modernizavimui svarbų vaidmenį galėtų atlikti energetinių paslaugų bendrovės </w:t>
      </w:r>
      <w:r w:rsidRPr="008263A8">
        <w:rPr>
          <w:rFonts w:ascii="Georgia" w:eastAsia="Times New Roman" w:hAnsi="Georgia" w:cs="Times New Roman"/>
          <w:sz w:val="20"/>
          <w:szCs w:val="20"/>
          <w:lang w:val="lt-LT" w:eastAsia="lt-LT"/>
        </w:rPr>
        <w:lastRenderedPageBreak/>
        <w:t xml:space="preserve">(ESCO), kurios sudarytų galimybę projektus įgyvendinti efektyviai tiek technologine ir finansine prasme. Be to, rekomenduojama ESCO įmonėms įgyvendinant projektus reikalauti jų prisidėjimo savomis lėšomis, kas padėtų užtikrinti kokybišką jų darbą, tinkamą pastato priežiūrą po projekto įgyvendinimo bei efektyvesnį viešųjų finansų naudojimą. ESCO modelio įgyvendinimas taip pat leistų viešajam sektoriui patirti mažesnę technologinę, ekonominę ir finansinę rizikas. </w:t>
      </w:r>
    </w:p>
    <w:p w14:paraId="7ED616AD" w14:textId="77777777" w:rsidR="003863BF" w:rsidRPr="008263A8" w:rsidRDefault="003863BF" w:rsidP="003863BF">
      <w:pPr>
        <w:jc w:val="both"/>
        <w:rPr>
          <w:rFonts w:ascii="Georgia" w:hAnsi="Georgia" w:cs="Times New Roman"/>
          <w:sz w:val="20"/>
          <w:lang w:val="lt-LT"/>
        </w:rPr>
      </w:pPr>
      <w:r w:rsidRPr="00CE0098">
        <w:rPr>
          <w:rFonts w:ascii="Georgia" w:eastAsia="Times New Roman" w:hAnsi="Georgia" w:cs="Times New Roman"/>
          <w:sz w:val="20"/>
          <w:szCs w:val="20"/>
          <w:lang w:val="lt-LT" w:eastAsia="lt-LT"/>
        </w:rPr>
        <w:t xml:space="preserve">Atliekant </w:t>
      </w:r>
      <w:r w:rsidRPr="00CE0098">
        <w:rPr>
          <w:rFonts w:ascii="Georgia" w:eastAsia="Times New Roman" w:hAnsi="Georgia" w:cs="Times New Roman"/>
          <w:sz w:val="20"/>
          <w:szCs w:val="20"/>
          <w:u w:val="single"/>
          <w:lang w:val="lt-LT" w:eastAsia="lt-LT"/>
        </w:rPr>
        <w:t>kiekybinę analizę</w:t>
      </w:r>
      <w:r w:rsidRPr="00CE0098">
        <w:rPr>
          <w:rFonts w:ascii="Georgia" w:eastAsia="Times New Roman" w:hAnsi="Georgia" w:cs="Times New Roman"/>
          <w:sz w:val="20"/>
          <w:szCs w:val="20"/>
          <w:lang w:val="lt-LT" w:eastAsia="lt-LT"/>
        </w:rPr>
        <w:t xml:space="preserve"> kiekvienai iš analizuojamų sričių buvo įvertinti įvairūs finansinių produktų scenarijai ir, </w:t>
      </w:r>
      <w:r w:rsidRPr="008263A8">
        <w:rPr>
          <w:rFonts w:ascii="Georgia" w:eastAsia="Times New Roman" w:hAnsi="Georgia" w:cs="Times New Roman"/>
          <w:sz w:val="20"/>
          <w:szCs w:val="20"/>
          <w:lang w:val="lt-LT" w:eastAsia="lt-LT"/>
        </w:rPr>
        <w:t xml:space="preserve">įvertinus apskaičiuotus kiekybinius rodiklius, pasiūlytas finansinis produktas kiekvienai iš analizuojamų sričių. Be to, buvo atlikta </w:t>
      </w:r>
      <w:r w:rsidRPr="008263A8">
        <w:rPr>
          <w:rFonts w:ascii="Georgia" w:eastAsia="Times New Roman" w:hAnsi="Georgia" w:cs="Times New Roman"/>
          <w:sz w:val="20"/>
          <w:szCs w:val="20"/>
          <w:u w:val="single"/>
          <w:lang w:val="lt-LT" w:eastAsia="lt-LT"/>
        </w:rPr>
        <w:t>kokybinė analizė</w:t>
      </w:r>
      <w:r w:rsidRPr="008263A8">
        <w:rPr>
          <w:rFonts w:ascii="Georgia" w:eastAsia="Times New Roman" w:hAnsi="Georgia" w:cs="Times New Roman"/>
          <w:sz w:val="20"/>
          <w:szCs w:val="20"/>
          <w:lang w:val="lt-LT" w:eastAsia="lt-LT"/>
        </w:rPr>
        <w:t xml:space="preserve">, kuri apėmė Stiprybių-Silpnybių-Grėsmių-Galimybių analizę. </w:t>
      </w:r>
      <w:r w:rsidRPr="008263A8">
        <w:rPr>
          <w:rFonts w:ascii="Georgia" w:hAnsi="Georgia" w:cs="Times New Roman"/>
          <w:sz w:val="20"/>
          <w:lang w:val="lt-LT"/>
        </w:rPr>
        <w:t xml:space="preserve">Atsižvelgiant į visus šiuos aspektus yra rekomenduojamos optimaliausios ESI fondų investicijų formos finansinių priemonių įgyvendinimui. Visoms analizuojamoms sritims taip pat buvo </w:t>
      </w:r>
      <w:r w:rsidRPr="008263A8">
        <w:rPr>
          <w:rFonts w:ascii="Georgia" w:eastAsia="Times New Roman" w:hAnsi="Georgia" w:cs="Times New Roman"/>
          <w:sz w:val="20"/>
          <w:szCs w:val="20"/>
          <w:u w:val="single"/>
          <w:lang w:val="lt-LT" w:eastAsia="lt-LT"/>
        </w:rPr>
        <w:t>įvertintos trys pagrindinės galimos valdymo ir įgyvendinimo alternatyvos</w:t>
      </w:r>
      <w:r w:rsidRPr="008263A8">
        <w:rPr>
          <w:rFonts w:ascii="Georgia" w:eastAsia="Times New Roman" w:hAnsi="Georgia" w:cs="Times New Roman"/>
          <w:sz w:val="20"/>
          <w:szCs w:val="20"/>
          <w:lang w:val="lt-LT" w:eastAsia="lt-LT"/>
        </w:rPr>
        <w:t xml:space="preserve">: fondų fondo kūrimas, juridinio asmens statusą turinčio fondo kūrimas, fondų fondo ir investicinio fondo steigimas. </w:t>
      </w:r>
    </w:p>
    <w:p w14:paraId="7630F3E3" w14:textId="77777777" w:rsidR="003863BF" w:rsidRPr="002A3F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u w:val="single"/>
          <w:lang w:val="lt-LT" w:eastAsia="lt-LT"/>
        </w:rPr>
        <w:t>Daugiabučių namų modernizavimo kiekybinės analizės</w:t>
      </w:r>
      <w:r w:rsidRPr="008263A8">
        <w:rPr>
          <w:rFonts w:ascii="Georgia" w:eastAsia="Times New Roman" w:hAnsi="Georgia" w:cs="Times New Roman"/>
          <w:sz w:val="20"/>
          <w:szCs w:val="20"/>
          <w:lang w:val="lt-LT" w:eastAsia="lt-LT"/>
        </w:rPr>
        <w:t xml:space="preserve"> metu buvo nustatyta, jog didžiausią pridėtinę vertę sukurtų lengvatinių paskolų teikimo tęstinumas. Vertinant įvarius finansinius produktus buvo nustatyta, jog nors ir yra kitokių finansinių produktų, kurie demonstruotų geresnius kiekybinius rezultatus, jų įvedimas ir pritaikymas projektų finansavimui užimtų daug laiko. Iš patirties žinoma, jog net ir menki teisinės bazės, finansinio produkto pakeitimai reikalauja didelių pastangų užtikrinti galutinių naudos gavėjų informuotumą, tinkamą viešinimą. Modifikavus finansinį produktą kyla didelė rizika, kad šiuo metu susiformavęs projektų srautas staigiai sumažės ir dalis projektų nebus įgyvendinti dėl neužtikrintumo. Todėl </w:t>
      </w:r>
      <w:r w:rsidRPr="002A3FA8">
        <w:rPr>
          <w:rFonts w:ascii="Georgia" w:eastAsia="Times New Roman" w:hAnsi="Georgia" w:cs="Times New Roman"/>
          <w:sz w:val="20"/>
          <w:szCs w:val="20"/>
          <w:lang w:val="lt-LT" w:eastAsia="lt-LT"/>
        </w:rPr>
        <w:t xml:space="preserve">daugiabučių namų modernizavimui siūloma palikti tą patį šiuo metu galiojantį JESSICA KF finansinį produktą – lengvatinę paskolą su fiksuotomis 3 proc. palūkanomis, 15 proc. projekto vertės palūkanų kompensavimu ir papildoma 15 proc. subsidija iš kitų šaltinių. </w:t>
      </w:r>
    </w:p>
    <w:p w14:paraId="4F095435"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Daugiabučių namų modernizavimui taip pat buvo įvertintos trys galimos </w:t>
      </w:r>
      <w:r w:rsidRPr="008263A8">
        <w:rPr>
          <w:rFonts w:ascii="Georgia" w:eastAsia="Times New Roman" w:hAnsi="Georgia" w:cs="Times New Roman"/>
          <w:sz w:val="20"/>
          <w:szCs w:val="20"/>
          <w:u w:val="single"/>
          <w:lang w:val="lt-LT" w:eastAsia="lt-LT"/>
        </w:rPr>
        <w:t>valdymo ir įgyvendinimo alternatyvos ir parengta Investavimo strategija</w:t>
      </w:r>
      <w:r w:rsidRPr="008263A8">
        <w:rPr>
          <w:rFonts w:ascii="Georgia" w:eastAsia="Times New Roman" w:hAnsi="Georgia" w:cs="Times New Roman"/>
          <w:sz w:val="20"/>
          <w:szCs w:val="20"/>
          <w:lang w:val="lt-LT" w:eastAsia="lt-LT"/>
        </w:rPr>
        <w:t xml:space="preserve">. Įvertinus JESSICA KF patirtį, pagrindinius trūkumus bei privalumus, buvo identifikuota, jog optimaliausia valdymo ir įgyvendinimo alternatyva daugiabučių namų modernizavimo įgyvendinimui yra juridinio asmens statusą turinčio fondo kūrimas, kurio forma galėtų būti komanditinė ūkinė bendrija (KŪB). Daugiabučių namų modernizavimo Investavimo strategijoje yra detaliai aprašytas tokios formos fondo steigimas, valdymas ir veikla. Pagrindinis šio modelio privalumas yra galimybė pritraukti privačias lėšas projektų finansavimui, kadangi toks fondas veiktų kaip atskiras juridinis subjektas ir būtų atskirtas nuo fondo valdytojo. Fondui veikiant kaip atskiram juridiniam subjektui investuotojai galėtų fondo veikloje dalyvauti kaip komanditoriai arba teikti paskolas. Pažymėtina, jog naujo juridinio subjekto kūrimas užima daug laiko, o šiuo metu yra susiformavęs didelis daugiabučių namų modernizavimo projektų srautas, kuriam finansuoti 2007-2013 m. JESSICA KF finansavimo nepakaks. Atsižvelgiant į tai, buvo pasiūlytas pereinamojo laikotarpio modelis ir </w:t>
      </w:r>
      <w:r w:rsidRPr="008263A8">
        <w:rPr>
          <w:rFonts w:ascii="Georgia" w:eastAsia="Times New Roman" w:hAnsi="Georgia" w:cs="Times New Roman"/>
          <w:sz w:val="20"/>
          <w:szCs w:val="20"/>
          <w:u w:val="single"/>
          <w:lang w:val="lt-LT" w:eastAsia="lt-LT"/>
        </w:rPr>
        <w:t>gerai įvertinus esamą situaciją fondo valdytojas turėtų pateikti siūlomą veiksmų planą, kaip galima sklandžiai pereiti nuo vieno periodo prie kito ir užtikrinti projektų srauto kontrolę</w:t>
      </w:r>
      <w:r w:rsidRPr="008263A8">
        <w:rPr>
          <w:rFonts w:ascii="Georgia" w:eastAsia="Times New Roman" w:hAnsi="Georgia" w:cs="Times New Roman"/>
          <w:sz w:val="20"/>
          <w:szCs w:val="20"/>
          <w:lang w:val="lt-LT" w:eastAsia="lt-LT"/>
        </w:rPr>
        <w:t xml:space="preserve">. </w:t>
      </w:r>
    </w:p>
    <w:p w14:paraId="33F06220"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Daugiabučių namų modernizavimo Investavimo strategijoje taip pat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stebėsenos sistema.</w:t>
      </w:r>
    </w:p>
    <w:p w14:paraId="27F13C8B"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Savivaldybių viešųjų pastatų modernizavimo Investavimo strategijoje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stebėsena.  </w:t>
      </w:r>
    </w:p>
    <w:p w14:paraId="6CAC6EF2" w14:textId="77777777" w:rsidR="003863BF" w:rsidRPr="00553854" w:rsidRDefault="003863BF" w:rsidP="003863BF">
      <w:pPr>
        <w:jc w:val="both"/>
        <w:rPr>
          <w:rFonts w:ascii="Georgia" w:eastAsia="Times New Roman" w:hAnsi="Georgia" w:cs="Times New Roman"/>
          <w:sz w:val="20"/>
          <w:szCs w:val="20"/>
          <w:lang w:val="lt-LT" w:eastAsia="lt-LT"/>
        </w:rPr>
      </w:pPr>
      <w:r w:rsidRPr="00553854">
        <w:rPr>
          <w:rFonts w:ascii="Georgia" w:hAnsi="Georgia"/>
          <w:sz w:val="20"/>
          <w:szCs w:val="20"/>
          <w:u w:val="single"/>
          <w:lang w:val="lt-LT" w:eastAsia="lt-LT"/>
        </w:rPr>
        <w:t>Savivaldybių viešųjų pastatų modernizavimo kiekybinės analizės</w:t>
      </w:r>
      <w:r w:rsidRPr="00553854">
        <w:rPr>
          <w:rFonts w:ascii="Georgia" w:hAnsi="Georgia"/>
          <w:sz w:val="20"/>
          <w:szCs w:val="20"/>
          <w:lang w:val="lt-LT" w:eastAsia="lt-LT"/>
        </w:rPr>
        <w:t xml:space="preserve"> metu buvo nustatyta, jog didžiausią pridėtinę vertę sukurtų lengvatinių paskolų teikimas taikant iki 2% + 6 mėn. EURIBOR (bet ne mažiau kaip 0%). Finansinės priemonės (ar fondų fondo) valdytojas gali pasiūlyti užfiksuoti palūkanų normą (palūkanų fiksavimas būtų paremtas rinkos sąlygomis prieinamais instrumentais). Išnaudojus ESI lėšas papildomai gali </w:t>
      </w:r>
      <w:r w:rsidRPr="00553854">
        <w:rPr>
          <w:rFonts w:ascii="Georgia" w:hAnsi="Georgia"/>
          <w:sz w:val="20"/>
          <w:szCs w:val="20"/>
          <w:lang w:val="lt-LT" w:eastAsia="lt-LT"/>
        </w:rPr>
        <w:lastRenderedPageBreak/>
        <w:t>būti taikomi papildomi finansavimo mokesčiai (susiję su papildomo finansavimo pritraukimu).</w:t>
      </w:r>
      <w:r w:rsidRPr="00553854">
        <w:rPr>
          <w:rFonts w:ascii="Georgia" w:eastAsia="Times New Roman" w:hAnsi="Georgia" w:cs="Times New Roman"/>
          <w:sz w:val="20"/>
          <w:szCs w:val="20"/>
          <w:lang w:val="lt-LT" w:eastAsia="lt-LT"/>
        </w:rPr>
        <w:t xml:space="preserve"> Įvertinus įvairius aspektus buvo identifikuota, jog vadovaujanti institucija kartu su Aplinkos ministerija gali pasirinkti tarp dviejų  valdymo ir įgyvendinimo alternatyvų savivaldybių pastatų modernizavimo įgyvendinimui:  i) kai kuriama finansinė priemonė ir jos ateities pinigų srautus išperka įkurtas privatus investicinis fondas arba privatūs investuotojai, arba ii) kai pradžioje kuriama finansinė priemonė ir vėliau sukuriamas rizikos pasidalijimo fondas, o ESI fondų lėšos nukreipiamos fondo pirmojo praradimo kapitalui suformuoti, tokiu būdu pritraukiant investuotojus, o rizikos pasidalijimo fondas teikia paskolas galutiniams naudos gavėjams arba jų naudai. Vertinant kiekybinius rodiklius, šie scenarijais turi geriausius, beveik vienodus multiplikatoriaus efekto ir sverto rodiklius.  </w:t>
      </w:r>
      <w:r w:rsidRPr="00553854">
        <w:rPr>
          <w:rFonts w:ascii="Georgia" w:eastAsia="Times New Roman" w:hAnsi="Georgia" w:cs="Times New Roman"/>
          <w:sz w:val="20"/>
          <w:szCs w:val="20"/>
          <w:u w:val="single"/>
          <w:lang w:val="lt-LT" w:eastAsia="lt-LT"/>
        </w:rPr>
        <w:t>Lengvatinės paskolos turėtų būti derinamos su 20 proc. paramos teikimu, o atsiradus galimybei galėtų būti sudaromos sąlygos skirti papildomą subsidiją iš kitų šaltinių</w:t>
      </w:r>
      <w:r w:rsidRPr="00553854">
        <w:rPr>
          <w:rFonts w:ascii="Georgia" w:eastAsia="Times New Roman" w:hAnsi="Georgia" w:cs="Times New Roman"/>
          <w:sz w:val="20"/>
          <w:szCs w:val="20"/>
          <w:lang w:val="lt-LT" w:eastAsia="lt-LT"/>
        </w:rPr>
        <w:t xml:space="preserve">. </w:t>
      </w:r>
    </w:p>
    <w:p w14:paraId="2E291A93" w14:textId="77777777" w:rsidR="003863BF" w:rsidRPr="00553854" w:rsidRDefault="003863BF" w:rsidP="003863BF">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Savivaldybių viešųjų pastatų modernizavimui buvo įvertintos </w:t>
      </w:r>
      <w:r w:rsidRPr="00553854">
        <w:rPr>
          <w:rFonts w:ascii="Georgia" w:eastAsia="Times New Roman" w:hAnsi="Georgia" w:cs="Times New Roman"/>
          <w:sz w:val="20"/>
          <w:szCs w:val="20"/>
          <w:u w:val="single"/>
          <w:lang w:val="lt-LT" w:eastAsia="lt-LT"/>
        </w:rPr>
        <w:t>trys galimos valdymo ir įgyvendinimo alternatyvos ir parengta Investavimo strategija</w:t>
      </w:r>
      <w:r w:rsidRPr="00553854">
        <w:rPr>
          <w:rFonts w:ascii="Georgia" w:eastAsia="Times New Roman" w:hAnsi="Georgia" w:cs="Times New Roman"/>
          <w:sz w:val="20"/>
          <w:szCs w:val="20"/>
          <w:lang w:val="lt-LT" w:eastAsia="lt-LT"/>
        </w:rPr>
        <w:t>. Vertinant tai, jog šioje srityje finansinės priemonės iki šiol nebuvo taikomos, be to, Aplinkos ministerija ir kitos valstybinės institucijos yra suinteresuotos modelio įgyvendinimo sparta, buvo siekiama identifikuoti modelį, kuris būtų ir efektyvus, ir greitas. Todėl rekomenduojama savivaldybių modernizavo finansinių priemonių valdymą įgyvendinti dviem etapais, t.y. pirmame etape sukuriant atskirą finansinę priemonę, kuri galėtų pradėti veikti sąlyginai greitai, o vėliau pasirikti alternatyvą, kuri būtų greičiau įgyvendinama, t.y. parduodami pinigų srautai investuotojams arba sukuriamas rizikos pasidalijimo fondas, į kurį perkeliama sukurta finansinė priemonė. Savivaldybių modernizavimo Investavimo strategijoje yra detaliai aprašyti abu šie modeliai. Pagrindinis šių modelių privalumas yra galimybė pritraukti privačias lėšas projektų finansavimui.</w:t>
      </w:r>
    </w:p>
    <w:p w14:paraId="79ED3903" w14:textId="77777777" w:rsidR="003863BF" w:rsidRPr="00553854" w:rsidRDefault="003863BF" w:rsidP="003863BF">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Parenkant optimaliausią finansinį produktą savivaldybių pastatų modernizavimui, nustatyti trys  projektų įgyvendinimo tipai. Vienas šių tipų yra ESCO modelis: esant galimybei rekomenduojama pasinaudoti ESCO įmonių paslaugomis, tokiu būdu galimai neįtakojant savivaldybių skolos limitų rodiklių. Įvertinus finansinius produktus ESCO kompanijoms siūloma siekti, kad ESCO kompanijos projektų finansavimui prisidėtų ir savomis lėšomis, taip užtikrinant atsakingą ESCO kompanijų požiūrį į įgyvendinamą projektą ir tinkamą pastato priežiūrą po projekto įgyvendinimo. </w:t>
      </w:r>
      <w:r w:rsidRPr="00553854">
        <w:rPr>
          <w:rFonts w:ascii="Georgia" w:hAnsi="Georgia"/>
          <w:sz w:val="20"/>
          <w:lang w:val="lt-LT"/>
        </w:rPr>
        <w:t xml:space="preserve">Siekiant užtikrinti sklandų savivaldybių pastatų renovacijos procesą išanalizuota teisinė aplinka ir pateiktas rekomenduotinas teisės aktų pakeitimo (priėmimo) sąrašas. </w:t>
      </w:r>
    </w:p>
    <w:p w14:paraId="1CB13076" w14:textId="77777777" w:rsidR="003863BF" w:rsidRPr="00553854" w:rsidRDefault="003863BF" w:rsidP="003863BF">
      <w:pPr>
        <w:jc w:val="both"/>
        <w:rPr>
          <w:rFonts w:ascii="Georgia" w:eastAsia="Times New Roman" w:hAnsi="Georgia" w:cs="Times New Roman"/>
          <w:sz w:val="20"/>
          <w:szCs w:val="20"/>
          <w:lang w:val="lt-LT" w:eastAsia="lt-LT"/>
        </w:rPr>
      </w:pPr>
      <w:r w:rsidRPr="00553854">
        <w:rPr>
          <w:rFonts w:ascii="Georgia" w:hAnsi="Georgia"/>
          <w:sz w:val="20"/>
          <w:szCs w:val="20"/>
          <w:u w:val="single"/>
          <w:lang w:val="lt-LT" w:eastAsia="lt-LT"/>
        </w:rPr>
        <w:t>Centrinės valdžios viešųjų pastatų modernizavimo kiekybinės analizės</w:t>
      </w:r>
      <w:r w:rsidRPr="00553854">
        <w:rPr>
          <w:rFonts w:ascii="Georgia" w:hAnsi="Georgia"/>
          <w:sz w:val="20"/>
          <w:szCs w:val="20"/>
          <w:lang w:val="lt-LT" w:eastAsia="lt-LT"/>
        </w:rPr>
        <w:t xml:space="preserve"> metu buvo nustatyta, jog didžiausią pridėtinę vertę sukurtų lengvatinių paskolų teikimas taikant iki 2% + 6 mėn. arba 12 mėn. EURIBOR (ne mažiau kaip 0%) palūkanų normą. Finansinės priemonės (ar fondų fondo) valdytojas gali pasiūlyti užfiksuoti palūkanų normą (palūkanų fiksavimas būtų paremtas rinkos sąlygomis prieinamais instrumentais), su galimybe išpirkti šias paskolas</w:t>
      </w:r>
      <w:r w:rsidRPr="00553854">
        <w:rPr>
          <w:rFonts w:ascii="Georgia" w:eastAsia="Times New Roman" w:hAnsi="Georgia" w:cs="Times New Roman"/>
          <w:sz w:val="20"/>
          <w:szCs w:val="20"/>
          <w:lang w:val="lt-LT" w:eastAsia="lt-LT"/>
        </w:rPr>
        <w:t xml:space="preserve">. </w:t>
      </w:r>
      <w:r w:rsidRPr="00553854">
        <w:rPr>
          <w:rFonts w:ascii="Georgia" w:eastAsia="Times New Roman" w:hAnsi="Georgia" w:cs="Times New Roman"/>
          <w:sz w:val="20"/>
          <w:szCs w:val="20"/>
          <w:u w:val="single"/>
          <w:lang w:val="lt-LT" w:eastAsia="lt-LT"/>
        </w:rPr>
        <w:t>Lengvatinės paskolos turėtų būti derinamos su 20 proc. paramos teikimu bei ESCO kompanijų nuosavu įnašu</w:t>
      </w:r>
      <w:r w:rsidRPr="00553854">
        <w:rPr>
          <w:rFonts w:ascii="Georgia" w:eastAsia="Times New Roman" w:hAnsi="Georgia" w:cs="Times New Roman"/>
          <w:sz w:val="20"/>
          <w:szCs w:val="20"/>
          <w:lang w:val="lt-LT" w:eastAsia="lt-LT"/>
        </w:rPr>
        <w:t xml:space="preserve">. Vertinant kiekybinius rodiklius, šis scenarijus turi vieną geriausių multiplikatoriaus efektų bei sverto rodiklių. Be to, parenkant optimaliausią finansinį produktą šių projektų finansavimui buvo atsižvelgta ir į tai, jog ESCO modelis Lietuvoje iki šiol viešajam sektoriui nebuvo įgyvendintas, potencialūs finansuotojai (t.y. komerciniai bankai) įžvelgia daug rizikų, kredito istorijos trūkumą pažymi kaip vieną iš esminių faktorių, darančių įtaką ESCO modelio finansavimui rinkos sąlygomis. Būtent dėl šių priežasčių garantijų finansinė priemonė, kuri kiekybinės analizės metu pademonstravo dar geresnius kiekybinius rezultatus, pradiniame etape negali būti įgyvendinama. Vis dėlto pažymėtina, jog garantijų priemonės taikymas būtų labai rekomenduotinas tuomet, kuomet atsiras komercinių bankų dalyvavimo suinteresuotumas bei tinkama kredito istorija kartu su modelio įgyvendinimo patirtimi. Įvertinus finansinius produktus ESCO kompanijoms siūloma siekti, kad ESCO kompanijos projektų finansavimui prisidėtų ir savomis lėšomis, taip užtikrinant atsakingą ESCO kompanijų požiūrį į įgyvendinamą projektą ir tinkamą pastato priežiūrą po projekto įgyvendinimo. </w:t>
      </w:r>
    </w:p>
    <w:p w14:paraId="549CE8D2" w14:textId="77777777" w:rsidR="003863BF" w:rsidRPr="00553854" w:rsidRDefault="003863BF" w:rsidP="003863BF">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u w:val="single"/>
          <w:lang w:val="lt-LT" w:eastAsia="lt-LT"/>
        </w:rPr>
        <w:t xml:space="preserve">Gatvių apšvietimo modernizavimo kiekybinės analizės </w:t>
      </w:r>
      <w:r w:rsidRPr="00553854">
        <w:rPr>
          <w:rFonts w:ascii="Georgia" w:eastAsia="Times New Roman" w:hAnsi="Georgia" w:cs="Times New Roman"/>
          <w:sz w:val="20"/>
          <w:szCs w:val="20"/>
          <w:lang w:val="lt-LT" w:eastAsia="lt-LT"/>
        </w:rPr>
        <w:t xml:space="preserve">metu buvo nustatyta, jog geriausius kiekybinius rezultatus pademonstruotų garantijų finansinė priemonė garantuojant ne daugiau kaip 80 proc. paskolos su galimybe išpirkti ateities piniginius srautus. Garantijų priemonė gatvių apšvietimo modernizavimui rekomenduojama dar ir dėl to, jog gatvių apšvietimo modernizavimo projektų finansavimui yra numatyta labai maža ESI fondų lėšų suma, todėl turėtų būti siekiama pritraukti kuo daugiau privačių lėšų, kad būtų </w:t>
      </w:r>
      <w:r w:rsidRPr="00553854">
        <w:rPr>
          <w:rFonts w:ascii="Georgia" w:eastAsia="Times New Roman" w:hAnsi="Georgia" w:cs="Times New Roman"/>
          <w:sz w:val="20"/>
          <w:szCs w:val="20"/>
          <w:lang w:val="lt-LT" w:eastAsia="lt-LT"/>
        </w:rPr>
        <w:lastRenderedPageBreak/>
        <w:t xml:space="preserve">pasiekti adekvatūs energijos efektyvumo rezultatai. Taip pat dėl to, kad gatvių apšvietimo projektai yra technologiškai gerokai paprastesni nei centrinės valdžios pastatų, turi geresnį projektų atsipirkimo laikotarpį, sutaupymų efektas pajaučiamas labai greitai. Visos šios projekto savybės lemia mažesnį tokių projektų rizikingumą, tuo pačiu ir komercinių bankų didesnį suinteresuotumą finansuoti tokius projektus. </w:t>
      </w:r>
    </w:p>
    <w:p w14:paraId="229CA4D8" w14:textId="77777777" w:rsidR="003863BF" w:rsidRPr="00553854" w:rsidRDefault="003863BF" w:rsidP="003863BF">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Atsižvelgiant į tai, kad centrinės valdžios viešųjų pastatų ir gatvių apšvietimo modernizavimą kuruoja Energetikos ministerija, be to, gatvių apšvietimo modernizavimui numatyta nedidelė lėšų suma, valdymo ir įgyvendinimo alternatyvos šioms dviem sritims buvo analizuojamos kartu. </w:t>
      </w:r>
    </w:p>
    <w:p w14:paraId="6E6CC32A" w14:textId="77777777" w:rsidR="003863BF" w:rsidRPr="008263A8" w:rsidRDefault="003863BF" w:rsidP="003863BF">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Centrinės valdžios viešųjų pastatų modernizavimui ir gatvių apšvietimo modernizavimui buvo įvertintos </w:t>
      </w:r>
      <w:r w:rsidRPr="00553854">
        <w:rPr>
          <w:rFonts w:ascii="Georgia" w:eastAsia="Times New Roman" w:hAnsi="Georgia" w:cs="Times New Roman"/>
          <w:sz w:val="20"/>
          <w:szCs w:val="20"/>
          <w:u w:val="single"/>
          <w:lang w:val="lt-LT" w:eastAsia="lt-LT"/>
        </w:rPr>
        <w:t>trys galimos valdymo ir įgyvendinimo alternatyvos ir parengta Investavimo strategija</w:t>
      </w:r>
      <w:r w:rsidRPr="00553854">
        <w:rPr>
          <w:rFonts w:ascii="Georgia" w:eastAsia="Times New Roman" w:hAnsi="Georgia" w:cs="Times New Roman"/>
          <w:sz w:val="20"/>
          <w:szCs w:val="20"/>
          <w:lang w:val="lt-LT" w:eastAsia="lt-LT"/>
        </w:rPr>
        <w:t>.</w:t>
      </w:r>
      <w:r w:rsidRPr="008263A8">
        <w:rPr>
          <w:rFonts w:ascii="Georgia" w:eastAsia="Times New Roman" w:hAnsi="Georgia" w:cs="Times New Roman"/>
          <w:sz w:val="20"/>
          <w:szCs w:val="20"/>
          <w:lang w:val="lt-LT" w:eastAsia="lt-LT"/>
        </w:rPr>
        <w:t xml:space="preserve"> Vertinant tai, jog šioje srityje finansinės priemonės iki šiol nebuvo taikomos, be to, Energetikos ministerija ir kitos valstybinės institucijos yra suinteresuotos modelio įgyvendinimo sparta dėl taikomų Energijos efektyvumo direktyvos reikalavimų, buvo siekiama identifikuoti modelį, kuris būtų ir efektyvus, ir greitas. Todėl rekomenduojama šioms dviem sritims kurti fondų fondą bei investicinį fondą. Fondų fondas būtų sudarytas iš dviejų skirtingų finansinių priemonių atitinkamai pagal dvi sritis. Fondų fondas būtų sukuriamas kaip finansinis padalinys (atskiras sąskaitų rinkinys) finansų įstaigoje, kadangi tai yra greičiausias ir paprasčiausias būdas kuo greičiau pradėti projektų finansavimą. Lygiagrečiai būtų pradedamas kurti investicinis fondas, kuris būtų sukurtas ir veikiantis rinkos sąlygomis, o jo valdytojai būtų investuotojai, tarptautinės finansų institucijos, pensijų fondai. </w:t>
      </w:r>
    </w:p>
    <w:p w14:paraId="5D881426"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Centrinės valdžios viešųjų pastatų modernizavimo ir gatvių apšvietimo Investavimo strategijoje taip pat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stebėsena.  </w:t>
      </w:r>
    </w:p>
    <w:p w14:paraId="4879D33D" w14:textId="77777777" w:rsidR="003863BF" w:rsidRPr="008263A8" w:rsidRDefault="003863BF" w:rsidP="003863BF">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Siekiant pasinaudoti kitų šalių patirtimi, ex ante vertinime taip pat buvo išnagrinėtos dviejų šalių </w:t>
      </w:r>
      <w:r w:rsidRPr="008263A8">
        <w:rPr>
          <w:rFonts w:ascii="Georgia" w:eastAsia="Times New Roman" w:hAnsi="Georgia" w:cs="Times New Roman"/>
          <w:sz w:val="20"/>
          <w:szCs w:val="20"/>
          <w:u w:val="single"/>
          <w:lang w:val="lt-LT" w:eastAsia="lt-LT"/>
        </w:rPr>
        <w:t>finansinių priemonių patirtys</w:t>
      </w:r>
      <w:r w:rsidRPr="008263A8">
        <w:rPr>
          <w:rFonts w:ascii="Georgia" w:eastAsia="Times New Roman" w:hAnsi="Georgia" w:cs="Times New Roman"/>
          <w:sz w:val="20"/>
          <w:szCs w:val="20"/>
          <w:lang w:val="lt-LT" w:eastAsia="lt-LT"/>
        </w:rPr>
        <w:t xml:space="preserve"> - </w:t>
      </w:r>
      <w:r w:rsidRPr="008263A8">
        <w:rPr>
          <w:rFonts w:ascii="Georgia" w:hAnsi="Georgia"/>
          <w:bCs/>
          <w:sz w:val="20"/>
          <w:szCs w:val="20"/>
          <w:lang w:val="lt-LT"/>
        </w:rPr>
        <w:t>Energijos efektyvumo ir atsinaujinančių išteklių fondas Bulgarijoje ir Londono energetinio efektyvumo fondas Jungtinėje Karalystėje -</w:t>
      </w:r>
      <w:r w:rsidRPr="008263A8">
        <w:rPr>
          <w:rFonts w:ascii="Georgia" w:eastAsia="Times New Roman" w:hAnsi="Georgia" w:cs="Times New Roman"/>
          <w:sz w:val="20"/>
          <w:szCs w:val="20"/>
          <w:lang w:val="lt-LT" w:eastAsia="lt-LT"/>
        </w:rPr>
        <w:t xml:space="preserve"> bei JESSICA KF Lietuvoje patirtis. Šių trijų atvejo studijų pagrindu buvo parengta rizikų analizė ir identifikuotos rizikų valdymo priemonės. </w:t>
      </w:r>
    </w:p>
    <w:p w14:paraId="04A9B869" w14:textId="77777777" w:rsidR="003863BF" w:rsidRPr="008263A8" w:rsidRDefault="003863BF" w:rsidP="003863BF">
      <w:pPr>
        <w:jc w:val="both"/>
        <w:rPr>
          <w:rFonts w:ascii="Georgia" w:hAnsi="Georgia" w:cs="Times New Roman"/>
          <w:sz w:val="20"/>
          <w:lang w:val="lt-LT"/>
        </w:rPr>
      </w:pPr>
      <w:r w:rsidRPr="008263A8">
        <w:rPr>
          <w:rFonts w:ascii="Georgia" w:hAnsi="Georgia" w:cs="Times New Roman"/>
          <w:sz w:val="20"/>
          <w:lang w:val="lt-LT"/>
        </w:rPr>
        <w:t xml:space="preserve">Pažymėtina, jog ex ante vertinimas buvo atliktas pagal Europos Komisijos parengtos ex ante vertinimo atlikimo metodologijos nuostatas, atliekant ex ante vertinimą buvo konsultuojamasi su visomis suinteresuotomis institucijomis, buvo atsižvelgta į visas pateiktas pastabas ir vertinimas atliktas objektyviai ir nešališkai. Ex ante vertinimas gali būti keičiamas ar pildomas nepažeidžiant ir vadovaujantis Bendrųjų nuostatų reglamento nuostatomis. </w:t>
      </w:r>
    </w:p>
    <w:p w14:paraId="3B747C3A" w14:textId="6BBE4325" w:rsidR="00231758" w:rsidRPr="00C97275" w:rsidRDefault="00231758">
      <w:pPr>
        <w:rPr>
          <w:rFonts w:ascii="Georgia" w:eastAsia="Times New Roman" w:hAnsi="Georgia" w:cs="Times New Roman"/>
          <w:sz w:val="20"/>
          <w:szCs w:val="20"/>
          <w:lang w:val="lt-LT" w:eastAsia="lt-LT"/>
        </w:rPr>
      </w:pPr>
    </w:p>
    <w:sectPr w:rsidR="00231758" w:rsidRPr="00C97275" w:rsidSect="00DA6A3B">
      <w:footerReference w:type="default" r:id="rId51"/>
      <w:pgSz w:w="12240" w:h="15840"/>
      <w:pgMar w:top="0" w:right="1134" w:bottom="1276" w:left="144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74D84" w14:textId="77777777" w:rsidR="00D1128E" w:rsidRDefault="00D1128E" w:rsidP="00EE14AD">
      <w:pPr>
        <w:spacing w:after="0" w:line="240" w:lineRule="auto"/>
      </w:pPr>
      <w:r>
        <w:separator/>
      </w:r>
    </w:p>
  </w:endnote>
  <w:endnote w:type="continuationSeparator" w:id="0">
    <w:p w14:paraId="4E535A01" w14:textId="77777777" w:rsidR="00D1128E" w:rsidRDefault="00D1128E" w:rsidP="00EE14AD">
      <w:pPr>
        <w:spacing w:after="0" w:line="240" w:lineRule="auto"/>
      </w:pPr>
      <w:r>
        <w:continuationSeparator/>
      </w:r>
    </w:p>
  </w:endnote>
  <w:endnote w:type="continuationNotice" w:id="1">
    <w:p w14:paraId="0F491D2E" w14:textId="77777777" w:rsidR="00D1128E" w:rsidRDefault="00D112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20002A87" w:usb1="00000000" w:usb2="00000000" w:usb3="00000000" w:csb0="000001FF" w:csb1="00000000"/>
  </w:font>
  <w:font w:name="Georgia">
    <w:panose1 w:val="02040502050405020303"/>
    <w:charset w:val="BA"/>
    <w:family w:val="roman"/>
    <w:pitch w:val="variable"/>
    <w:sig w:usb0="00000287" w:usb1="00000000" w:usb2="00000000" w:usb3="00000000" w:csb0="0000009F" w:csb1="00000000"/>
  </w:font>
  <w:font w:name="FranklinGothicBookITC-Regular">
    <w:altName w:val="Arial"/>
    <w:panose1 w:val="00000000000000000000"/>
    <w:charset w:val="00"/>
    <w:family w:val="swiss"/>
    <w:notTrueType/>
    <w:pitch w:val="default"/>
    <w:sig w:usb0="00000003" w:usb1="08070000" w:usb2="00000010" w:usb3="00000000" w:csb0="00020001" w:csb1="00000000"/>
  </w:font>
  <w:font w:name="DokChampa">
    <w:altName w:val="Arial Unicode MS"/>
    <w:charset w:val="DE"/>
    <w:family w:val="swiss"/>
    <w:pitch w:val="variable"/>
    <w:sig w:usb0="00000000"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BA"/>
    <w:family w:val="swiss"/>
    <w:pitch w:val="variable"/>
    <w:sig w:usb0="E1002EFF" w:usb1="C000605B" w:usb2="00000029" w:usb3="00000000" w:csb0="000101FF" w:csb1="00000000"/>
  </w:font>
  <w:font w:name="Univers 45 Light">
    <w:panose1 w:val="00000000000000000000"/>
    <w:charset w:val="00"/>
    <w:family w:val="auto"/>
    <w:pitch w:val="variable"/>
    <w:sig w:usb0="00000003" w:usb1="00000000" w:usb2="00000000" w:usb3="00000000" w:csb0="00000001" w:csb1="00000000"/>
  </w:font>
  <w:font w:name="FranklinGothicDemiITC">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Malgun Gothic Semilight">
    <w:panose1 w:val="020B0502040204020203"/>
    <w:charset w:val="80"/>
    <w:family w:val="swiss"/>
    <w:pitch w:val="variable"/>
    <w:sig w:usb0="B0000AAF" w:usb1="09DF7CFB" w:usb2="00000012" w:usb3="00000000" w:csb0="003E01BD" w:csb1="00000000"/>
  </w:font>
  <w:font w:name="Georgia,Bold">
    <w:altName w:val="Times New Roman"/>
    <w:panose1 w:val="00000000000000000000"/>
    <w:charset w:val="00"/>
    <w:family w:val="auto"/>
    <w:notTrueType/>
    <w:pitch w:val="default"/>
    <w:sig w:usb0="00000003" w:usb1="00000000" w:usb2="00000000" w:usb3="00000000" w:csb0="00000001" w:csb1="00000000"/>
  </w:font>
  <w:font w:name="FranklinGothicBookCondITC-Reg">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7778" w14:textId="6D81D557" w:rsidR="00D1128E" w:rsidRPr="005524FA" w:rsidRDefault="00D1128E" w:rsidP="00E0468B">
    <w:pPr>
      <w:pStyle w:val="Porat"/>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1E08D" w14:textId="77777777" w:rsidR="00D1128E" w:rsidRDefault="00D1128E" w:rsidP="00EE14AD">
      <w:pPr>
        <w:spacing w:after="0" w:line="240" w:lineRule="auto"/>
      </w:pPr>
      <w:r>
        <w:separator/>
      </w:r>
    </w:p>
  </w:footnote>
  <w:footnote w:type="continuationSeparator" w:id="0">
    <w:p w14:paraId="7434C6D4" w14:textId="77777777" w:rsidR="00D1128E" w:rsidRDefault="00D1128E" w:rsidP="00EE14AD">
      <w:pPr>
        <w:spacing w:after="0" w:line="240" w:lineRule="auto"/>
      </w:pPr>
      <w:r>
        <w:continuationSeparator/>
      </w:r>
    </w:p>
  </w:footnote>
  <w:footnote w:type="continuationNotice" w:id="1">
    <w:p w14:paraId="0D4E1BDB" w14:textId="77777777" w:rsidR="00D1128E" w:rsidRDefault="00D1128E">
      <w:pPr>
        <w:spacing w:after="0" w:line="240" w:lineRule="auto"/>
      </w:pPr>
    </w:p>
  </w:footnote>
  <w:footnote w:id="2">
    <w:p w14:paraId="2BAE8EB6" w14:textId="77777777" w:rsidR="00D1128E" w:rsidRPr="00B76111" w:rsidRDefault="00D1128E">
      <w:pPr>
        <w:pStyle w:val="Puslapioinaostekstas"/>
        <w:rPr>
          <w:lang w:val="lt-LT"/>
        </w:rPr>
      </w:pPr>
      <w:r w:rsidRPr="00A332C0">
        <w:rPr>
          <w:rStyle w:val="Puslapioinaosnuoroda"/>
          <w:lang w:val="lt-LT"/>
        </w:rPr>
        <w:footnoteRef/>
      </w:r>
      <w:r w:rsidRPr="00A332C0">
        <w:rPr>
          <w:lang w:val="lt-LT"/>
        </w:rPr>
        <w:t xml:space="preserve"> Finansų ministerijos 2014 metų balandžio 10 dienos raštu Nr. (24.39)-6K-1403042</w:t>
      </w:r>
    </w:p>
  </w:footnote>
  <w:footnote w:id="3">
    <w:p w14:paraId="62A5A76B" w14:textId="77777777" w:rsidR="00D1128E" w:rsidRPr="001554CF" w:rsidRDefault="00D1128E">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 xml:space="preserve">Energijos efektyvumo direktyvos 9.3 punktas. </w:t>
      </w:r>
    </w:p>
  </w:footnote>
  <w:footnote w:id="4">
    <w:p w14:paraId="1AB50C73" w14:textId="77777777" w:rsidR="00D1128E" w:rsidRPr="00FB240F" w:rsidRDefault="00D1128E" w:rsidP="00336C16">
      <w:pPr>
        <w:pStyle w:val="Puslapioinaostekstas"/>
        <w:tabs>
          <w:tab w:val="clear" w:pos="360"/>
          <w:tab w:val="left" w:pos="0"/>
          <w:tab w:val="left" w:pos="426"/>
        </w:tabs>
        <w:ind w:left="0" w:firstLine="0"/>
        <w:jc w:val="both"/>
        <w:rPr>
          <w:szCs w:val="16"/>
          <w:lang w:val="lt-LT"/>
        </w:rPr>
      </w:pPr>
      <w:r w:rsidRPr="00B76111">
        <w:rPr>
          <w:rStyle w:val="Puslapioinaosnuoroda"/>
          <w:lang w:val="lt-LT"/>
        </w:rPr>
        <w:footnoteRef/>
      </w:r>
      <w:r w:rsidRPr="00B76111">
        <w:rPr>
          <w:lang w:val="lt-LT"/>
        </w:rPr>
        <w:t xml:space="preserve"> </w:t>
      </w:r>
      <w:r w:rsidRPr="001554CF">
        <w:rPr>
          <w:szCs w:val="16"/>
          <w:lang w:val="lt-LT"/>
        </w:rPr>
        <w:t xml:space="preserve">Europos socialiniai, teisiniai ir ekonominiai projektai; Sutkienė, Pilkauskas &amp; Partners, </w:t>
      </w:r>
      <w:r w:rsidRPr="00FB240F">
        <w:rPr>
          <w:i/>
          <w:color w:val="000000"/>
          <w:szCs w:val="16"/>
          <w:lang w:val="lt-LT"/>
        </w:rPr>
        <w:t>Annex to the Supplementary Study on JESSICA instruments for energy efficiency in Lithuania</w:t>
      </w:r>
      <w:r w:rsidRPr="00FB240F">
        <w:rPr>
          <w:color w:val="000000"/>
          <w:szCs w:val="16"/>
          <w:lang w:val="lt-LT"/>
        </w:rPr>
        <w:t xml:space="preserve">, </w:t>
      </w:r>
      <w:hyperlink r:id="rId1" w:history="1">
        <w:r w:rsidRPr="00FB240F">
          <w:rPr>
            <w:rStyle w:val="Hipersaitas"/>
            <w:szCs w:val="16"/>
            <w:lang w:val="lt-LT"/>
          </w:rPr>
          <w:t>http://www.eib.org/attachments/documents/annex-to-supplementary-study-on-JESSICA-instrument-for-energy-efficiency-in-lithuania.pdf</w:t>
        </w:r>
      </w:hyperlink>
      <w:r w:rsidRPr="00B76111">
        <w:rPr>
          <w:szCs w:val="16"/>
          <w:lang w:val="lt-LT"/>
        </w:rPr>
        <w:t xml:space="preserve">, 61-62 </w:t>
      </w:r>
      <w:r w:rsidRPr="001554CF">
        <w:rPr>
          <w:szCs w:val="16"/>
          <w:lang w:val="lt-LT"/>
        </w:rPr>
        <w:t>puslapiai</w:t>
      </w:r>
      <w:r w:rsidRPr="00FB240F">
        <w:rPr>
          <w:szCs w:val="16"/>
          <w:lang w:val="lt-LT"/>
        </w:rPr>
        <w:t>.</w:t>
      </w:r>
    </w:p>
    <w:p w14:paraId="2EAB6A0D" w14:textId="77777777" w:rsidR="00D1128E" w:rsidRPr="00FB240F" w:rsidRDefault="00D1128E" w:rsidP="00336C16">
      <w:pPr>
        <w:pStyle w:val="Puslapioinaostekstas"/>
        <w:rPr>
          <w:lang w:val="lt-LT"/>
        </w:rPr>
      </w:pPr>
    </w:p>
  </w:footnote>
  <w:footnote w:id="5">
    <w:p w14:paraId="01103923" w14:textId="77777777" w:rsidR="00D1128E" w:rsidRPr="00FB240F" w:rsidRDefault="00D1128E" w:rsidP="00336C16">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Commission staff working document, financial instruments in Cohesion Policy, SWD(2012) 36 final, Brussels, 27.2.2012.</w:t>
      </w:r>
    </w:p>
  </w:footnote>
  <w:footnote w:id="6">
    <w:p w14:paraId="666CA0F8" w14:textId="77777777" w:rsidR="00D1128E" w:rsidRPr="001554CF" w:rsidRDefault="00D1128E">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Bendrųjų nuostatų reglamento 38.3 punktas.</w:t>
      </w:r>
    </w:p>
  </w:footnote>
  <w:footnote w:id="7">
    <w:p w14:paraId="5F35EB07" w14:textId="77777777" w:rsidR="00D1128E" w:rsidRPr="00F65508" w:rsidRDefault="00D1128E" w:rsidP="00633A60">
      <w:pPr>
        <w:pStyle w:val="Puslapioinaostekstas"/>
        <w:tabs>
          <w:tab w:val="clear" w:pos="360"/>
          <w:tab w:val="left" w:pos="0"/>
        </w:tabs>
        <w:ind w:left="0" w:firstLine="0"/>
        <w:rPr>
          <w:szCs w:val="16"/>
          <w:lang w:val="lt-LT"/>
        </w:rPr>
      </w:pPr>
      <w:r w:rsidRPr="00F65508">
        <w:rPr>
          <w:rStyle w:val="Puslapioinaosnuoroda"/>
          <w:szCs w:val="16"/>
          <w:lang w:val="lt-LT"/>
        </w:rPr>
        <w:footnoteRef/>
      </w:r>
      <w:r w:rsidRPr="00F65508">
        <w:rPr>
          <w:szCs w:val="16"/>
          <w:lang w:val="lt-LT"/>
        </w:rPr>
        <w:t xml:space="preserve"> Daugiabučių namų atnaujinimo (modernizavimo) programa, patvirtinta Lietuvos Respublikos Vyriausybės 2004 m. rugsėjo 23 d. Nr. 1213 (Žin., 2013, Nr. 83-4153)</w:t>
      </w:r>
    </w:p>
  </w:footnote>
  <w:footnote w:id="8">
    <w:p w14:paraId="32865F29" w14:textId="77777777" w:rsidR="00D1128E" w:rsidRPr="00D425FA" w:rsidRDefault="00D1128E" w:rsidP="005A0219">
      <w:pPr>
        <w:pStyle w:val="Puslapioinaostekstas"/>
        <w:rPr>
          <w:lang w:val="lt-LT"/>
        </w:rPr>
      </w:pPr>
      <w:r>
        <w:rPr>
          <w:rStyle w:val="Puslapioinaosnuoroda"/>
        </w:rPr>
        <w:footnoteRef/>
      </w:r>
      <w:r w:rsidRPr="00B72C4C">
        <w:rPr>
          <w:lang w:val="lt-LT"/>
        </w:rPr>
        <w:t xml:space="preserve"> http://www.regula.lt/SiteAssets/naujienu-medziaga/2017/2017-spalis/1_pav_2017_10_12.jpg</w:t>
      </w:r>
    </w:p>
  </w:footnote>
  <w:footnote w:id="9">
    <w:p w14:paraId="67FD65C8" w14:textId="77777777" w:rsidR="00D1128E" w:rsidRPr="001E419B" w:rsidRDefault="00D1128E" w:rsidP="005A0219">
      <w:pPr>
        <w:pStyle w:val="Puslapioinaostekstas"/>
        <w:rPr>
          <w:lang w:val="lt-LT"/>
        </w:rPr>
      </w:pPr>
      <w:r w:rsidRPr="00F65508">
        <w:rPr>
          <w:rStyle w:val="Puslapioinaosnuoroda"/>
          <w:szCs w:val="16"/>
          <w:lang w:val="lt-LT"/>
        </w:rPr>
        <w:footnoteRef/>
      </w:r>
      <w:r w:rsidRPr="00F65508">
        <w:rPr>
          <w:szCs w:val="16"/>
          <w:lang w:val="lt-LT"/>
        </w:rPr>
        <w:t xml:space="preserve"> </w:t>
      </w:r>
      <w:hyperlink r:id="rId2" w:history="1">
        <w:r w:rsidRPr="002707BE">
          <w:rPr>
            <w:rStyle w:val="Hipersaitas"/>
            <w:rFonts w:cs="Georgia"/>
            <w:szCs w:val="16"/>
            <w:lang w:val="lt-LT"/>
          </w:rPr>
          <w:t>www.am.lt</w:t>
        </w:r>
      </w:hyperlink>
      <w:r>
        <w:rPr>
          <w:rFonts w:cs="Georgia"/>
          <w:szCs w:val="16"/>
          <w:lang w:val="lt-LT"/>
        </w:rPr>
        <w:t xml:space="preserve"> </w:t>
      </w:r>
      <w:r w:rsidRPr="00F65508">
        <w:rPr>
          <w:rFonts w:cs="Georgia"/>
          <w:szCs w:val="16"/>
          <w:lang w:val="lt-LT"/>
        </w:rPr>
        <w:t>/statyba ir būstas/būstas</w:t>
      </w:r>
      <w:r>
        <w:rPr>
          <w:rFonts w:cs="Georgia"/>
          <w:szCs w:val="16"/>
          <w:lang w:val="lt-LT"/>
        </w:rPr>
        <w:t xml:space="preserve"> </w:t>
      </w:r>
    </w:p>
  </w:footnote>
  <w:footnote w:id="10">
    <w:p w14:paraId="7F36AB34" w14:textId="77777777" w:rsidR="00D1128E" w:rsidRPr="001D42B4" w:rsidRDefault="00D1128E" w:rsidP="005A0219">
      <w:pPr>
        <w:pStyle w:val="Puslapioinaostekstas"/>
        <w:rPr>
          <w:lang w:val="lt-LT"/>
        </w:rPr>
      </w:pPr>
      <w:r>
        <w:rPr>
          <w:rStyle w:val="Puslapioinaosnuoroda"/>
        </w:rPr>
        <w:footnoteRef/>
      </w:r>
      <w:r w:rsidRPr="00B72C4C">
        <w:rPr>
          <w:lang w:val="lt-LT"/>
        </w:rPr>
        <w:t xml:space="preserve"> </w:t>
      </w:r>
      <w:r>
        <w:rPr>
          <w:lang w:val="lt-LT"/>
        </w:rPr>
        <w:t xml:space="preserve">2016 m. gruodžio mėn., </w:t>
      </w:r>
      <w:r w:rsidRPr="003423B7">
        <w:rPr>
          <w:lang w:val="lt-LT"/>
        </w:rPr>
        <w:t>http://www.betalt.lt/apie-mus/#veiklos-ataskaitos</w:t>
      </w:r>
    </w:p>
  </w:footnote>
  <w:footnote w:id="11">
    <w:p w14:paraId="6F52EC43" w14:textId="77777777" w:rsidR="00D1128E" w:rsidRPr="00B72C4C" w:rsidRDefault="00D1128E" w:rsidP="005A0219">
      <w:pPr>
        <w:pStyle w:val="Puslapioinaostekstas"/>
        <w:rPr>
          <w:lang w:val="lt-LT"/>
        </w:rPr>
      </w:pPr>
      <w:r>
        <w:rPr>
          <w:rStyle w:val="Puslapioinaosnuoroda"/>
        </w:rPr>
        <w:footnoteRef/>
      </w:r>
      <w:r w:rsidRPr="00B72C4C">
        <w:rPr>
          <w:lang w:val="lt-LT"/>
        </w:rPr>
        <w:t xml:space="preserve"> 2017 m. rugs</w:t>
      </w:r>
      <w:r>
        <w:rPr>
          <w:lang w:val="lt-LT"/>
        </w:rPr>
        <w:t xml:space="preserve">ėjo </w:t>
      </w:r>
      <w:r w:rsidRPr="00B72C4C">
        <w:rPr>
          <w:lang w:val="lt-LT"/>
        </w:rPr>
        <w:t xml:space="preserve">1 d. </w:t>
      </w:r>
    </w:p>
  </w:footnote>
  <w:footnote w:id="12">
    <w:p w14:paraId="07AAEB3B" w14:textId="11B36F1D" w:rsidR="00D1128E" w:rsidRPr="005B31C6" w:rsidRDefault="00D1128E">
      <w:pPr>
        <w:pStyle w:val="Puslapioinaostekstas"/>
        <w:rPr>
          <w:lang w:val="en-US"/>
        </w:rPr>
      </w:pPr>
      <w:r>
        <w:rPr>
          <w:rStyle w:val="Puslapioinaosnuoroda"/>
        </w:rPr>
        <w:footnoteRef/>
      </w:r>
      <w:r>
        <w:t xml:space="preserve"> Vilniaus miesto savivaldyb</w:t>
      </w:r>
      <w:r>
        <w:rPr>
          <w:lang w:val="lt-LT"/>
        </w:rPr>
        <w:t>ės</w:t>
      </w:r>
      <w:r>
        <w:t xml:space="preserve"> tarybos nutarimą  Nr. 1-1057 </w:t>
      </w:r>
    </w:p>
  </w:footnote>
  <w:footnote w:id="13">
    <w:p w14:paraId="5B3EC8A4" w14:textId="77777777" w:rsidR="00D1128E" w:rsidRPr="0097509A" w:rsidRDefault="00D1128E" w:rsidP="005A0219">
      <w:pPr>
        <w:pStyle w:val="Puslapioinaostekstas"/>
        <w:rPr>
          <w:lang w:val="lt-LT"/>
        </w:rPr>
      </w:pPr>
      <w:r>
        <w:rPr>
          <w:rStyle w:val="Puslapioinaosnuoroda"/>
        </w:rPr>
        <w:footnoteRef/>
      </w:r>
      <w:r>
        <w:t xml:space="preserve"> Europos Parlamento</w:t>
      </w:r>
      <w:r w:rsidRPr="0097509A">
        <w:t xml:space="preserve"> </w:t>
      </w:r>
      <w:r>
        <w:t>ir</w:t>
      </w:r>
      <w:r w:rsidRPr="0097509A">
        <w:t xml:space="preserve"> </w:t>
      </w:r>
      <w:r>
        <w:t xml:space="preserve">Tarybos Direktyva </w:t>
      </w:r>
      <w:r w:rsidRPr="0097509A">
        <w:t>kuria iš dalies keičiama Direktyva 2012/27/ES dėl energijos vartojimo efektyvumo</w:t>
      </w:r>
      <w:r>
        <w:t>, 2016/0376 (COD)</w:t>
      </w:r>
    </w:p>
  </w:footnote>
  <w:footnote w:id="14">
    <w:p w14:paraId="12A410A0" w14:textId="1A168FFC" w:rsidR="00D1128E" w:rsidRPr="0097509A" w:rsidRDefault="00D1128E" w:rsidP="005A0219">
      <w:pPr>
        <w:pStyle w:val="Puslapioinaostekstas"/>
        <w:rPr>
          <w:lang w:val="lt-LT"/>
        </w:rPr>
      </w:pPr>
      <w:r>
        <w:rPr>
          <w:rStyle w:val="Puslapioinaosnuoroda"/>
        </w:rPr>
        <w:footnoteRef/>
      </w:r>
      <w:r w:rsidRPr="00B72C4C">
        <w:rPr>
          <w:lang w:val="lt-LT"/>
        </w:rPr>
        <w:t xml:space="preserve"> LRV nutarimas Dėl Lietuvos Respublikos Seimo nutarimo „Dėl Lietuvos Respublikos Seimo 2012 m. birželio 26 d. nutarimo Nr. XI-2133 „Dėl Nacionalinės energetinės nepriklausomybės strategijos patvirtinimo“ pakeitimo“ projekto pateikimo Lietuvos Respublikos Seimui (TAR, 2017-12-05, Nr. 19475) </w:t>
      </w:r>
    </w:p>
  </w:footnote>
  <w:footnote w:id="15">
    <w:p w14:paraId="3B1E83D2" w14:textId="77777777" w:rsidR="00D1128E" w:rsidRPr="00B629C6" w:rsidRDefault="00D1128E" w:rsidP="005A0219">
      <w:pPr>
        <w:pStyle w:val="Puslapioinaostekstas"/>
        <w:rPr>
          <w:lang w:val="lt-LT"/>
        </w:rPr>
      </w:pPr>
      <w:r>
        <w:rPr>
          <w:rStyle w:val="Puslapioinaosnuoroda"/>
        </w:rPr>
        <w:footnoteRef/>
      </w:r>
      <w:r w:rsidRPr="00B72C4C">
        <w:rPr>
          <w:lang w:val="lt-LT"/>
        </w:rPr>
        <w:t xml:space="preserve"> 2014 m. gegužės 30 d. Nr. 1-149 Lietuvos Respublikos energetikos ministro </w:t>
      </w:r>
      <w:r>
        <w:rPr>
          <w:lang w:val="lt-LT"/>
        </w:rPr>
        <w:t>įsakymo „Dėl energijos vartojimo efektyvumo didinimo 2014-2016 metų veiksmų plano patvirtinimo“, 2 priedas</w:t>
      </w:r>
    </w:p>
  </w:footnote>
  <w:footnote w:id="16">
    <w:p w14:paraId="1CB3E3E3" w14:textId="77777777" w:rsidR="00D1128E" w:rsidRPr="00B72C4C" w:rsidRDefault="00D1128E" w:rsidP="005A0219">
      <w:pPr>
        <w:pStyle w:val="Puslapioinaostekstas"/>
        <w:rPr>
          <w:lang w:val="lt-LT"/>
        </w:rPr>
      </w:pPr>
      <w:r>
        <w:rPr>
          <w:rStyle w:val="Puslapioinaosnuoroda"/>
        </w:rPr>
        <w:footnoteRef/>
      </w:r>
      <w:r w:rsidRPr="00B72C4C">
        <w:rPr>
          <w:lang w:val="lt-LT"/>
        </w:rPr>
        <w:t xml:space="preserve"> Remiantis</w:t>
      </w:r>
      <w:r>
        <w:rPr>
          <w:lang w:val="lt-LT"/>
        </w:rPr>
        <w:t xml:space="preserve"> </w:t>
      </w:r>
      <w:r w:rsidRPr="00B72C4C">
        <w:rPr>
          <w:lang w:val="lt-LT"/>
        </w:rPr>
        <w:t>2015m. pa</w:t>
      </w:r>
      <w:r>
        <w:rPr>
          <w:lang w:val="lt-LT"/>
        </w:rPr>
        <w:t xml:space="preserve">žangos siekiant nacionalinių energijos vartojimo efektyvumo tikslų ataskaita, </w:t>
      </w:r>
      <w:r w:rsidRPr="00B72C4C">
        <w:rPr>
          <w:lang w:val="lt-LT"/>
        </w:rPr>
        <w:t>2015 m. Lietuvos energijos balanse galutin</w:t>
      </w:r>
      <w:r>
        <w:rPr>
          <w:lang w:val="lt-LT"/>
        </w:rPr>
        <w:t xml:space="preserve">ės energijos suvartojimas sudarė </w:t>
      </w:r>
      <w:r w:rsidRPr="00B72C4C">
        <w:rPr>
          <w:lang w:val="lt-LT"/>
        </w:rPr>
        <w:t xml:space="preserve">80,5% viso pirminio energijos suvartojimo. </w:t>
      </w:r>
    </w:p>
  </w:footnote>
  <w:footnote w:id="17">
    <w:p w14:paraId="3C3A31B7" w14:textId="77777777" w:rsidR="00D1128E" w:rsidRPr="00C226C9" w:rsidRDefault="00D1128E" w:rsidP="005A0219">
      <w:pPr>
        <w:pStyle w:val="Puslapioinaostekstas"/>
        <w:rPr>
          <w:lang w:val="lt-LT"/>
        </w:rPr>
      </w:pPr>
      <w:r>
        <w:rPr>
          <w:rStyle w:val="Puslapioinaosnuoroda"/>
        </w:rPr>
        <w:footnoteRef/>
      </w:r>
      <w:r w:rsidRPr="00B72C4C">
        <w:rPr>
          <w:lang w:val="lt-LT"/>
        </w:rPr>
        <w:t xml:space="preserve"> </w:t>
      </w:r>
      <w:r>
        <w:rPr>
          <w:lang w:val="lt-LT"/>
        </w:rPr>
        <w:t xml:space="preserve">Šaltinis – </w:t>
      </w:r>
      <w:r w:rsidRPr="00B72C4C">
        <w:rPr>
          <w:lang w:val="lt-LT"/>
        </w:rPr>
        <w:t xml:space="preserve">2017 m. liepos 7 d. </w:t>
      </w:r>
      <w:r>
        <w:rPr>
          <w:lang w:val="lt-LT"/>
        </w:rPr>
        <w:t xml:space="preserve">LR Energetikos ministro įsakymas Nr. </w:t>
      </w:r>
      <w:r w:rsidRPr="00B72C4C">
        <w:rPr>
          <w:lang w:val="lt-LT"/>
        </w:rPr>
        <w:t>1-181 d</w:t>
      </w:r>
      <w:r>
        <w:rPr>
          <w:lang w:val="lt-LT"/>
        </w:rPr>
        <w:t xml:space="preserve">ėl energijos vartojimo efektyvumo didinimo 2017-2019 metų veiksmų plano patvirtinimo </w:t>
      </w:r>
      <w:r w:rsidRPr="00B72C4C">
        <w:rPr>
          <w:lang w:val="lt-LT"/>
        </w:rPr>
        <w:t>4  lentelė, neįskaičiuojant bendrabučių ir aukštųjų mokyklų atnaujinimų</w:t>
      </w:r>
    </w:p>
  </w:footnote>
  <w:footnote w:id="18">
    <w:p w14:paraId="1F920071" w14:textId="77777777" w:rsidR="00D1128E" w:rsidRPr="00E92FC2" w:rsidRDefault="00D1128E" w:rsidP="005A0219">
      <w:pPr>
        <w:pStyle w:val="Puslapioinaostekstas"/>
        <w:rPr>
          <w:lang w:val="lt-LT"/>
        </w:rPr>
      </w:pPr>
      <w:r>
        <w:rPr>
          <w:rStyle w:val="Puslapioinaosnuoroda"/>
        </w:rPr>
        <w:footnoteRef/>
      </w:r>
      <w:r w:rsidRPr="00B72C4C">
        <w:rPr>
          <w:lang w:val="lt-LT"/>
        </w:rPr>
        <w:t xml:space="preserve"> 2004 m. rugsėjo </w:t>
      </w:r>
      <w:r>
        <w:rPr>
          <w:lang w:val="lt-LT"/>
        </w:rPr>
        <w:t>Lietuvos Respublikos Vyriausybės nutarimas Nr. 1213 „Dėl daugiabučių namų atnaujinimo (modernizavimo) programos patvirtinimo“</w:t>
      </w:r>
    </w:p>
  </w:footnote>
  <w:footnote w:id="19">
    <w:p w14:paraId="3F27A30D" w14:textId="77777777" w:rsidR="00D1128E" w:rsidRPr="00B72C4C" w:rsidRDefault="00D1128E" w:rsidP="005A0219">
      <w:pPr>
        <w:pStyle w:val="Puslapioinaostekstas"/>
        <w:rPr>
          <w:lang w:val="lt-LT"/>
        </w:rPr>
      </w:pPr>
      <w:r>
        <w:rPr>
          <w:rStyle w:val="Puslapioinaosnuoroda"/>
        </w:rPr>
        <w:footnoteRef/>
      </w:r>
      <w:r w:rsidRPr="00B72C4C">
        <w:rPr>
          <w:lang w:val="lt-LT"/>
        </w:rPr>
        <w:t xml:space="preserve"> </w:t>
      </w:r>
      <w:r>
        <w:rPr>
          <w:lang w:val="lt-LT"/>
        </w:rPr>
        <w:t xml:space="preserve">Nacionalinės energetikos strategijos pirminis projektas, </w:t>
      </w:r>
      <w:r w:rsidRPr="00B72C4C">
        <w:rPr>
          <w:lang w:val="lt-LT"/>
        </w:rPr>
        <w:t>52 psl.</w:t>
      </w:r>
    </w:p>
  </w:footnote>
  <w:footnote w:id="20">
    <w:p w14:paraId="6EA705CF" w14:textId="77777777" w:rsidR="00D1128E" w:rsidRPr="00B72C4C" w:rsidRDefault="00D1128E" w:rsidP="005A0219">
      <w:pPr>
        <w:pStyle w:val="Puslapioinaostekstas"/>
        <w:rPr>
          <w:lang w:val="lt-LT"/>
        </w:rPr>
      </w:pPr>
      <w:r>
        <w:rPr>
          <w:rStyle w:val="Puslapioinaosnuoroda"/>
        </w:rPr>
        <w:footnoteRef/>
      </w:r>
      <w:r w:rsidRPr="00B72C4C">
        <w:rPr>
          <w:lang w:val="lt-LT"/>
        </w:rPr>
        <w:t xml:space="preserve"> </w:t>
      </w:r>
      <w:r>
        <w:rPr>
          <w:lang w:val="lt-LT"/>
        </w:rPr>
        <w:t xml:space="preserve">Nacionalinės energetikos strategijos pirminis projektas, </w:t>
      </w:r>
      <w:r w:rsidRPr="00B72C4C">
        <w:rPr>
          <w:lang w:val="lt-LT"/>
        </w:rPr>
        <w:t>52 psl.</w:t>
      </w:r>
    </w:p>
  </w:footnote>
  <w:footnote w:id="21">
    <w:p w14:paraId="4DE363EF" w14:textId="77777777" w:rsidR="00D1128E" w:rsidRPr="00B917B9" w:rsidRDefault="00D1128E" w:rsidP="000264DA">
      <w:pPr>
        <w:pStyle w:val="Puslapioinaostekstas"/>
        <w:rPr>
          <w:lang w:val="lt-LT"/>
        </w:rPr>
      </w:pPr>
      <w:r>
        <w:rPr>
          <w:rStyle w:val="Puslapioinaosnuoroda"/>
        </w:rPr>
        <w:footnoteRef/>
      </w:r>
      <w:r w:rsidRPr="00B72C4C">
        <w:rPr>
          <w:lang w:val="lt-LT"/>
        </w:rPr>
        <w:t xml:space="preserve"> http://www.kaunas.lt/wp-content/uploads/sites/13/2015/03/3-programos-priemones-1.pdf</w:t>
      </w:r>
    </w:p>
  </w:footnote>
  <w:footnote w:id="22">
    <w:p w14:paraId="277DA796" w14:textId="77777777" w:rsidR="00D1128E" w:rsidRPr="00F15DF4" w:rsidRDefault="00D1128E" w:rsidP="000264DA">
      <w:pPr>
        <w:pStyle w:val="Puslapioinaostekstas"/>
        <w:rPr>
          <w:szCs w:val="16"/>
          <w:lang w:val="lt-LT"/>
        </w:rPr>
      </w:pPr>
      <w:r w:rsidRPr="00F15DF4">
        <w:rPr>
          <w:rStyle w:val="Puslapioinaosnuoroda"/>
          <w:szCs w:val="16"/>
        </w:rPr>
        <w:footnoteRef/>
      </w:r>
      <w:r w:rsidRPr="00B72C4C">
        <w:rPr>
          <w:szCs w:val="16"/>
          <w:lang w:val="lt-LT"/>
        </w:rPr>
        <w:t xml:space="preserve"> https://www.klaipeda.lt/lit/2017-2019-m/3733443</w:t>
      </w:r>
    </w:p>
  </w:footnote>
  <w:footnote w:id="23">
    <w:p w14:paraId="1A92DE37" w14:textId="77777777" w:rsidR="00D1128E" w:rsidRPr="00B72C4C" w:rsidRDefault="00D1128E" w:rsidP="000264DA">
      <w:pPr>
        <w:pStyle w:val="Puslapioinaostekstas"/>
        <w:rPr>
          <w:lang w:val="lt-LT"/>
        </w:rPr>
      </w:pPr>
      <w:r>
        <w:rPr>
          <w:rStyle w:val="Puslapioinaosnuoroda"/>
        </w:rPr>
        <w:footnoteRef/>
      </w:r>
      <w:r w:rsidRPr="00B72C4C">
        <w:rPr>
          <w:lang w:val="lt-LT"/>
        </w:rPr>
        <w:t xml:space="preserve"> https://www.siauliai.lt/lit/STRATEGINIS-PLANAVIMAS/414</w:t>
      </w:r>
    </w:p>
  </w:footnote>
  <w:footnote w:id="24">
    <w:p w14:paraId="0F63AAB7" w14:textId="77777777" w:rsidR="00D1128E" w:rsidRPr="00B72C4C" w:rsidRDefault="00D1128E" w:rsidP="000264DA">
      <w:pPr>
        <w:pStyle w:val="Puslapioinaostekstas"/>
        <w:rPr>
          <w:szCs w:val="16"/>
          <w:lang w:val="lt-LT"/>
        </w:rPr>
      </w:pPr>
      <w:r w:rsidRPr="00F15DF4">
        <w:rPr>
          <w:rStyle w:val="Puslapioinaosnuoroda"/>
          <w:szCs w:val="16"/>
        </w:rPr>
        <w:footnoteRef/>
      </w:r>
      <w:r w:rsidRPr="00B72C4C">
        <w:rPr>
          <w:szCs w:val="16"/>
          <w:lang w:val="lt-LT"/>
        </w:rPr>
        <w:t xml:space="preserve"> </w:t>
      </w:r>
      <w:hyperlink r:id="rId3" w:tgtFrame="_blank" w:history="1">
        <w:r w:rsidRPr="00B72C4C">
          <w:rPr>
            <w:rStyle w:val="Hipersaitas"/>
            <w:rFonts w:cs="Calibri"/>
            <w:color w:val="1155CC"/>
            <w:szCs w:val="16"/>
            <w:shd w:val="clear" w:color="auto" w:fill="FFFFFF"/>
            <w:lang w:val="lt-LT"/>
          </w:rPr>
          <w:t>http://www.panevezys.lt/lt/veikla/planavimo-dokumentai.html</w:t>
        </w:r>
      </w:hyperlink>
    </w:p>
  </w:footnote>
  <w:footnote w:id="25">
    <w:p w14:paraId="7D98F3F0" w14:textId="77777777" w:rsidR="00D1128E" w:rsidRPr="00F3678D" w:rsidRDefault="00D1128E" w:rsidP="000264DA">
      <w:pPr>
        <w:pStyle w:val="Puslapioinaostekstas"/>
        <w:rPr>
          <w:lang w:val="lt-LT"/>
        </w:rPr>
      </w:pPr>
      <w:r>
        <w:rPr>
          <w:rStyle w:val="Puslapioinaosnuoroda"/>
        </w:rPr>
        <w:footnoteRef/>
      </w:r>
      <w:r w:rsidRPr="00B72C4C">
        <w:rPr>
          <w:lang w:val="lt-LT"/>
        </w:rPr>
        <w:t xml:space="preserve"> http://infolex.lt/marijampole/Default.aspx?Id=3&amp;DocId=44167&amp;KlasId=17</w:t>
      </w:r>
    </w:p>
  </w:footnote>
  <w:footnote w:id="26">
    <w:p w14:paraId="6FD326A3" w14:textId="77777777" w:rsidR="00D1128E" w:rsidRPr="00F3678D" w:rsidRDefault="00D1128E" w:rsidP="000264DA">
      <w:pPr>
        <w:pStyle w:val="Puslapioinaostekstas"/>
        <w:rPr>
          <w:lang w:val="lt-LT"/>
        </w:rPr>
      </w:pPr>
      <w:r>
        <w:rPr>
          <w:rStyle w:val="Puslapioinaosnuoroda"/>
        </w:rPr>
        <w:footnoteRef/>
      </w:r>
      <w:r w:rsidRPr="00B72C4C">
        <w:rPr>
          <w:lang w:val="lt-LT"/>
        </w:rPr>
        <w:t xml:space="preserve"> http://www.ukmerge.lt/webPartner/subsystems/web/doc.php?itemID=10421</w:t>
      </w:r>
    </w:p>
  </w:footnote>
  <w:footnote w:id="27">
    <w:p w14:paraId="127E1D26" w14:textId="77777777" w:rsidR="00D1128E" w:rsidRPr="00B22F35" w:rsidRDefault="00D1128E" w:rsidP="000264DA">
      <w:pPr>
        <w:pStyle w:val="Puslapioinaostekstas"/>
        <w:rPr>
          <w:lang w:val="lt-LT"/>
        </w:rPr>
      </w:pPr>
      <w:r w:rsidRPr="00F15DF4">
        <w:rPr>
          <w:rStyle w:val="Puslapioinaosnuoroda"/>
          <w:szCs w:val="16"/>
        </w:rPr>
        <w:footnoteRef/>
      </w:r>
      <w:r w:rsidRPr="00B72C4C">
        <w:rPr>
          <w:szCs w:val="16"/>
          <w:lang w:val="lt-LT"/>
        </w:rPr>
        <w:t xml:space="preserve"> https://www.vrsa.lt/go.php/lit/VILNIAUS-RAJONO-SAVIVALDYBES-STRATEGINIAI-PLETROS-PLANAI/2015</w:t>
      </w:r>
    </w:p>
  </w:footnote>
  <w:footnote w:id="28">
    <w:p w14:paraId="1896B91B" w14:textId="77777777" w:rsidR="00D1128E" w:rsidRPr="001554CF" w:rsidRDefault="00D1128E" w:rsidP="005A0219">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Lentelėje pateikti 2014 m. rugsėjo 23 d. duomenys.</w:t>
      </w:r>
    </w:p>
  </w:footnote>
  <w:footnote w:id="29">
    <w:p w14:paraId="694811A7" w14:textId="77777777" w:rsidR="00D1128E" w:rsidRPr="00B76111" w:rsidRDefault="00D1128E" w:rsidP="005A0219">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w:t>
      </w:r>
      <w:r w:rsidRPr="001554CF">
        <w:rPr>
          <w:szCs w:val="16"/>
          <w:lang w:val="lt-LT"/>
        </w:rPr>
        <w:t xml:space="preserve">, </w:t>
      </w:r>
      <w:r w:rsidRPr="00FB240F">
        <w:rPr>
          <w:i/>
          <w:szCs w:val="16"/>
          <w:lang w:val="lt-LT"/>
        </w:rPr>
        <w:t xml:space="preserve">Viešosios paskirties pastatų renovavimas nacionaliniu lygiu VP3-3.4-ŪM-03-V, </w:t>
      </w:r>
      <w:r w:rsidRPr="00FB240F">
        <w:rPr>
          <w:szCs w:val="16"/>
          <w:lang w:val="lt-LT"/>
        </w:rPr>
        <w:t xml:space="preserve"> 23 May 2013, </w:t>
      </w:r>
      <w:hyperlink r:id="rId4" w:history="1">
        <w:r w:rsidRPr="00FB240F">
          <w:rPr>
            <w:rStyle w:val="Hipersaitas"/>
            <w:szCs w:val="16"/>
            <w:lang w:val="lt-LT"/>
          </w:rPr>
          <w:t>http://www.esparama.lt/priemone?priem_id=000bdd538000119e</w:t>
        </w:r>
      </w:hyperlink>
      <w:r w:rsidRPr="00B76111">
        <w:rPr>
          <w:szCs w:val="16"/>
          <w:lang w:val="lt-LT"/>
        </w:rPr>
        <w:t>.</w:t>
      </w:r>
    </w:p>
  </w:footnote>
  <w:footnote w:id="30">
    <w:p w14:paraId="0CDA3380" w14:textId="77777777" w:rsidR="00D1128E" w:rsidRPr="00B76111" w:rsidRDefault="00D1128E" w:rsidP="005A0219">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 </w:t>
      </w:r>
      <w:r w:rsidRPr="001554CF">
        <w:rPr>
          <w:rFonts w:cs="Arial"/>
          <w:bCs/>
          <w:i/>
          <w:szCs w:val="16"/>
          <w:lang w:val="lt-LT"/>
        </w:rPr>
        <w:t xml:space="preserve">Viešosios paskirties pastatų renovavimas regioniniu lygiu VP3-3.4-ŪM-04-R, </w:t>
      </w:r>
      <w:r w:rsidRPr="00FB240F">
        <w:rPr>
          <w:rFonts w:cs="Arial"/>
          <w:bCs/>
          <w:szCs w:val="16"/>
          <w:lang w:val="lt-LT"/>
        </w:rPr>
        <w:t>16 October 2008</w:t>
      </w:r>
      <w:r w:rsidRPr="00FB240F">
        <w:rPr>
          <w:szCs w:val="16"/>
          <w:lang w:val="lt-LT"/>
        </w:rPr>
        <w:t xml:space="preserve">, </w:t>
      </w:r>
      <w:hyperlink r:id="rId5" w:history="1">
        <w:r w:rsidRPr="00FB240F">
          <w:rPr>
            <w:rStyle w:val="Hipersaitas"/>
            <w:szCs w:val="16"/>
            <w:lang w:val="lt-LT"/>
          </w:rPr>
          <w:t>http://www.esparama.lt/priemone?priem_id=000bdd538000119f</w:t>
        </w:r>
      </w:hyperlink>
      <w:r w:rsidRPr="00B76111">
        <w:rPr>
          <w:szCs w:val="16"/>
          <w:lang w:val="lt-LT"/>
        </w:rPr>
        <w:t>.</w:t>
      </w:r>
    </w:p>
  </w:footnote>
  <w:footnote w:id="31">
    <w:p w14:paraId="29F66455" w14:textId="77777777" w:rsidR="00D1128E" w:rsidRPr="00B76111" w:rsidRDefault="00D1128E" w:rsidP="005A0219">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 </w:t>
      </w:r>
      <w:r w:rsidRPr="001554CF">
        <w:rPr>
          <w:rFonts w:cs="Arial"/>
          <w:bCs/>
          <w:i/>
          <w:szCs w:val="16"/>
          <w:lang w:val="lt-LT"/>
        </w:rPr>
        <w:t>Viešosios paskirties pastatų renovavimo projektai, atitinkantys Lietuvos 2004–2006 m. Bendrojo</w:t>
      </w:r>
      <w:r w:rsidRPr="00FB240F">
        <w:rPr>
          <w:rFonts w:cs="Arial"/>
          <w:bCs/>
          <w:i/>
          <w:szCs w:val="16"/>
          <w:lang w:val="lt-LT"/>
        </w:rPr>
        <w:t xml:space="preserve"> programavimo dokumento 1.2 priemonės „Energijos tiekimo stabilumo, prieinamumo ir didesnio energetikos efektyvumo užtikrinimas“ naudos ir kokybės vertinimo kriterijus VP3-3.4-ŪM-05-V</w:t>
      </w:r>
      <w:r w:rsidRPr="00FB240F">
        <w:rPr>
          <w:szCs w:val="16"/>
          <w:lang w:val="lt-LT"/>
        </w:rPr>
        <w:t xml:space="preserve">, 24 November 2011, </w:t>
      </w:r>
      <w:hyperlink r:id="rId6" w:history="1">
        <w:r w:rsidRPr="00FB240F">
          <w:rPr>
            <w:rStyle w:val="Hipersaitas"/>
            <w:szCs w:val="16"/>
            <w:lang w:val="lt-LT"/>
          </w:rPr>
          <w:t>http://www.esparama.lt/priemone?priem_id=000bdd53800011a0</w:t>
        </w:r>
      </w:hyperlink>
      <w:r w:rsidRPr="00B76111">
        <w:rPr>
          <w:szCs w:val="16"/>
          <w:lang w:val="lt-LT"/>
        </w:rPr>
        <w:t>.</w:t>
      </w:r>
    </w:p>
  </w:footnote>
  <w:footnote w:id="32">
    <w:p w14:paraId="6C73D882" w14:textId="77777777" w:rsidR="00D1128E" w:rsidRPr="001554CF" w:rsidRDefault="00D1128E" w:rsidP="005A0219">
      <w:pPr>
        <w:pStyle w:val="Puslapioinaostekstas"/>
        <w:rPr>
          <w:lang w:val="lt-LT"/>
        </w:rPr>
      </w:pPr>
      <w:r w:rsidRPr="00E67C77">
        <w:rPr>
          <w:rStyle w:val="Puslapioinaosnuoroda"/>
          <w:lang w:val="lt-LT"/>
        </w:rPr>
        <w:footnoteRef/>
      </w:r>
      <w:r w:rsidRPr="00E67C77">
        <w:rPr>
          <w:lang w:val="lt-LT"/>
        </w:rPr>
        <w:t xml:space="preserve"> </w:t>
      </w:r>
      <w:hyperlink r:id="rId7" w:history="1">
        <w:r w:rsidRPr="00FB240F">
          <w:rPr>
            <w:rStyle w:val="Hipersaitas"/>
            <w:lang w:val="lt-LT"/>
          </w:rPr>
          <w:t>www.ppplietuva.lt</w:t>
        </w:r>
      </w:hyperlink>
      <w:r w:rsidRPr="00B76111">
        <w:rPr>
          <w:lang w:val="lt-LT"/>
        </w:rPr>
        <w:t xml:space="preserve"> </w:t>
      </w:r>
    </w:p>
  </w:footnote>
  <w:footnote w:id="33">
    <w:p w14:paraId="3345E5F1" w14:textId="77777777" w:rsidR="00D1128E" w:rsidRPr="00933A3C" w:rsidRDefault="00D1128E" w:rsidP="005A0219">
      <w:pPr>
        <w:pStyle w:val="Puslapioinaostekstas"/>
        <w:rPr>
          <w:lang w:val="lt-LT"/>
        </w:rPr>
      </w:pPr>
      <w:r>
        <w:rPr>
          <w:rStyle w:val="Puslapioinaosnuoroda"/>
        </w:rPr>
        <w:footnoteRef/>
      </w:r>
      <w:r w:rsidRPr="00B72C4C">
        <w:rPr>
          <w:lang w:val="lt-LT"/>
        </w:rPr>
        <w:t xml:space="preserve"> 2017 m. vasario 8 d. galiojanti 2014-2020 met</w:t>
      </w:r>
      <w:r>
        <w:rPr>
          <w:lang w:val="lt-LT"/>
        </w:rPr>
        <w:t>ų Europos Sąjungos fondų investicijų veiksmų programos versija</w:t>
      </w:r>
    </w:p>
  </w:footnote>
  <w:footnote w:id="34">
    <w:p w14:paraId="1B932BFD" w14:textId="77777777" w:rsidR="00D1128E" w:rsidRPr="00B72C4C" w:rsidRDefault="00D1128E" w:rsidP="005A0219">
      <w:pPr>
        <w:pStyle w:val="Puslapioinaostekstas"/>
        <w:rPr>
          <w:lang w:val="lt-LT"/>
        </w:rPr>
      </w:pPr>
      <w:r>
        <w:rPr>
          <w:rStyle w:val="Puslapioinaosnuoroda"/>
        </w:rPr>
        <w:footnoteRef/>
      </w:r>
      <w:r w:rsidRPr="00B72C4C">
        <w:rPr>
          <w:lang w:val="lt-LT"/>
        </w:rPr>
        <w:t xml:space="preserve"> 2017 m. liepos 3 d. Nr. 2017/2 – 1722 “D</w:t>
      </w:r>
      <w:r>
        <w:rPr>
          <w:lang w:val="lt-LT"/>
        </w:rPr>
        <w:t>ėl energijos efektyvumo fondo metinės ataskaitos patikslinimo</w:t>
      </w:r>
      <w:r w:rsidRPr="00B72C4C">
        <w:rPr>
          <w:lang w:val="lt-LT"/>
        </w:rPr>
        <w:t>”</w:t>
      </w:r>
    </w:p>
  </w:footnote>
  <w:footnote w:id="35">
    <w:p w14:paraId="780B4FCA" w14:textId="77777777" w:rsidR="00D1128E" w:rsidRPr="00131AB8" w:rsidRDefault="00D1128E" w:rsidP="005A0219">
      <w:pPr>
        <w:pStyle w:val="Puslapioinaostekstas"/>
        <w:rPr>
          <w:lang w:val="lt-LT"/>
        </w:rPr>
      </w:pPr>
      <w:r>
        <w:rPr>
          <w:rStyle w:val="Puslapioinaosnuoroda"/>
        </w:rPr>
        <w:footnoteRef/>
      </w:r>
      <w:r w:rsidRPr="00B72C4C">
        <w:rPr>
          <w:lang w:val="lt-LT"/>
        </w:rPr>
        <w:t xml:space="preserve"> http://www.esinvesticijos.lt/lt/naujienos/daugiabuciu-namu-renovacijai-lietuvoje-50-mln-euru-erpb-paskola-</w:t>
      </w:r>
    </w:p>
  </w:footnote>
  <w:footnote w:id="36">
    <w:p w14:paraId="6500F224" w14:textId="77777777" w:rsidR="00D1128E" w:rsidRPr="00B72C4C" w:rsidRDefault="00D1128E" w:rsidP="005A0219">
      <w:pPr>
        <w:pStyle w:val="Puslapioinaostekstas"/>
        <w:rPr>
          <w:lang w:val="lt-LT"/>
        </w:rPr>
      </w:pPr>
      <w:r>
        <w:rPr>
          <w:rStyle w:val="Puslapioinaosnuoroda"/>
        </w:rPr>
        <w:footnoteRef/>
      </w:r>
      <w:r w:rsidRPr="00B72C4C">
        <w:rPr>
          <w:lang w:val="lt-LT"/>
        </w:rPr>
        <w:t xml:space="preserve"> http://www.lb.lt/lt/docview/?file=/documents/files/Banku%20sektoriaus%20rodikliai%202017-07-01%20solo%20EUR.xls</w:t>
      </w:r>
    </w:p>
  </w:footnote>
  <w:footnote w:id="37">
    <w:p w14:paraId="70562F5C" w14:textId="77777777" w:rsidR="00D1128E" w:rsidRPr="00B72C4C" w:rsidRDefault="00D1128E" w:rsidP="005A0219">
      <w:pPr>
        <w:pStyle w:val="Puslapioinaostekstas"/>
        <w:rPr>
          <w:lang w:val="lt-LT"/>
        </w:rPr>
      </w:pPr>
      <w:r>
        <w:rPr>
          <w:rStyle w:val="Puslapioinaosnuoroda"/>
        </w:rPr>
        <w:footnoteRef/>
      </w:r>
      <w:r w:rsidRPr="00B72C4C">
        <w:rPr>
          <w:lang w:val="lt-LT"/>
        </w:rPr>
        <w:t xml:space="preserve"> http://www.lb.lt/lt/visa-ekonomika-trumpai?ff=1&amp;date_interval%5Bfrom%5D=2012-Q2&amp;date_interval%5Bto%5D=2017-Q2&amp;relation=96&amp;FSS_DUOM_TIP=1</w:t>
      </w:r>
    </w:p>
  </w:footnote>
  <w:footnote w:id="38">
    <w:p w14:paraId="3563C5EC" w14:textId="77777777" w:rsidR="00D1128E" w:rsidRPr="001531F0" w:rsidRDefault="00D1128E" w:rsidP="005A0219">
      <w:pPr>
        <w:pStyle w:val="Puslapioinaostekstas"/>
        <w:rPr>
          <w:lang w:val="lt-LT"/>
        </w:rPr>
      </w:pPr>
      <w:r>
        <w:rPr>
          <w:rStyle w:val="Puslapioinaosnuoroda"/>
        </w:rPr>
        <w:footnoteRef/>
      </w:r>
      <w:r w:rsidRPr="00B72C4C">
        <w:rPr>
          <w:lang w:val="lt-LT"/>
        </w:rPr>
        <w:t xml:space="preserve"> http://www.lb.lt/lt/paskolos-ne-finansu-bendrovems-pagal-ekonomines-veiklos-rusis</w:t>
      </w:r>
    </w:p>
  </w:footnote>
  <w:footnote w:id="39">
    <w:p w14:paraId="4FACBEFB" w14:textId="77777777" w:rsidR="00D1128E" w:rsidRPr="00666A42" w:rsidRDefault="00D1128E" w:rsidP="005A0219">
      <w:pPr>
        <w:pStyle w:val="Puslapioinaostekstas"/>
        <w:rPr>
          <w:lang w:val="lt-LT"/>
        </w:rPr>
      </w:pPr>
      <w:r>
        <w:rPr>
          <w:rStyle w:val="Puslapioinaosnuoroda"/>
        </w:rPr>
        <w:footnoteRef/>
      </w:r>
      <w:r w:rsidRPr="00B72C4C">
        <w:rPr>
          <w:lang w:val="lt-LT"/>
        </w:rPr>
        <w:t xml:space="preserve"> </w:t>
      </w:r>
      <w:r>
        <w:rPr>
          <w:lang w:val="lt-LT"/>
        </w:rPr>
        <w:t>Lietuvos Bankas,  Lietuvos Ekonomikos Apžvalga, 2017 m.</w:t>
      </w:r>
    </w:p>
  </w:footnote>
  <w:footnote w:id="40">
    <w:p w14:paraId="6F1B5CD7" w14:textId="77777777" w:rsidR="00D1128E" w:rsidRPr="00B72C4C" w:rsidRDefault="00D1128E" w:rsidP="00CF6E71">
      <w:pPr>
        <w:pStyle w:val="Puslapioinaostekstas"/>
        <w:rPr>
          <w:rFonts w:asciiTheme="majorHAnsi" w:hAnsiTheme="majorHAnsi"/>
          <w:szCs w:val="16"/>
          <w:lang w:val="lt-LT"/>
        </w:rPr>
      </w:pPr>
      <w:r w:rsidRPr="00490F12">
        <w:rPr>
          <w:rStyle w:val="Puslapioinaosnuoroda"/>
          <w:rFonts w:asciiTheme="majorHAnsi" w:hAnsiTheme="majorHAnsi"/>
          <w:szCs w:val="16"/>
        </w:rPr>
        <w:footnoteRef/>
      </w:r>
      <w:r w:rsidRPr="00B72C4C">
        <w:rPr>
          <w:rFonts w:asciiTheme="majorHAnsi" w:hAnsiTheme="majorHAnsi"/>
          <w:szCs w:val="16"/>
          <w:lang w:val="lt-LT"/>
        </w:rPr>
        <w:t xml:space="preserve"> https://www.e-tar.lt/portal/lt/legalAct/79fa29e0cda311e6a2cac7383cbb90a3</w:t>
      </w:r>
    </w:p>
  </w:footnote>
  <w:footnote w:id="41">
    <w:p w14:paraId="07C596AD" w14:textId="77777777" w:rsidR="00D1128E" w:rsidRPr="00B72C4C" w:rsidRDefault="00D1128E" w:rsidP="00CF6E71">
      <w:pPr>
        <w:pStyle w:val="Puslapioinaostekstas"/>
        <w:rPr>
          <w:szCs w:val="16"/>
          <w:lang w:val="lt-LT"/>
        </w:rPr>
      </w:pPr>
      <w:r w:rsidRPr="00090D59">
        <w:rPr>
          <w:rStyle w:val="Puslapioinaosnuoroda"/>
          <w:szCs w:val="16"/>
        </w:rPr>
        <w:footnoteRef/>
      </w:r>
      <w:r w:rsidRPr="00B72C4C">
        <w:rPr>
          <w:szCs w:val="16"/>
          <w:lang w:val="lt-LT"/>
        </w:rPr>
        <w:t xml:space="preserve"> http://www.varena.lt/download/30833/i%C5%A1vada%20d%C4%97l%20ilgalaik%C4%97s%20paskolos%20(2016-03-21%20nr.ar-3(3.14)).pdf</w:t>
      </w:r>
    </w:p>
  </w:footnote>
  <w:footnote w:id="42">
    <w:p w14:paraId="423213FC" w14:textId="77777777" w:rsidR="00D1128E" w:rsidRPr="00B72C4C" w:rsidRDefault="00D1128E" w:rsidP="00CF6E71">
      <w:pPr>
        <w:pStyle w:val="Puslapioinaostekstas"/>
        <w:rPr>
          <w:lang w:val="lt-LT"/>
        </w:rPr>
      </w:pPr>
      <w:r w:rsidRPr="00490F12">
        <w:rPr>
          <w:rStyle w:val="Puslapioinaosnuoroda"/>
          <w:rFonts w:asciiTheme="majorHAnsi" w:hAnsiTheme="majorHAnsi"/>
          <w:szCs w:val="16"/>
        </w:rPr>
        <w:footnoteRef/>
      </w:r>
      <w:r w:rsidRPr="00B72C4C">
        <w:rPr>
          <w:rFonts w:asciiTheme="majorHAnsi" w:hAnsiTheme="majorHAnsi"/>
          <w:szCs w:val="16"/>
          <w:lang w:val="lt-LT"/>
        </w:rPr>
        <w:t xml:space="preserve"> http://www.vmi.lt/cms/ataskaitu-archyvas</w:t>
      </w:r>
    </w:p>
  </w:footnote>
  <w:footnote w:id="43">
    <w:p w14:paraId="163579AD" w14:textId="77777777" w:rsidR="00D1128E" w:rsidRPr="00B72C4C" w:rsidRDefault="00D1128E" w:rsidP="00CF6E71">
      <w:pPr>
        <w:rPr>
          <w:rFonts w:asciiTheme="majorHAnsi" w:hAnsiTheme="majorHAnsi"/>
          <w:sz w:val="16"/>
          <w:szCs w:val="16"/>
          <w:lang w:val="lt-LT"/>
        </w:rPr>
      </w:pPr>
      <w:r w:rsidRPr="00490F12">
        <w:rPr>
          <w:rStyle w:val="Puslapioinaosnuoroda"/>
          <w:rFonts w:asciiTheme="majorHAnsi" w:hAnsiTheme="majorHAnsi"/>
          <w:sz w:val="16"/>
          <w:szCs w:val="16"/>
        </w:rPr>
        <w:footnoteRef/>
      </w:r>
      <w:r w:rsidRPr="00B72C4C">
        <w:rPr>
          <w:rFonts w:asciiTheme="majorHAnsi" w:hAnsiTheme="majorHAnsi"/>
          <w:sz w:val="16"/>
          <w:szCs w:val="16"/>
          <w:lang w:val="lt-LT"/>
        </w:rPr>
        <w:t xml:space="preserve"> http://finmin.lrv.lt/lt/veiklos-sritys/biudzetas/biudzeto-vykdymas/savivaldybiu-biudzetai/savivaldybiu-skolinimosi-limitai/2017-m-3/2017-m-rugsejo-30-d-1</w:t>
      </w:r>
    </w:p>
    <w:p w14:paraId="1C898E22" w14:textId="77777777" w:rsidR="00D1128E" w:rsidRPr="00B72C4C" w:rsidRDefault="00D1128E" w:rsidP="00CF6E71">
      <w:pPr>
        <w:pStyle w:val="Puslapioinaostekstas"/>
        <w:rPr>
          <w:lang w:val="lt-LT"/>
        </w:rPr>
      </w:pPr>
    </w:p>
  </w:footnote>
  <w:footnote w:id="44">
    <w:p w14:paraId="312791A1" w14:textId="77777777" w:rsidR="00D1128E" w:rsidRPr="00B76111" w:rsidRDefault="00D1128E" w:rsidP="005A0219">
      <w:pPr>
        <w:pStyle w:val="Puslapioinaostekstas"/>
        <w:rPr>
          <w:lang w:val="lt-LT"/>
        </w:rPr>
      </w:pPr>
      <w:r w:rsidRPr="00E67C77">
        <w:rPr>
          <w:rStyle w:val="Puslapioinaosnuoroda"/>
          <w:lang w:val="lt-LT"/>
        </w:rPr>
        <w:footnoteRef/>
      </w:r>
      <w:r w:rsidRPr="00E67C77">
        <w:rPr>
          <w:lang w:val="lt-LT"/>
        </w:rPr>
        <w:t xml:space="preserve"> http://www.lsta.lt/files/studijos/2012%20metu/A-77_V.Stankevicius_renovac_paskata.pdf</w:t>
      </w:r>
    </w:p>
  </w:footnote>
  <w:footnote w:id="45">
    <w:p w14:paraId="4A229780" w14:textId="77777777" w:rsidR="00D1128E" w:rsidRPr="00B72C4C" w:rsidRDefault="00D1128E" w:rsidP="00984ACE">
      <w:pPr>
        <w:pStyle w:val="Puslapioinaostekstas"/>
        <w:rPr>
          <w:lang w:val="lt-LT"/>
        </w:rPr>
      </w:pPr>
      <w:r>
        <w:rPr>
          <w:rStyle w:val="Puslapioinaosnuoroda"/>
        </w:rPr>
        <w:footnoteRef/>
      </w:r>
      <w:r w:rsidRPr="00B72C4C">
        <w:rPr>
          <w:lang w:val="lt-LT"/>
        </w:rPr>
        <w:t xml:space="preserve"> https://ec.europa.eu/info/business-economy-euro/growth-and-investment/financing-investment/connecting-europe-facility-cef-financial-instruments_en</w:t>
      </w:r>
    </w:p>
  </w:footnote>
  <w:footnote w:id="46">
    <w:p w14:paraId="55D1911D" w14:textId="77777777" w:rsidR="00D1128E" w:rsidRPr="00B72C4C" w:rsidRDefault="00D1128E" w:rsidP="00984ACE">
      <w:pPr>
        <w:pStyle w:val="Puslapioinaostekstas"/>
        <w:rPr>
          <w:lang w:val="lt-LT"/>
        </w:rPr>
      </w:pPr>
      <w:r>
        <w:rPr>
          <w:rStyle w:val="Puslapioinaosnuoroda"/>
        </w:rPr>
        <w:footnoteRef/>
      </w:r>
      <w:r w:rsidRPr="00B72C4C">
        <w:rPr>
          <w:lang w:val="lt-LT"/>
        </w:rPr>
        <w:t xml:space="preserve"> https://ec.europa.eu/programmes/horizon2020/en/news/horizon-2020-work-programme-2018-2020</w:t>
      </w:r>
    </w:p>
  </w:footnote>
  <w:footnote w:id="47">
    <w:p w14:paraId="74AC79B8" w14:textId="77777777" w:rsidR="00D1128E" w:rsidRPr="001554CF"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7A69FD">
        <w:rPr>
          <w:rFonts w:cs="Arial"/>
          <w:szCs w:val="16"/>
          <w:lang w:val="lt-LT"/>
        </w:rPr>
        <w:t>http://www.ebrd.com/what-we-do.html</w:t>
      </w:r>
      <w:r w:rsidRPr="007A69FD" w:rsidDel="007A69FD">
        <w:rPr>
          <w:rFonts w:cs="Arial"/>
          <w:szCs w:val="16"/>
          <w:lang w:val="lt-LT"/>
        </w:rPr>
        <w:t xml:space="preserve"> </w:t>
      </w:r>
    </w:p>
  </w:footnote>
  <w:footnote w:id="48">
    <w:p w14:paraId="17C6801B"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Pr>
          <w:rFonts w:cs="Arial"/>
          <w:szCs w:val="16"/>
          <w:lang w:val="lt-LT"/>
        </w:rPr>
        <w:t>Guide to EBRD financing 2016 April</w:t>
      </w:r>
    </w:p>
  </w:footnote>
  <w:footnote w:id="49">
    <w:p w14:paraId="352D53D1" w14:textId="77777777" w:rsidR="00D1128E" w:rsidRPr="001B7484" w:rsidRDefault="00D1128E" w:rsidP="006977C2">
      <w:pPr>
        <w:pStyle w:val="Puslapioinaostekstas"/>
        <w:rPr>
          <w:lang w:val="en-US"/>
        </w:rPr>
      </w:pPr>
      <w:r>
        <w:rPr>
          <w:rStyle w:val="Puslapioinaosnuoroda"/>
        </w:rPr>
        <w:footnoteRef/>
      </w:r>
      <w:r>
        <w:t xml:space="preserve"> Energy Sector strategy EBRD 2013 December</w:t>
      </w:r>
    </w:p>
  </w:footnote>
  <w:footnote w:id="50">
    <w:p w14:paraId="26F541C2" w14:textId="77777777" w:rsidR="00D1128E" w:rsidRPr="009A047D" w:rsidRDefault="00D1128E" w:rsidP="006977C2">
      <w:pPr>
        <w:pStyle w:val="Puslapioinaostekstas"/>
        <w:rPr>
          <w:lang w:val="lt-LT"/>
        </w:rPr>
      </w:pPr>
      <w:r>
        <w:rPr>
          <w:rStyle w:val="Puslapioinaosnuoroda"/>
        </w:rPr>
        <w:footnoteRef/>
      </w:r>
      <w:r>
        <w:t xml:space="preserve"> </w:t>
      </w:r>
      <w:r>
        <w:rPr>
          <w:lang w:val="en-US"/>
        </w:rPr>
        <w:t>Green Economy Transition brochure</w:t>
      </w:r>
    </w:p>
  </w:footnote>
  <w:footnote w:id="51">
    <w:p w14:paraId="29E8783C" w14:textId="77777777" w:rsidR="00D1128E" w:rsidRPr="00293852" w:rsidRDefault="00D1128E" w:rsidP="006977C2">
      <w:pPr>
        <w:pStyle w:val="Puslapioinaostekstas"/>
        <w:rPr>
          <w:lang w:val="lt-LT"/>
        </w:rPr>
      </w:pPr>
      <w:r>
        <w:rPr>
          <w:rStyle w:val="Puslapioinaosnuoroda"/>
        </w:rPr>
        <w:footnoteRef/>
      </w:r>
      <w:r>
        <w:t xml:space="preserve"> </w:t>
      </w:r>
      <w:r>
        <w:rPr>
          <w:lang w:val="en-US"/>
        </w:rPr>
        <w:t>Green Economy Transition approach 30 September 2015</w:t>
      </w:r>
    </w:p>
  </w:footnote>
  <w:footnote w:id="52">
    <w:p w14:paraId="56595795" w14:textId="77777777" w:rsidR="00D1128E" w:rsidRPr="00E12946" w:rsidRDefault="00D1128E" w:rsidP="006977C2">
      <w:pPr>
        <w:pStyle w:val="Puslapioinaostekstas"/>
        <w:rPr>
          <w:lang w:val="en-US"/>
        </w:rPr>
      </w:pPr>
      <w:r>
        <w:rPr>
          <w:rStyle w:val="Puslapioinaosnuoroda"/>
        </w:rPr>
        <w:footnoteRef/>
      </w:r>
      <w:r>
        <w:rPr>
          <w:lang w:val="en-US"/>
        </w:rPr>
        <w:t xml:space="preserve"> Green Economy Transition approach 30 September 2015</w:t>
      </w:r>
    </w:p>
  </w:footnote>
  <w:footnote w:id="53">
    <w:p w14:paraId="3C81DB67" w14:textId="77777777" w:rsidR="00D1128E" w:rsidRPr="00F42F98" w:rsidRDefault="00D1128E" w:rsidP="006977C2">
      <w:pPr>
        <w:pStyle w:val="Puslapioinaostekstas"/>
        <w:rPr>
          <w:lang w:val="en-US"/>
        </w:rPr>
      </w:pPr>
      <w:r>
        <w:rPr>
          <w:rStyle w:val="Puslapioinaosnuoroda"/>
        </w:rPr>
        <w:footnoteRef/>
      </w:r>
      <w:r>
        <w:t xml:space="preserve"> </w:t>
      </w:r>
      <w:r>
        <w:rPr>
          <w:lang w:val="en-US"/>
        </w:rPr>
        <w:t>Green Economy Transition brochure</w:t>
      </w:r>
    </w:p>
  </w:footnote>
  <w:footnote w:id="54">
    <w:p w14:paraId="5CCAC3F3" w14:textId="77777777" w:rsidR="00D1128E" w:rsidRPr="001554CF"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Document of </w:t>
      </w:r>
      <w:r w:rsidRPr="001554CF">
        <w:rPr>
          <w:rFonts w:cs="Arial"/>
          <w:szCs w:val="16"/>
          <w:lang w:val="lt-LT"/>
        </w:rPr>
        <w:t>European Banks of Reconstruction and Development, Strategy for Lithuania as approved by the Board of</w:t>
      </w:r>
    </w:p>
    <w:p w14:paraId="69CC30B2" w14:textId="77777777" w:rsidR="00D1128E" w:rsidRPr="00B76111" w:rsidRDefault="00D1128E" w:rsidP="006977C2">
      <w:pPr>
        <w:pStyle w:val="Puslapioinaostekstas"/>
        <w:rPr>
          <w:rFonts w:cs="Arial"/>
          <w:szCs w:val="16"/>
          <w:lang w:val="lt-LT"/>
        </w:rPr>
      </w:pPr>
      <w:r w:rsidRPr="00FB240F">
        <w:rPr>
          <w:rFonts w:cs="Arial"/>
          <w:szCs w:val="16"/>
          <w:lang w:val="lt-LT"/>
        </w:rPr>
        <w:t xml:space="preserve">Directors at its meeting on </w:t>
      </w:r>
      <w:r>
        <w:rPr>
          <w:rFonts w:cs="Arial"/>
          <w:szCs w:val="16"/>
          <w:lang w:val="lt-LT"/>
        </w:rPr>
        <w:t>10</w:t>
      </w:r>
      <w:r w:rsidRPr="00FB240F">
        <w:rPr>
          <w:rFonts w:cs="Arial"/>
          <w:szCs w:val="16"/>
          <w:lang w:val="lt-LT"/>
        </w:rPr>
        <w:t xml:space="preserve"> </w:t>
      </w:r>
      <w:r>
        <w:rPr>
          <w:rFonts w:cs="Arial"/>
          <w:szCs w:val="16"/>
          <w:lang w:val="lt-LT"/>
        </w:rPr>
        <w:t>February</w:t>
      </w:r>
      <w:r w:rsidRPr="00FB240F">
        <w:rPr>
          <w:rFonts w:cs="Arial"/>
          <w:szCs w:val="16"/>
          <w:lang w:val="lt-LT"/>
        </w:rPr>
        <w:t xml:space="preserve"> 201</w:t>
      </w:r>
      <w:r>
        <w:rPr>
          <w:rFonts w:cs="Arial"/>
          <w:szCs w:val="16"/>
          <w:lang w:val="lt-LT"/>
        </w:rPr>
        <w:t>6</w:t>
      </w:r>
      <w:r w:rsidRPr="00FB240F">
        <w:rPr>
          <w:rFonts w:cs="Arial"/>
          <w:szCs w:val="16"/>
          <w:lang w:val="lt-LT"/>
        </w:rPr>
        <w:t xml:space="preserve"> </w:t>
      </w:r>
    </w:p>
  </w:footnote>
  <w:footnote w:id="55">
    <w:p w14:paraId="5974FA53" w14:textId="77777777" w:rsidR="00D1128E" w:rsidRPr="00FB240F" w:rsidRDefault="00D1128E" w:rsidP="006977C2">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i/>
          <w:szCs w:val="16"/>
          <w:lang w:val="lt-LT"/>
        </w:rPr>
        <w:t>Angl. Net Cumulative Business Volume</w:t>
      </w:r>
    </w:p>
  </w:footnote>
  <w:footnote w:id="56">
    <w:p w14:paraId="77B41DF0" w14:textId="77777777" w:rsidR="00D1128E" w:rsidRPr="00177B7B" w:rsidRDefault="00D1128E" w:rsidP="006977C2">
      <w:pPr>
        <w:pStyle w:val="Puslapioinaostekstas"/>
        <w:rPr>
          <w:lang w:val="lt-LT"/>
        </w:rPr>
      </w:pPr>
      <w:r>
        <w:rPr>
          <w:rStyle w:val="Puslapioinaosnuoroda"/>
        </w:rPr>
        <w:footnoteRef/>
      </w:r>
      <w:r>
        <w:t xml:space="preserve"> </w:t>
      </w:r>
      <w:r w:rsidRPr="00177B7B">
        <w:rPr>
          <w:i/>
          <w:lang w:val="lt-LT"/>
        </w:rPr>
        <w:t>http://www.ebrd.com/lithuania-data.html</w:t>
      </w:r>
    </w:p>
  </w:footnote>
  <w:footnote w:id="57">
    <w:p w14:paraId="53ED6D95" w14:textId="77777777" w:rsidR="00D1128E" w:rsidRPr="00516C9E" w:rsidRDefault="00D1128E" w:rsidP="006977C2">
      <w:pPr>
        <w:pStyle w:val="Puslapioinaostekstas"/>
        <w:rPr>
          <w:rFonts w:ascii="Arial" w:hAnsi="Arial" w:cs="Arial"/>
          <w:sz w:val="18"/>
          <w:lang w:val="lt-LT"/>
        </w:rPr>
      </w:pPr>
      <w:r w:rsidRPr="00516C9E">
        <w:rPr>
          <w:rStyle w:val="Puslapioinaosnuoroda"/>
          <w:rFonts w:cs="Arial"/>
          <w:szCs w:val="16"/>
          <w:lang w:val="lt-LT"/>
        </w:rPr>
        <w:footnoteRef/>
      </w:r>
      <w:r w:rsidRPr="00516C9E">
        <w:rPr>
          <w:rFonts w:cs="Arial"/>
          <w:szCs w:val="16"/>
          <w:lang w:val="lt-LT"/>
        </w:rPr>
        <w:t xml:space="preserve"> </w:t>
      </w:r>
      <w:r w:rsidRPr="00516C9E">
        <w:rPr>
          <w:lang w:val="lt-LT"/>
        </w:rPr>
        <w:t>http://www.ebrd.com/lithuania-data.html</w:t>
      </w:r>
    </w:p>
  </w:footnote>
  <w:footnote w:id="58">
    <w:p w14:paraId="2F06CA6B" w14:textId="77777777" w:rsidR="00D1128E" w:rsidRPr="00E67C77" w:rsidRDefault="00D1128E" w:rsidP="006977C2">
      <w:pPr>
        <w:pStyle w:val="Puslapioinaostekstas"/>
        <w:rPr>
          <w:lang w:val="lt-LT"/>
        </w:rPr>
      </w:pPr>
      <w:r w:rsidRPr="00E67C77">
        <w:rPr>
          <w:rStyle w:val="Puslapioinaosnuoroda"/>
          <w:lang w:val="lt-LT"/>
        </w:rPr>
        <w:footnoteRef/>
      </w:r>
      <w:r w:rsidRPr="00E67C77">
        <w:rPr>
          <w:lang w:val="lt-LT"/>
        </w:rPr>
        <w:t xml:space="preserve"> </w:t>
      </w:r>
      <w:r w:rsidRPr="00670977">
        <w:rPr>
          <w:rFonts w:cs="Arial"/>
          <w:i/>
          <w:lang w:val="lt-LT"/>
        </w:rPr>
        <w:t>http://www.ebrd.com/downloads/country/strategy/lithuania.pdf</w:t>
      </w:r>
      <w:r>
        <w:rPr>
          <w:rFonts w:cs="Arial"/>
          <w:i/>
          <w:lang w:val="lt-LT"/>
        </w:rPr>
        <w:t xml:space="preserve">; </w:t>
      </w:r>
      <w:r w:rsidRPr="003E7875">
        <w:rPr>
          <w:rFonts w:cs="Arial"/>
          <w:i/>
          <w:lang w:val="lt-LT"/>
        </w:rPr>
        <w:t>http://www.ebrd.com/lithuania-data.html</w:t>
      </w:r>
    </w:p>
  </w:footnote>
  <w:footnote w:id="59">
    <w:p w14:paraId="32AA5CD6" w14:textId="77777777" w:rsidR="00D1128E" w:rsidRPr="00B72C4C" w:rsidRDefault="00D1128E" w:rsidP="006977C2">
      <w:pPr>
        <w:pStyle w:val="Puslapioinaostekstas"/>
        <w:rPr>
          <w:lang w:val="lt-LT"/>
        </w:rPr>
      </w:pPr>
      <w:r>
        <w:rPr>
          <w:rStyle w:val="Puslapioinaosnuoroda"/>
        </w:rPr>
        <w:footnoteRef/>
      </w:r>
      <w:r w:rsidRPr="00B72C4C">
        <w:rPr>
          <w:lang w:val="lt-LT"/>
        </w:rPr>
        <w:t xml:space="preserve"> http://www.ebrd.com/work-with-us/projects/psd/vipa-energy-efficiency-structured-loan.html</w:t>
      </w:r>
    </w:p>
  </w:footnote>
  <w:footnote w:id="60">
    <w:p w14:paraId="4CB83AA9" w14:textId="77777777" w:rsidR="00D1128E" w:rsidRPr="00402C80" w:rsidRDefault="00D1128E" w:rsidP="006977C2">
      <w:pPr>
        <w:pStyle w:val="Puslapioinaostekstas"/>
        <w:rPr>
          <w:lang w:val="lt-LT"/>
        </w:rPr>
      </w:pPr>
      <w:r>
        <w:rPr>
          <w:rStyle w:val="Puslapioinaosnuoroda"/>
        </w:rPr>
        <w:footnoteRef/>
      </w:r>
      <w:r w:rsidRPr="00B72C4C">
        <w:rPr>
          <w:lang w:val="lt-LT"/>
        </w:rPr>
        <w:t xml:space="preserve"> http://www.ebrd.com/work-with-us/projects/psd/lietuvos-energija-green-bond.html</w:t>
      </w:r>
    </w:p>
  </w:footnote>
  <w:footnote w:id="61">
    <w:p w14:paraId="5EC1267C" w14:textId="77777777" w:rsidR="00D1128E" w:rsidRPr="00B76111" w:rsidRDefault="00D1128E" w:rsidP="002D46ED">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Sąlygos priklauso nuo konkrečios paskolos.</w:t>
      </w:r>
    </w:p>
  </w:footnote>
  <w:footnote w:id="62">
    <w:p w14:paraId="32EE5E9B" w14:textId="77777777" w:rsidR="00D1128E" w:rsidRPr="001554CF" w:rsidRDefault="00D1128E" w:rsidP="002D46ED">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Angl. Income notes</w:t>
      </w:r>
    </w:p>
  </w:footnote>
  <w:footnote w:id="63">
    <w:p w14:paraId="0CF16B3F" w14:textId="77777777" w:rsidR="00D1128E" w:rsidRPr="00B76111" w:rsidRDefault="00D1128E" w:rsidP="006977C2">
      <w:pPr>
        <w:pStyle w:val="Puslapioinaostekstas"/>
        <w:rPr>
          <w:lang w:val="lt-LT"/>
        </w:rPr>
      </w:pPr>
      <w:r w:rsidRPr="00E67C77">
        <w:rPr>
          <w:rStyle w:val="Puslapioinaosnuoroda"/>
          <w:lang w:val="lt-LT"/>
        </w:rPr>
        <w:footnoteRef/>
      </w:r>
      <w:r w:rsidRPr="00E67C77">
        <w:rPr>
          <w:lang w:val="lt-LT"/>
        </w:rPr>
        <w:t xml:space="preserve"> </w:t>
      </w:r>
      <w:r w:rsidRPr="005053DE">
        <w:t>http://www.ebrd.com/news/publications/guides/a-guide-to-ebrd-financing.html</w:t>
      </w:r>
    </w:p>
  </w:footnote>
  <w:footnote w:id="64">
    <w:p w14:paraId="24AC05E9" w14:textId="77777777" w:rsidR="00D1128E" w:rsidRPr="00510DF5" w:rsidRDefault="00D1128E" w:rsidP="006977C2">
      <w:pPr>
        <w:pStyle w:val="Puslapioinaostekstas"/>
        <w:rPr>
          <w:lang w:val="lt-LT"/>
        </w:rPr>
      </w:pPr>
      <w:r>
        <w:rPr>
          <w:rStyle w:val="Puslapioinaosnuoroda"/>
        </w:rPr>
        <w:footnoteRef/>
      </w:r>
      <w:r w:rsidRPr="00B72C4C">
        <w:rPr>
          <w:lang w:val="lt-LT"/>
        </w:rPr>
        <w:t xml:space="preserve"> http://www.ebrd.com/what-we-do/products-and-services.html</w:t>
      </w:r>
    </w:p>
  </w:footnote>
  <w:footnote w:id="65">
    <w:p w14:paraId="766B940F"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412AF9">
        <w:rPr>
          <w:rFonts w:cs="Arial"/>
          <w:szCs w:val="16"/>
          <w:lang w:val="lt-LT"/>
        </w:rPr>
        <w:t>http://www.nib.int/nib_in_brief/iaur_s_investicij_bankas</w:t>
      </w:r>
      <w:r w:rsidRPr="00B76111">
        <w:rPr>
          <w:rFonts w:cs="Arial"/>
          <w:szCs w:val="16"/>
          <w:lang w:val="lt-LT"/>
        </w:rPr>
        <w:t xml:space="preserve"> </w:t>
      </w:r>
    </w:p>
  </w:footnote>
  <w:footnote w:id="66">
    <w:p w14:paraId="181BEA2E" w14:textId="77777777" w:rsidR="00D1128E" w:rsidRPr="00C41FB5" w:rsidRDefault="00D1128E" w:rsidP="006977C2">
      <w:pPr>
        <w:pStyle w:val="Puslapioinaostekstas"/>
        <w:rPr>
          <w:lang w:val="lt-LT"/>
        </w:rPr>
      </w:pPr>
      <w:r>
        <w:rPr>
          <w:rStyle w:val="Puslapioinaosnuoroda"/>
        </w:rPr>
        <w:footnoteRef/>
      </w:r>
      <w:r w:rsidRPr="00B72C4C">
        <w:rPr>
          <w:lang w:val="lt-LT"/>
        </w:rPr>
        <w:t xml:space="preserve"> https://www.nib.int/filebank/1187-NIB_Business_Strategy_for_Energy_Summary.pdf</w:t>
      </w:r>
    </w:p>
  </w:footnote>
  <w:footnote w:id="67">
    <w:p w14:paraId="01F39B64" w14:textId="77777777" w:rsidR="00D1128E" w:rsidRPr="006C05E8" w:rsidRDefault="00D1128E" w:rsidP="006977C2">
      <w:pPr>
        <w:pStyle w:val="Puslapioinaostekstas"/>
        <w:rPr>
          <w:lang w:val="lt-LT"/>
        </w:rPr>
      </w:pPr>
      <w:r>
        <w:rPr>
          <w:rStyle w:val="Puslapioinaosnuoroda"/>
        </w:rPr>
        <w:footnoteRef/>
      </w:r>
      <w:r w:rsidRPr="00B72C4C">
        <w:rPr>
          <w:lang w:val="lt-LT"/>
        </w:rPr>
        <w:t xml:space="preserve"> http://annualreport.nib.int/2016/in-detail/operating-environment/lending/</w:t>
      </w:r>
    </w:p>
  </w:footnote>
  <w:footnote w:id="68">
    <w:p w14:paraId="799CF309" w14:textId="77777777" w:rsidR="00D1128E" w:rsidRPr="00B72C4C" w:rsidRDefault="00D1128E" w:rsidP="006977C2">
      <w:pPr>
        <w:pStyle w:val="Puslapioinaostekstas"/>
        <w:rPr>
          <w:lang w:val="lt-LT"/>
        </w:rPr>
      </w:pPr>
      <w:r>
        <w:rPr>
          <w:rStyle w:val="Puslapioinaosnuoroda"/>
        </w:rPr>
        <w:footnoteRef/>
      </w:r>
      <w:r w:rsidRPr="00B72C4C">
        <w:rPr>
          <w:lang w:val="lt-LT"/>
        </w:rPr>
        <w:t xml:space="preserve"> https://www.nib.int/news_publications/1697/nib_allocates_eur_500m_for_arctic_lending_facility</w:t>
      </w:r>
    </w:p>
  </w:footnote>
  <w:footnote w:id="69">
    <w:p w14:paraId="1524AAD1" w14:textId="77777777" w:rsidR="00D1128E" w:rsidRPr="00BD32F1" w:rsidRDefault="00D1128E" w:rsidP="006977C2">
      <w:pPr>
        <w:pStyle w:val="Puslapioinaostekstas"/>
        <w:rPr>
          <w:lang w:val="en-US"/>
        </w:rPr>
      </w:pPr>
      <w:r>
        <w:rPr>
          <w:rStyle w:val="Puslapioinaosnuoroda"/>
        </w:rPr>
        <w:footnoteRef/>
      </w:r>
      <w:r>
        <w:t xml:space="preserve"> NIB Annual review </w:t>
      </w:r>
      <w:r>
        <w:rPr>
          <w:lang w:val="en-US"/>
        </w:rPr>
        <w:t>2016</w:t>
      </w:r>
    </w:p>
  </w:footnote>
  <w:footnote w:id="70">
    <w:p w14:paraId="2F6A81C2" w14:textId="77777777" w:rsidR="00D1128E" w:rsidRPr="00412AF9" w:rsidRDefault="00D1128E" w:rsidP="002D46ED">
      <w:pPr>
        <w:pStyle w:val="Puslapioinaostekstas"/>
        <w:rPr>
          <w:lang w:val="lt-LT"/>
        </w:rPr>
      </w:pPr>
      <w:r>
        <w:rPr>
          <w:rStyle w:val="Puslapioinaosnuoroda"/>
        </w:rPr>
        <w:footnoteRef/>
      </w:r>
      <w:r>
        <w:t>h</w:t>
      </w:r>
      <w:r w:rsidRPr="00412AF9">
        <w:t>tps://www.nib.int/loans/agreed_loans?year=All&amp;country%5B0%5D=Lithuania&amp;selClasses%5B0%5D=21&amp;selClasses%5B1%5D=45&amp;selClasses%5B2%5D=56&amp;selClasses%5B3%5D=47&amp;client_name=&amp;Search_x=16&amp;Search_y=7s&amp;loanpage=3</w:t>
      </w:r>
    </w:p>
  </w:footnote>
  <w:footnote w:id="71">
    <w:p w14:paraId="06BE6E17" w14:textId="77777777" w:rsidR="00D1128E" w:rsidRPr="00B76111" w:rsidRDefault="00D1128E" w:rsidP="006977C2">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B72C4C">
        <w:rPr>
          <w:lang w:val="lt-LT"/>
        </w:rPr>
        <w:t>https://finmin.lrv.lt/lt/naujienos/lietuva-ir-siaures-investiciju-bankas-pasirase-100-mln-euru-paskolos-sutarti</w:t>
      </w:r>
    </w:p>
  </w:footnote>
  <w:footnote w:id="72">
    <w:p w14:paraId="52921E61" w14:textId="77777777" w:rsidR="00D1128E" w:rsidRPr="00FC65FF" w:rsidRDefault="00D1128E" w:rsidP="006977C2">
      <w:pPr>
        <w:pStyle w:val="Puslapioinaostekstas"/>
        <w:rPr>
          <w:lang w:val="lt-LT"/>
        </w:rPr>
      </w:pPr>
      <w:r>
        <w:rPr>
          <w:rStyle w:val="Puslapioinaosnuoroda"/>
        </w:rPr>
        <w:footnoteRef/>
      </w:r>
      <w:r>
        <w:t xml:space="preserve"> </w:t>
      </w:r>
      <w:hyperlink r:id="rId8" w:history="1">
        <w:r w:rsidRPr="006F08AF">
          <w:rPr>
            <w:rFonts w:ascii="Arial" w:hAnsi="Arial" w:cs="Arial"/>
            <w:i/>
            <w:lang w:val="lt-LT"/>
          </w:rPr>
          <w:t>http://www.nib.int/loans/loan_characteristics</w:t>
        </w:r>
      </w:hyperlink>
      <w:r w:rsidRPr="006F08AF">
        <w:rPr>
          <w:rFonts w:ascii="Arial" w:hAnsi="Arial" w:cs="Arial"/>
          <w:i/>
          <w:lang w:val="lt-LT"/>
        </w:rPr>
        <w:t>, The International Financial Institution of the Nordic and Baltic countries pdf. 2016</w:t>
      </w:r>
    </w:p>
  </w:footnote>
  <w:footnote w:id="73">
    <w:p w14:paraId="4AA447A7" w14:textId="77777777" w:rsidR="00D1128E" w:rsidRPr="0078131B" w:rsidRDefault="00D1128E" w:rsidP="006977C2">
      <w:pPr>
        <w:pStyle w:val="Puslapioinaostekstas"/>
        <w:rPr>
          <w:lang w:val="lt-LT"/>
        </w:rPr>
      </w:pPr>
      <w:r>
        <w:rPr>
          <w:rStyle w:val="Puslapioinaosnuoroda"/>
        </w:rPr>
        <w:footnoteRef/>
      </w:r>
      <w:r w:rsidRPr="00B72C4C">
        <w:rPr>
          <w:lang w:val="lt-LT"/>
        </w:rPr>
        <w:t xml:space="preserve"> http://annualreport.nib.int/2016/in-detail/operating-environment/lending/</w:t>
      </w:r>
    </w:p>
  </w:footnote>
  <w:footnote w:id="74">
    <w:p w14:paraId="1B5DB866" w14:textId="77777777" w:rsidR="00D1128E" w:rsidRPr="00FB240F" w:rsidRDefault="00D1128E" w:rsidP="006977C2">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Įmonės turinčios 250-3.000 darbuotojų.</w:t>
      </w:r>
    </w:p>
  </w:footnote>
  <w:footnote w:id="75">
    <w:p w14:paraId="7577D5A7" w14:textId="77777777" w:rsidR="00D1128E" w:rsidRPr="00DB7FDE" w:rsidRDefault="00D1128E" w:rsidP="006977C2">
      <w:pPr>
        <w:pStyle w:val="Puslapioinaostekstas"/>
        <w:rPr>
          <w:lang w:val="lt-LT"/>
        </w:rPr>
      </w:pPr>
      <w:r>
        <w:rPr>
          <w:rStyle w:val="Puslapioinaosnuoroda"/>
        </w:rPr>
        <w:footnoteRef/>
      </w:r>
      <w:r>
        <w:t xml:space="preserve"> </w:t>
      </w:r>
      <w:r w:rsidRPr="00DB7FDE">
        <w:t>http://www.eib.org/projects/priorities/infrastructure/index.htm</w:t>
      </w:r>
    </w:p>
  </w:footnote>
  <w:footnote w:id="76">
    <w:p w14:paraId="114C5524" w14:textId="77777777" w:rsidR="00D1128E" w:rsidRPr="003A4541" w:rsidRDefault="00D1128E" w:rsidP="006977C2">
      <w:pPr>
        <w:pStyle w:val="Puslapioinaostekstas"/>
        <w:rPr>
          <w:lang w:val="lt-LT"/>
        </w:rPr>
      </w:pPr>
      <w:r>
        <w:rPr>
          <w:rStyle w:val="Puslapioinaosnuoroda"/>
        </w:rPr>
        <w:footnoteRef/>
      </w:r>
      <w:r>
        <w:t xml:space="preserve"> </w:t>
      </w:r>
      <w:r w:rsidRPr="003A4541">
        <w:t>http://www.eif.org/</w:t>
      </w:r>
    </w:p>
  </w:footnote>
  <w:footnote w:id="77">
    <w:p w14:paraId="386B0817" w14:textId="77777777" w:rsidR="00D1128E" w:rsidRPr="00FB240F" w:rsidRDefault="00D1128E" w:rsidP="006977C2">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Įmonės turinčios 250-3.000 darbuotojų.</w:t>
      </w:r>
    </w:p>
  </w:footnote>
  <w:footnote w:id="78">
    <w:p w14:paraId="7D22352A" w14:textId="77777777" w:rsidR="00D1128E" w:rsidRPr="00B72C4C" w:rsidRDefault="00D1128E" w:rsidP="006977C2">
      <w:pPr>
        <w:pStyle w:val="Puslapioinaostekstas"/>
        <w:rPr>
          <w:lang w:val="lt-LT"/>
        </w:rPr>
      </w:pPr>
      <w:r>
        <w:rPr>
          <w:rStyle w:val="Puslapioinaosnuoroda"/>
        </w:rPr>
        <w:footnoteRef/>
      </w:r>
      <w:r w:rsidRPr="00B72C4C">
        <w:rPr>
          <w:lang w:val="lt-LT"/>
        </w:rPr>
        <w:t xml:space="preserve"> http://www.eib.org/attachments/strategies/eib_climate_strategy_en.pdf</w:t>
      </w:r>
    </w:p>
  </w:footnote>
  <w:footnote w:id="79">
    <w:p w14:paraId="245E9228" w14:textId="77777777" w:rsidR="00D1128E" w:rsidRPr="00776939" w:rsidRDefault="00D1128E" w:rsidP="006977C2">
      <w:pPr>
        <w:pStyle w:val="Puslapioinaostekstas"/>
        <w:rPr>
          <w:lang w:val="lt-LT"/>
        </w:rPr>
      </w:pPr>
      <w:r>
        <w:rPr>
          <w:rStyle w:val="Puslapioinaosnuoroda"/>
        </w:rPr>
        <w:footnoteRef/>
      </w:r>
      <w:r w:rsidRPr="00B72C4C">
        <w:rPr>
          <w:lang w:val="lt-LT"/>
        </w:rPr>
        <w:t xml:space="preserve"> https://ec.europa.eu/energy/sites/ener/files/documents/4_berna_topaloglu_seif_prague_27-04-17.pdf</w:t>
      </w:r>
    </w:p>
  </w:footnote>
  <w:footnote w:id="80">
    <w:p w14:paraId="5B19D2C9" w14:textId="77777777" w:rsidR="00D1128E" w:rsidRPr="00F746F6" w:rsidRDefault="00D1128E" w:rsidP="006977C2">
      <w:pPr>
        <w:pStyle w:val="Puslapioinaostekstas"/>
        <w:rPr>
          <w:rFonts w:ascii="Arial" w:hAnsi="Arial" w:cs="Arial"/>
          <w:sz w:val="18"/>
          <w:szCs w:val="18"/>
          <w:lang w:val="lt-LT"/>
        </w:rPr>
      </w:pPr>
      <w:r w:rsidRPr="00B76111">
        <w:rPr>
          <w:rStyle w:val="Puslapioinaosnuoroda"/>
          <w:rFonts w:cs="Arial"/>
          <w:szCs w:val="16"/>
          <w:lang w:val="lt-LT"/>
        </w:rPr>
        <w:footnoteRef/>
      </w:r>
      <w:r w:rsidRPr="00B76111">
        <w:rPr>
          <w:rFonts w:cs="Arial"/>
          <w:szCs w:val="16"/>
          <w:lang w:val="lt-LT"/>
        </w:rPr>
        <w:t xml:space="preserve"> </w:t>
      </w:r>
      <w:hyperlink r:id="rId9" w:history="1">
        <w:r w:rsidRPr="00F746F6">
          <w:rPr>
            <w:rStyle w:val="Hipersaitas"/>
            <w:rFonts w:cs="Arial"/>
            <w:color w:val="auto"/>
            <w:szCs w:val="16"/>
            <w:lang w:val="lt-LT"/>
          </w:rPr>
          <w:t>https://ec.europa.eu/energy/sites/ener/files/documents/4_berna_topaloglu_seif_prague_27-04-17.pdf</w:t>
        </w:r>
      </w:hyperlink>
      <w:r w:rsidRPr="00F746F6">
        <w:rPr>
          <w:rFonts w:cs="Arial"/>
          <w:szCs w:val="16"/>
          <w:lang w:val="lt-LT"/>
        </w:rPr>
        <w:t>; http://www.eib.org/attachments/thematic/energy_efficiency_en.pdf</w:t>
      </w:r>
    </w:p>
  </w:footnote>
  <w:footnote w:id="81">
    <w:p w14:paraId="08B84316" w14:textId="77777777" w:rsidR="00D1128E" w:rsidRPr="00F746F6" w:rsidRDefault="00D1128E" w:rsidP="006977C2">
      <w:pPr>
        <w:pStyle w:val="Puslapioinaostekstas"/>
        <w:rPr>
          <w:rFonts w:cs="Arial"/>
          <w:szCs w:val="16"/>
          <w:lang w:val="lt-LT"/>
        </w:rPr>
      </w:pPr>
      <w:r w:rsidRPr="00F746F6">
        <w:rPr>
          <w:rStyle w:val="Puslapioinaosnuoroda"/>
          <w:rFonts w:cs="Arial"/>
          <w:szCs w:val="16"/>
          <w:lang w:val="lt-LT"/>
        </w:rPr>
        <w:footnoteRef/>
      </w:r>
      <w:r w:rsidRPr="00F746F6">
        <w:rPr>
          <w:rFonts w:cs="Arial"/>
          <w:szCs w:val="16"/>
          <w:lang w:val="lt-LT"/>
        </w:rPr>
        <w:t xml:space="preserve"> http://www.eib.org/products/lending/equity_funds/infrastructure_debt_funds/european_energy_efficiency_fund.htm</w:t>
      </w:r>
    </w:p>
  </w:footnote>
  <w:footnote w:id="82">
    <w:p w14:paraId="1FF26335" w14:textId="77777777" w:rsidR="00D1128E" w:rsidRPr="00B76111" w:rsidRDefault="00D1128E" w:rsidP="006977C2">
      <w:pPr>
        <w:pStyle w:val="Puslapioinaostekstas"/>
        <w:rPr>
          <w:rFonts w:cs="Arial"/>
          <w:szCs w:val="16"/>
          <w:lang w:val="lt-LT"/>
        </w:rPr>
      </w:pPr>
      <w:r w:rsidRPr="00F746F6">
        <w:rPr>
          <w:rStyle w:val="Puslapioinaosnuoroda"/>
          <w:rFonts w:cs="Arial"/>
          <w:szCs w:val="16"/>
          <w:lang w:val="lt-LT"/>
        </w:rPr>
        <w:footnoteRef/>
      </w:r>
      <w:r w:rsidRPr="00F746F6">
        <w:rPr>
          <w:rFonts w:cs="Arial"/>
          <w:szCs w:val="16"/>
          <w:lang w:val="lt-LT"/>
        </w:rPr>
        <w:t xml:space="preserve"> </w:t>
      </w:r>
      <w:hyperlink r:id="rId10" w:history="1">
        <w:r w:rsidRPr="00F746F6">
          <w:rPr>
            <w:rStyle w:val="Hipersaitas"/>
            <w:rFonts w:cs="Arial"/>
            <w:color w:val="auto"/>
            <w:szCs w:val="16"/>
            <w:lang w:val="lt-LT"/>
          </w:rPr>
          <w:t>http://www.eeef.eu/objective-of-the-fund.html</w:t>
        </w:r>
      </w:hyperlink>
      <w:r w:rsidRPr="00F746F6">
        <w:rPr>
          <w:rFonts w:cs="Arial"/>
          <w:szCs w:val="16"/>
          <w:lang w:val="lt-LT"/>
        </w:rPr>
        <w:t xml:space="preserve"> </w:t>
      </w:r>
    </w:p>
  </w:footnote>
  <w:footnote w:id="83">
    <w:p w14:paraId="30D4B548" w14:textId="77777777" w:rsidR="00D1128E" w:rsidRPr="00B76111" w:rsidRDefault="00D1128E" w:rsidP="006977C2">
      <w:pPr>
        <w:pStyle w:val="Puslapioinaostekstas"/>
        <w:rPr>
          <w:lang w:val="lt-LT"/>
        </w:rPr>
      </w:pPr>
      <w:r w:rsidRPr="00E67C77">
        <w:rPr>
          <w:rStyle w:val="Puslapioinaosnuoroda"/>
          <w:lang w:val="lt-LT"/>
        </w:rPr>
        <w:footnoteRef/>
      </w:r>
      <w:r w:rsidRPr="00E67C77">
        <w:rPr>
          <w:lang w:val="lt-LT"/>
        </w:rPr>
        <w:t xml:space="preserve"> SPV (angl. special purpose vehicles)</w:t>
      </w:r>
    </w:p>
  </w:footnote>
  <w:footnote w:id="84">
    <w:p w14:paraId="6B3B5A81" w14:textId="77777777" w:rsidR="00D1128E" w:rsidRPr="00B76111" w:rsidRDefault="00D1128E" w:rsidP="006977C2">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11" w:history="1">
        <w:r w:rsidRPr="00ED6572">
          <w:rPr>
            <w:rStyle w:val="Hipersaitas"/>
            <w:rFonts w:cs="Arial"/>
            <w:color w:val="auto"/>
            <w:szCs w:val="16"/>
            <w:lang w:val="lt-LT"/>
          </w:rPr>
          <w:t>http://www.eeef.eu/eligible-investments.html</w:t>
        </w:r>
      </w:hyperlink>
      <w:r w:rsidRPr="00ED6572">
        <w:rPr>
          <w:szCs w:val="16"/>
          <w:lang w:val="lt-LT"/>
        </w:rPr>
        <w:t xml:space="preserve"> </w:t>
      </w:r>
    </w:p>
  </w:footnote>
  <w:footnote w:id="85">
    <w:p w14:paraId="5F0BEE6A" w14:textId="77777777" w:rsidR="00D1128E" w:rsidRPr="00ED6572"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 xml:space="preserve">European </w:t>
      </w:r>
      <w:r w:rsidRPr="00ED6572">
        <w:rPr>
          <w:rFonts w:cs="Arial"/>
          <w:szCs w:val="16"/>
          <w:lang w:val="lt-LT"/>
        </w:rPr>
        <w:t>Energy Efficiency Fund, Advancing Sustainable Energy for Europe Quarterly Fact Sheet a</w:t>
      </w:r>
      <w:r>
        <w:rPr>
          <w:rFonts w:cs="Arial"/>
          <w:szCs w:val="16"/>
          <w:lang w:val="lt-LT"/>
        </w:rPr>
        <w:t>s of 30/06</w:t>
      </w:r>
      <w:r w:rsidRPr="00ED6572">
        <w:rPr>
          <w:rFonts w:cs="Arial"/>
          <w:szCs w:val="16"/>
          <w:lang w:val="lt-LT"/>
        </w:rPr>
        <w:t>/ 201</w:t>
      </w:r>
      <w:r>
        <w:rPr>
          <w:rFonts w:cs="Arial"/>
          <w:szCs w:val="16"/>
          <w:lang w:val="lt-LT"/>
        </w:rPr>
        <w:t>7</w:t>
      </w:r>
      <w:r w:rsidRPr="00ED6572">
        <w:rPr>
          <w:rFonts w:cs="Arial"/>
          <w:szCs w:val="16"/>
          <w:lang w:val="lt-LT"/>
        </w:rPr>
        <w:t xml:space="preserve"> </w:t>
      </w:r>
      <w:r>
        <w:rPr>
          <w:rFonts w:cs="Arial"/>
          <w:szCs w:val="16"/>
          <w:lang w:val="lt-LT"/>
        </w:rPr>
        <w:t>(</w:t>
      </w:r>
      <w:r w:rsidRPr="00ED6572">
        <w:rPr>
          <w:rFonts w:cs="Arial"/>
          <w:szCs w:val="16"/>
          <w:lang w:val="lt-LT"/>
        </w:rPr>
        <w:t xml:space="preserve">https://www.eeef.eu/tl_files/downloads/Quarterly_Reports/EEEF%20Quarterly%20Report%202017-Q2.pdf)  </w:t>
      </w:r>
    </w:p>
  </w:footnote>
  <w:footnote w:id="86">
    <w:p w14:paraId="67C6338B" w14:textId="77777777" w:rsidR="00D1128E" w:rsidRPr="00ED6572" w:rsidRDefault="00D1128E" w:rsidP="006977C2">
      <w:pPr>
        <w:pStyle w:val="Puslapioinaostekstas"/>
        <w:rPr>
          <w:szCs w:val="16"/>
          <w:lang w:val="lt-LT"/>
        </w:rPr>
      </w:pPr>
      <w:r w:rsidRPr="00ED6572">
        <w:rPr>
          <w:rStyle w:val="Puslapioinaosnuoroda"/>
          <w:szCs w:val="16"/>
          <w:lang w:val="lt-LT"/>
        </w:rPr>
        <w:footnoteRef/>
      </w:r>
      <w:r w:rsidRPr="00ED6572">
        <w:rPr>
          <w:szCs w:val="16"/>
          <w:lang w:val="lt-LT"/>
        </w:rPr>
        <w:t xml:space="preserve"> </w:t>
      </w:r>
      <w:hyperlink r:id="rId12" w:history="1">
        <w:r w:rsidRPr="00B72C4C">
          <w:rPr>
            <w:rStyle w:val="Hipersaitas"/>
            <w:color w:val="auto"/>
            <w:lang w:val="lt-LT"/>
          </w:rPr>
          <w:t>http://www.eib.org/products/advising/elena/index.htm</w:t>
        </w:r>
      </w:hyperlink>
      <w:r w:rsidRPr="00B72C4C">
        <w:rPr>
          <w:lang w:val="lt-LT"/>
        </w:rPr>
        <w:t>; http://www.eib.org/products/advising/elena/projects/index.htm</w:t>
      </w:r>
    </w:p>
  </w:footnote>
  <w:footnote w:id="87">
    <w:p w14:paraId="39B44FEF" w14:textId="77777777" w:rsidR="00D1128E" w:rsidRPr="00ED6572" w:rsidRDefault="00D1128E" w:rsidP="006977C2">
      <w:pPr>
        <w:pStyle w:val="Puslapioinaostekstas"/>
        <w:rPr>
          <w:rFonts w:cs="Arial"/>
          <w:sz w:val="18"/>
          <w:lang w:val="lt-LT"/>
        </w:rPr>
      </w:pPr>
      <w:r w:rsidRPr="00ED6572">
        <w:rPr>
          <w:rStyle w:val="Puslapioinaosnuoroda"/>
          <w:rFonts w:cs="Arial"/>
          <w:szCs w:val="16"/>
          <w:lang w:val="lt-LT"/>
        </w:rPr>
        <w:footnoteRef/>
      </w:r>
      <w:r w:rsidRPr="00ED6572">
        <w:rPr>
          <w:rFonts w:cs="Arial"/>
          <w:szCs w:val="16"/>
          <w:lang w:val="lt-LT"/>
        </w:rPr>
        <w:t xml:space="preserve"> </w:t>
      </w:r>
      <w:r w:rsidRPr="00B72C4C">
        <w:rPr>
          <w:lang w:val="lt-LT"/>
        </w:rPr>
        <w:t>http://www.eib.org/attachments/thematic/jessica_2008_lt.pdf</w:t>
      </w:r>
    </w:p>
  </w:footnote>
  <w:footnote w:id="88">
    <w:p w14:paraId="556B6801" w14:textId="77777777" w:rsidR="00D1128E" w:rsidRPr="00ED6572" w:rsidRDefault="00D1128E" w:rsidP="006977C2">
      <w:pPr>
        <w:pStyle w:val="Puslapioinaostekstas"/>
        <w:rPr>
          <w:lang w:val="lt-LT"/>
        </w:rPr>
      </w:pPr>
      <w:r w:rsidRPr="00ED6572">
        <w:rPr>
          <w:rStyle w:val="Puslapioinaosnuoroda"/>
        </w:rPr>
        <w:footnoteRef/>
      </w:r>
      <w:r w:rsidRPr="00B72C4C">
        <w:rPr>
          <w:lang w:val="lt-LT"/>
        </w:rPr>
        <w:t xml:space="preserve"> http://urban-intergroup.eu/wp-content/uploads/2016/04/EP-Seminar-F-Lee-EIB-April-2016-UPDATED-FINAL-.pdf</w:t>
      </w:r>
    </w:p>
  </w:footnote>
  <w:footnote w:id="89">
    <w:p w14:paraId="1481C296" w14:textId="77777777" w:rsidR="00D1128E" w:rsidRPr="00B72C4C" w:rsidRDefault="00D1128E" w:rsidP="006977C2">
      <w:pPr>
        <w:pStyle w:val="Puslapioinaostekstas"/>
        <w:rPr>
          <w:lang w:val="lt-LT"/>
        </w:rPr>
      </w:pPr>
      <w:r>
        <w:rPr>
          <w:rStyle w:val="Puslapioinaosnuoroda"/>
        </w:rPr>
        <w:footnoteRef/>
      </w:r>
      <w:r w:rsidRPr="00B72C4C">
        <w:rPr>
          <w:lang w:val="lt-LT"/>
        </w:rPr>
        <w:t xml:space="preserve"> https://ec.europa.eu/clima/sites/clima/files/docs/pf4ee_en.pdf</w:t>
      </w:r>
    </w:p>
  </w:footnote>
  <w:footnote w:id="90">
    <w:p w14:paraId="5112AE43" w14:textId="77777777" w:rsidR="00D1128E" w:rsidRPr="00053145" w:rsidRDefault="00D1128E" w:rsidP="006977C2">
      <w:pPr>
        <w:pStyle w:val="Puslapioinaostekstas"/>
        <w:rPr>
          <w:lang w:val="lt-LT"/>
        </w:rPr>
      </w:pPr>
      <w:r>
        <w:rPr>
          <w:rStyle w:val="Puslapioinaosnuoroda"/>
        </w:rPr>
        <w:footnoteRef/>
      </w:r>
      <w:r w:rsidRPr="00B72C4C">
        <w:rPr>
          <w:lang w:val="lt-LT"/>
        </w:rPr>
        <w:t xml:space="preserve"> http://www.eib.org/attachments/pf4ee_support_beneficiaries_2016.pdf</w:t>
      </w:r>
    </w:p>
  </w:footnote>
  <w:footnote w:id="91">
    <w:p w14:paraId="54B41BE7" w14:textId="77777777" w:rsidR="00D1128E" w:rsidRPr="00B72C4C" w:rsidRDefault="00D1128E" w:rsidP="006977C2">
      <w:pPr>
        <w:pStyle w:val="Puslapioinaostekstas"/>
        <w:rPr>
          <w:lang w:val="lt-LT"/>
        </w:rPr>
      </w:pPr>
      <w:r>
        <w:rPr>
          <w:rStyle w:val="Puslapioinaosnuoroda"/>
        </w:rPr>
        <w:footnoteRef/>
      </w:r>
      <w:r w:rsidRPr="00B72C4C">
        <w:rPr>
          <w:lang w:val="lt-LT"/>
        </w:rPr>
        <w:t xml:space="preserve"> http://www.eib.org/products/lending/equity_funds/infrastructure_equity_funds/index.htm</w:t>
      </w:r>
    </w:p>
  </w:footnote>
  <w:footnote w:id="92">
    <w:p w14:paraId="1C9F4569" w14:textId="77777777" w:rsidR="00D1128E" w:rsidRPr="00123537" w:rsidRDefault="00D1128E" w:rsidP="006977C2">
      <w:pPr>
        <w:pStyle w:val="Puslapioinaostekstas"/>
        <w:rPr>
          <w:lang w:val="lt-LT"/>
        </w:rPr>
      </w:pPr>
      <w:r>
        <w:rPr>
          <w:rStyle w:val="Puslapioinaosnuoroda"/>
        </w:rPr>
        <w:footnoteRef/>
      </w:r>
      <w:r w:rsidRPr="00B72C4C">
        <w:rPr>
          <w:lang w:val="lt-LT"/>
        </w:rPr>
        <w:t xml:space="preserve"> http://www.eib.org/products/lending/equity_funds/infrastructure_equity_funds/geeref.htm</w:t>
      </w:r>
    </w:p>
  </w:footnote>
  <w:footnote w:id="93">
    <w:p w14:paraId="2536947A"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230D3F">
        <w:rPr>
          <w:rFonts w:cs="Arial"/>
          <w:szCs w:val="16"/>
          <w:lang w:val="lt-LT"/>
        </w:rPr>
        <w:t>http://www.eib.org/projects/regions/european-uni</w:t>
      </w:r>
      <w:r>
        <w:rPr>
          <w:rFonts w:cs="Arial"/>
          <w:szCs w:val="16"/>
          <w:lang w:val="lt-LT"/>
        </w:rPr>
        <w:t>on/lithuania/index.htm?lang=-lt</w:t>
      </w:r>
    </w:p>
  </w:footnote>
  <w:footnote w:id="94">
    <w:p w14:paraId="39EAE32A"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bookmarkStart w:id="130" w:name="OLE_LINK1"/>
      <w:r w:rsidRPr="00230D3F">
        <w:rPr>
          <w:rFonts w:cs="Arial"/>
          <w:szCs w:val="16"/>
          <w:lang w:val="lt-LT"/>
        </w:rPr>
        <w:t>http://www.eib.org/projects/regions/european-uni</w:t>
      </w:r>
      <w:r>
        <w:rPr>
          <w:rFonts w:cs="Arial"/>
          <w:szCs w:val="16"/>
          <w:lang w:val="lt-LT"/>
        </w:rPr>
        <w:t>on/lithuania/index.htm?lang=-lt</w:t>
      </w:r>
      <w:bookmarkEnd w:id="130"/>
    </w:p>
  </w:footnote>
  <w:footnote w:id="95">
    <w:p w14:paraId="16FB3882" w14:textId="77777777" w:rsidR="00D1128E" w:rsidRPr="00FB240F" w:rsidRDefault="00D1128E" w:rsidP="002D46ED">
      <w:pPr>
        <w:pStyle w:val="Puslapioinaostekstas"/>
        <w:rPr>
          <w:lang w:val="lt-LT"/>
        </w:rPr>
      </w:pPr>
      <w:r w:rsidRPr="00E67C77">
        <w:rPr>
          <w:rStyle w:val="Puslapioinaosnuoroda"/>
          <w:lang w:val="lt-LT"/>
        </w:rPr>
        <w:footnoteRef/>
      </w:r>
      <w:r w:rsidRPr="00E67C77">
        <w:rPr>
          <w:lang w:val="lt-LT"/>
        </w:rPr>
        <w:t xml:space="preserve"> </w:t>
      </w:r>
      <w:r>
        <w:rPr>
          <w:lang w:val="lt-LT"/>
        </w:rPr>
        <w:t>Statistical reports EIB 2009 - 2016</w:t>
      </w:r>
    </w:p>
  </w:footnote>
  <w:footnote w:id="96">
    <w:p w14:paraId="05C5FC71" w14:textId="77777777" w:rsidR="00D1128E" w:rsidRPr="00166297" w:rsidRDefault="00D1128E" w:rsidP="006977C2">
      <w:pPr>
        <w:pStyle w:val="Puslapioinaostekstas"/>
        <w:rPr>
          <w:lang w:val="en-US"/>
        </w:rPr>
      </w:pPr>
      <w:r>
        <w:rPr>
          <w:rStyle w:val="Puslapioinaosnuoroda"/>
        </w:rPr>
        <w:footnoteRef/>
      </w:r>
      <w:r>
        <w:t xml:space="preserve"> </w:t>
      </w:r>
      <w:r w:rsidRPr="00166297">
        <w:t>http://www.eib.org/infocentre/press/releases/all/2016/2016-207-eib-to-support-vilnius-urban-investment-programme.htm?lang=-lt</w:t>
      </w:r>
    </w:p>
  </w:footnote>
  <w:footnote w:id="97">
    <w:p w14:paraId="17723A4C" w14:textId="77777777" w:rsidR="00D1128E" w:rsidRPr="009B19ED" w:rsidRDefault="00D1128E" w:rsidP="006977C2">
      <w:pPr>
        <w:pStyle w:val="Puslapioinaostekstas"/>
        <w:rPr>
          <w:lang w:val="en-US"/>
        </w:rPr>
      </w:pPr>
      <w:r>
        <w:rPr>
          <w:rStyle w:val="Puslapioinaosnuoroda"/>
        </w:rPr>
        <w:footnoteRef/>
      </w:r>
      <w:r>
        <w:t xml:space="preserve"> </w:t>
      </w:r>
      <w:r w:rsidRPr="009B19ED">
        <w:t>http://www.eib.org/infocentre/press/releases/all/2016/2016-317-european-support-for-cheaper-and-cleaner-heat-and-power-in-lithuania.htm?lang=-lt</w:t>
      </w:r>
    </w:p>
  </w:footnote>
  <w:footnote w:id="98">
    <w:p w14:paraId="092ECD08"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13" w:history="1">
        <w:r w:rsidRPr="00FB240F">
          <w:rPr>
            <w:rStyle w:val="Hipersaitas"/>
            <w:rFonts w:cs="Arial"/>
            <w:szCs w:val="16"/>
            <w:lang w:val="lt-LT"/>
          </w:rPr>
          <w:t>http://www.eib.org/products/index.htm</w:t>
        </w:r>
      </w:hyperlink>
      <w:r w:rsidRPr="00B76111">
        <w:rPr>
          <w:rFonts w:cs="Arial"/>
          <w:szCs w:val="16"/>
          <w:lang w:val="lt-LT"/>
        </w:rPr>
        <w:t xml:space="preserve"> </w:t>
      </w:r>
    </w:p>
  </w:footnote>
  <w:footnote w:id="99">
    <w:p w14:paraId="637C5740" w14:textId="77777777" w:rsidR="00D1128E" w:rsidRPr="00B76111" w:rsidRDefault="00D1128E" w:rsidP="006977C2">
      <w:pPr>
        <w:pStyle w:val="Puslapioinaostekstas"/>
        <w:rPr>
          <w:rFonts w:ascii="Arial" w:hAnsi="Arial" w:cs="Arial"/>
          <w:sz w:val="18"/>
          <w:szCs w:val="18"/>
          <w:lang w:val="lt-LT"/>
        </w:rPr>
      </w:pPr>
      <w:r w:rsidRPr="00B76111">
        <w:rPr>
          <w:rStyle w:val="Puslapioinaosnuoroda"/>
          <w:rFonts w:cs="Arial"/>
          <w:szCs w:val="16"/>
          <w:lang w:val="lt-LT"/>
        </w:rPr>
        <w:footnoteRef/>
      </w:r>
      <w:r w:rsidRPr="00B76111">
        <w:rPr>
          <w:rFonts w:cs="Arial"/>
          <w:szCs w:val="16"/>
          <w:lang w:val="lt-LT"/>
        </w:rPr>
        <w:t xml:space="preserve"> </w:t>
      </w:r>
      <w:r w:rsidRPr="001C024A">
        <w:rPr>
          <w:rFonts w:cs="Arial"/>
          <w:szCs w:val="16"/>
          <w:lang w:val="lt-LT"/>
        </w:rPr>
        <w:t>http://www.eib.org/products/lending/loans/index.htm</w:t>
      </w:r>
    </w:p>
  </w:footnote>
  <w:footnote w:id="100">
    <w:p w14:paraId="342C224E" w14:textId="77777777" w:rsidR="00D1128E" w:rsidRPr="00B65D4C" w:rsidRDefault="00D1128E" w:rsidP="006977C2">
      <w:pPr>
        <w:pStyle w:val="Puslapioinaostekstas"/>
        <w:rPr>
          <w:lang w:val="lt-LT"/>
        </w:rPr>
      </w:pPr>
      <w:r>
        <w:rPr>
          <w:rStyle w:val="Puslapioinaosnuoroda"/>
        </w:rPr>
        <w:footnoteRef/>
      </w:r>
      <w:r w:rsidRPr="00B72C4C">
        <w:rPr>
          <w:lang w:val="lt-LT"/>
        </w:rPr>
        <w:t xml:space="preserve"> </w:t>
      </w:r>
      <w:r w:rsidRPr="00B65D4C">
        <w:rPr>
          <w:rFonts w:cs="Arial"/>
          <w:i/>
          <w:lang w:val="lt-LT"/>
        </w:rPr>
        <w:t>http://www.eib.org/products/lending/loans/index.htm</w:t>
      </w:r>
    </w:p>
  </w:footnote>
  <w:footnote w:id="101">
    <w:p w14:paraId="1C2CE9A6" w14:textId="77777777" w:rsidR="00D1128E" w:rsidRPr="00B76111" w:rsidRDefault="00D1128E" w:rsidP="006977C2">
      <w:pPr>
        <w:pStyle w:val="Puslapioinaostekstas"/>
        <w:rPr>
          <w:lang w:val="lt-LT"/>
        </w:rPr>
      </w:pPr>
      <w:r w:rsidRPr="00E67C77">
        <w:rPr>
          <w:rStyle w:val="Puslapioinaosnuoroda"/>
          <w:lang w:val="lt-LT"/>
        </w:rPr>
        <w:footnoteRef/>
      </w:r>
      <w:r w:rsidRPr="00E67C77">
        <w:rPr>
          <w:lang w:val="lt-LT"/>
        </w:rPr>
        <w:t xml:space="preserve"> angl. Structured Finance Facility</w:t>
      </w:r>
    </w:p>
  </w:footnote>
  <w:footnote w:id="102">
    <w:p w14:paraId="020C3A95"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FE5436">
        <w:t>http://www.eib.org/products/blending/sff/index.htm</w:t>
      </w:r>
    </w:p>
  </w:footnote>
  <w:footnote w:id="103">
    <w:p w14:paraId="2A301F3A" w14:textId="77777777" w:rsidR="00D1128E" w:rsidRPr="00B76111" w:rsidRDefault="00D1128E" w:rsidP="006977C2">
      <w:pPr>
        <w:pStyle w:val="Puslapioinaostekstas"/>
        <w:rPr>
          <w:lang w:val="lt-LT"/>
        </w:rPr>
      </w:pPr>
      <w:r w:rsidRPr="00E67C77">
        <w:rPr>
          <w:rStyle w:val="Puslapioinaosnuoroda"/>
          <w:lang w:val="lt-LT"/>
        </w:rPr>
        <w:footnoteRef/>
      </w:r>
      <w:r w:rsidRPr="00E67C77">
        <w:rPr>
          <w:lang w:val="lt-LT"/>
        </w:rPr>
        <w:t xml:space="preserve"> angl. debt service</w:t>
      </w:r>
    </w:p>
  </w:footnote>
  <w:footnote w:id="104">
    <w:p w14:paraId="132AB749"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ED750A">
        <w:rPr>
          <w:rFonts w:cs="Arial"/>
          <w:szCs w:val="16"/>
          <w:lang w:val="lt-LT"/>
        </w:rPr>
        <w:t>http://www.eib.org/products/blending/guarantees/index.htm</w:t>
      </w:r>
    </w:p>
  </w:footnote>
  <w:footnote w:id="105">
    <w:p w14:paraId="68C63360" w14:textId="77777777" w:rsidR="00D1128E" w:rsidRPr="00B76111" w:rsidRDefault="00D1128E"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ED750A">
        <w:rPr>
          <w:rFonts w:cs="Arial"/>
          <w:szCs w:val="16"/>
          <w:lang w:val="lt-LT"/>
        </w:rPr>
        <w:t>http://www.eib.org/products/lending/equity_funds/index.htm</w:t>
      </w:r>
    </w:p>
  </w:footnote>
  <w:footnote w:id="106">
    <w:p w14:paraId="16ADCB23" w14:textId="77777777" w:rsidR="00D1128E" w:rsidRPr="00B72C4C" w:rsidRDefault="00D1128E" w:rsidP="006977C2">
      <w:pPr>
        <w:pStyle w:val="Puslapioinaostekstas"/>
        <w:rPr>
          <w:lang w:val="lt-LT"/>
        </w:rPr>
      </w:pPr>
      <w:r>
        <w:rPr>
          <w:rStyle w:val="Puslapioinaosnuoroda"/>
        </w:rPr>
        <w:footnoteRef/>
      </w:r>
      <w:r w:rsidRPr="00B72C4C">
        <w:rPr>
          <w:lang w:val="lt-LT"/>
        </w:rPr>
        <w:t xml:space="preserve"> https://coebank.org/en/project-financing/sectors/</w:t>
      </w:r>
    </w:p>
  </w:footnote>
  <w:footnote w:id="107">
    <w:p w14:paraId="2456A85A" w14:textId="77777777" w:rsidR="00D1128E" w:rsidRPr="006C0913" w:rsidRDefault="00D1128E" w:rsidP="006977C2">
      <w:pPr>
        <w:pStyle w:val="Puslapioinaostekstas"/>
        <w:rPr>
          <w:lang w:val="lt-LT"/>
        </w:rPr>
      </w:pPr>
      <w:r>
        <w:rPr>
          <w:rStyle w:val="Puslapioinaosnuoroda"/>
        </w:rPr>
        <w:footnoteRef/>
      </w:r>
      <w:r>
        <w:t xml:space="preserve"> </w:t>
      </w:r>
      <w:r w:rsidRPr="0007250E">
        <w:t>Report_of_the_Governor_2016.pdf (CEB)</w:t>
      </w:r>
    </w:p>
  </w:footnote>
  <w:footnote w:id="108">
    <w:p w14:paraId="2B8545BC" w14:textId="77777777" w:rsidR="00D1128E" w:rsidRPr="002656DA" w:rsidRDefault="00D1128E" w:rsidP="006977C2">
      <w:pPr>
        <w:pStyle w:val="Puslapioinaostekstas"/>
        <w:rPr>
          <w:lang w:val="en-US"/>
        </w:rPr>
      </w:pPr>
      <w:r>
        <w:rPr>
          <w:rStyle w:val="Puslapioinaosnuoroda"/>
        </w:rPr>
        <w:footnoteRef/>
      </w:r>
      <w:r>
        <w:t xml:space="preserve"> </w:t>
      </w:r>
      <w:r w:rsidRPr="0007250E">
        <w:t>Report_of_the_Governor_2016.pdf (CEB)</w:t>
      </w:r>
    </w:p>
  </w:footnote>
  <w:footnote w:id="109">
    <w:p w14:paraId="32D10A40" w14:textId="77777777" w:rsidR="00D1128E" w:rsidRPr="00FB240F" w:rsidRDefault="00D1128E" w:rsidP="006977C2">
      <w:pPr>
        <w:pStyle w:val="Puslapioinaostekstas"/>
        <w:jc w:val="both"/>
        <w:rPr>
          <w:rFonts w:cs="Arial"/>
          <w:sz w:val="18"/>
          <w:lang w:val="lt-LT"/>
        </w:rPr>
      </w:pPr>
      <w:r w:rsidRPr="00B76111">
        <w:rPr>
          <w:rStyle w:val="Puslapioinaosnuoroda"/>
          <w:rFonts w:cs="Arial"/>
          <w:lang w:val="lt-LT"/>
        </w:rPr>
        <w:footnoteRef/>
      </w:r>
      <w:r w:rsidRPr="00B76111">
        <w:rPr>
          <w:rFonts w:cs="Arial"/>
          <w:sz w:val="18"/>
          <w:lang w:val="lt-LT"/>
        </w:rPr>
        <w:t xml:space="preserve"> </w:t>
      </w:r>
      <w:r w:rsidRPr="00117681">
        <w:t xml:space="preserve"> </w:t>
      </w:r>
      <w:r w:rsidRPr="00117681">
        <w:rPr>
          <w:rFonts w:cs="Arial"/>
          <w:szCs w:val="16"/>
          <w:lang w:val="lt-LT"/>
        </w:rPr>
        <w:t>http://www.eib.org/products/blending/jessica/</w:t>
      </w:r>
    </w:p>
  </w:footnote>
  <w:footnote w:id="110">
    <w:p w14:paraId="188301A2" w14:textId="77777777" w:rsidR="00D1128E" w:rsidRPr="00E67C77" w:rsidRDefault="00D1128E" w:rsidP="006977C2">
      <w:pPr>
        <w:pStyle w:val="Puslapioinaostekstas"/>
        <w:rPr>
          <w:lang w:val="lt-LT"/>
        </w:rPr>
      </w:pPr>
      <w:r w:rsidRPr="00E67C77">
        <w:rPr>
          <w:rStyle w:val="Puslapioinaosnuoroda"/>
          <w:lang w:val="lt-LT"/>
        </w:rPr>
        <w:footnoteRef/>
      </w:r>
      <w:r w:rsidRPr="00E67C77">
        <w:rPr>
          <w:lang w:val="lt-LT"/>
        </w:rPr>
        <w:t xml:space="preserve"> </w:t>
      </w:r>
      <w:r w:rsidRPr="00B72C4C">
        <w:rPr>
          <w:lang w:val="lt-LT"/>
        </w:rPr>
        <w:t xml:space="preserve"> </w:t>
      </w:r>
      <w:r w:rsidRPr="005041F9">
        <w:rPr>
          <w:lang w:val="lt-LT"/>
        </w:rPr>
        <w:t>https://coebank.org/en/about/partnerships/</w:t>
      </w:r>
    </w:p>
  </w:footnote>
  <w:footnote w:id="111">
    <w:p w14:paraId="74E26928" w14:textId="77777777" w:rsidR="00D1128E" w:rsidRPr="00B72C4C" w:rsidRDefault="00D1128E" w:rsidP="006977C2">
      <w:pPr>
        <w:pStyle w:val="Puslapioinaostekstas"/>
        <w:rPr>
          <w:lang w:val="lt-LT"/>
        </w:rPr>
      </w:pPr>
      <w:r>
        <w:rPr>
          <w:rStyle w:val="Puslapioinaosnuoroda"/>
        </w:rPr>
        <w:footnoteRef/>
      </w:r>
      <w:r w:rsidRPr="00B72C4C">
        <w:rPr>
          <w:lang w:val="lt-LT"/>
        </w:rPr>
        <w:t xml:space="preserve"> https://finmin.lrv.lt/lt/es-ir-tarptautinis-bendradarbiavimas/tarptautines-finansu-institucijos/europos-tarybos-vystymo-bankas</w:t>
      </w:r>
    </w:p>
  </w:footnote>
  <w:footnote w:id="112">
    <w:p w14:paraId="2CE92469" w14:textId="77777777" w:rsidR="00D1128E" w:rsidRDefault="00D1128E" w:rsidP="006977C2">
      <w:pPr>
        <w:pStyle w:val="Puslapioinaostekstas"/>
        <w:rPr>
          <w:lang w:val="lt-LT"/>
        </w:rPr>
      </w:pPr>
      <w:r w:rsidRPr="00E67C77">
        <w:rPr>
          <w:rStyle w:val="Puslapioinaosnuoroda"/>
          <w:lang w:val="lt-LT"/>
        </w:rPr>
        <w:footnoteRef/>
      </w:r>
      <w:r w:rsidRPr="00E67C77">
        <w:rPr>
          <w:lang w:val="lt-LT"/>
        </w:rPr>
        <w:t xml:space="preserve"> CEB, Loan and Project Financing Policy; CEB, Handbook for the Preparation and Monitoring of Projects</w:t>
      </w:r>
      <w:r>
        <w:rPr>
          <w:lang w:val="lt-LT"/>
        </w:rPr>
        <w:t xml:space="preserve">; </w:t>
      </w:r>
    </w:p>
    <w:p w14:paraId="072693CF" w14:textId="77777777" w:rsidR="00D1128E" w:rsidRPr="00B76111" w:rsidRDefault="00D1128E" w:rsidP="006977C2">
      <w:pPr>
        <w:pStyle w:val="Puslapioinaostekstas"/>
        <w:rPr>
          <w:lang w:val="lt-LT"/>
        </w:rPr>
      </w:pPr>
    </w:p>
  </w:footnote>
  <w:footnote w:id="113">
    <w:p w14:paraId="594EC4F5" w14:textId="7E7412C3" w:rsidR="00D1128E" w:rsidRPr="00B72C4C" w:rsidRDefault="00D1128E">
      <w:pPr>
        <w:pStyle w:val="Puslapioinaostekstas"/>
        <w:rPr>
          <w:lang w:val="nl-NL"/>
        </w:rPr>
      </w:pPr>
      <w:r>
        <w:rPr>
          <w:rStyle w:val="Puslapioinaosnuoroda"/>
        </w:rPr>
        <w:footnoteRef/>
      </w:r>
      <w:r w:rsidRPr="00B72C4C">
        <w:rPr>
          <w:lang w:val="lt-LT"/>
        </w:rPr>
        <w:t xml:space="preserve"> BaltCap Infrastructure Fund skai</w:t>
      </w:r>
      <w:r>
        <w:rPr>
          <w:lang w:val="lt-LT"/>
        </w:rPr>
        <w:t xml:space="preserve">čiavimais, infrastruktūros Baltijos šalyse finansavimo trūkumas per ateinančius </w:t>
      </w:r>
      <w:r w:rsidRPr="00B72C4C">
        <w:rPr>
          <w:lang w:val="lt-LT"/>
        </w:rPr>
        <w:t xml:space="preserve">5 metus sieks 6 mlrd. </w:t>
      </w:r>
      <w:r w:rsidRPr="00B72C4C">
        <w:rPr>
          <w:lang w:val="nl-NL"/>
        </w:rPr>
        <w:t>Eur.</w:t>
      </w:r>
    </w:p>
  </w:footnote>
  <w:footnote w:id="114">
    <w:p w14:paraId="14DD4B44" w14:textId="55A0C407" w:rsidR="00D1128E" w:rsidRPr="00B72C4C" w:rsidRDefault="00D1128E">
      <w:pPr>
        <w:pStyle w:val="Puslapioinaostekstas"/>
        <w:rPr>
          <w:lang w:val="nl-NL"/>
        </w:rPr>
      </w:pPr>
      <w:r>
        <w:rPr>
          <w:rStyle w:val="Puslapioinaosnuoroda"/>
        </w:rPr>
        <w:footnoteRef/>
      </w:r>
      <w:r w:rsidRPr="00B72C4C">
        <w:rPr>
          <w:lang w:val="nl-NL"/>
        </w:rPr>
        <w:t xml:space="preserve"> https://www.vz.lt/rinkos/fondai/2017/07/03/baltijos-salyse--naujas-100-mln-eur-infrastrukturos-fondas#7</w:t>
      </w:r>
    </w:p>
  </w:footnote>
  <w:footnote w:id="115">
    <w:p w14:paraId="5AE33BD5" w14:textId="2449E5DF" w:rsidR="00D1128E" w:rsidRPr="00B72C4C" w:rsidRDefault="00D1128E">
      <w:pPr>
        <w:pStyle w:val="Puslapioinaostekstas"/>
        <w:rPr>
          <w:lang w:val="nl-NL"/>
        </w:rPr>
      </w:pPr>
      <w:r>
        <w:rPr>
          <w:rStyle w:val="Puslapioinaosnuoroda"/>
        </w:rPr>
        <w:footnoteRef/>
      </w:r>
      <w:r w:rsidRPr="00B72C4C">
        <w:rPr>
          <w:lang w:val="nl-NL"/>
        </w:rPr>
        <w:t xml:space="preserve"> https://ec.europa.eu/lithuania/EIB%20invests%20EUR%2020m%20into%20BaltCap%20Infrastructure%20Fund_lt</w:t>
      </w:r>
    </w:p>
  </w:footnote>
  <w:footnote w:id="116">
    <w:p w14:paraId="6B177463" w14:textId="6E9E8080" w:rsidR="00D1128E" w:rsidRPr="008F5E56" w:rsidRDefault="00D1128E" w:rsidP="00C15C81">
      <w:pPr>
        <w:pStyle w:val="Puslapioinaostekstas"/>
        <w:rPr>
          <w:lang w:val="lt-LT"/>
        </w:rPr>
      </w:pPr>
      <w:r>
        <w:rPr>
          <w:rStyle w:val="Puslapioinaosnuoroda"/>
        </w:rPr>
        <w:footnoteRef/>
      </w:r>
      <w:r w:rsidRPr="00B72C4C">
        <w:rPr>
          <w:lang w:val="nl-NL"/>
        </w:rPr>
        <w:t xml:space="preserve">  http://www.regula.lt/Puslapiai/naujienos/2017-metai/2017-lapkritis/lapkricio-menesio-silumos-kainu-statistika-Lietuvoje.aspx</w:t>
      </w:r>
    </w:p>
  </w:footnote>
  <w:footnote w:id="117">
    <w:p w14:paraId="5A6A819C" w14:textId="52C8F150" w:rsidR="00D1128E" w:rsidRPr="00255903" w:rsidRDefault="00D1128E">
      <w:pPr>
        <w:pStyle w:val="Puslapioinaostekstas"/>
        <w:rPr>
          <w:lang w:val="lt-LT"/>
        </w:rPr>
      </w:pPr>
      <w:r>
        <w:rPr>
          <w:rStyle w:val="Puslapioinaosnuoroda"/>
        </w:rPr>
        <w:footnoteRef/>
      </w:r>
      <w:r w:rsidRPr="00B72C4C">
        <w:rPr>
          <w:lang w:val="lt-LT"/>
        </w:rPr>
        <w:t xml:space="preserve"> http://www.kogen.lt/projektu-nauda</w:t>
      </w:r>
    </w:p>
  </w:footnote>
  <w:footnote w:id="118">
    <w:p w14:paraId="14739FEF" w14:textId="535200CB" w:rsidR="00D1128E" w:rsidRPr="00637559" w:rsidRDefault="00D1128E">
      <w:pPr>
        <w:pStyle w:val="Puslapioinaostekstas"/>
        <w:rPr>
          <w:lang w:val="lt-LT"/>
        </w:rPr>
      </w:pPr>
      <w:r>
        <w:rPr>
          <w:rStyle w:val="Puslapioinaosnuoroda"/>
        </w:rPr>
        <w:footnoteRef/>
      </w:r>
      <w:r w:rsidRPr="00B72C4C">
        <w:rPr>
          <w:lang w:val="lt-LT"/>
        </w:rPr>
        <w:t xml:space="preserve"> https://enmin.lrv.lt/lt/veiklos-sritys-3/biokuro-potencialo-lietuvoje-ivertinimas-biokuro-kainu-prognoze-biokuro-panaudojimo-socialines-naudos-ivertinimas-ir-biokuro-panaudojimo-pletrai-reikalingu-valstybes-intervenciju-pasiulymai</w:t>
      </w:r>
    </w:p>
  </w:footnote>
  <w:footnote w:id="119">
    <w:p w14:paraId="3520CD54" w14:textId="614C250A" w:rsidR="00D1128E" w:rsidRPr="00B34B72" w:rsidRDefault="00D1128E">
      <w:pPr>
        <w:pStyle w:val="Puslapioinaostekstas"/>
        <w:rPr>
          <w:lang w:val="lt-LT"/>
        </w:rPr>
      </w:pPr>
      <w:r>
        <w:rPr>
          <w:rStyle w:val="Puslapioinaosnuoroda"/>
        </w:rPr>
        <w:footnoteRef/>
      </w:r>
      <w:r w:rsidRPr="00B72C4C">
        <w:rPr>
          <w:lang w:val="lt-LT"/>
        </w:rPr>
        <w:t xml:space="preserve"> https://knoema.com/ncszerf/natural-gas-prices-forecast-long-term-2017-to-2030-data-and-charts</w:t>
      </w:r>
    </w:p>
  </w:footnote>
  <w:footnote w:id="120">
    <w:p w14:paraId="04693076" w14:textId="208FD390" w:rsidR="00D1128E" w:rsidRPr="00B34B72" w:rsidRDefault="00D1128E">
      <w:pPr>
        <w:pStyle w:val="Puslapioinaostekstas"/>
        <w:rPr>
          <w:lang w:val="lt-LT"/>
        </w:rPr>
      </w:pPr>
      <w:r>
        <w:rPr>
          <w:rStyle w:val="Puslapioinaosnuoroda"/>
        </w:rPr>
        <w:footnoteRef/>
      </w:r>
      <w:r w:rsidRPr="00B72C4C">
        <w:rPr>
          <w:lang w:val="lt-LT"/>
        </w:rPr>
        <w:t xml:space="preserve"> https://e.baltpool.eu/biomass/?ti=3935675&amp;bp=biodeliveryprice</w:t>
      </w:r>
    </w:p>
  </w:footnote>
  <w:footnote w:id="121">
    <w:p w14:paraId="67F66F41" w14:textId="77777777" w:rsidR="00D1128E" w:rsidRPr="00950129" w:rsidRDefault="00D1128E" w:rsidP="004456F5">
      <w:pPr>
        <w:pStyle w:val="Puslapioinaostekstas"/>
        <w:rPr>
          <w:lang w:val="lt-LT"/>
        </w:rPr>
      </w:pPr>
      <w:r>
        <w:rPr>
          <w:rStyle w:val="Puslapioinaosnuoroda"/>
        </w:rPr>
        <w:footnoteRef/>
      </w:r>
      <w:r w:rsidRPr="00B72C4C">
        <w:rPr>
          <w:lang w:val="lt-LT"/>
        </w:rPr>
        <w:t xml:space="preserve"> 2009 m. liepos 8 d. </w:t>
      </w:r>
      <w:r>
        <w:rPr>
          <w:lang w:val="lt-LT"/>
        </w:rPr>
        <w:t>valstybinės kainų ir energetikos kontrolės komisijos nutarimas dėl šilumos kainų nustatymo metodikos nr. O</w:t>
      </w:r>
      <w:r w:rsidRPr="00B72C4C">
        <w:rPr>
          <w:lang w:val="lt-LT"/>
        </w:rPr>
        <w:t>3-96, 20 straipsnio 3 dalies 11 punktas</w:t>
      </w:r>
    </w:p>
  </w:footnote>
  <w:footnote w:id="122">
    <w:p w14:paraId="082A61C3" w14:textId="77777777" w:rsidR="00D1128E" w:rsidRPr="00B72C4C" w:rsidRDefault="00D1128E" w:rsidP="0032111C">
      <w:pPr>
        <w:pStyle w:val="Puslapioinaostekstas"/>
        <w:rPr>
          <w:lang w:val="lt-LT"/>
        </w:rPr>
      </w:pPr>
      <w:r>
        <w:rPr>
          <w:rStyle w:val="Puslapioinaosnuoroda"/>
        </w:rPr>
        <w:footnoteRef/>
      </w:r>
      <w:r w:rsidRPr="00B72C4C">
        <w:rPr>
          <w:lang w:val="lt-LT"/>
        </w:rPr>
        <w:t xml:space="preserve"> http://www.vkekk.lt/siluma/Puslapiai/statistika.aspx</w:t>
      </w:r>
    </w:p>
  </w:footnote>
  <w:footnote w:id="123">
    <w:p w14:paraId="5CF5183B" w14:textId="77777777" w:rsidR="00D1128E" w:rsidRPr="00CB1D9C" w:rsidRDefault="00D1128E" w:rsidP="0032111C">
      <w:pPr>
        <w:pStyle w:val="Puslapioinaostekstas"/>
        <w:rPr>
          <w:lang w:val="lt-LT"/>
        </w:rPr>
      </w:pPr>
      <w:r>
        <w:rPr>
          <w:rStyle w:val="Puslapioinaosnuoroda"/>
        </w:rPr>
        <w:footnoteRef/>
      </w:r>
      <w:r w:rsidRPr="00B72C4C">
        <w:rPr>
          <w:lang w:val="lt-LT"/>
        </w:rPr>
        <w:t xml:space="preserve"> ww.betalt.lt/ivertinti-daugiau-kaip-500-atnaujintu-daugiabuciu-faktiniai-silumos-suvartojimo-duomenys-lenkia-prognozuotus/</w:t>
      </w:r>
    </w:p>
  </w:footnote>
  <w:footnote w:id="124">
    <w:p w14:paraId="41AF7796" w14:textId="77777777" w:rsidR="00D1128E" w:rsidRPr="00CB1D9C" w:rsidRDefault="00D1128E" w:rsidP="0032111C">
      <w:pPr>
        <w:pStyle w:val="Puslapioinaostekstas"/>
        <w:rPr>
          <w:lang w:val="lt-LT"/>
        </w:rPr>
      </w:pPr>
      <w:r>
        <w:rPr>
          <w:rStyle w:val="Puslapioinaosnuoroda"/>
        </w:rPr>
        <w:footnoteRef/>
      </w:r>
      <w:r w:rsidRPr="00B72C4C">
        <w:rPr>
          <w:lang w:val="lt-LT"/>
        </w:rPr>
        <w:t xml:space="preserve"> http://www.betalt.lt/daugiabuciu-renovacija-rangos-darbu-kaina-stabili-jau-kelerius-metus/</w:t>
      </w:r>
    </w:p>
  </w:footnote>
  <w:footnote w:id="125">
    <w:p w14:paraId="038B7B68" w14:textId="77777777" w:rsidR="00D1128E" w:rsidRPr="00CB1D9C" w:rsidRDefault="00D1128E" w:rsidP="0032111C">
      <w:pPr>
        <w:pStyle w:val="Puslapioinaostekstas"/>
        <w:rPr>
          <w:lang w:val="lt-LT"/>
        </w:rPr>
      </w:pPr>
      <w:r>
        <w:rPr>
          <w:rStyle w:val="Puslapioinaosnuoroda"/>
        </w:rPr>
        <w:footnoteRef/>
      </w:r>
      <w:r w:rsidRPr="00B72C4C">
        <w:rPr>
          <w:lang w:val="lt-LT"/>
        </w:rPr>
        <w:t xml:space="preserve"> http://www.lsta.lt/files/statistika/2016_LSTA_ukines_veiklos_apzvalga.pdf</w:t>
      </w:r>
    </w:p>
  </w:footnote>
  <w:footnote w:id="126">
    <w:p w14:paraId="76422C39" w14:textId="48FFD958" w:rsidR="00D1128E" w:rsidRPr="0063781D" w:rsidRDefault="00D1128E" w:rsidP="00FA5C6F">
      <w:pPr>
        <w:pStyle w:val="Puslapioinaostekstas"/>
        <w:tabs>
          <w:tab w:val="clear" w:pos="360"/>
          <w:tab w:val="left" w:pos="0"/>
        </w:tabs>
        <w:ind w:left="0" w:firstLine="0"/>
        <w:rPr>
          <w:lang w:val="lt-LT"/>
        </w:rPr>
      </w:pPr>
      <w:r>
        <w:rPr>
          <w:rStyle w:val="Puslapioinaosnuoroda"/>
        </w:rPr>
        <w:footnoteRef/>
      </w:r>
      <w:r>
        <w:t xml:space="preserve"> </w:t>
      </w:r>
      <w:r w:rsidRPr="00FA5C6F">
        <w:t>Lietuvos Respublikos valstybės paramos daugiabučiams namams atnaujinti (modernizuoti) įstatymas</w:t>
      </w:r>
      <w:r>
        <w:t xml:space="preserve"> (</w:t>
      </w:r>
      <w:r w:rsidRPr="0063781D">
        <w:t>TAR 2017-06-27, i. k. 2017-10841)</w:t>
      </w:r>
    </w:p>
  </w:footnote>
  <w:footnote w:id="127">
    <w:p w14:paraId="52FFDB50" w14:textId="77777777" w:rsidR="00D1128E" w:rsidRPr="00492193" w:rsidRDefault="00D1128E" w:rsidP="00247D53">
      <w:pPr>
        <w:pStyle w:val="Puslapioinaostekstas"/>
        <w:jc w:val="both"/>
        <w:rPr>
          <w:lang w:val="lt-LT"/>
        </w:rPr>
      </w:pPr>
      <w:r>
        <w:rPr>
          <w:rStyle w:val="Puslapioinaosnuoroda"/>
        </w:rPr>
        <w:footnoteRef/>
      </w:r>
      <w:r w:rsidRPr="00B72C4C">
        <w:rPr>
          <w:lang w:val="lt-LT"/>
        </w:rPr>
        <w:t xml:space="preserve"> </w:t>
      </w:r>
      <w:r>
        <w:rPr>
          <w:lang w:val="lt-LT"/>
        </w:rPr>
        <w:t>Šis atvejis yra tik vienas iš pavyzdžių, kuris atspindi reikalavimo teisių į piniginius srautus perdavimą už atlygį tokiu būdu užtikrinant greitesnį lėšų gražinimą ir neriboja finansinės priemonės/fondų fondo valdytojoi ir(ar) ministerijų pasirinkimo kitokios modelio schemos taikymo (pvz. atskirų paskolų pardavimo, reikalavimų vertimų vertybiniais popieriais ir pan.).</w:t>
      </w:r>
    </w:p>
  </w:footnote>
  <w:footnote w:id="128">
    <w:p w14:paraId="274856DF" w14:textId="337144CC" w:rsidR="00D1128E" w:rsidRPr="00553F5A" w:rsidRDefault="00D1128E" w:rsidP="00553F5A">
      <w:pPr>
        <w:pStyle w:val="Puslapioinaostekstas"/>
        <w:jc w:val="both"/>
        <w:rPr>
          <w:lang w:val="lt-LT"/>
        </w:rPr>
      </w:pPr>
      <w:r>
        <w:rPr>
          <w:rStyle w:val="Puslapioinaosnuoroda"/>
        </w:rPr>
        <w:footnoteRef/>
      </w:r>
      <w:r w:rsidRPr="00553F5A">
        <w:rPr>
          <w:lang w:val="lt-LT"/>
        </w:rPr>
        <w:t xml:space="preserve"> </w:t>
      </w:r>
      <w:r w:rsidRPr="00E432B0">
        <w:rPr>
          <w:lang w:val="lt-LT"/>
        </w:rPr>
        <w:t>Remiantis šiuo metu įgyvendinamų daugiabučių namų modernizavimo projektų duomenimis, vidutinė projekto įgyvendinimo trukmė nuo paskolos sutarties pasirašymo dienos yra 1 metai. Susidarius tam tikroms situacijoms, kurios negali būti prognozuojamos iš anksto, atitinkamų pavienių projektų trukmė gali būti ilgesnė nei 1 metai nuo paskolos sutarties pasirašymo dienos. Už projektų įgyvendinimą atsakingi asmenys, siekdami efektyvaus daugiabučių namų modernizavimo proceso bei savalaikio lėšų įsisavinimo, turėtų dėti visas pastangas bei išlaikyti vidutinę projektų įgyvendinimo trukmę – 1 metus nuo paskolos sutarties pasirašymo dienos. Tam tikrais atvejais, pavyzdžiui, bankrutavus atrinktam rangovui, projekto administratoriai turėtų nedelsiant, vadovaujantis taikytinomis viešųjų pirkimų taisyklėmis, atrinkti naują rangovą, kuris galėtų tęsti pradėtus darbus bei užbaigti projektą.</w:t>
      </w:r>
    </w:p>
  </w:footnote>
  <w:footnote w:id="129">
    <w:p w14:paraId="0F1BC64F" w14:textId="475911CC" w:rsidR="00D1128E" w:rsidRPr="0063781D" w:rsidRDefault="00D1128E">
      <w:pPr>
        <w:pStyle w:val="Puslapioinaostekstas"/>
        <w:rPr>
          <w:lang w:val="lt-LT"/>
        </w:rPr>
      </w:pPr>
      <w:r>
        <w:rPr>
          <w:rStyle w:val="Puslapioinaosnuoroda"/>
        </w:rPr>
        <w:footnoteRef/>
      </w:r>
      <w:r w:rsidRPr="00B72C4C">
        <w:rPr>
          <w:lang w:val="lt-LT"/>
        </w:rPr>
        <w:t xml:space="preserve"> </w:t>
      </w:r>
      <w:r>
        <w:rPr>
          <w:lang w:val="lt-LT"/>
        </w:rPr>
        <w:t>Gali būti vadovaujamasi sverto, multiplikatoriaus ar kitais argumentuotai pagrįstais kriterijais.</w:t>
      </w:r>
    </w:p>
  </w:footnote>
  <w:footnote w:id="130">
    <w:p w14:paraId="29FC8DFA" w14:textId="77777777" w:rsidR="00D1128E" w:rsidRPr="00DF52F4" w:rsidRDefault="00D1128E" w:rsidP="00E930BB">
      <w:pPr>
        <w:pStyle w:val="Puslapioinaostekstas"/>
        <w:rPr>
          <w:lang w:val="en-US"/>
        </w:rPr>
      </w:pPr>
      <w:r>
        <w:rPr>
          <w:rStyle w:val="Puslapioinaosnuoroda"/>
        </w:rPr>
        <w:footnoteRef/>
      </w:r>
      <w:r>
        <w:t xml:space="preserve"> </w:t>
      </w:r>
      <w:r>
        <w:rPr>
          <w:lang w:val="lt-LT"/>
        </w:rPr>
        <w:t xml:space="preserve">Eurostat Guidance Note „The recording of energy performance contracts in government accounts“, </w:t>
      </w:r>
      <w:r>
        <w:rPr>
          <w:lang w:val="en-US"/>
        </w:rPr>
        <w:t>2017 m. rugs</w:t>
      </w:r>
      <w:r>
        <w:rPr>
          <w:lang w:val="lt-LT"/>
        </w:rPr>
        <w:t xml:space="preserve">ėjo </w:t>
      </w:r>
      <w:r>
        <w:rPr>
          <w:lang w:val="en-US"/>
        </w:rPr>
        <w:t>19 d.</w:t>
      </w:r>
    </w:p>
  </w:footnote>
  <w:footnote w:id="131">
    <w:p w14:paraId="3B3E1361" w14:textId="77777777" w:rsidR="00D1128E" w:rsidRPr="00B76111" w:rsidRDefault="00D1128E"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r w:rsidRPr="00B76111">
        <w:rPr>
          <w:sz w:val="18"/>
          <w:szCs w:val="18"/>
          <w:lang w:val="lt-LT"/>
        </w:rPr>
        <w:t>ES Sutarties suvestinė redakcija, 107 str. (ex 87 str.)</w:t>
      </w:r>
    </w:p>
  </w:footnote>
  <w:footnote w:id="132">
    <w:p w14:paraId="577A3A7E" w14:textId="77777777" w:rsidR="00D1128E" w:rsidRPr="00B76111" w:rsidRDefault="00D1128E" w:rsidP="00CE5A01">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hyperlink r:id="rId14" w:history="1">
        <w:r w:rsidRPr="00E67C77">
          <w:rPr>
            <w:rStyle w:val="Hipersaitas"/>
            <w:sz w:val="18"/>
            <w:szCs w:val="18"/>
            <w:lang w:val="lt-LT"/>
          </w:rPr>
          <w:t>Case C-290/07 P Commission v Scott [2010] ECR I-7763, para. 66</w:t>
        </w:r>
      </w:hyperlink>
      <w:r w:rsidRPr="00E67C77">
        <w:rPr>
          <w:sz w:val="18"/>
          <w:szCs w:val="18"/>
          <w:lang w:val="lt-LT"/>
        </w:rPr>
        <w:t>.</w:t>
      </w:r>
    </w:p>
  </w:footnote>
  <w:footnote w:id="133">
    <w:p w14:paraId="0722CDD7" w14:textId="77777777" w:rsidR="00D1128E" w:rsidRPr="00B76111" w:rsidRDefault="00D1128E" w:rsidP="00CE5A01">
      <w:pPr>
        <w:pStyle w:val="Puslapioinaostekstas"/>
        <w:rPr>
          <w:sz w:val="18"/>
          <w:szCs w:val="18"/>
          <w:lang w:val="lt-LT"/>
        </w:rPr>
      </w:pPr>
      <w:r w:rsidRPr="00E67C77">
        <w:rPr>
          <w:rStyle w:val="Puslapioinaosnuoroda"/>
          <w:sz w:val="18"/>
          <w:szCs w:val="18"/>
          <w:lang w:val="lt-LT"/>
        </w:rPr>
        <w:footnoteRef/>
      </w:r>
      <w:r w:rsidRPr="00B76111">
        <w:rPr>
          <w:sz w:val="18"/>
          <w:szCs w:val="18"/>
          <w:lang w:val="lt-LT"/>
        </w:rPr>
        <w:t xml:space="preserve"> </w:t>
      </w:r>
      <w:hyperlink r:id="rId15" w:history="1">
        <w:r w:rsidRPr="00FB240F">
          <w:rPr>
            <w:rStyle w:val="Hipersaitas"/>
            <w:sz w:val="18"/>
            <w:szCs w:val="18"/>
            <w:lang w:val="lt-LT"/>
          </w:rPr>
          <w:t>Case C-482/99 France v Commission (Stardust) [2002] ECR I-4397, para. 57</w:t>
        </w:r>
      </w:hyperlink>
    </w:p>
  </w:footnote>
  <w:footnote w:id="134">
    <w:p w14:paraId="5D3F7151" w14:textId="77777777" w:rsidR="00D1128E" w:rsidRPr="00B76111" w:rsidRDefault="00D1128E" w:rsidP="00CE5A01">
      <w:pPr>
        <w:pStyle w:val="Puslapioinaostekstas"/>
        <w:rPr>
          <w:sz w:val="18"/>
          <w:szCs w:val="18"/>
          <w:lang w:val="lt-LT"/>
        </w:rPr>
      </w:pPr>
      <w:r w:rsidRPr="00E67C77">
        <w:rPr>
          <w:rStyle w:val="Puslapioinaosnuoroda"/>
          <w:sz w:val="18"/>
          <w:szCs w:val="18"/>
          <w:lang w:val="lt-LT"/>
        </w:rPr>
        <w:footnoteRef/>
      </w:r>
      <w:r w:rsidRPr="00B76111">
        <w:rPr>
          <w:sz w:val="18"/>
          <w:szCs w:val="18"/>
          <w:lang w:val="lt-LT"/>
        </w:rPr>
        <w:t xml:space="preserve"> </w:t>
      </w:r>
      <w:hyperlink r:id="rId16" w:history="1">
        <w:r w:rsidRPr="00FB240F">
          <w:rPr>
            <w:rStyle w:val="Hipersaitas"/>
            <w:sz w:val="18"/>
            <w:szCs w:val="18"/>
            <w:lang w:val="lt-LT"/>
          </w:rPr>
          <w:t>Case T-351/02 Deutsche Bahn AG v Commission [2006] ECR II-1047, para. 102</w:t>
        </w:r>
      </w:hyperlink>
    </w:p>
  </w:footnote>
  <w:footnote w:id="135">
    <w:p w14:paraId="65EB23D0" w14:textId="77777777" w:rsidR="00D1128E" w:rsidRPr="00B76111" w:rsidRDefault="00D1128E"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17" w:history="1">
        <w:r w:rsidRPr="00E67C77">
          <w:rPr>
            <w:rStyle w:val="Hipersaitas"/>
            <w:sz w:val="18"/>
            <w:szCs w:val="18"/>
            <w:lang w:val="lt-LT"/>
          </w:rPr>
          <w:t>Joined Cases C-180/98 to C-184/98 Pavlov and Others [2000] ECR I-6451, para. 74</w:t>
        </w:r>
      </w:hyperlink>
    </w:p>
  </w:footnote>
  <w:footnote w:id="136">
    <w:p w14:paraId="08C9D847" w14:textId="77777777" w:rsidR="00D1128E" w:rsidRPr="00E67C77" w:rsidRDefault="00D1128E"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18" w:history="1">
        <w:r w:rsidRPr="00E67C77">
          <w:rPr>
            <w:rStyle w:val="Hipersaitas"/>
            <w:sz w:val="18"/>
            <w:szCs w:val="18"/>
            <w:lang w:val="lt-LT"/>
          </w:rPr>
          <w:t>Case C-480/09 P AceaElectrabel Produzione SpA v Commission [2010] ECR I-13355 para. 47-55</w:t>
        </w:r>
      </w:hyperlink>
      <w:r w:rsidRPr="00E67C77">
        <w:rPr>
          <w:sz w:val="18"/>
          <w:szCs w:val="18"/>
          <w:lang w:val="lt-LT"/>
        </w:rPr>
        <w:t>.</w:t>
      </w:r>
    </w:p>
  </w:footnote>
  <w:footnote w:id="137">
    <w:p w14:paraId="427ADCFB" w14:textId="77777777" w:rsidR="00D1128E" w:rsidRPr="00B76111" w:rsidRDefault="00D1128E" w:rsidP="00CE5A01">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hyperlink r:id="rId19" w:history="1">
        <w:r w:rsidRPr="00E67C77">
          <w:rPr>
            <w:rStyle w:val="Hipersaitas"/>
            <w:sz w:val="18"/>
            <w:szCs w:val="18"/>
            <w:lang w:val="lt-LT"/>
          </w:rPr>
          <w:t xml:space="preserve">Case C-364/92 </w:t>
        </w:r>
        <w:r w:rsidRPr="00E67C77">
          <w:rPr>
            <w:rStyle w:val="Hipersaitas"/>
            <w:i/>
            <w:iCs/>
            <w:sz w:val="18"/>
            <w:szCs w:val="18"/>
            <w:lang w:val="lt-LT"/>
          </w:rPr>
          <w:t xml:space="preserve">SAT </w:t>
        </w:r>
        <w:r w:rsidRPr="00E67C77">
          <w:rPr>
            <w:rStyle w:val="Hipersaitas"/>
            <w:sz w:val="18"/>
            <w:szCs w:val="18"/>
            <w:lang w:val="lt-LT"/>
          </w:rPr>
          <w:t>[1994] ECR I-43, para. 30.</w:t>
        </w:r>
      </w:hyperlink>
    </w:p>
  </w:footnote>
  <w:footnote w:id="138">
    <w:p w14:paraId="7E7C6411" w14:textId="77777777" w:rsidR="00D1128E" w:rsidRPr="001554CF" w:rsidRDefault="00D1128E" w:rsidP="00CE5A01">
      <w:pPr>
        <w:autoSpaceDE w:val="0"/>
        <w:autoSpaceDN w:val="0"/>
        <w:adjustRightInd w:val="0"/>
        <w:spacing w:after="0" w:line="240" w:lineRule="auto"/>
        <w:jc w:val="both"/>
        <w:rPr>
          <w:rStyle w:val="Hipersaitas"/>
          <w:rFonts w:ascii="Georgia" w:hAnsi="Georgia" w:cs="Times New Roman"/>
          <w:sz w:val="18"/>
          <w:szCs w:val="18"/>
          <w:lang w:val="lt-LT"/>
        </w:rPr>
      </w:pPr>
      <w:r w:rsidRPr="00E67C77">
        <w:rPr>
          <w:rStyle w:val="Puslapioinaosnuoroda"/>
          <w:lang w:val="lt-LT"/>
        </w:rPr>
        <w:footnoteRef/>
      </w:r>
      <w:r w:rsidRPr="00E67C77">
        <w:rPr>
          <w:lang w:val="lt-LT"/>
        </w:rPr>
        <w:t xml:space="preserve"> </w:t>
      </w:r>
      <w:hyperlink r:id="rId20" w:history="1">
        <w:r w:rsidRPr="00FB240F">
          <w:rPr>
            <w:rStyle w:val="Hipersaitas"/>
            <w:rFonts w:ascii="Georgia" w:hAnsi="Georgia" w:cs="Times New Roman"/>
            <w:sz w:val="18"/>
            <w:szCs w:val="18"/>
            <w:lang w:val="lt-LT"/>
          </w:rPr>
          <w:t xml:space="preserve">Case C-403/10 </w:t>
        </w:r>
        <w:r w:rsidRPr="00FB240F">
          <w:rPr>
            <w:rStyle w:val="Hipersaitas"/>
            <w:rFonts w:ascii="Georgia" w:hAnsi="Georgia" w:cs="Times New Roman"/>
            <w:i/>
            <w:iCs/>
            <w:sz w:val="18"/>
            <w:szCs w:val="18"/>
            <w:lang w:val="lt-LT"/>
          </w:rPr>
          <w:t xml:space="preserve">Mediaset SpA v Commission </w:t>
        </w:r>
        <w:r w:rsidRPr="00FB240F">
          <w:rPr>
            <w:rStyle w:val="Hipersaitas"/>
            <w:rFonts w:ascii="Georgia" w:hAnsi="Georgia" w:cs="Times New Roman"/>
            <w:sz w:val="18"/>
            <w:szCs w:val="18"/>
            <w:lang w:val="lt-LT"/>
          </w:rPr>
          <w:t>[2011] ECR I-117, para. 73-77</w:t>
        </w:r>
      </w:hyperlink>
      <w:r w:rsidRPr="00B76111">
        <w:rPr>
          <w:rFonts w:ascii="Georgia" w:hAnsi="Georgia" w:cs="Times New Roman"/>
          <w:sz w:val="18"/>
          <w:szCs w:val="18"/>
          <w:lang w:val="lt-LT"/>
        </w:rPr>
        <w:t xml:space="preserve">; </w:t>
      </w:r>
      <w:r w:rsidRPr="001554CF">
        <w:rPr>
          <w:rFonts w:ascii="Georgia" w:hAnsi="Georgia" w:cs="Times New Roman"/>
          <w:sz w:val="18"/>
          <w:szCs w:val="18"/>
          <w:lang w:val="lt-LT"/>
        </w:rPr>
        <w:fldChar w:fldCharType="begin"/>
      </w:r>
      <w:r w:rsidRPr="00FB240F">
        <w:rPr>
          <w:rFonts w:ascii="Georgia" w:hAnsi="Georgia" w:cs="Times New Roman"/>
          <w:sz w:val="18"/>
          <w:szCs w:val="18"/>
          <w:lang w:val="lt-LT"/>
        </w:rPr>
        <w:instrText xml:space="preserve"> HYPERLINK "http://curia.europa.eu/juris/showPdf.jsf?text=&amp;docid=47413&amp;pageIndex=0&amp;doclang=EN&amp;mode=lst&amp;dir=&amp;occ=first&amp;part=1&amp;cid=86984" </w:instrText>
      </w:r>
      <w:r w:rsidRPr="001554CF">
        <w:rPr>
          <w:rFonts w:ascii="Georgia" w:hAnsi="Georgia" w:cs="Times New Roman"/>
          <w:sz w:val="18"/>
          <w:szCs w:val="18"/>
          <w:lang w:val="lt-LT"/>
        </w:rPr>
        <w:fldChar w:fldCharType="separate"/>
      </w:r>
      <w:r w:rsidRPr="001554CF">
        <w:rPr>
          <w:rStyle w:val="Hipersaitas"/>
          <w:rFonts w:ascii="Georgia" w:hAnsi="Georgia" w:cs="Times New Roman"/>
          <w:sz w:val="18"/>
          <w:szCs w:val="18"/>
          <w:lang w:val="lt-LT"/>
        </w:rPr>
        <w:t>Case C-382/99 Netherlands v</w:t>
      </w:r>
    </w:p>
    <w:p w14:paraId="0517ED0B" w14:textId="77777777" w:rsidR="00D1128E" w:rsidRPr="00B76111" w:rsidRDefault="00D1128E" w:rsidP="00CE5A01">
      <w:pPr>
        <w:autoSpaceDE w:val="0"/>
        <w:autoSpaceDN w:val="0"/>
        <w:adjustRightInd w:val="0"/>
        <w:spacing w:after="0" w:line="240" w:lineRule="auto"/>
        <w:jc w:val="both"/>
        <w:rPr>
          <w:rFonts w:ascii="Georgia" w:hAnsi="Georgia"/>
          <w:sz w:val="18"/>
          <w:szCs w:val="18"/>
          <w:lang w:val="lt-LT"/>
        </w:rPr>
      </w:pPr>
      <w:r w:rsidRPr="00FB240F">
        <w:rPr>
          <w:rStyle w:val="Hipersaitas"/>
          <w:rFonts w:ascii="Georgia" w:hAnsi="Georgia" w:cs="Times New Roman"/>
          <w:sz w:val="18"/>
          <w:szCs w:val="18"/>
          <w:lang w:val="lt-LT"/>
        </w:rPr>
        <w:t>Commission [2002] ECR I-5163, para. 60-66</w:t>
      </w:r>
      <w:r w:rsidRPr="001554CF">
        <w:rPr>
          <w:rFonts w:ascii="Georgia" w:hAnsi="Georgia" w:cs="Times New Roman"/>
          <w:sz w:val="18"/>
          <w:szCs w:val="18"/>
          <w:lang w:val="lt-LT"/>
        </w:rPr>
        <w:fldChar w:fldCharType="end"/>
      </w:r>
    </w:p>
  </w:footnote>
  <w:footnote w:id="139">
    <w:p w14:paraId="01ED850F" w14:textId="77777777" w:rsidR="00D1128E" w:rsidRPr="00B76111" w:rsidRDefault="00D1128E" w:rsidP="00CE5A01">
      <w:pPr>
        <w:pStyle w:val="Puslapioinaostekstas"/>
        <w:jc w:val="both"/>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1" w:history="1">
        <w:r w:rsidRPr="00FB240F">
          <w:rPr>
            <w:rStyle w:val="Hipersaitas"/>
            <w:sz w:val="18"/>
            <w:szCs w:val="18"/>
            <w:lang w:val="lt-LT"/>
          </w:rPr>
          <w:t xml:space="preserve">Case T-379/09 </w:t>
        </w:r>
        <w:r w:rsidRPr="00FB240F">
          <w:rPr>
            <w:rStyle w:val="Hipersaitas"/>
            <w:i/>
            <w:iCs/>
            <w:sz w:val="18"/>
            <w:szCs w:val="18"/>
            <w:lang w:val="lt-LT"/>
          </w:rPr>
          <w:t xml:space="preserve">Italy v Commission </w:t>
        </w:r>
        <w:r w:rsidRPr="00FB240F">
          <w:rPr>
            <w:rStyle w:val="Hipersaitas"/>
            <w:sz w:val="18"/>
            <w:szCs w:val="18"/>
            <w:lang w:val="lt-LT"/>
          </w:rPr>
          <w:t>[2012] ECR I-0000</w:t>
        </w:r>
        <w:r w:rsidRPr="00FB240F">
          <w:rPr>
            <w:rStyle w:val="Hipersaitas"/>
            <w:i/>
            <w:iCs/>
            <w:sz w:val="18"/>
            <w:szCs w:val="18"/>
            <w:lang w:val="lt-LT"/>
          </w:rPr>
          <w:t xml:space="preserve">, </w:t>
        </w:r>
        <w:r w:rsidRPr="00FB240F">
          <w:rPr>
            <w:rStyle w:val="Hipersaitas"/>
            <w:sz w:val="18"/>
            <w:szCs w:val="18"/>
            <w:lang w:val="lt-LT"/>
          </w:rPr>
          <w:t>para. 47</w:t>
        </w:r>
      </w:hyperlink>
      <w:r w:rsidRPr="00B76111">
        <w:rPr>
          <w:sz w:val="18"/>
          <w:szCs w:val="18"/>
          <w:lang w:val="lt-LT"/>
        </w:rPr>
        <w:t>.</w:t>
      </w:r>
    </w:p>
  </w:footnote>
  <w:footnote w:id="140">
    <w:p w14:paraId="10163D8F" w14:textId="77777777" w:rsidR="00D1128E" w:rsidRPr="00B76111" w:rsidRDefault="00D1128E" w:rsidP="00CE5A01">
      <w:pPr>
        <w:pStyle w:val="Puslapioinaostekstas"/>
        <w:jc w:val="both"/>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2" w:history="1">
        <w:r w:rsidRPr="00E67C77">
          <w:rPr>
            <w:rStyle w:val="Hipersaitas"/>
            <w:sz w:val="18"/>
            <w:szCs w:val="18"/>
            <w:lang w:val="lt-LT"/>
          </w:rPr>
          <w:t>Case C-6/12 P Oy [2013] ECR I-0000, para. 27</w:t>
        </w:r>
      </w:hyperlink>
    </w:p>
  </w:footnote>
  <w:footnote w:id="141">
    <w:p w14:paraId="404457C4" w14:textId="77777777" w:rsidR="00D1128E" w:rsidRPr="00E67C77" w:rsidRDefault="00D1128E" w:rsidP="00CE5A01">
      <w:pPr>
        <w:pStyle w:val="Puslapioinaostekstas"/>
        <w:jc w:val="both"/>
        <w:rPr>
          <w:rStyle w:val="Hipersaitas"/>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3" w:history="1">
        <w:r w:rsidRPr="00E67C77">
          <w:rPr>
            <w:rStyle w:val="Hipersaitas"/>
            <w:sz w:val="18"/>
            <w:szCs w:val="18"/>
            <w:lang w:val="lt-LT"/>
          </w:rPr>
          <w:t>Case C-279/08 P Commission v Netherlands (NOx) [2011] ECR I-7671, para. 62</w:t>
        </w:r>
      </w:hyperlink>
      <w:r w:rsidRPr="00E67C77">
        <w:rPr>
          <w:sz w:val="18"/>
          <w:szCs w:val="18"/>
          <w:lang w:val="lt-LT"/>
        </w:rPr>
        <w:t xml:space="preserve">; </w:t>
      </w:r>
      <w:r w:rsidRPr="00E67C77">
        <w:rPr>
          <w:sz w:val="18"/>
          <w:szCs w:val="18"/>
          <w:lang w:val="lt-LT"/>
        </w:rPr>
        <w:fldChar w:fldCharType="begin"/>
      </w:r>
      <w:r w:rsidRPr="00E67C77">
        <w:rPr>
          <w:sz w:val="18"/>
          <w:szCs w:val="18"/>
          <w:lang w:val="lt-LT"/>
        </w:rPr>
        <w:instrText xml:space="preserve"> HYPERLINK "http://curia.europa.eu/juris/showPdf.jsf?text=&amp;docid=97777&amp;pageIndex=0&amp;doclang=EN&amp;mode=lst&amp;dir=&amp;occ=first&amp;part=1&amp;cid=89019" </w:instrText>
      </w:r>
      <w:r w:rsidRPr="00E67C77">
        <w:rPr>
          <w:sz w:val="18"/>
          <w:szCs w:val="18"/>
          <w:lang w:val="lt-LT"/>
        </w:rPr>
        <w:fldChar w:fldCharType="separate"/>
      </w:r>
      <w:r w:rsidRPr="00E67C77">
        <w:rPr>
          <w:rStyle w:val="Hipersaitas"/>
          <w:sz w:val="18"/>
          <w:szCs w:val="18"/>
          <w:lang w:val="lt-LT"/>
        </w:rPr>
        <w:t>Joined Cases C-72/91 and</w:t>
      </w:r>
    </w:p>
    <w:p w14:paraId="18E7C941" w14:textId="77777777" w:rsidR="00D1128E" w:rsidRPr="00B76111" w:rsidRDefault="00D1128E" w:rsidP="00CE5A01">
      <w:pPr>
        <w:pStyle w:val="Puslapioinaostekstas"/>
        <w:jc w:val="both"/>
        <w:rPr>
          <w:lang w:val="lt-LT"/>
        </w:rPr>
      </w:pPr>
      <w:r w:rsidRPr="00E67C77">
        <w:rPr>
          <w:rStyle w:val="Hipersaitas"/>
          <w:sz w:val="18"/>
          <w:szCs w:val="18"/>
          <w:lang w:val="lt-LT"/>
        </w:rPr>
        <w:t>C-73/91 Sloman Neptun [1993] ECR I-887, para. 21</w:t>
      </w:r>
      <w:r w:rsidRPr="00E67C77">
        <w:rPr>
          <w:sz w:val="18"/>
          <w:szCs w:val="18"/>
          <w:lang w:val="lt-LT"/>
        </w:rPr>
        <w:fldChar w:fldCharType="end"/>
      </w:r>
    </w:p>
  </w:footnote>
  <w:footnote w:id="142">
    <w:p w14:paraId="0F208E4B" w14:textId="77777777" w:rsidR="00D1128E" w:rsidRPr="00B76111" w:rsidRDefault="00D1128E"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4" w:history="1">
        <w:r w:rsidRPr="00E67C77">
          <w:rPr>
            <w:rStyle w:val="Hipersaitas"/>
            <w:sz w:val="18"/>
            <w:szCs w:val="18"/>
            <w:lang w:val="lt-LT"/>
          </w:rPr>
          <w:t>Case C-280/00 Altmark Trans [2003] ECR I-7747, para. 79</w:t>
        </w:r>
      </w:hyperlink>
    </w:p>
  </w:footnote>
  <w:footnote w:id="143">
    <w:p w14:paraId="6EFF9841" w14:textId="77777777" w:rsidR="00D1128E" w:rsidRPr="001554CF" w:rsidRDefault="00D1128E" w:rsidP="00CE5A01">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r w:rsidRPr="00B76111">
        <w:rPr>
          <w:sz w:val="18"/>
          <w:szCs w:val="18"/>
          <w:lang w:val="lt-LT"/>
        </w:rPr>
        <w:t>Bendrųjų nuostatų reglamento 2 str. 1 d. 13 p.</w:t>
      </w:r>
    </w:p>
  </w:footnote>
  <w:footnote w:id="144">
    <w:p w14:paraId="5E80DA9D" w14:textId="77777777" w:rsidR="00D1128E" w:rsidRPr="000D2630" w:rsidRDefault="00D1128E" w:rsidP="00CE5A01">
      <w:pPr>
        <w:pStyle w:val="Puslapioinaostekstas"/>
        <w:rPr>
          <w:lang w:val="lt-LT"/>
        </w:rPr>
      </w:pPr>
      <w:r>
        <w:rPr>
          <w:rStyle w:val="Puslapioinaosnuoroda"/>
        </w:rPr>
        <w:footnoteRef/>
      </w:r>
      <w:r>
        <w:t xml:space="preserve"> </w:t>
      </w:r>
      <w:r>
        <w:rPr>
          <w:lang w:val="lt-LT"/>
        </w:rPr>
        <w:t xml:space="preserve">Bendrosios išimties reglamento 4 str. 1 d. t) p., 39 str. </w:t>
      </w:r>
    </w:p>
  </w:footnote>
  <w:footnote w:id="145">
    <w:p w14:paraId="104FB38C" w14:textId="77777777" w:rsidR="00D1128E" w:rsidRPr="000D2630" w:rsidRDefault="00D1128E" w:rsidP="00CE5A01">
      <w:pPr>
        <w:pStyle w:val="Puslapioinaostekstas"/>
        <w:rPr>
          <w:lang w:val="lt-LT"/>
        </w:rPr>
      </w:pPr>
      <w:r>
        <w:rPr>
          <w:rStyle w:val="Puslapioinaosnuoroda"/>
        </w:rPr>
        <w:footnoteRef/>
      </w:r>
      <w:r>
        <w:t xml:space="preserve"> Bendrųjų nuostatų reglamento 37 str. 7 d. </w:t>
      </w:r>
    </w:p>
  </w:footnote>
  <w:footnote w:id="146">
    <w:p w14:paraId="5CA7B4A9" w14:textId="77777777" w:rsidR="00D1128E" w:rsidRPr="00FB240F" w:rsidRDefault="00D1128E" w:rsidP="00CE5A01">
      <w:pPr>
        <w:pStyle w:val="Puslapioinaostekstas"/>
        <w:rPr>
          <w:lang w:val="lt-LT"/>
        </w:rPr>
      </w:pPr>
      <w:r w:rsidRPr="00E67C77">
        <w:rPr>
          <w:rStyle w:val="Puslapioinaosnuoroda"/>
          <w:lang w:val="lt-LT"/>
        </w:rPr>
        <w:footnoteRef/>
      </w:r>
      <w:r w:rsidRPr="00B76111">
        <w:rPr>
          <w:lang w:val="lt-LT"/>
        </w:rPr>
        <w:t xml:space="preserve"> Komisijos pranešim</w:t>
      </w:r>
      <w:r w:rsidRPr="001554CF">
        <w:rPr>
          <w:lang w:val="lt-LT"/>
        </w:rPr>
        <w:t>o</w:t>
      </w:r>
      <w:r w:rsidRPr="00FB240F">
        <w:rPr>
          <w:lang w:val="lt-LT"/>
        </w:rPr>
        <w:t xml:space="preserve"> dėl EB sutarties 87 ir 88 straipsnių taikymo garantijomis suteikiamai valstybės pagalbai 3.4 p. f) p.</w:t>
      </w:r>
    </w:p>
  </w:footnote>
  <w:footnote w:id="147">
    <w:p w14:paraId="20EAAAB4" w14:textId="77777777" w:rsidR="00D1128E" w:rsidRPr="00E67C77" w:rsidRDefault="00D1128E" w:rsidP="00575FB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Lietuv</w:t>
      </w:r>
      <w:r w:rsidRPr="001554CF">
        <w:rPr>
          <w:lang w:val="lt-LT"/>
        </w:rPr>
        <w:t xml:space="preserve">ai nuo 2014-11-01 yra taikomas 0,55 </w:t>
      </w:r>
      <w:r w:rsidRPr="00E67C77">
        <w:rPr>
          <w:lang w:val="lt-LT"/>
        </w:rPr>
        <w:t xml:space="preserve">% IBOR. // </w:t>
      </w:r>
      <w:hyperlink r:id="rId25" w:history="1">
        <w:r w:rsidRPr="00E67C77">
          <w:rPr>
            <w:rStyle w:val="Hipersaitas"/>
            <w:lang w:val="lt-LT"/>
          </w:rPr>
          <w:t>http://ec.europa.eu/competition/state_aid/legislation/base_rates_eu28bis_en.pdf</w:t>
        </w:r>
      </w:hyperlink>
      <w:r w:rsidRPr="00E67C77">
        <w:rPr>
          <w:lang w:val="lt-LT"/>
        </w:rPr>
        <w:t xml:space="preserve"> </w:t>
      </w:r>
    </w:p>
  </w:footnote>
  <w:footnote w:id="148">
    <w:p w14:paraId="65A38784" w14:textId="77777777" w:rsidR="00D1128E" w:rsidRPr="00B76111" w:rsidRDefault="00D1128E" w:rsidP="00575FB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Lietuvai nuo 2014-11-01 yra ta</w:t>
      </w:r>
      <w:r w:rsidRPr="001554CF">
        <w:rPr>
          <w:lang w:val="lt-LT"/>
        </w:rPr>
        <w:t xml:space="preserve">ikomas 0,55 </w:t>
      </w:r>
      <w:r w:rsidRPr="00E67C77">
        <w:rPr>
          <w:lang w:val="lt-LT"/>
        </w:rPr>
        <w:t xml:space="preserve">% IBOR. // </w:t>
      </w:r>
      <w:hyperlink r:id="rId26" w:history="1">
        <w:r w:rsidRPr="00E67C77">
          <w:rPr>
            <w:rStyle w:val="Hipersaitas"/>
            <w:lang w:val="lt-LT"/>
          </w:rPr>
          <w:t>http://ec.europa.eu/competition/state_aid/legislation/base_rates_eu28bis_en.pdf</w:t>
        </w:r>
      </w:hyperlink>
    </w:p>
  </w:footnote>
  <w:footnote w:id="149">
    <w:p w14:paraId="1758981D" w14:textId="77777777" w:rsidR="00D1128E" w:rsidRPr="00E67C77" w:rsidRDefault="00D1128E" w:rsidP="00F338B2">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 xml:space="preserve">Lietuvai nuo 2014-11-01 yra taikomas 0,55 </w:t>
      </w:r>
      <w:r w:rsidRPr="00E67C77">
        <w:rPr>
          <w:lang w:val="lt-LT"/>
        </w:rPr>
        <w:t xml:space="preserve">% IBOR. // </w:t>
      </w:r>
      <w:hyperlink r:id="rId27" w:history="1">
        <w:r w:rsidRPr="00E67C77">
          <w:rPr>
            <w:rStyle w:val="Hipersaitas"/>
            <w:lang w:val="lt-LT"/>
          </w:rPr>
          <w:t>http://ec.europa.eu/competition/state_aid/legislation/base_rates_eu28bis_en.pdf</w:t>
        </w:r>
      </w:hyperlink>
      <w:r w:rsidRPr="00E67C77">
        <w:rPr>
          <w:lang w:val="lt-LT"/>
        </w:rPr>
        <w:t xml:space="preserve"> </w:t>
      </w:r>
    </w:p>
  </w:footnote>
  <w:footnote w:id="150">
    <w:p w14:paraId="3CD05818" w14:textId="77777777" w:rsidR="00D1128E" w:rsidRPr="00B76111" w:rsidRDefault="00D1128E" w:rsidP="00F338B2">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w:t>
      </w:r>
      <w:r w:rsidRPr="001554CF">
        <w:rPr>
          <w:lang w:val="lt-LT"/>
        </w:rPr>
        <w:t>uvai nuo 201</w:t>
      </w:r>
      <w:r>
        <w:rPr>
          <w:lang w:val="en-US"/>
        </w:rPr>
        <w:t>7</w:t>
      </w:r>
      <w:r w:rsidRPr="001554CF">
        <w:rPr>
          <w:lang w:val="lt-LT"/>
        </w:rPr>
        <w:t>-1</w:t>
      </w:r>
      <w:r>
        <w:rPr>
          <w:lang w:val="lt-LT"/>
        </w:rPr>
        <w:t>2</w:t>
      </w:r>
      <w:r w:rsidRPr="001554CF">
        <w:rPr>
          <w:lang w:val="lt-LT"/>
        </w:rPr>
        <w:t>-</w:t>
      </w:r>
      <w:r>
        <w:rPr>
          <w:lang w:val="lt-LT"/>
        </w:rPr>
        <w:t>31</w:t>
      </w:r>
      <w:r w:rsidRPr="001554CF">
        <w:rPr>
          <w:lang w:val="lt-LT"/>
        </w:rPr>
        <w:t xml:space="preserve"> yra taikomas </w:t>
      </w:r>
      <w:r>
        <w:rPr>
          <w:lang w:val="lt-LT"/>
        </w:rPr>
        <w:t>-</w:t>
      </w:r>
      <w:r w:rsidRPr="001554CF">
        <w:rPr>
          <w:lang w:val="lt-LT"/>
        </w:rPr>
        <w:t>0,</w:t>
      </w:r>
      <w:r>
        <w:rPr>
          <w:lang w:val="lt-LT"/>
        </w:rPr>
        <w:t>15</w:t>
      </w:r>
      <w:r w:rsidRPr="001554CF">
        <w:rPr>
          <w:lang w:val="lt-LT"/>
        </w:rPr>
        <w:t xml:space="preserve"> </w:t>
      </w:r>
      <w:r w:rsidRPr="00E67C77">
        <w:rPr>
          <w:lang w:val="lt-LT"/>
        </w:rPr>
        <w:t xml:space="preserve">% IBOR. // </w:t>
      </w:r>
      <w:r w:rsidRPr="000038A2">
        <w:rPr>
          <w:lang w:val="lt-LT"/>
        </w:rPr>
        <w:t>http://ec.europa.eu/competition/state_aid/legislation/base_rates2017_10_en.pdf</w:t>
      </w:r>
    </w:p>
  </w:footnote>
  <w:footnote w:id="151">
    <w:p w14:paraId="41638E68" w14:textId="77777777" w:rsidR="00D1128E" w:rsidRPr="00FB240F" w:rsidRDefault="00D1128E" w:rsidP="00451BC7">
      <w:pPr>
        <w:pStyle w:val="Puslapioinaostekstas"/>
        <w:tabs>
          <w:tab w:val="clear" w:pos="360"/>
          <w:tab w:val="left" w:pos="0"/>
        </w:tabs>
        <w:ind w:left="0" w:firstLine="0"/>
        <w:jc w:val="both"/>
        <w:rPr>
          <w:lang w:val="lt-LT"/>
        </w:rPr>
      </w:pPr>
      <w:r w:rsidRPr="00B76111">
        <w:rPr>
          <w:rStyle w:val="Puslapioinaosnuoroda"/>
          <w:lang w:val="lt-LT"/>
        </w:rPr>
        <w:footnoteRef/>
      </w:r>
      <w:r w:rsidRPr="00B76111">
        <w:rPr>
          <w:lang w:val="lt-LT"/>
        </w:rPr>
        <w:t xml:space="preserve"> </w:t>
      </w:r>
      <w:r w:rsidRPr="001554CF">
        <w:rPr>
          <w:lang w:val="lt-LT"/>
        </w:rPr>
        <w:t>Atlikti interviu su G. Tautku</w:t>
      </w:r>
      <w:r w:rsidRPr="00FB240F">
        <w:rPr>
          <w:lang w:val="lt-LT"/>
        </w:rPr>
        <w:t>te, Būsto energijos taupymo agentūros direktoriaus pavaduotoja; J. Bumelyte, Europos investicijų banko atstove Lietuvoje; I. Kiškiu, LR Aplinkos ministerijos Europos Sąjungos paramos administravimo departamento direktoriumi.</w:t>
      </w:r>
    </w:p>
  </w:footnote>
  <w:footnote w:id="152">
    <w:p w14:paraId="235B0061" w14:textId="77777777" w:rsidR="00D1128E" w:rsidRPr="00FB240F" w:rsidRDefault="00D1128E" w:rsidP="00451BC7">
      <w:pPr>
        <w:pStyle w:val="Puslapioinaostekstas"/>
        <w:tabs>
          <w:tab w:val="clear" w:pos="360"/>
          <w:tab w:val="left" w:pos="0"/>
        </w:tabs>
        <w:ind w:left="0" w:firstLine="0"/>
        <w:jc w:val="both"/>
        <w:rPr>
          <w:lang w:val="lt-LT"/>
        </w:rPr>
      </w:pPr>
      <w:r w:rsidRPr="00B76111">
        <w:rPr>
          <w:rStyle w:val="Puslapioinaosnuoroda"/>
          <w:lang w:val="lt-LT"/>
        </w:rPr>
        <w:footnoteRef/>
      </w:r>
      <w:r w:rsidRPr="00B76111">
        <w:rPr>
          <w:lang w:val="lt-LT"/>
        </w:rPr>
        <w:t xml:space="preserve"> DG REGIO Summary of data on t</w:t>
      </w:r>
      <w:r w:rsidRPr="001554CF">
        <w:rPr>
          <w:lang w:val="lt-LT"/>
        </w:rPr>
        <w:t>he progress made in financing and implementing financial engineering instruments reported by the managing authorities in accordance with Article 67(2)(j) of Council Regulation (EC) No 1083/2006 Programming period 2007-2013 Situation as at 31 December 2012,</w:t>
      </w:r>
      <w:r w:rsidRPr="00FB240F">
        <w:rPr>
          <w:lang w:val="lt-LT"/>
        </w:rPr>
        <w:t xml:space="preserve"> 19/09/2013 COCOF_13-0093-00-EN</w:t>
      </w:r>
    </w:p>
  </w:footnote>
  <w:footnote w:id="153">
    <w:p w14:paraId="752A3F7C" w14:textId="77777777" w:rsidR="00D1128E" w:rsidRPr="00FB240F" w:rsidRDefault="00D1128E" w:rsidP="00451BC7">
      <w:pPr>
        <w:pStyle w:val="Puslapioinaostekstas"/>
        <w:jc w:val="both"/>
        <w:rPr>
          <w:lang w:val="lt-LT"/>
        </w:rPr>
      </w:pPr>
      <w:r w:rsidRPr="00B76111">
        <w:rPr>
          <w:rStyle w:val="Puslapioinaosnuoroda"/>
          <w:lang w:val="lt-LT"/>
        </w:rPr>
        <w:footnoteRef/>
      </w:r>
      <w:r w:rsidRPr="00B76111">
        <w:rPr>
          <w:lang w:val="lt-LT"/>
        </w:rPr>
        <w:t xml:space="preserve"> </w:t>
      </w:r>
      <w:r w:rsidRPr="001554CF">
        <w:rPr>
          <w:lang w:val="lt-LT"/>
        </w:rPr>
        <w:t>Energijos efektyvumą/atsinaujinančius energijos išteklius finansuojančios priemonės kaip atskira grupė išskirtos tik 2010 m.</w:t>
      </w:r>
      <w:r w:rsidRPr="00FB240F">
        <w:rPr>
          <w:rFonts w:ascii="Arial" w:hAnsi="Arial" w:cs="Arial"/>
          <w:bCs/>
          <w:lang w:val="lt-LT"/>
        </w:rPr>
        <w:t xml:space="preserve"> </w:t>
      </w:r>
    </w:p>
  </w:footnote>
  <w:footnote w:id="154">
    <w:p w14:paraId="70D2655D" w14:textId="77777777" w:rsidR="00D1128E" w:rsidRPr="001554CF" w:rsidRDefault="00D1128E" w:rsidP="00451BC7">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 xml:space="preserve">2012 m. įsteigta 10 naujų finansinių priemonių. </w:t>
      </w:r>
    </w:p>
  </w:footnote>
  <w:footnote w:id="155">
    <w:p w14:paraId="5287A196" w14:textId="77777777" w:rsidR="00D1128E" w:rsidRPr="00FB240F" w:rsidRDefault="00D1128E" w:rsidP="00451BC7">
      <w:pPr>
        <w:pStyle w:val="Puslapioinaostekstas"/>
        <w:rPr>
          <w:lang w:val="lt-LT"/>
        </w:rPr>
      </w:pPr>
      <w:r w:rsidRPr="00B76111">
        <w:rPr>
          <w:rStyle w:val="Puslapioinaosnuoroda"/>
          <w:lang w:val="lt-LT"/>
        </w:rPr>
        <w:footnoteRef/>
      </w:r>
      <w:r w:rsidRPr="00B76111">
        <w:rPr>
          <w:lang w:val="lt-LT"/>
        </w:rPr>
        <w:t xml:space="preserve"> 2010 m. birželio 16 d. Europos Parlamento i</w:t>
      </w:r>
      <w:r w:rsidRPr="001554CF">
        <w:rPr>
          <w:lang w:val="lt-LT"/>
        </w:rPr>
        <w:t>r Tarybos reglamentas (ES) Nr. 539/2010 keičiantis Tarybos reglamentą Nr. 1083/2006 (OL 2010 L 158, p. 1).</w:t>
      </w:r>
    </w:p>
  </w:footnote>
  <w:footnote w:id="156">
    <w:p w14:paraId="384EDAA0" w14:textId="77777777" w:rsidR="00D1128E" w:rsidRPr="001554CF" w:rsidRDefault="00D1128E" w:rsidP="00451BC7">
      <w:pPr>
        <w:pStyle w:val="Puslapioinaostekstas"/>
        <w:rPr>
          <w:lang w:val="lt-LT"/>
        </w:rPr>
      </w:pPr>
      <w:r w:rsidRPr="00B76111">
        <w:rPr>
          <w:rStyle w:val="Puslapioinaosnuoroda"/>
          <w:lang w:val="lt-LT"/>
        </w:rPr>
        <w:footnoteRef/>
      </w:r>
      <w:r w:rsidRPr="00B76111">
        <w:rPr>
          <w:lang w:val="lt-LT"/>
        </w:rPr>
        <w:t xml:space="preserve"> Financial Instruments: A Stock-taking Exercise in Preparation for the 2014-2020 Programming Period Study, EIB, 2013</w:t>
      </w:r>
    </w:p>
  </w:footnote>
  <w:footnote w:id="157">
    <w:p w14:paraId="4425EB84" w14:textId="77777777" w:rsidR="00D1128E" w:rsidRPr="001554CF" w:rsidRDefault="00D1128E" w:rsidP="00451BC7">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Penki per 2012 metus</w:t>
      </w:r>
    </w:p>
  </w:footnote>
  <w:footnote w:id="158">
    <w:p w14:paraId="7DC8F40D" w14:textId="77777777" w:rsidR="00D1128E" w:rsidRPr="00B76111" w:rsidRDefault="00D1128E" w:rsidP="00451BC7">
      <w:pPr>
        <w:pStyle w:val="Puslapioinaostekstas"/>
        <w:rPr>
          <w:lang w:val="lt-LT"/>
        </w:rPr>
      </w:pPr>
      <w:r w:rsidRPr="00E67C77">
        <w:rPr>
          <w:rStyle w:val="Puslapioinaosnuoroda"/>
          <w:lang w:val="lt-LT"/>
        </w:rPr>
        <w:footnoteRef/>
      </w:r>
      <w:r w:rsidRPr="00E67C77">
        <w:rPr>
          <w:lang w:val="lt-LT"/>
        </w:rPr>
        <w:t xml:space="preserve"> European Commission, Summary of data on the progress made in financing and implementing financial engineering instruments co-financed by Structural Funds, Programming period 2007-2013 Situation as at 31 December 2012, September 2013</w:t>
      </w:r>
    </w:p>
  </w:footnote>
  <w:footnote w:id="159">
    <w:p w14:paraId="21479368" w14:textId="77777777" w:rsidR="00D1128E" w:rsidRPr="001554CF" w:rsidRDefault="00D1128E" w:rsidP="00451BC7">
      <w:pPr>
        <w:pStyle w:val="Puslapioinaostekstas"/>
        <w:rPr>
          <w:lang w:val="lt-LT"/>
        </w:rPr>
      </w:pPr>
      <w:r w:rsidRPr="00B76111">
        <w:rPr>
          <w:rStyle w:val="Puslapioinaosnuoroda"/>
          <w:lang w:val="lt-LT"/>
        </w:rPr>
        <w:footnoteRef/>
      </w:r>
      <w:r w:rsidRPr="00B76111">
        <w:rPr>
          <w:lang w:val="lt-LT"/>
        </w:rPr>
        <w:t xml:space="preserve"> </w:t>
      </w:r>
      <w:hyperlink r:id="rId28" w:history="1">
        <w:r w:rsidRPr="00FB240F">
          <w:rPr>
            <w:rStyle w:val="Hipersaitas"/>
            <w:lang w:val="lt-LT"/>
          </w:rPr>
          <w:t>http://www.europarl.europa.eu/meetdocs/2009_2014/documents/cont/dv/ecasr22012_/ecasr22012_en.pdf</w:t>
        </w:r>
      </w:hyperlink>
      <w:r w:rsidRPr="00B76111">
        <w:rPr>
          <w:lang w:val="lt-LT"/>
        </w:rPr>
        <w:t xml:space="preserve"> </w:t>
      </w:r>
    </w:p>
  </w:footnote>
  <w:footnote w:id="160">
    <w:p w14:paraId="51EEB9D9" w14:textId="77777777" w:rsidR="00D1128E" w:rsidRPr="001554CF" w:rsidRDefault="00D1128E" w:rsidP="00451BC7">
      <w:pPr>
        <w:pStyle w:val="Puslapioinaostekstas"/>
        <w:rPr>
          <w:lang w:val="lt-LT"/>
        </w:rPr>
      </w:pPr>
      <w:r w:rsidRPr="00B76111">
        <w:rPr>
          <w:rStyle w:val="Puslapioinaosnuoroda"/>
          <w:lang w:val="lt-LT"/>
        </w:rPr>
        <w:footnoteRef/>
      </w:r>
      <w:r w:rsidRPr="00B76111">
        <w:rPr>
          <w:lang w:val="lt-LT"/>
        </w:rPr>
        <w:t xml:space="preserve"> </w:t>
      </w:r>
      <w:hyperlink r:id="rId29" w:history="1">
        <w:r w:rsidRPr="00FB240F">
          <w:rPr>
            <w:rStyle w:val="Hipersaitas"/>
            <w:lang w:val="lt-LT"/>
          </w:rPr>
          <w:t>http://ec.europa.eu/regional_policy/sources/docoffic/official/communic/financial/financial_instruments_2012_en.pdf</w:t>
        </w:r>
      </w:hyperlink>
      <w:r w:rsidRPr="00B76111">
        <w:rPr>
          <w:lang w:val="lt-LT"/>
        </w:rPr>
        <w:t xml:space="preserve"> </w:t>
      </w:r>
    </w:p>
  </w:footnote>
  <w:footnote w:id="161">
    <w:p w14:paraId="4E5C9518" w14:textId="77777777" w:rsidR="00D1128E" w:rsidRPr="00B76111" w:rsidRDefault="00D1128E" w:rsidP="00451BC7">
      <w:pPr>
        <w:pStyle w:val="Puslapioinaostekstas"/>
        <w:rPr>
          <w:lang w:val="lt-LT"/>
        </w:rPr>
      </w:pPr>
      <w:r w:rsidRPr="00B76111">
        <w:rPr>
          <w:rStyle w:val="Puslapioinaosnuoroda"/>
          <w:lang w:val="lt-LT"/>
        </w:rPr>
        <w:footnoteRef/>
      </w:r>
      <w:r w:rsidRPr="00B76111">
        <w:rPr>
          <w:lang w:val="lt-LT"/>
        </w:rPr>
        <w:t xml:space="preserve"> </w:t>
      </w:r>
      <w:hyperlink r:id="rId30" w:history="1">
        <w:r w:rsidRPr="00FB240F">
          <w:rPr>
            <w:rStyle w:val="Hipersaitas"/>
            <w:lang w:val="lt-LT"/>
          </w:rPr>
          <w:t>http://www.eib.org/attachments/documents/jessica_fg_final_report_en.pdf</w:t>
        </w:r>
      </w:hyperlink>
      <w:r w:rsidRPr="00B76111">
        <w:rPr>
          <w:lang w:val="lt-LT"/>
        </w:rPr>
        <w:t xml:space="preserve"> </w:t>
      </w:r>
    </w:p>
  </w:footnote>
  <w:footnote w:id="162">
    <w:p w14:paraId="50D09CB3" w14:textId="77777777" w:rsidR="00D1128E" w:rsidRPr="00B76111" w:rsidRDefault="00D1128E" w:rsidP="00451BC7">
      <w:pPr>
        <w:pStyle w:val="Puslapioinaostekstas"/>
        <w:rPr>
          <w:lang w:val="lt-LT"/>
        </w:rPr>
      </w:pPr>
      <w:r w:rsidRPr="00B76111">
        <w:rPr>
          <w:rStyle w:val="Puslapioinaosnuoroda"/>
          <w:lang w:val="lt-LT"/>
        </w:rPr>
        <w:footnoteRef/>
      </w:r>
      <w:r w:rsidRPr="00B76111">
        <w:rPr>
          <w:lang w:val="lt-LT"/>
        </w:rPr>
        <w:t xml:space="preserve"> </w:t>
      </w:r>
      <w:hyperlink r:id="rId31" w:history="1">
        <w:r w:rsidRPr="00FB240F">
          <w:rPr>
            <w:rStyle w:val="Hipersaitas"/>
            <w:lang w:val="lt-LT"/>
          </w:rPr>
          <w:t>http://www.eib.org/attachments/documents/jessica_energy_focused_udf_final_report_en.pdf</w:t>
        </w:r>
      </w:hyperlink>
      <w:r w:rsidRPr="00B76111">
        <w:rPr>
          <w:lang w:val="lt-LT"/>
        </w:rPr>
        <w:t xml:space="preserve"> </w:t>
      </w:r>
    </w:p>
  </w:footnote>
  <w:footnote w:id="163">
    <w:p w14:paraId="6E1856D7" w14:textId="77777777" w:rsidR="00D1128E" w:rsidRPr="00B76111" w:rsidRDefault="00D1128E" w:rsidP="00451BC7">
      <w:pPr>
        <w:pStyle w:val="Puslapioinaostekstas"/>
        <w:rPr>
          <w:lang w:val="lt-LT"/>
        </w:rPr>
      </w:pPr>
      <w:r w:rsidRPr="00B76111">
        <w:rPr>
          <w:rStyle w:val="Puslapioinaosnuoroda"/>
          <w:lang w:val="lt-LT"/>
        </w:rPr>
        <w:footnoteRef/>
      </w:r>
      <w:r w:rsidRPr="00B76111">
        <w:rPr>
          <w:lang w:val="lt-LT"/>
        </w:rPr>
        <w:t xml:space="preserve"> </w:t>
      </w:r>
      <w:hyperlink r:id="rId32" w:history="1">
        <w:r w:rsidRPr="00FB240F">
          <w:rPr>
            <w:rStyle w:val="Hipersaitas"/>
            <w:lang w:val="lt-LT"/>
          </w:rPr>
          <w:t>http://www.eib.org/attachments/documents/jessica_housing_study_final_report_en.pdf</w:t>
        </w:r>
      </w:hyperlink>
      <w:r w:rsidRPr="00B76111">
        <w:rPr>
          <w:lang w:val="lt-LT"/>
        </w:rPr>
        <w:t xml:space="preserve"> </w:t>
      </w:r>
    </w:p>
  </w:footnote>
  <w:footnote w:id="164">
    <w:p w14:paraId="36C871D0" w14:textId="77777777" w:rsidR="00D1128E" w:rsidRPr="001554CF" w:rsidRDefault="00D1128E" w:rsidP="00451BC7">
      <w:pPr>
        <w:pStyle w:val="Puslapioinaostekstas"/>
        <w:rPr>
          <w:lang w:val="lt-LT"/>
        </w:rPr>
      </w:pPr>
      <w:r w:rsidRPr="00B76111">
        <w:rPr>
          <w:rStyle w:val="Puslapioinaosnuoroda"/>
          <w:lang w:val="lt-LT"/>
        </w:rPr>
        <w:footnoteRef/>
      </w:r>
      <w:r w:rsidRPr="00B76111">
        <w:rPr>
          <w:lang w:val="lt-LT"/>
        </w:rPr>
        <w:t xml:space="preserve"> Berlin Energy Saving Partnership model (</w:t>
      </w:r>
      <w:hyperlink r:id="rId33" w:history="1">
        <w:r w:rsidRPr="00FB240F">
          <w:rPr>
            <w:rStyle w:val="Hipersaitas"/>
            <w:lang w:val="lt-LT"/>
          </w:rPr>
          <w:t>http://www.stadtentwicklung.berlin.de/umwelt/klimaschutz/</w:t>
        </w:r>
      </w:hyperlink>
      <w:r w:rsidRPr="00B76111">
        <w:rPr>
          <w:lang w:val="lt-LT"/>
        </w:rPr>
        <w:t xml:space="preserve">) </w:t>
      </w:r>
    </w:p>
  </w:footnote>
  <w:footnote w:id="165">
    <w:p w14:paraId="42C30E35" w14:textId="77777777" w:rsidR="00D1128E" w:rsidRPr="00B76111" w:rsidRDefault="00D1128E" w:rsidP="00451BC7">
      <w:pPr>
        <w:pStyle w:val="Puslapioinaostekstas"/>
        <w:rPr>
          <w:lang w:val="lt-LT"/>
        </w:rPr>
      </w:pPr>
      <w:r w:rsidRPr="00E67C77">
        <w:rPr>
          <w:rStyle w:val="Puslapioinaosnuoroda"/>
          <w:lang w:val="lt-LT"/>
        </w:rPr>
        <w:footnoteRef/>
      </w:r>
      <w:r w:rsidRPr="00E67C77">
        <w:rPr>
          <w:lang w:val="lt-LT"/>
        </w:rPr>
        <w:t xml:space="preserve"> angl. fuel poverty</w:t>
      </w:r>
    </w:p>
  </w:footnote>
  <w:footnote w:id="166">
    <w:p w14:paraId="5004D255" w14:textId="77777777" w:rsidR="00D1128E" w:rsidRPr="001554CF" w:rsidRDefault="00D1128E" w:rsidP="00451BC7">
      <w:pPr>
        <w:pStyle w:val="Puslapioinaostekstas"/>
        <w:rPr>
          <w:lang w:val="lt-LT"/>
        </w:rPr>
      </w:pPr>
      <w:r w:rsidRPr="00B76111">
        <w:rPr>
          <w:rStyle w:val="Puslapioinaosnuoroda"/>
          <w:lang w:val="lt-LT"/>
        </w:rPr>
        <w:footnoteRef/>
      </w:r>
      <w:r w:rsidRPr="00B76111">
        <w:rPr>
          <w:lang w:val="lt-LT"/>
        </w:rPr>
        <w:t xml:space="preserve"> Angl. mezzanine loans</w:t>
      </w:r>
    </w:p>
  </w:footnote>
  <w:footnote w:id="167">
    <w:p w14:paraId="6405E0DE" w14:textId="77777777" w:rsidR="00D1128E" w:rsidRPr="00B76111" w:rsidRDefault="00D1128E" w:rsidP="00451BC7">
      <w:pPr>
        <w:pStyle w:val="Puslapioinaostekstas"/>
        <w:rPr>
          <w:lang w:val="lt-LT"/>
        </w:rPr>
      </w:pPr>
      <w:r w:rsidRPr="00E67C77">
        <w:rPr>
          <w:rStyle w:val="Puslapioinaosnuoroda"/>
          <w:lang w:val="lt-LT"/>
        </w:rPr>
        <w:footnoteRef/>
      </w:r>
      <w:r w:rsidRPr="00E67C77">
        <w:rPr>
          <w:lang w:val="lt-LT"/>
        </w:rPr>
        <w:t xml:space="preserve"> angl. Joint Venture</w:t>
      </w:r>
    </w:p>
  </w:footnote>
  <w:footnote w:id="168">
    <w:p w14:paraId="37251F1F" w14:textId="77777777" w:rsidR="00D1128E" w:rsidRPr="00EA3C3E" w:rsidRDefault="00D1128E" w:rsidP="005743FF">
      <w:pPr>
        <w:pStyle w:val="Puslapioinaostekstas"/>
        <w:rPr>
          <w:lang w:val="lt-LT"/>
        </w:rPr>
      </w:pPr>
      <w:r>
        <w:rPr>
          <w:rStyle w:val="Puslapioinaosnuoroda"/>
        </w:rPr>
        <w:footnoteRef/>
      </w:r>
      <w:r>
        <w:t xml:space="preserve"> </w:t>
      </w:r>
      <w:r>
        <w:rPr>
          <w:lang w:val="lt-LT"/>
        </w:rPr>
        <w:t>Gali būti vadovaujamasi sverto, multiplikatoriaus ar kitais argumentuotai pagrįstais kriterijais.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220B1" w14:textId="77777777" w:rsidR="00D1128E" w:rsidRDefault="00D1128E">
    <w:pPr>
      <w:pStyle w:val="Antrats"/>
    </w:pPr>
    <w:r w:rsidRPr="003D1E6F">
      <w:rPr>
        <w:noProof/>
        <w:color w:val="FFFFFF" w:themeColor="background1"/>
        <w:lang w:val="lt-LT" w:eastAsia="lt-LT"/>
      </w:rPr>
      <mc:AlternateContent>
        <mc:Choice Requires="wps">
          <w:drawing>
            <wp:anchor distT="0" distB="0" distL="114300" distR="114300" simplePos="0" relativeHeight="251660288" behindDoc="0" locked="0" layoutInCell="0" allowOverlap="1" wp14:anchorId="7F7B68C3" wp14:editId="3C6F0C48">
              <wp:simplePos x="0" y="0"/>
              <wp:positionH relativeFrom="margin">
                <wp:align>left</wp:align>
              </wp:positionH>
              <wp:positionV relativeFrom="topMargin">
                <wp:align>center</wp:align>
              </wp:positionV>
              <wp:extent cx="5943600" cy="170815"/>
              <wp:effectExtent l="0" t="0" r="0" b="1905"/>
              <wp:wrapNone/>
              <wp:docPr id="473" name="473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E76D" w14:textId="77777777" w:rsidR="00D1128E" w:rsidRPr="003D1E6F" w:rsidRDefault="00D1128E">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w:t>
                          </w:r>
                          <w:r w:rsidRPr="009B4141">
                            <w:rPr>
                              <w:rFonts w:ascii="Georgia" w:hAnsi="Georgia"/>
                              <w:sz w:val="20"/>
                              <w:szCs w:val="20"/>
                            </w:rPr>
                            <w:t>2015-09-07 PK V2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73 teksto laukas" o:spid="_x0000_s111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3IDImbACAACkBQAADgAAAAAA&#10;AAAAAAAAAAAuAgAAZHJzL2Uyb0RvYy54bWxQSwECLQAUAAYACAAAACEAXMz1P9sAAAAEAQAADwAA&#10;AAAAAAAAAAAAAAAKBQAAZHJzL2Rvd25yZXYueG1sUEsFBgAAAAAEAAQA8wAAABIGAAAAAA==&#10;" o:allowincell="f" filled="f" stroked="f">
              <v:textbox style="mso-fit-shape-to-text:t" inset=",0,,0">
                <w:txbxContent>
                  <w:p w14:paraId="79AAE76D" w14:textId="77777777" w:rsidR="00D1128E" w:rsidRPr="003D1E6F" w:rsidRDefault="00D1128E">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w:t>
                    </w:r>
                    <w:r w:rsidRPr="009B4141">
                      <w:rPr>
                        <w:rFonts w:ascii="Georgia" w:hAnsi="Georgia"/>
                        <w:sz w:val="20"/>
                        <w:szCs w:val="20"/>
                      </w:rPr>
                      <w:t>2015-09-07 PK V2</w:t>
                    </w:r>
                  </w:p>
                </w:txbxContent>
              </v:textbox>
              <w10:wrap anchorx="margin" anchory="margin"/>
            </v:shape>
          </w:pict>
        </mc:Fallback>
      </mc:AlternateContent>
    </w:r>
    <w:r w:rsidRPr="003D1E6F">
      <w:rPr>
        <w:noProof/>
        <w:color w:val="FFFFFF" w:themeColor="background1"/>
        <w:lang w:val="lt-LT" w:eastAsia="lt-LT"/>
      </w:rPr>
      <mc:AlternateContent>
        <mc:Choice Requires="wps">
          <w:drawing>
            <wp:anchor distT="0" distB="0" distL="114300" distR="114300" simplePos="0" relativeHeight="251656192" behindDoc="0" locked="0" layoutInCell="0" allowOverlap="1" wp14:anchorId="0B370159" wp14:editId="583B68FB">
              <wp:simplePos x="0" y="0"/>
              <wp:positionH relativeFrom="page">
                <wp:align>left</wp:align>
              </wp:positionH>
              <wp:positionV relativeFrom="topMargin">
                <wp:align>center</wp:align>
              </wp:positionV>
              <wp:extent cx="914400" cy="170815"/>
              <wp:effectExtent l="0" t="0" r="0" b="0"/>
              <wp:wrapNone/>
              <wp:docPr id="474" name="474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5C260A7A" w14:textId="2813A105" w:rsidR="00D1128E" w:rsidRDefault="00D1128E">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297BA8" w:rsidRPr="00297BA8">
                            <w:rPr>
                              <w:noProof/>
                              <w:color w:val="FFFFFF" w:themeColor="background1"/>
                              <w:lang w:val="lt-LT"/>
                              <w14:numForm w14:val="lining"/>
                            </w:rPr>
                            <w:t>5</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474 teksto laukas" o:spid="_x0000_s1117" type="#_x0000_t202" style="position:absolute;margin-left:0;margin-top:0;width:1in;height:13.45pt;z-index:2516561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B568TAAAgAA4wMAAA4AAAAAAAAAAAAA&#10;AAAALgIAAGRycy9lMm9Eb2MueG1sUEsBAi0AFAAGAAgAAAAhADRpgQvbAAAABAEAAA8AAAAAAAAA&#10;AAAAAAAAWgQAAGRycy9kb3ducmV2LnhtbFBLBQYAAAAABAAEAPMAAABiBQAAAAA=&#10;" o:allowincell="f" fillcolor="#4f81bd [3204]" stroked="f">
              <v:textbox style="mso-fit-shape-to-text:t" inset=",0,,0">
                <w:txbxContent>
                  <w:p w14:paraId="5C260A7A" w14:textId="2813A105" w:rsidR="00D1128E" w:rsidRDefault="00D1128E">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297BA8" w:rsidRPr="00297BA8">
                      <w:rPr>
                        <w:noProof/>
                        <w:color w:val="FFFFFF" w:themeColor="background1"/>
                        <w:lang w:val="lt-LT"/>
                        <w14:numForm w14:val="lining"/>
                      </w:rPr>
                      <w:t>5</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C0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A43587"/>
    <w:multiLevelType w:val="hybridMultilevel"/>
    <w:tmpl w:val="4ED24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61D15"/>
    <w:multiLevelType w:val="hybridMultilevel"/>
    <w:tmpl w:val="7F2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662B3A"/>
    <w:multiLevelType w:val="hybridMultilevel"/>
    <w:tmpl w:val="154689D2"/>
    <w:lvl w:ilvl="0" w:tplc="0D88879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995D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061847"/>
    <w:multiLevelType w:val="hybridMultilevel"/>
    <w:tmpl w:val="00FAE3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1C5B1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2936B6"/>
    <w:multiLevelType w:val="hybridMultilevel"/>
    <w:tmpl w:val="475E5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AC3D5F"/>
    <w:multiLevelType w:val="hybridMultilevel"/>
    <w:tmpl w:val="3082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157D21"/>
    <w:multiLevelType w:val="multilevel"/>
    <w:tmpl w:val="ED2C6E5A"/>
    <w:lvl w:ilvl="0">
      <w:start w:val="1"/>
      <w:numFmt w:val="decimal"/>
      <w:lvlText w:val="%1."/>
      <w:lvlJc w:val="left"/>
      <w:pPr>
        <w:ind w:left="720" w:hanging="360"/>
      </w:pPr>
      <w:rPr>
        <w:rFonts w:cs="Arial"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A576E42"/>
    <w:multiLevelType w:val="hybridMultilevel"/>
    <w:tmpl w:val="4DAC5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2C482D"/>
    <w:multiLevelType w:val="hybridMultilevel"/>
    <w:tmpl w:val="49B03DB0"/>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2">
    <w:nsid w:val="0B963D67"/>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C5411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CF13760"/>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0204592"/>
    <w:multiLevelType w:val="hybridMultilevel"/>
    <w:tmpl w:val="70F6E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327C49"/>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7">
    <w:nsid w:val="10E96A6F"/>
    <w:multiLevelType w:val="hybridMultilevel"/>
    <w:tmpl w:val="F644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55068B"/>
    <w:multiLevelType w:val="hybridMultilevel"/>
    <w:tmpl w:val="762C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F47590"/>
    <w:multiLevelType w:val="hybridMultilevel"/>
    <w:tmpl w:val="83BE7826"/>
    <w:lvl w:ilvl="0" w:tplc="DBF27E5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CC3EFF"/>
    <w:multiLevelType w:val="hybridMultilevel"/>
    <w:tmpl w:val="EEE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5250CC"/>
    <w:multiLevelType w:val="hybridMultilevel"/>
    <w:tmpl w:val="F1A4E888"/>
    <w:lvl w:ilvl="0" w:tplc="BEE634A4">
      <w:start w:val="2"/>
      <w:numFmt w:val="bullet"/>
      <w:lvlText w:val="-"/>
      <w:lvlJc w:val="left"/>
      <w:pPr>
        <w:ind w:left="720" w:hanging="360"/>
      </w:pPr>
      <w:rPr>
        <w:rFonts w:ascii="Georgia" w:eastAsiaTheme="minorHAnsi" w:hAnsi="Georgia" w:cs="Georgia"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175B2709"/>
    <w:multiLevelType w:val="hybridMultilevel"/>
    <w:tmpl w:val="8DE04D4A"/>
    <w:lvl w:ilvl="0" w:tplc="55E8FCBE">
      <w:start w:val="10"/>
      <w:numFmt w:val="bullet"/>
      <w:lvlText w:val="-"/>
      <w:lvlJc w:val="left"/>
      <w:pPr>
        <w:ind w:left="720" w:hanging="360"/>
      </w:pPr>
      <w:rPr>
        <w:rFonts w:ascii="Georgia" w:eastAsia="Calibri" w:hAnsi="Georg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18150174"/>
    <w:multiLevelType w:val="hybridMultilevel"/>
    <w:tmpl w:val="FC3E65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F23282"/>
    <w:multiLevelType w:val="multilevel"/>
    <w:tmpl w:val="E84AE47A"/>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199806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A3E638F"/>
    <w:multiLevelType w:val="hybridMultilevel"/>
    <w:tmpl w:val="41B8B504"/>
    <w:lvl w:ilvl="0" w:tplc="0427001B">
      <w:start w:val="1"/>
      <w:numFmt w:val="lowerRoman"/>
      <w:lvlText w:val="%1."/>
      <w:lvlJc w:val="right"/>
      <w:pPr>
        <w:ind w:left="1080" w:hanging="360"/>
      </w:pPr>
    </w:lvl>
    <w:lvl w:ilvl="1" w:tplc="0427001B">
      <w:start w:val="1"/>
      <w:numFmt w:val="lowerRoman"/>
      <w:lvlText w:val="%2."/>
      <w:lvlJc w:val="righ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nsid w:val="1C07025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1CC206BB"/>
    <w:multiLevelType w:val="hybridMultilevel"/>
    <w:tmpl w:val="418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D366550"/>
    <w:multiLevelType w:val="hybridMultilevel"/>
    <w:tmpl w:val="DA162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C25710"/>
    <w:multiLevelType w:val="hybridMultilevel"/>
    <w:tmpl w:val="2E92E4BA"/>
    <w:lvl w:ilvl="0" w:tplc="DE108816">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1">
    <w:nsid w:val="1F2868CB"/>
    <w:multiLevelType w:val="multilevel"/>
    <w:tmpl w:val="56C2A8E6"/>
    <w:lvl w:ilvl="0">
      <w:start w:val="1"/>
      <w:numFmt w:val="upperLetter"/>
      <w:pStyle w:val="AppendixHeading1"/>
      <w:suff w:val="space"/>
      <w:lvlText w:val="Appendix %1. -"/>
      <w:lvlJc w:val="left"/>
      <w:pPr>
        <w:ind w:left="533" w:hanging="533"/>
      </w:pPr>
      <w:rPr>
        <w:rFonts w:asciiTheme="minorHAnsi" w:hAnsiTheme="minorHAnsi" w:cs="Times New Roman" w:hint="default"/>
        <w:b/>
        <w:bCs w:val="0"/>
        <w:i/>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suff w:val="space"/>
      <w:lvlText w:val="%1.%2."/>
      <w:lvlJc w:val="left"/>
      <w:pPr>
        <w:ind w:left="612" w:hanging="612"/>
      </w:pPr>
      <w:rPr>
        <w:rFonts w:hint="default"/>
      </w:rPr>
    </w:lvl>
    <w:lvl w:ilvl="2">
      <w:start w:val="1"/>
      <w:numFmt w:val="decimal"/>
      <w:pStyle w:val="AppendixHeading3"/>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32">
    <w:nsid w:val="1F4B2ABD"/>
    <w:multiLevelType w:val="hybridMultilevel"/>
    <w:tmpl w:val="9A74BFD8"/>
    <w:lvl w:ilvl="0" w:tplc="6404476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1211A80"/>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63796B"/>
    <w:multiLevelType w:val="hybridMultilevel"/>
    <w:tmpl w:val="90EC4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225B3F0B"/>
    <w:multiLevelType w:val="hybridMultilevel"/>
    <w:tmpl w:val="88A6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856F0F"/>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23177412"/>
    <w:multiLevelType w:val="hybridMultilevel"/>
    <w:tmpl w:val="62D2A9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C4597E"/>
    <w:multiLevelType w:val="hybridMultilevel"/>
    <w:tmpl w:val="972617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BC0165"/>
    <w:multiLevelType w:val="hybridMultilevel"/>
    <w:tmpl w:val="1C2067C6"/>
    <w:lvl w:ilvl="0" w:tplc="9A402642">
      <w:start w:val="1"/>
      <w:numFmt w:val="lowerLetter"/>
      <w:lvlText w:val="%1)"/>
      <w:lvlJc w:val="left"/>
      <w:pPr>
        <w:ind w:left="644" w:hanging="360"/>
      </w:pPr>
      <w:rPr>
        <w:rFonts w:hint="default"/>
        <w:sz w:val="2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0">
    <w:nsid w:val="25887F80"/>
    <w:multiLevelType w:val="hybridMultilevel"/>
    <w:tmpl w:val="6F3C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7274B53"/>
    <w:multiLevelType w:val="hybridMultilevel"/>
    <w:tmpl w:val="487075AC"/>
    <w:lvl w:ilvl="0" w:tplc="714257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86D239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9654F5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9C23686"/>
    <w:multiLevelType w:val="hybridMultilevel"/>
    <w:tmpl w:val="CB3A0F00"/>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45">
    <w:nsid w:val="29FD1907"/>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2A0B1113"/>
    <w:multiLevelType w:val="hybridMultilevel"/>
    <w:tmpl w:val="4DB695AC"/>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47">
    <w:nsid w:val="2B9E1360"/>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2D392C06"/>
    <w:multiLevelType w:val="multilevel"/>
    <w:tmpl w:val="24B4770C"/>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2D5305F0"/>
    <w:multiLevelType w:val="hybridMultilevel"/>
    <w:tmpl w:val="70B2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F5A53A1"/>
    <w:multiLevelType w:val="hybridMultilevel"/>
    <w:tmpl w:val="8160B3D4"/>
    <w:lvl w:ilvl="0" w:tplc="3E48DA20">
      <w:start w:val="4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FC312EA"/>
    <w:multiLevelType w:val="hybridMultilevel"/>
    <w:tmpl w:val="B544914A"/>
    <w:lvl w:ilvl="0" w:tplc="0409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2">
    <w:nsid w:val="31B470E3"/>
    <w:multiLevelType w:val="hybridMultilevel"/>
    <w:tmpl w:val="139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28F428F"/>
    <w:multiLevelType w:val="hybridMultilevel"/>
    <w:tmpl w:val="6FEA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35B5F0F"/>
    <w:multiLevelType w:val="hybridMultilevel"/>
    <w:tmpl w:val="1F80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8D3093"/>
    <w:multiLevelType w:val="hybridMultilevel"/>
    <w:tmpl w:val="6734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4C06749"/>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35A376BF"/>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25581C"/>
    <w:multiLevelType w:val="hybridMultilevel"/>
    <w:tmpl w:val="03BA4488"/>
    <w:lvl w:ilvl="0" w:tplc="042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786560B"/>
    <w:multiLevelType w:val="hybridMultilevel"/>
    <w:tmpl w:val="9A6210EA"/>
    <w:lvl w:ilvl="0" w:tplc="984865EC">
      <w:start w:val="2014"/>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nsid w:val="37A85A42"/>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37C71506"/>
    <w:multiLevelType w:val="hybridMultilevel"/>
    <w:tmpl w:val="1A127868"/>
    <w:lvl w:ilvl="0" w:tplc="2D68520C">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2">
    <w:nsid w:val="37E5091F"/>
    <w:multiLevelType w:val="hybridMultilevel"/>
    <w:tmpl w:val="9320BF46"/>
    <w:lvl w:ilvl="0" w:tplc="9A1E0E24">
      <w:start w:val="1"/>
      <w:numFmt w:val="lowerLetter"/>
      <w:lvlText w:val="%1)"/>
      <w:lvlJc w:val="left"/>
      <w:pPr>
        <w:ind w:left="644" w:hanging="360"/>
      </w:pPr>
      <w:rPr>
        <w:rFonts w:hint="default"/>
      </w:rPr>
    </w:lvl>
    <w:lvl w:ilvl="1" w:tplc="0427001B">
      <w:start w:val="1"/>
      <w:numFmt w:val="lowerRoman"/>
      <w:lvlText w:val="%2."/>
      <w:lvlJc w:val="righ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3">
    <w:nsid w:val="387F2BEE"/>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4">
    <w:nsid w:val="39D840F0"/>
    <w:multiLevelType w:val="hybridMultilevel"/>
    <w:tmpl w:val="FBB6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A9776F9"/>
    <w:multiLevelType w:val="hybridMultilevel"/>
    <w:tmpl w:val="1B88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BBC60AC"/>
    <w:multiLevelType w:val="hybridMultilevel"/>
    <w:tmpl w:val="02F4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BEE5112"/>
    <w:multiLevelType w:val="hybridMultilevel"/>
    <w:tmpl w:val="D056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C1D5A33"/>
    <w:multiLevelType w:val="multilevel"/>
    <w:tmpl w:val="73CA86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3E3110C2"/>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70">
    <w:nsid w:val="3F5A19BE"/>
    <w:multiLevelType w:val="hybridMultilevel"/>
    <w:tmpl w:val="96C46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F8F17F9"/>
    <w:multiLevelType w:val="hybridMultilevel"/>
    <w:tmpl w:val="374497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nsid w:val="3FC52DD7"/>
    <w:multiLevelType w:val="hybridMultilevel"/>
    <w:tmpl w:val="B12EA78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nsid w:val="404549BA"/>
    <w:multiLevelType w:val="hybridMultilevel"/>
    <w:tmpl w:val="642ED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04A24B3"/>
    <w:multiLevelType w:val="hybridMultilevel"/>
    <w:tmpl w:val="8DD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41050C88"/>
    <w:multiLevelType w:val="hybridMultilevel"/>
    <w:tmpl w:val="A5EA8640"/>
    <w:lvl w:ilvl="0" w:tplc="04270019">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nsid w:val="42296AF7"/>
    <w:multiLevelType w:val="hybridMultilevel"/>
    <w:tmpl w:val="A7C01DA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2AA2BA8"/>
    <w:multiLevelType w:val="hybridMultilevel"/>
    <w:tmpl w:val="1036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3997C06"/>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79">
    <w:nsid w:val="43CE6EF8"/>
    <w:multiLevelType w:val="hybridMultilevel"/>
    <w:tmpl w:val="D03AE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440249BC"/>
    <w:multiLevelType w:val="hybridMultilevel"/>
    <w:tmpl w:val="D5328EF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1">
    <w:nsid w:val="448730FA"/>
    <w:multiLevelType w:val="hybridMultilevel"/>
    <w:tmpl w:val="17C43D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B462B6"/>
    <w:multiLevelType w:val="hybridMultilevel"/>
    <w:tmpl w:val="66CC40CE"/>
    <w:lvl w:ilvl="0" w:tplc="313C56E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nsid w:val="44D67979"/>
    <w:multiLevelType w:val="multilevel"/>
    <w:tmpl w:val="15DE2490"/>
    <w:lvl w:ilvl="0">
      <w:start w:val="2"/>
      <w:numFmt w:val="decimal"/>
      <w:lvlText w:val="%1."/>
      <w:lvlJc w:val="left"/>
      <w:pPr>
        <w:ind w:left="720" w:hanging="360"/>
      </w:pPr>
      <w:rPr>
        <w:rFonts w:cs="Arial" w:hint="default"/>
        <w:color w:val="000000"/>
      </w:rPr>
    </w:lvl>
    <w:lvl w:ilvl="1">
      <w:start w:val="1"/>
      <w:numFmt w:val="decimal"/>
      <w:isLgl/>
      <w:lvlText w:val="%1.%2."/>
      <w:lvlJc w:val="left"/>
      <w:pPr>
        <w:ind w:left="143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44DC7321"/>
    <w:multiLevelType w:val="hybridMultilevel"/>
    <w:tmpl w:val="E570A2F4"/>
    <w:lvl w:ilvl="0" w:tplc="0054E77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4DC79D9"/>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45580738"/>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87">
    <w:nsid w:val="4875756C"/>
    <w:multiLevelType w:val="hybridMultilevel"/>
    <w:tmpl w:val="60C83BFE"/>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96A20F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49806990"/>
    <w:multiLevelType w:val="hybridMultilevel"/>
    <w:tmpl w:val="FD84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9D3694B"/>
    <w:multiLevelType w:val="hybridMultilevel"/>
    <w:tmpl w:val="43B0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9F178C3"/>
    <w:multiLevelType w:val="hybridMultilevel"/>
    <w:tmpl w:val="2F58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A3C1421"/>
    <w:multiLevelType w:val="hybridMultilevel"/>
    <w:tmpl w:val="CC0C6D3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3">
    <w:nsid w:val="4AC77E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4B4D054B"/>
    <w:multiLevelType w:val="hybridMultilevel"/>
    <w:tmpl w:val="A1F6D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507D1EEA"/>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6">
    <w:nsid w:val="50B60D28"/>
    <w:multiLevelType w:val="hybridMultilevel"/>
    <w:tmpl w:val="E31E8908"/>
    <w:lvl w:ilvl="0" w:tplc="D5B40DB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1876E9D"/>
    <w:multiLevelType w:val="hybridMultilevel"/>
    <w:tmpl w:val="A45CEE7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8">
    <w:nsid w:val="51E4525F"/>
    <w:multiLevelType w:val="multilevel"/>
    <w:tmpl w:val="783E7FF6"/>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9">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100">
    <w:nsid w:val="52695D8B"/>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1">
    <w:nsid w:val="52C81586"/>
    <w:multiLevelType w:val="hybridMultilevel"/>
    <w:tmpl w:val="CDFE0B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3146583"/>
    <w:multiLevelType w:val="hybridMultilevel"/>
    <w:tmpl w:val="59707B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nsid w:val="534004F0"/>
    <w:multiLevelType w:val="hybridMultilevel"/>
    <w:tmpl w:val="1AF6B560"/>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3DD1BA8"/>
    <w:multiLevelType w:val="hybridMultilevel"/>
    <w:tmpl w:val="5C7C5C0A"/>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05">
    <w:nsid w:val="543D65F5"/>
    <w:multiLevelType w:val="hybridMultilevel"/>
    <w:tmpl w:val="4B94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43E10FE"/>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7">
    <w:nsid w:val="548132CA"/>
    <w:multiLevelType w:val="hybridMultilevel"/>
    <w:tmpl w:val="43D49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54C425D9"/>
    <w:multiLevelType w:val="hybridMultilevel"/>
    <w:tmpl w:val="1EA0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4E356BA"/>
    <w:multiLevelType w:val="multilevel"/>
    <w:tmpl w:val="DABC014A"/>
    <w:lvl w:ilvl="0">
      <w:start w:val="1"/>
      <w:numFmt w:val="decimal"/>
      <w:pStyle w:val="Sraassunumeriais"/>
      <w:lvlText w:val="%1."/>
      <w:lvlJc w:val="left"/>
      <w:pPr>
        <w:tabs>
          <w:tab w:val="num" w:pos="346"/>
        </w:tabs>
        <w:ind w:left="346" w:hanging="346"/>
      </w:pPr>
      <w:rPr>
        <w:rFonts w:hint="default"/>
      </w:rPr>
    </w:lvl>
    <w:lvl w:ilvl="1">
      <w:start w:val="1"/>
      <w:numFmt w:val="decimal"/>
      <w:pStyle w:val="Sraassunumeriais2"/>
      <w:lvlText w:val="%2."/>
      <w:lvlJc w:val="left"/>
      <w:pPr>
        <w:tabs>
          <w:tab w:val="num" w:pos="691"/>
        </w:tabs>
        <w:ind w:left="691" w:hanging="345"/>
      </w:pPr>
      <w:rPr>
        <w:rFonts w:hint="default"/>
      </w:rPr>
    </w:lvl>
    <w:lvl w:ilvl="2">
      <w:start w:val="1"/>
      <w:numFmt w:val="decimal"/>
      <w:pStyle w:val="Sraassunumeriais3"/>
      <w:lvlText w:val="%3."/>
      <w:lvlJc w:val="left"/>
      <w:pPr>
        <w:tabs>
          <w:tab w:val="num" w:pos="1037"/>
        </w:tabs>
        <w:ind w:left="1037" w:hanging="346"/>
      </w:pPr>
      <w:rPr>
        <w:rFonts w:hint="default"/>
      </w:rPr>
    </w:lvl>
    <w:lvl w:ilvl="3">
      <w:start w:val="1"/>
      <w:numFmt w:val="decimal"/>
      <w:pStyle w:val="Sraassunumeriais4"/>
      <w:lvlText w:val="%4."/>
      <w:lvlJc w:val="left"/>
      <w:pPr>
        <w:tabs>
          <w:tab w:val="num" w:pos="1382"/>
        </w:tabs>
        <w:ind w:left="1382" w:hanging="345"/>
      </w:pPr>
      <w:rPr>
        <w:rFonts w:hint="default"/>
      </w:rPr>
    </w:lvl>
    <w:lvl w:ilvl="4">
      <w:start w:val="1"/>
      <w:numFmt w:val="decimal"/>
      <w:pStyle w:val="Sraassunumeriais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110">
    <w:nsid w:val="56024FB5"/>
    <w:multiLevelType w:val="hybridMultilevel"/>
    <w:tmpl w:val="A5EA8640"/>
    <w:lvl w:ilvl="0" w:tplc="04270019">
      <w:start w:val="1"/>
      <w:numFmt w:val="lowerLetter"/>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nsid w:val="569B3B02"/>
    <w:multiLevelType w:val="hybridMultilevel"/>
    <w:tmpl w:val="0682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737335E"/>
    <w:multiLevelType w:val="hybridMultilevel"/>
    <w:tmpl w:val="9D5C69F4"/>
    <w:lvl w:ilvl="0" w:tplc="4D84198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75D6170"/>
    <w:multiLevelType w:val="hybridMultilevel"/>
    <w:tmpl w:val="8878D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8557FA8"/>
    <w:multiLevelType w:val="hybridMultilevel"/>
    <w:tmpl w:val="3ACE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8F32FC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59A00CBF"/>
    <w:multiLevelType w:val="hybridMultilevel"/>
    <w:tmpl w:val="6EE2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9C34E04"/>
    <w:multiLevelType w:val="hybridMultilevel"/>
    <w:tmpl w:val="5DB8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5"/>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119">
    <w:nsid w:val="5A913425"/>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5ACA35A6"/>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21">
    <w:nsid w:val="5AE0058C"/>
    <w:multiLevelType w:val="hybridMultilevel"/>
    <w:tmpl w:val="B02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AE24D29"/>
    <w:multiLevelType w:val="hybridMultilevel"/>
    <w:tmpl w:val="B136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B1E61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C835CA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5CB724BD"/>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26">
    <w:nsid w:val="5CC07C2E"/>
    <w:multiLevelType w:val="hybridMultilevel"/>
    <w:tmpl w:val="26ECAA3C"/>
    <w:lvl w:ilvl="0" w:tplc="F4088D2A">
      <w:start w:val="2014"/>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7">
    <w:nsid w:val="5D525877"/>
    <w:multiLevelType w:val="hybridMultilevel"/>
    <w:tmpl w:val="0E842B30"/>
    <w:lvl w:ilvl="0" w:tplc="9C26CA50">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D9D1835"/>
    <w:multiLevelType w:val="hybridMultilevel"/>
    <w:tmpl w:val="42D8D4F8"/>
    <w:lvl w:ilvl="0" w:tplc="9C840402">
      <w:start w:val="100"/>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9">
    <w:nsid w:val="5E1F27D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5E8D1192"/>
    <w:multiLevelType w:val="hybridMultilevel"/>
    <w:tmpl w:val="92DA2436"/>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F435769"/>
    <w:multiLevelType w:val="hybridMultilevel"/>
    <w:tmpl w:val="79A2994A"/>
    <w:lvl w:ilvl="0" w:tplc="0409000F">
      <w:start w:val="1"/>
      <w:numFmt w:val="decimal"/>
      <w:lvlText w:val="%1."/>
      <w:lvlJc w:val="left"/>
      <w:pPr>
        <w:ind w:left="720" w:hanging="360"/>
      </w:pPr>
      <w:rPr>
        <w:rFont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5F587ADF"/>
    <w:multiLevelType w:val="hybridMultilevel"/>
    <w:tmpl w:val="12A6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FB864C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606B2F64"/>
    <w:multiLevelType w:val="hybridMultilevel"/>
    <w:tmpl w:val="FFDEA91A"/>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60794A54"/>
    <w:multiLevelType w:val="hybridMultilevel"/>
    <w:tmpl w:val="6DB8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60B1372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610C5B40"/>
    <w:multiLevelType w:val="hybridMultilevel"/>
    <w:tmpl w:val="7B16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614B38E4"/>
    <w:multiLevelType w:val="hybridMultilevel"/>
    <w:tmpl w:val="9664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3C0030B"/>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nsid w:val="64AB3E5D"/>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41">
    <w:nsid w:val="64D17EED"/>
    <w:multiLevelType w:val="hybridMultilevel"/>
    <w:tmpl w:val="8DD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65332DE6"/>
    <w:multiLevelType w:val="hybridMultilevel"/>
    <w:tmpl w:val="C7EAF618"/>
    <w:lvl w:ilvl="0" w:tplc="AC5A9E7A">
      <w:start w:val="1"/>
      <w:numFmt w:val="decimal"/>
      <w:lvlText w:val="%1."/>
      <w:lvlJc w:val="left"/>
      <w:pPr>
        <w:ind w:left="720" w:hanging="360"/>
      </w:pPr>
      <w:rPr>
        <w:rFonts w:ascii="Arial" w:hAnsi="Arial" w:cs="Arial" w:hint="default"/>
        <w:color w:val="auto"/>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nsid w:val="662B4978"/>
    <w:multiLevelType w:val="hybridMultilevel"/>
    <w:tmpl w:val="9FCE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63B28E4"/>
    <w:multiLevelType w:val="hybridMultilevel"/>
    <w:tmpl w:val="520CE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6977DEF"/>
    <w:multiLevelType w:val="hybridMultilevel"/>
    <w:tmpl w:val="3662CA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6">
    <w:nsid w:val="670E556A"/>
    <w:multiLevelType w:val="hybridMultilevel"/>
    <w:tmpl w:val="0BD8B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7CB1E90"/>
    <w:multiLevelType w:val="hybridMultilevel"/>
    <w:tmpl w:val="44EC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81E16A4"/>
    <w:multiLevelType w:val="hybridMultilevel"/>
    <w:tmpl w:val="CE7C1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8294C76"/>
    <w:multiLevelType w:val="hybridMultilevel"/>
    <w:tmpl w:val="3A8E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8A95BCD"/>
    <w:multiLevelType w:val="hybridMultilevel"/>
    <w:tmpl w:val="3B78DA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nsid w:val="68B41305"/>
    <w:multiLevelType w:val="hybridMultilevel"/>
    <w:tmpl w:val="00C02AEA"/>
    <w:lvl w:ilvl="0" w:tplc="FC3C1056">
      <w:start w:val="1"/>
      <w:numFmt w:val="decimal"/>
      <w:pStyle w:val="Antra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9FC3324"/>
    <w:multiLevelType w:val="hybridMultilevel"/>
    <w:tmpl w:val="4852F2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3">
    <w:nsid w:val="6A687250"/>
    <w:multiLevelType w:val="hybridMultilevel"/>
    <w:tmpl w:val="4EDA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6AD65786"/>
    <w:multiLevelType w:val="hybridMultilevel"/>
    <w:tmpl w:val="B07CF2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nsid w:val="6B95730A"/>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6">
    <w:nsid w:val="6BF611D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6D603AF3"/>
    <w:multiLevelType w:val="hybridMultilevel"/>
    <w:tmpl w:val="B77CA8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8">
    <w:nsid w:val="6DF0584C"/>
    <w:multiLevelType w:val="multilevel"/>
    <w:tmpl w:val="50A8AE64"/>
    <w:lvl w:ilvl="0">
      <w:start w:val="4"/>
      <w:numFmt w:val="decimal"/>
      <w:lvlText w:val="%1."/>
      <w:lvlJc w:val="left"/>
      <w:pPr>
        <w:ind w:left="630" w:hanging="630"/>
      </w:pPr>
      <w:rPr>
        <w:rFonts w:asciiTheme="majorHAnsi" w:eastAsiaTheme="majorEastAsia" w:hAnsiTheme="majorHAnsi" w:cstheme="majorBidi" w:hint="default"/>
        <w:b/>
        <w:color w:val="4F81BD" w:themeColor="accent1"/>
        <w:sz w:val="26"/>
      </w:rPr>
    </w:lvl>
    <w:lvl w:ilvl="1">
      <w:start w:val="2"/>
      <w:numFmt w:val="decimal"/>
      <w:lvlText w:val="%1.%2."/>
      <w:lvlJc w:val="left"/>
      <w:pPr>
        <w:ind w:left="720" w:hanging="720"/>
      </w:pPr>
      <w:rPr>
        <w:rFonts w:asciiTheme="majorHAnsi" w:eastAsiaTheme="majorEastAsia" w:hAnsiTheme="majorHAnsi" w:cstheme="majorBidi" w:hint="default"/>
        <w:b/>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color w:val="4F81BD" w:themeColor="accent1"/>
        <w:sz w:val="26"/>
      </w:rPr>
    </w:lvl>
  </w:abstractNum>
  <w:abstractNum w:abstractNumId="159">
    <w:nsid w:val="6E311280"/>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0">
    <w:nsid w:val="71021C52"/>
    <w:multiLevelType w:val="hybridMultilevel"/>
    <w:tmpl w:val="8DA0A278"/>
    <w:lvl w:ilvl="0" w:tplc="A9B074B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17B43F2"/>
    <w:multiLevelType w:val="multilevel"/>
    <w:tmpl w:val="20A6E5BC"/>
    <w:lvl w:ilvl="0">
      <w:start w:val="1"/>
      <w:numFmt w:val="bullet"/>
      <w:pStyle w:val="Sraassuenkleliais"/>
      <w:lvlText w:val="•"/>
      <w:lvlJc w:val="left"/>
      <w:pPr>
        <w:tabs>
          <w:tab w:val="num" w:pos="346"/>
        </w:tabs>
        <w:ind w:left="346" w:hanging="346"/>
      </w:pPr>
      <w:rPr>
        <w:rFonts w:ascii="Georgia" w:hAnsi="Georgia" w:hint="default"/>
        <w:color w:val="auto"/>
      </w:rPr>
    </w:lvl>
    <w:lvl w:ilvl="1">
      <w:start w:val="1"/>
      <w:numFmt w:val="bullet"/>
      <w:pStyle w:val="Sraassuenkleliais2"/>
      <w:lvlText w:val="-"/>
      <w:lvlJc w:val="left"/>
      <w:pPr>
        <w:tabs>
          <w:tab w:val="num" w:pos="691"/>
        </w:tabs>
        <w:ind w:left="691" w:hanging="345"/>
      </w:pPr>
      <w:rPr>
        <w:rFonts w:ascii="Arial" w:hAnsi="Arial" w:hint="default"/>
        <w:color w:val="auto"/>
      </w:rPr>
    </w:lvl>
    <w:lvl w:ilvl="2">
      <w:start w:val="1"/>
      <w:numFmt w:val="bullet"/>
      <w:pStyle w:val="Sraassuenkleliais3"/>
      <w:lvlText w:val="◦"/>
      <w:lvlJc w:val="left"/>
      <w:pPr>
        <w:tabs>
          <w:tab w:val="num" w:pos="1037"/>
        </w:tabs>
        <w:ind w:left="1037" w:hanging="346"/>
      </w:pPr>
      <w:rPr>
        <w:rFonts w:ascii="Georgia" w:hAnsi="Georgia" w:hint="default"/>
        <w:color w:val="auto"/>
      </w:rPr>
    </w:lvl>
    <w:lvl w:ilvl="3">
      <w:start w:val="1"/>
      <w:numFmt w:val="bullet"/>
      <w:pStyle w:val="Sraassuenkleliais4"/>
      <w:lvlText w:val="›"/>
      <w:lvlJc w:val="left"/>
      <w:pPr>
        <w:tabs>
          <w:tab w:val="num" w:pos="1382"/>
        </w:tabs>
        <w:ind w:left="1382" w:hanging="345"/>
      </w:pPr>
      <w:rPr>
        <w:rFonts w:ascii="Georgia" w:hAnsi="Georgia" w:hint="default"/>
        <w:color w:val="auto"/>
      </w:rPr>
    </w:lvl>
    <w:lvl w:ilvl="4">
      <w:start w:val="1"/>
      <w:numFmt w:val="bullet"/>
      <w:pStyle w:val="Sraassuenkleliais5"/>
      <w:lvlText w:val="~"/>
      <w:lvlJc w:val="left"/>
      <w:pPr>
        <w:tabs>
          <w:tab w:val="num" w:pos="1728"/>
        </w:tabs>
        <w:ind w:left="1728" w:hanging="346"/>
      </w:pPr>
      <w:rPr>
        <w:rFonts w:ascii="Georgia" w:hAnsi="Georgia" w:hint="default"/>
        <w:color w:val="auto"/>
      </w:rPr>
    </w:lvl>
    <w:lvl w:ilvl="5">
      <w:start w:val="1"/>
      <w:numFmt w:val="bullet"/>
      <w:pStyle w:val="ListBullet6"/>
      <w:lvlText w:val="•"/>
      <w:lvlJc w:val="left"/>
      <w:pPr>
        <w:tabs>
          <w:tab w:val="num" w:pos="2074"/>
        </w:tabs>
        <w:ind w:left="2074" w:hanging="346"/>
      </w:pPr>
      <w:rPr>
        <w:rFonts w:ascii="Georgia" w:hAnsi="Georgia" w:hint="default"/>
        <w:color w:val="auto"/>
      </w:rPr>
    </w:lvl>
    <w:lvl w:ilvl="6">
      <w:start w:val="1"/>
      <w:numFmt w:val="bullet"/>
      <w:pStyle w:val="ListBullet7"/>
      <w:lvlText w:val="-"/>
      <w:lvlJc w:val="left"/>
      <w:pPr>
        <w:tabs>
          <w:tab w:val="num" w:pos="2419"/>
        </w:tabs>
        <w:ind w:left="2419" w:hanging="345"/>
      </w:pPr>
      <w:rPr>
        <w:rFonts w:ascii="Arial" w:hAnsi="Arial" w:hint="default"/>
        <w:color w:val="auto"/>
      </w:rPr>
    </w:lvl>
    <w:lvl w:ilvl="7">
      <w:start w:val="1"/>
      <w:numFmt w:val="bullet"/>
      <w:pStyle w:val="ListBullet8"/>
      <w:lvlText w:val="◦"/>
      <w:lvlJc w:val="left"/>
      <w:pPr>
        <w:tabs>
          <w:tab w:val="num" w:pos="2765"/>
        </w:tabs>
        <w:ind w:left="2765" w:hanging="346"/>
      </w:pPr>
      <w:rPr>
        <w:rFonts w:ascii="Georgia" w:hAnsi="Georgia" w:hint="default"/>
        <w:color w:val="auto"/>
      </w:rPr>
    </w:lvl>
    <w:lvl w:ilvl="8">
      <w:start w:val="1"/>
      <w:numFmt w:val="bullet"/>
      <w:pStyle w:val="ListBullet9"/>
      <w:lvlText w:val="›"/>
      <w:lvlJc w:val="left"/>
      <w:pPr>
        <w:tabs>
          <w:tab w:val="num" w:pos="3110"/>
        </w:tabs>
        <w:ind w:left="3110" w:hanging="345"/>
      </w:pPr>
      <w:rPr>
        <w:rFonts w:ascii="Georgia" w:hAnsi="Georgia" w:hint="default"/>
        <w:color w:val="auto"/>
      </w:rPr>
    </w:lvl>
  </w:abstractNum>
  <w:abstractNum w:abstractNumId="162">
    <w:nsid w:val="72643696"/>
    <w:multiLevelType w:val="hybridMultilevel"/>
    <w:tmpl w:val="C234F8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5201B92"/>
    <w:multiLevelType w:val="hybridMultilevel"/>
    <w:tmpl w:val="C5F0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692008A"/>
    <w:multiLevelType w:val="hybridMultilevel"/>
    <w:tmpl w:val="79A2994A"/>
    <w:lvl w:ilvl="0" w:tplc="0409000F">
      <w:start w:val="1"/>
      <w:numFmt w:val="decimal"/>
      <w:lvlText w:val="%1."/>
      <w:lvlJc w:val="left"/>
      <w:pPr>
        <w:ind w:left="720" w:hanging="360"/>
      </w:pPr>
      <w:rPr>
        <w:rFont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7B708FE"/>
    <w:multiLevelType w:val="hybridMultilevel"/>
    <w:tmpl w:val="423C5AE2"/>
    <w:lvl w:ilvl="0" w:tplc="96EC41F2">
      <w:start w:val="3"/>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6">
    <w:nsid w:val="78AC26BB"/>
    <w:multiLevelType w:val="hybridMultilevel"/>
    <w:tmpl w:val="E13C5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7">
    <w:nsid w:val="7915655B"/>
    <w:multiLevelType w:val="hybridMultilevel"/>
    <w:tmpl w:val="6684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69">
    <w:nsid w:val="7AE61BEB"/>
    <w:multiLevelType w:val="hybridMultilevel"/>
    <w:tmpl w:val="F798459C"/>
    <w:lvl w:ilvl="0" w:tplc="453EE6B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70">
    <w:nsid w:val="7C731EEA"/>
    <w:multiLevelType w:val="hybridMultilevel"/>
    <w:tmpl w:val="405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EDD3684"/>
    <w:multiLevelType w:val="hybridMultilevel"/>
    <w:tmpl w:val="B07CF2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6"/>
  </w:num>
  <w:num w:numId="2">
    <w:abstractNumId w:val="85"/>
  </w:num>
  <w:num w:numId="3">
    <w:abstractNumId w:val="8"/>
  </w:num>
  <w:num w:numId="4">
    <w:abstractNumId w:val="163"/>
  </w:num>
  <w:num w:numId="5">
    <w:abstractNumId w:val="49"/>
  </w:num>
  <w:num w:numId="6">
    <w:abstractNumId w:val="103"/>
  </w:num>
  <w:num w:numId="7">
    <w:abstractNumId w:val="22"/>
  </w:num>
  <w:num w:numId="8">
    <w:abstractNumId w:val="112"/>
  </w:num>
  <w:num w:numId="9">
    <w:abstractNumId w:val="32"/>
  </w:num>
  <w:num w:numId="10">
    <w:abstractNumId w:val="84"/>
  </w:num>
  <w:num w:numId="11">
    <w:abstractNumId w:val="127"/>
  </w:num>
  <w:num w:numId="12">
    <w:abstractNumId w:val="105"/>
  </w:num>
  <w:num w:numId="13">
    <w:abstractNumId w:val="164"/>
  </w:num>
  <w:num w:numId="14">
    <w:abstractNumId w:val="19"/>
  </w:num>
  <w:num w:numId="15">
    <w:abstractNumId w:val="3"/>
  </w:num>
  <w:num w:numId="16">
    <w:abstractNumId w:val="160"/>
  </w:num>
  <w:num w:numId="17">
    <w:abstractNumId w:val="119"/>
  </w:num>
  <w:num w:numId="18">
    <w:abstractNumId w:val="152"/>
  </w:num>
  <w:num w:numId="19">
    <w:abstractNumId w:val="85"/>
  </w:num>
  <w:num w:numId="20">
    <w:abstractNumId w:val="165"/>
  </w:num>
  <w:num w:numId="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8"/>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3"/>
  </w:num>
  <w:num w:numId="25">
    <w:abstractNumId w:val="89"/>
  </w:num>
  <w:num w:numId="26">
    <w:abstractNumId w:val="116"/>
  </w:num>
  <w:num w:numId="27">
    <w:abstractNumId w:val="18"/>
  </w:num>
  <w:num w:numId="28">
    <w:abstractNumId w:val="121"/>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162"/>
  </w:num>
  <w:num w:numId="35">
    <w:abstractNumId w:val="73"/>
  </w:num>
  <w:num w:numId="36">
    <w:abstractNumId w:val="57"/>
  </w:num>
  <w:num w:numId="37">
    <w:abstractNumId w:val="48"/>
  </w:num>
  <w:num w:numId="38">
    <w:abstractNumId w:val="54"/>
  </w:num>
  <w:num w:numId="39">
    <w:abstractNumId w:val="47"/>
  </w:num>
  <w:num w:numId="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5"/>
  </w:num>
  <w:num w:numId="43">
    <w:abstractNumId w:val="39"/>
  </w:num>
  <w:num w:numId="44">
    <w:abstractNumId w:val="62"/>
  </w:num>
  <w:num w:numId="45">
    <w:abstractNumId w:val="154"/>
  </w:num>
  <w:num w:numId="46">
    <w:abstractNumId w:val="30"/>
  </w:num>
  <w:num w:numId="47">
    <w:abstractNumId w:val="126"/>
  </w:num>
  <w:num w:numId="48">
    <w:abstractNumId w:val="20"/>
  </w:num>
  <w:num w:numId="49">
    <w:abstractNumId w:val="23"/>
  </w:num>
  <w:num w:numId="50">
    <w:abstractNumId w:val="111"/>
  </w:num>
  <w:num w:numId="51">
    <w:abstractNumId w:val="66"/>
  </w:num>
  <w:num w:numId="52">
    <w:abstractNumId w:val="1"/>
  </w:num>
  <w:num w:numId="53">
    <w:abstractNumId w:val="17"/>
  </w:num>
  <w:num w:numId="54">
    <w:abstractNumId w:val="93"/>
  </w:num>
  <w:num w:numId="55">
    <w:abstractNumId w:val="156"/>
  </w:num>
  <w:num w:numId="56">
    <w:abstractNumId w:val="133"/>
  </w:num>
  <w:num w:numId="57">
    <w:abstractNumId w:val="43"/>
  </w:num>
  <w:num w:numId="58">
    <w:abstractNumId w:val="4"/>
  </w:num>
  <w:num w:numId="59">
    <w:abstractNumId w:val="120"/>
  </w:num>
  <w:num w:numId="60">
    <w:abstractNumId w:val="159"/>
  </w:num>
  <w:num w:numId="61">
    <w:abstractNumId w:val="13"/>
  </w:num>
  <w:num w:numId="62">
    <w:abstractNumId w:val="27"/>
  </w:num>
  <w:num w:numId="63">
    <w:abstractNumId w:val="31"/>
  </w:num>
  <w:num w:numId="64">
    <w:abstractNumId w:val="168"/>
  </w:num>
  <w:num w:numId="65">
    <w:abstractNumId w:val="118"/>
  </w:num>
  <w:num w:numId="66">
    <w:abstractNumId w:val="161"/>
  </w:num>
  <w:num w:numId="67">
    <w:abstractNumId w:val="109"/>
  </w:num>
  <w:num w:numId="68">
    <w:abstractNumId w:val="99"/>
  </w:num>
  <w:num w:numId="69">
    <w:abstractNumId w:val="83"/>
  </w:num>
  <w:num w:numId="70">
    <w:abstractNumId w:val="72"/>
  </w:num>
  <w:num w:numId="71">
    <w:abstractNumId w:val="24"/>
  </w:num>
  <w:num w:numId="72">
    <w:abstractNumId w:val="166"/>
  </w:num>
  <w:num w:numId="73">
    <w:abstractNumId w:val="122"/>
  </w:num>
  <w:num w:numId="74">
    <w:abstractNumId w:val="151"/>
  </w:num>
  <w:num w:numId="75">
    <w:abstractNumId w:val="97"/>
  </w:num>
  <w:num w:numId="76">
    <w:abstractNumId w:val="151"/>
    <w:lvlOverride w:ilvl="0">
      <w:startOverride w:val="2"/>
    </w:lvlOverride>
  </w:num>
  <w:num w:numId="77">
    <w:abstractNumId w:val="131"/>
  </w:num>
  <w:num w:numId="78">
    <w:abstractNumId w:val="96"/>
  </w:num>
  <w:num w:numId="79">
    <w:abstractNumId w:val="81"/>
  </w:num>
  <w:num w:numId="80">
    <w:abstractNumId w:val="146"/>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num>
  <w:num w:numId="83">
    <w:abstractNumId w:val="33"/>
  </w:num>
  <w:num w:numId="84">
    <w:abstractNumId w:val="64"/>
  </w:num>
  <w:num w:numId="85">
    <w:abstractNumId w:val="7"/>
  </w:num>
  <w:num w:numId="86">
    <w:abstractNumId w:val="15"/>
  </w:num>
  <w:num w:numId="87">
    <w:abstractNumId w:val="148"/>
  </w:num>
  <w:num w:numId="88">
    <w:abstractNumId w:val="113"/>
  </w:num>
  <w:num w:numId="89">
    <w:abstractNumId w:val="37"/>
  </w:num>
  <w:num w:numId="90">
    <w:abstractNumId w:val="10"/>
  </w:num>
  <w:num w:numId="91">
    <w:abstractNumId w:val="101"/>
  </w:num>
  <w:num w:numId="92">
    <w:abstractNumId w:val="92"/>
  </w:num>
  <w:num w:numId="93">
    <w:abstractNumId w:val="44"/>
  </w:num>
  <w:num w:numId="94">
    <w:abstractNumId w:val="46"/>
  </w:num>
  <w:num w:numId="95">
    <w:abstractNumId w:val="151"/>
  </w:num>
  <w:num w:numId="96">
    <w:abstractNumId w:val="38"/>
  </w:num>
  <w:num w:numId="97">
    <w:abstractNumId w:val="29"/>
  </w:num>
  <w:num w:numId="98">
    <w:abstractNumId w:val="25"/>
  </w:num>
  <w:num w:numId="99">
    <w:abstractNumId w:val="0"/>
  </w:num>
  <w:num w:numId="100">
    <w:abstractNumId w:val="95"/>
  </w:num>
  <w:num w:numId="101">
    <w:abstractNumId w:val="63"/>
  </w:num>
  <w:num w:numId="102">
    <w:abstractNumId w:val="136"/>
  </w:num>
  <w:num w:numId="103">
    <w:abstractNumId w:val="157"/>
  </w:num>
  <w:num w:numId="104">
    <w:abstractNumId w:val="12"/>
  </w:num>
  <w:num w:numId="105">
    <w:abstractNumId w:val="45"/>
  </w:num>
  <w:num w:numId="106">
    <w:abstractNumId w:val="71"/>
  </w:num>
  <w:num w:numId="107">
    <w:abstractNumId w:val="110"/>
  </w:num>
  <w:num w:numId="108">
    <w:abstractNumId w:val="75"/>
  </w:num>
  <w:num w:numId="109">
    <w:abstractNumId w:val="94"/>
  </w:num>
  <w:num w:numId="110">
    <w:abstractNumId w:val="34"/>
  </w:num>
  <w:num w:numId="111">
    <w:abstractNumId w:val="79"/>
  </w:num>
  <w:num w:numId="112">
    <w:abstractNumId w:val="107"/>
  </w:num>
  <w:num w:numId="113">
    <w:abstractNumId w:val="134"/>
  </w:num>
  <w:num w:numId="114">
    <w:abstractNumId w:val="138"/>
  </w:num>
  <w:num w:numId="115">
    <w:abstractNumId w:val="77"/>
  </w:num>
  <w:num w:numId="116">
    <w:abstractNumId w:val="28"/>
  </w:num>
  <w:num w:numId="117">
    <w:abstractNumId w:val="114"/>
  </w:num>
  <w:num w:numId="118">
    <w:abstractNumId w:val="50"/>
  </w:num>
  <w:num w:numId="119">
    <w:abstractNumId w:val="137"/>
  </w:num>
  <w:num w:numId="120">
    <w:abstractNumId w:val="41"/>
  </w:num>
  <w:num w:numId="121">
    <w:abstractNumId w:val="2"/>
  </w:num>
  <w:num w:numId="122">
    <w:abstractNumId w:val="52"/>
  </w:num>
  <w:num w:numId="123">
    <w:abstractNumId w:val="153"/>
  </w:num>
  <w:num w:numId="124">
    <w:abstractNumId w:val="40"/>
  </w:num>
  <w:num w:numId="125">
    <w:abstractNumId w:val="135"/>
  </w:num>
  <w:num w:numId="126">
    <w:abstractNumId w:val="65"/>
  </w:num>
  <w:num w:numId="127">
    <w:abstractNumId w:val="55"/>
  </w:num>
  <w:num w:numId="128">
    <w:abstractNumId w:val="53"/>
  </w:num>
  <w:num w:numId="129">
    <w:abstractNumId w:val="128"/>
  </w:num>
  <w:num w:numId="130">
    <w:abstractNumId w:val="98"/>
  </w:num>
  <w:num w:numId="131">
    <w:abstractNumId w:val="70"/>
  </w:num>
  <w:num w:numId="132">
    <w:abstractNumId w:val="167"/>
  </w:num>
  <w:num w:numId="13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6"/>
  </w:num>
  <w:num w:numId="137">
    <w:abstractNumId w:val="86"/>
  </w:num>
  <w:num w:numId="138">
    <w:abstractNumId w:val="11"/>
  </w:num>
  <w:num w:numId="139">
    <w:abstractNumId w:val="69"/>
  </w:num>
  <w:num w:numId="140">
    <w:abstractNumId w:val="140"/>
  </w:num>
  <w:num w:numId="141">
    <w:abstractNumId w:val="104"/>
  </w:num>
  <w:num w:numId="142">
    <w:abstractNumId w:val="82"/>
  </w:num>
  <w:num w:numId="143">
    <w:abstractNumId w:val="78"/>
  </w:num>
  <w:num w:numId="144">
    <w:abstractNumId w:val="21"/>
  </w:num>
  <w:num w:numId="145">
    <w:abstractNumId w:val="68"/>
  </w:num>
  <w:num w:numId="146">
    <w:abstractNumId w:val="132"/>
  </w:num>
  <w:num w:numId="147">
    <w:abstractNumId w:val="147"/>
  </w:num>
  <w:num w:numId="148">
    <w:abstractNumId w:val="80"/>
  </w:num>
  <w:num w:numId="149">
    <w:abstractNumId w:val="149"/>
  </w:num>
  <w:num w:numId="150">
    <w:abstractNumId w:val="117"/>
  </w:num>
  <w:num w:numId="151">
    <w:abstractNumId w:val="91"/>
  </w:num>
  <w:num w:numId="152">
    <w:abstractNumId w:val="170"/>
  </w:num>
  <w:num w:numId="153">
    <w:abstractNumId w:val="67"/>
  </w:num>
  <w:num w:numId="154">
    <w:abstractNumId w:val="35"/>
  </w:num>
  <w:num w:numId="155">
    <w:abstractNumId w:val="15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1"/>
    <w:lvlOverride w:ilvl="0">
      <w:startOverride w:val="1"/>
    </w:lvlOverride>
    <w:lvlOverride w:ilvl="1"/>
    <w:lvlOverride w:ilvl="2"/>
    <w:lvlOverride w:ilvl="3"/>
    <w:lvlOverride w:ilvl="4"/>
    <w:lvlOverride w:ilvl="5"/>
    <w:lvlOverride w:ilvl="6"/>
    <w:lvlOverride w:ilvl="7"/>
    <w:lvlOverride w:ilvl="8"/>
  </w:num>
  <w:num w:numId="157">
    <w:abstractNumId w:val="169"/>
  </w:num>
  <w:num w:numId="158">
    <w:abstractNumId w:val="16"/>
  </w:num>
  <w:num w:numId="159">
    <w:abstractNumId w:val="125"/>
  </w:num>
  <w:num w:numId="160">
    <w:abstractNumId w:val="61"/>
  </w:num>
  <w:num w:numId="161">
    <w:abstractNumId w:val="141"/>
  </w:num>
  <w:num w:numId="162">
    <w:abstractNumId w:val="124"/>
  </w:num>
  <w:num w:numId="163">
    <w:abstractNumId w:val="42"/>
  </w:num>
  <w:num w:numId="164">
    <w:abstractNumId w:val="129"/>
  </w:num>
  <w:num w:numId="165">
    <w:abstractNumId w:val="123"/>
  </w:num>
  <w:num w:numId="166">
    <w:abstractNumId w:val="145"/>
  </w:num>
  <w:num w:numId="167">
    <w:abstractNumId w:val="59"/>
  </w:num>
  <w:num w:numId="168">
    <w:abstractNumId w:val="142"/>
  </w:num>
  <w:num w:numId="169">
    <w:abstractNumId w:val="144"/>
  </w:num>
  <w:num w:numId="170">
    <w:abstractNumId w:val="6"/>
  </w:num>
  <w:num w:numId="171">
    <w:abstractNumId w:val="88"/>
  </w:num>
  <w:num w:numId="172">
    <w:abstractNumId w:val="155"/>
  </w:num>
  <w:num w:numId="173">
    <w:abstractNumId w:val="102"/>
  </w:num>
  <w:num w:numId="174">
    <w:abstractNumId w:val="171"/>
  </w:num>
  <w:num w:numId="175">
    <w:abstractNumId w:val="100"/>
  </w:num>
  <w:num w:numId="176">
    <w:abstractNumId w:val="36"/>
  </w:num>
  <w:num w:numId="177">
    <w:abstractNumId w:val="14"/>
  </w:num>
  <w:num w:numId="178">
    <w:abstractNumId w:val="151"/>
  </w:num>
  <w:num w:numId="179">
    <w:abstractNumId w:val="56"/>
  </w:num>
  <w:num w:numId="180">
    <w:abstractNumId w:val="60"/>
  </w:num>
  <w:num w:numId="181">
    <w:abstractNumId w:val="58"/>
  </w:num>
  <w:num w:numId="182">
    <w:abstractNumId w:val="15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hyphenationZone w:val="39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4AD"/>
    <w:rsid w:val="00000CC9"/>
    <w:rsid w:val="00000D8F"/>
    <w:rsid w:val="00002019"/>
    <w:rsid w:val="00002662"/>
    <w:rsid w:val="00004814"/>
    <w:rsid w:val="00004EB1"/>
    <w:rsid w:val="00005B85"/>
    <w:rsid w:val="00005D32"/>
    <w:rsid w:val="0000684F"/>
    <w:rsid w:val="00006883"/>
    <w:rsid w:val="00006C33"/>
    <w:rsid w:val="0000706D"/>
    <w:rsid w:val="000070AA"/>
    <w:rsid w:val="000074A6"/>
    <w:rsid w:val="00007728"/>
    <w:rsid w:val="00007761"/>
    <w:rsid w:val="00007F1E"/>
    <w:rsid w:val="00011364"/>
    <w:rsid w:val="00012064"/>
    <w:rsid w:val="000135F1"/>
    <w:rsid w:val="0001364B"/>
    <w:rsid w:val="000139C5"/>
    <w:rsid w:val="00013A48"/>
    <w:rsid w:val="00014099"/>
    <w:rsid w:val="0001424A"/>
    <w:rsid w:val="00016CFF"/>
    <w:rsid w:val="000203BA"/>
    <w:rsid w:val="00020D20"/>
    <w:rsid w:val="00020E0D"/>
    <w:rsid w:val="000212A0"/>
    <w:rsid w:val="00021379"/>
    <w:rsid w:val="00021535"/>
    <w:rsid w:val="00021F53"/>
    <w:rsid w:val="000226F2"/>
    <w:rsid w:val="00022769"/>
    <w:rsid w:val="000231F4"/>
    <w:rsid w:val="00024187"/>
    <w:rsid w:val="000245DA"/>
    <w:rsid w:val="0002498C"/>
    <w:rsid w:val="00024E2B"/>
    <w:rsid w:val="000264DA"/>
    <w:rsid w:val="0003086F"/>
    <w:rsid w:val="0003111A"/>
    <w:rsid w:val="00031237"/>
    <w:rsid w:val="00032456"/>
    <w:rsid w:val="00032BA6"/>
    <w:rsid w:val="0003414F"/>
    <w:rsid w:val="000344AE"/>
    <w:rsid w:val="00034C53"/>
    <w:rsid w:val="00035974"/>
    <w:rsid w:val="00036AB8"/>
    <w:rsid w:val="00037033"/>
    <w:rsid w:val="000376E9"/>
    <w:rsid w:val="00037FD3"/>
    <w:rsid w:val="00040115"/>
    <w:rsid w:val="0004224C"/>
    <w:rsid w:val="00042A42"/>
    <w:rsid w:val="000430BE"/>
    <w:rsid w:val="000470B4"/>
    <w:rsid w:val="000471E9"/>
    <w:rsid w:val="000473A9"/>
    <w:rsid w:val="00047C41"/>
    <w:rsid w:val="0005008F"/>
    <w:rsid w:val="0005013B"/>
    <w:rsid w:val="000519AE"/>
    <w:rsid w:val="00051C41"/>
    <w:rsid w:val="0005367D"/>
    <w:rsid w:val="00054831"/>
    <w:rsid w:val="00054895"/>
    <w:rsid w:val="00054968"/>
    <w:rsid w:val="0005533E"/>
    <w:rsid w:val="000556A1"/>
    <w:rsid w:val="00056681"/>
    <w:rsid w:val="000567E6"/>
    <w:rsid w:val="0005727B"/>
    <w:rsid w:val="00057748"/>
    <w:rsid w:val="000600EA"/>
    <w:rsid w:val="0006067E"/>
    <w:rsid w:val="00061839"/>
    <w:rsid w:val="000619E8"/>
    <w:rsid w:val="00061A8D"/>
    <w:rsid w:val="00061AD3"/>
    <w:rsid w:val="00063F36"/>
    <w:rsid w:val="0006419A"/>
    <w:rsid w:val="000641DA"/>
    <w:rsid w:val="0006428E"/>
    <w:rsid w:val="000642E6"/>
    <w:rsid w:val="00064481"/>
    <w:rsid w:val="000645D8"/>
    <w:rsid w:val="00064A8C"/>
    <w:rsid w:val="00064B64"/>
    <w:rsid w:val="00065DEA"/>
    <w:rsid w:val="00065F2F"/>
    <w:rsid w:val="00066631"/>
    <w:rsid w:val="000666AD"/>
    <w:rsid w:val="00066940"/>
    <w:rsid w:val="000678F1"/>
    <w:rsid w:val="00067B48"/>
    <w:rsid w:val="00067D49"/>
    <w:rsid w:val="00067F55"/>
    <w:rsid w:val="00071F87"/>
    <w:rsid w:val="00073363"/>
    <w:rsid w:val="00073608"/>
    <w:rsid w:val="00073F96"/>
    <w:rsid w:val="00074273"/>
    <w:rsid w:val="000749FE"/>
    <w:rsid w:val="000755AB"/>
    <w:rsid w:val="000755F8"/>
    <w:rsid w:val="00075AA1"/>
    <w:rsid w:val="00076A04"/>
    <w:rsid w:val="000774BC"/>
    <w:rsid w:val="000777A6"/>
    <w:rsid w:val="000803C0"/>
    <w:rsid w:val="000805C8"/>
    <w:rsid w:val="00080FD5"/>
    <w:rsid w:val="0008139E"/>
    <w:rsid w:val="00082440"/>
    <w:rsid w:val="00082E94"/>
    <w:rsid w:val="000833F4"/>
    <w:rsid w:val="00084249"/>
    <w:rsid w:val="000846FC"/>
    <w:rsid w:val="00084A1A"/>
    <w:rsid w:val="0008519A"/>
    <w:rsid w:val="00085943"/>
    <w:rsid w:val="00085DBF"/>
    <w:rsid w:val="000869EA"/>
    <w:rsid w:val="00086D38"/>
    <w:rsid w:val="00086FC2"/>
    <w:rsid w:val="00087026"/>
    <w:rsid w:val="0008758E"/>
    <w:rsid w:val="00090D53"/>
    <w:rsid w:val="00091A85"/>
    <w:rsid w:val="00091E92"/>
    <w:rsid w:val="00092DFB"/>
    <w:rsid w:val="00093B65"/>
    <w:rsid w:val="00093CDB"/>
    <w:rsid w:val="00094500"/>
    <w:rsid w:val="00095FBA"/>
    <w:rsid w:val="000961FB"/>
    <w:rsid w:val="00096740"/>
    <w:rsid w:val="000968AC"/>
    <w:rsid w:val="000968EE"/>
    <w:rsid w:val="00096C5A"/>
    <w:rsid w:val="00096FB5"/>
    <w:rsid w:val="000978A1"/>
    <w:rsid w:val="00097A34"/>
    <w:rsid w:val="000A1145"/>
    <w:rsid w:val="000A1408"/>
    <w:rsid w:val="000A15DE"/>
    <w:rsid w:val="000A1A3F"/>
    <w:rsid w:val="000A335A"/>
    <w:rsid w:val="000A36C0"/>
    <w:rsid w:val="000A3E5B"/>
    <w:rsid w:val="000A4AB0"/>
    <w:rsid w:val="000A566C"/>
    <w:rsid w:val="000A60BA"/>
    <w:rsid w:val="000A61DA"/>
    <w:rsid w:val="000A75FA"/>
    <w:rsid w:val="000B168C"/>
    <w:rsid w:val="000B2277"/>
    <w:rsid w:val="000B278F"/>
    <w:rsid w:val="000B28FE"/>
    <w:rsid w:val="000B2C92"/>
    <w:rsid w:val="000B4929"/>
    <w:rsid w:val="000B4D51"/>
    <w:rsid w:val="000B50CC"/>
    <w:rsid w:val="000B602C"/>
    <w:rsid w:val="000B6F3F"/>
    <w:rsid w:val="000B792D"/>
    <w:rsid w:val="000C035D"/>
    <w:rsid w:val="000C21B9"/>
    <w:rsid w:val="000C2FB1"/>
    <w:rsid w:val="000C3F28"/>
    <w:rsid w:val="000C40A8"/>
    <w:rsid w:val="000C433F"/>
    <w:rsid w:val="000C4574"/>
    <w:rsid w:val="000C5B2D"/>
    <w:rsid w:val="000C5C2A"/>
    <w:rsid w:val="000C740B"/>
    <w:rsid w:val="000C768B"/>
    <w:rsid w:val="000D0F73"/>
    <w:rsid w:val="000D10FC"/>
    <w:rsid w:val="000D1327"/>
    <w:rsid w:val="000D2689"/>
    <w:rsid w:val="000D318F"/>
    <w:rsid w:val="000D3530"/>
    <w:rsid w:val="000D3B22"/>
    <w:rsid w:val="000D43FF"/>
    <w:rsid w:val="000D4D15"/>
    <w:rsid w:val="000D54A5"/>
    <w:rsid w:val="000D5B6D"/>
    <w:rsid w:val="000D6CA0"/>
    <w:rsid w:val="000D71A1"/>
    <w:rsid w:val="000E00FC"/>
    <w:rsid w:val="000E02AE"/>
    <w:rsid w:val="000E0822"/>
    <w:rsid w:val="000E109F"/>
    <w:rsid w:val="000E2287"/>
    <w:rsid w:val="000E3422"/>
    <w:rsid w:val="000E3601"/>
    <w:rsid w:val="000E4371"/>
    <w:rsid w:val="000E47BF"/>
    <w:rsid w:val="000E490D"/>
    <w:rsid w:val="000E4BA5"/>
    <w:rsid w:val="000E5569"/>
    <w:rsid w:val="000E59DF"/>
    <w:rsid w:val="000E66DF"/>
    <w:rsid w:val="000E68CC"/>
    <w:rsid w:val="000E6F4A"/>
    <w:rsid w:val="000E704F"/>
    <w:rsid w:val="000E78FE"/>
    <w:rsid w:val="000E79F0"/>
    <w:rsid w:val="000E7BAA"/>
    <w:rsid w:val="000F0CDB"/>
    <w:rsid w:val="000F16FF"/>
    <w:rsid w:val="000F189A"/>
    <w:rsid w:val="000F1CF6"/>
    <w:rsid w:val="000F206B"/>
    <w:rsid w:val="000F2086"/>
    <w:rsid w:val="000F2378"/>
    <w:rsid w:val="000F27BB"/>
    <w:rsid w:val="000F30CF"/>
    <w:rsid w:val="000F3C32"/>
    <w:rsid w:val="000F4083"/>
    <w:rsid w:val="000F49C6"/>
    <w:rsid w:val="000F5189"/>
    <w:rsid w:val="000F5239"/>
    <w:rsid w:val="000F56A4"/>
    <w:rsid w:val="000F589D"/>
    <w:rsid w:val="00100995"/>
    <w:rsid w:val="00100B18"/>
    <w:rsid w:val="00100EF9"/>
    <w:rsid w:val="001013E9"/>
    <w:rsid w:val="00102228"/>
    <w:rsid w:val="001023CB"/>
    <w:rsid w:val="001028BC"/>
    <w:rsid w:val="001029C2"/>
    <w:rsid w:val="00103461"/>
    <w:rsid w:val="001035F5"/>
    <w:rsid w:val="00103657"/>
    <w:rsid w:val="00104B42"/>
    <w:rsid w:val="00105627"/>
    <w:rsid w:val="00105B94"/>
    <w:rsid w:val="00105CED"/>
    <w:rsid w:val="00107264"/>
    <w:rsid w:val="0010799D"/>
    <w:rsid w:val="00107D1D"/>
    <w:rsid w:val="0011082B"/>
    <w:rsid w:val="001109AF"/>
    <w:rsid w:val="001109F9"/>
    <w:rsid w:val="00111AF4"/>
    <w:rsid w:val="00113838"/>
    <w:rsid w:val="001140C9"/>
    <w:rsid w:val="001142B2"/>
    <w:rsid w:val="001152E4"/>
    <w:rsid w:val="0011549E"/>
    <w:rsid w:val="001174EB"/>
    <w:rsid w:val="00120DC4"/>
    <w:rsid w:val="00121072"/>
    <w:rsid w:val="0012159F"/>
    <w:rsid w:val="00121CFF"/>
    <w:rsid w:val="0012210C"/>
    <w:rsid w:val="0012248F"/>
    <w:rsid w:val="001234D7"/>
    <w:rsid w:val="0012438E"/>
    <w:rsid w:val="0012485D"/>
    <w:rsid w:val="001251A5"/>
    <w:rsid w:val="001262F6"/>
    <w:rsid w:val="00126646"/>
    <w:rsid w:val="00126F0B"/>
    <w:rsid w:val="00126F81"/>
    <w:rsid w:val="0012775D"/>
    <w:rsid w:val="0013067E"/>
    <w:rsid w:val="00130776"/>
    <w:rsid w:val="00130CA0"/>
    <w:rsid w:val="00131276"/>
    <w:rsid w:val="001312E3"/>
    <w:rsid w:val="00131467"/>
    <w:rsid w:val="00131688"/>
    <w:rsid w:val="00132166"/>
    <w:rsid w:val="00132394"/>
    <w:rsid w:val="00132D6F"/>
    <w:rsid w:val="00134B04"/>
    <w:rsid w:val="00134BF1"/>
    <w:rsid w:val="00134CCB"/>
    <w:rsid w:val="00135030"/>
    <w:rsid w:val="00135920"/>
    <w:rsid w:val="001361A4"/>
    <w:rsid w:val="0013731C"/>
    <w:rsid w:val="001403A2"/>
    <w:rsid w:val="001407F0"/>
    <w:rsid w:val="00142E41"/>
    <w:rsid w:val="00142FFB"/>
    <w:rsid w:val="0014336F"/>
    <w:rsid w:val="00143CF4"/>
    <w:rsid w:val="00144171"/>
    <w:rsid w:val="00144175"/>
    <w:rsid w:val="00144349"/>
    <w:rsid w:val="00144A39"/>
    <w:rsid w:val="00144C44"/>
    <w:rsid w:val="00144F34"/>
    <w:rsid w:val="001450DB"/>
    <w:rsid w:val="00145BA8"/>
    <w:rsid w:val="00145C21"/>
    <w:rsid w:val="00146317"/>
    <w:rsid w:val="001470D3"/>
    <w:rsid w:val="00150010"/>
    <w:rsid w:val="001509CD"/>
    <w:rsid w:val="00151543"/>
    <w:rsid w:val="00151E16"/>
    <w:rsid w:val="001520F9"/>
    <w:rsid w:val="00152930"/>
    <w:rsid w:val="001539F0"/>
    <w:rsid w:val="001551F2"/>
    <w:rsid w:val="001554CF"/>
    <w:rsid w:val="001558C1"/>
    <w:rsid w:val="001577DE"/>
    <w:rsid w:val="001579BA"/>
    <w:rsid w:val="00160027"/>
    <w:rsid w:val="00160C44"/>
    <w:rsid w:val="001624AE"/>
    <w:rsid w:val="00162BF5"/>
    <w:rsid w:val="00163947"/>
    <w:rsid w:val="00163CB9"/>
    <w:rsid w:val="00164C88"/>
    <w:rsid w:val="0016625D"/>
    <w:rsid w:val="00167325"/>
    <w:rsid w:val="001673B6"/>
    <w:rsid w:val="00167700"/>
    <w:rsid w:val="0017040A"/>
    <w:rsid w:val="00170904"/>
    <w:rsid w:val="00170A38"/>
    <w:rsid w:val="00170EF5"/>
    <w:rsid w:val="001716B3"/>
    <w:rsid w:val="00171AB3"/>
    <w:rsid w:val="0017265C"/>
    <w:rsid w:val="001731D4"/>
    <w:rsid w:val="00174A8F"/>
    <w:rsid w:val="00175E09"/>
    <w:rsid w:val="001760F8"/>
    <w:rsid w:val="00176533"/>
    <w:rsid w:val="0018041C"/>
    <w:rsid w:val="00181123"/>
    <w:rsid w:val="00181329"/>
    <w:rsid w:val="00181772"/>
    <w:rsid w:val="00181C0E"/>
    <w:rsid w:val="0018202E"/>
    <w:rsid w:val="00182346"/>
    <w:rsid w:val="00182F64"/>
    <w:rsid w:val="001839D0"/>
    <w:rsid w:val="00183ED3"/>
    <w:rsid w:val="0018584E"/>
    <w:rsid w:val="00186E3D"/>
    <w:rsid w:val="00190AA0"/>
    <w:rsid w:val="00191105"/>
    <w:rsid w:val="00191963"/>
    <w:rsid w:val="001923DD"/>
    <w:rsid w:val="00192663"/>
    <w:rsid w:val="00193A8F"/>
    <w:rsid w:val="00193A90"/>
    <w:rsid w:val="001940A6"/>
    <w:rsid w:val="00194E46"/>
    <w:rsid w:val="00196CC6"/>
    <w:rsid w:val="001971B6"/>
    <w:rsid w:val="001A0947"/>
    <w:rsid w:val="001A1E3E"/>
    <w:rsid w:val="001A2225"/>
    <w:rsid w:val="001A2299"/>
    <w:rsid w:val="001A24E6"/>
    <w:rsid w:val="001A3A8F"/>
    <w:rsid w:val="001A44B3"/>
    <w:rsid w:val="001A5AF6"/>
    <w:rsid w:val="001A5C84"/>
    <w:rsid w:val="001A6D55"/>
    <w:rsid w:val="001A7951"/>
    <w:rsid w:val="001A7F41"/>
    <w:rsid w:val="001B0469"/>
    <w:rsid w:val="001B06D8"/>
    <w:rsid w:val="001B0FE9"/>
    <w:rsid w:val="001B13C0"/>
    <w:rsid w:val="001B1701"/>
    <w:rsid w:val="001B17B7"/>
    <w:rsid w:val="001B3A89"/>
    <w:rsid w:val="001B3CD0"/>
    <w:rsid w:val="001B41DF"/>
    <w:rsid w:val="001B49BA"/>
    <w:rsid w:val="001B4AF5"/>
    <w:rsid w:val="001B4BB2"/>
    <w:rsid w:val="001B607D"/>
    <w:rsid w:val="001B651C"/>
    <w:rsid w:val="001B6A40"/>
    <w:rsid w:val="001C0469"/>
    <w:rsid w:val="001C0725"/>
    <w:rsid w:val="001C13B5"/>
    <w:rsid w:val="001C20A9"/>
    <w:rsid w:val="001C2764"/>
    <w:rsid w:val="001C2822"/>
    <w:rsid w:val="001C3072"/>
    <w:rsid w:val="001C375E"/>
    <w:rsid w:val="001C3856"/>
    <w:rsid w:val="001C3C24"/>
    <w:rsid w:val="001C3C6A"/>
    <w:rsid w:val="001C3D24"/>
    <w:rsid w:val="001C4182"/>
    <w:rsid w:val="001C4C8D"/>
    <w:rsid w:val="001C4EC0"/>
    <w:rsid w:val="001C5C68"/>
    <w:rsid w:val="001C5DEC"/>
    <w:rsid w:val="001C60B6"/>
    <w:rsid w:val="001C63DB"/>
    <w:rsid w:val="001C7183"/>
    <w:rsid w:val="001C7AEC"/>
    <w:rsid w:val="001D03E5"/>
    <w:rsid w:val="001D175C"/>
    <w:rsid w:val="001D284B"/>
    <w:rsid w:val="001D30E3"/>
    <w:rsid w:val="001D480B"/>
    <w:rsid w:val="001D4A0D"/>
    <w:rsid w:val="001D52E5"/>
    <w:rsid w:val="001D54C7"/>
    <w:rsid w:val="001D6B2C"/>
    <w:rsid w:val="001D6DC4"/>
    <w:rsid w:val="001D735D"/>
    <w:rsid w:val="001E0D9E"/>
    <w:rsid w:val="001E106B"/>
    <w:rsid w:val="001E13B9"/>
    <w:rsid w:val="001E2098"/>
    <w:rsid w:val="001E419B"/>
    <w:rsid w:val="001E465C"/>
    <w:rsid w:val="001E49D3"/>
    <w:rsid w:val="001E4B4F"/>
    <w:rsid w:val="001E4D05"/>
    <w:rsid w:val="001E4F10"/>
    <w:rsid w:val="001E5999"/>
    <w:rsid w:val="001E5E58"/>
    <w:rsid w:val="001E639C"/>
    <w:rsid w:val="001E691B"/>
    <w:rsid w:val="001E6EFD"/>
    <w:rsid w:val="001E7ABA"/>
    <w:rsid w:val="001E7BA2"/>
    <w:rsid w:val="001E7FD8"/>
    <w:rsid w:val="001F00A0"/>
    <w:rsid w:val="001F044D"/>
    <w:rsid w:val="001F06EC"/>
    <w:rsid w:val="001F1785"/>
    <w:rsid w:val="001F1860"/>
    <w:rsid w:val="001F3300"/>
    <w:rsid w:val="001F36BC"/>
    <w:rsid w:val="001F37D5"/>
    <w:rsid w:val="001F3944"/>
    <w:rsid w:val="001F3E9F"/>
    <w:rsid w:val="001F41DE"/>
    <w:rsid w:val="001F51FD"/>
    <w:rsid w:val="001F5677"/>
    <w:rsid w:val="001F59D9"/>
    <w:rsid w:val="001F5C99"/>
    <w:rsid w:val="001F5FE9"/>
    <w:rsid w:val="001F6092"/>
    <w:rsid w:val="001F61B2"/>
    <w:rsid w:val="001F643E"/>
    <w:rsid w:val="001F6984"/>
    <w:rsid w:val="001F6F57"/>
    <w:rsid w:val="001F77D4"/>
    <w:rsid w:val="001F784A"/>
    <w:rsid w:val="001F7D0D"/>
    <w:rsid w:val="0020039A"/>
    <w:rsid w:val="00200B3F"/>
    <w:rsid w:val="0020130A"/>
    <w:rsid w:val="00202033"/>
    <w:rsid w:val="00204442"/>
    <w:rsid w:val="0020452C"/>
    <w:rsid w:val="00205ACC"/>
    <w:rsid w:val="00205D40"/>
    <w:rsid w:val="00206511"/>
    <w:rsid w:val="00206567"/>
    <w:rsid w:val="00206B18"/>
    <w:rsid w:val="00207A16"/>
    <w:rsid w:val="00207DE6"/>
    <w:rsid w:val="00210522"/>
    <w:rsid w:val="00210E4E"/>
    <w:rsid w:val="00210E9F"/>
    <w:rsid w:val="00211526"/>
    <w:rsid w:val="0021225B"/>
    <w:rsid w:val="002122E7"/>
    <w:rsid w:val="0021260B"/>
    <w:rsid w:val="002131A3"/>
    <w:rsid w:val="002135DA"/>
    <w:rsid w:val="00213788"/>
    <w:rsid w:val="002142B8"/>
    <w:rsid w:val="0021497C"/>
    <w:rsid w:val="00214DC9"/>
    <w:rsid w:val="00215A56"/>
    <w:rsid w:val="00215FC7"/>
    <w:rsid w:val="002164A6"/>
    <w:rsid w:val="00216B9C"/>
    <w:rsid w:val="002178C2"/>
    <w:rsid w:val="00217A8E"/>
    <w:rsid w:val="00220B64"/>
    <w:rsid w:val="002210FB"/>
    <w:rsid w:val="002237D8"/>
    <w:rsid w:val="002238EE"/>
    <w:rsid w:val="00223E9F"/>
    <w:rsid w:val="002248D1"/>
    <w:rsid w:val="00224A07"/>
    <w:rsid w:val="00224B73"/>
    <w:rsid w:val="00224F19"/>
    <w:rsid w:val="002257F2"/>
    <w:rsid w:val="00225F64"/>
    <w:rsid w:val="002263C7"/>
    <w:rsid w:val="0022663D"/>
    <w:rsid w:val="002268D8"/>
    <w:rsid w:val="00227060"/>
    <w:rsid w:val="002279A6"/>
    <w:rsid w:val="00230209"/>
    <w:rsid w:val="00230443"/>
    <w:rsid w:val="00230898"/>
    <w:rsid w:val="0023094F"/>
    <w:rsid w:val="00230E5C"/>
    <w:rsid w:val="00231758"/>
    <w:rsid w:val="00231994"/>
    <w:rsid w:val="0023259F"/>
    <w:rsid w:val="00232A85"/>
    <w:rsid w:val="00232B70"/>
    <w:rsid w:val="00233C59"/>
    <w:rsid w:val="00233DDB"/>
    <w:rsid w:val="00234582"/>
    <w:rsid w:val="002345A2"/>
    <w:rsid w:val="00234F83"/>
    <w:rsid w:val="00235614"/>
    <w:rsid w:val="002356E9"/>
    <w:rsid w:val="002358D0"/>
    <w:rsid w:val="002359C1"/>
    <w:rsid w:val="00235F8D"/>
    <w:rsid w:val="00237835"/>
    <w:rsid w:val="0023783F"/>
    <w:rsid w:val="002401E8"/>
    <w:rsid w:val="002409A2"/>
    <w:rsid w:val="00240E39"/>
    <w:rsid w:val="002418A3"/>
    <w:rsid w:val="00241C54"/>
    <w:rsid w:val="00241FB9"/>
    <w:rsid w:val="00242D25"/>
    <w:rsid w:val="00242F76"/>
    <w:rsid w:val="00243DCC"/>
    <w:rsid w:val="00244115"/>
    <w:rsid w:val="00244412"/>
    <w:rsid w:val="002458C7"/>
    <w:rsid w:val="00245D4D"/>
    <w:rsid w:val="0024650D"/>
    <w:rsid w:val="00247C5A"/>
    <w:rsid w:val="00247D53"/>
    <w:rsid w:val="0025047F"/>
    <w:rsid w:val="00251119"/>
    <w:rsid w:val="00251301"/>
    <w:rsid w:val="002523D4"/>
    <w:rsid w:val="00252570"/>
    <w:rsid w:val="00252A54"/>
    <w:rsid w:val="00253CB3"/>
    <w:rsid w:val="00254881"/>
    <w:rsid w:val="00255212"/>
    <w:rsid w:val="002556CC"/>
    <w:rsid w:val="00255903"/>
    <w:rsid w:val="002563F5"/>
    <w:rsid w:val="00256613"/>
    <w:rsid w:val="00256875"/>
    <w:rsid w:val="00256C31"/>
    <w:rsid w:val="00260838"/>
    <w:rsid w:val="00260840"/>
    <w:rsid w:val="00260862"/>
    <w:rsid w:val="00260BFE"/>
    <w:rsid w:val="0026307F"/>
    <w:rsid w:val="00263603"/>
    <w:rsid w:val="0026391D"/>
    <w:rsid w:val="00263D0C"/>
    <w:rsid w:val="002651B6"/>
    <w:rsid w:val="002656C2"/>
    <w:rsid w:val="00265B69"/>
    <w:rsid w:val="00267476"/>
    <w:rsid w:val="002674A0"/>
    <w:rsid w:val="002701C0"/>
    <w:rsid w:val="0027027D"/>
    <w:rsid w:val="00270C7B"/>
    <w:rsid w:val="00270DAE"/>
    <w:rsid w:val="002716F4"/>
    <w:rsid w:val="00272058"/>
    <w:rsid w:val="00272315"/>
    <w:rsid w:val="00272C16"/>
    <w:rsid w:val="00272CC8"/>
    <w:rsid w:val="0027348B"/>
    <w:rsid w:val="0027411F"/>
    <w:rsid w:val="00274553"/>
    <w:rsid w:val="00274FDA"/>
    <w:rsid w:val="00275B63"/>
    <w:rsid w:val="00275D8D"/>
    <w:rsid w:val="00276405"/>
    <w:rsid w:val="00276D53"/>
    <w:rsid w:val="00276EEF"/>
    <w:rsid w:val="00277A32"/>
    <w:rsid w:val="00280016"/>
    <w:rsid w:val="00280058"/>
    <w:rsid w:val="00280127"/>
    <w:rsid w:val="00280A4C"/>
    <w:rsid w:val="00280FFC"/>
    <w:rsid w:val="002811A4"/>
    <w:rsid w:val="002813FD"/>
    <w:rsid w:val="002818A4"/>
    <w:rsid w:val="002838B1"/>
    <w:rsid w:val="00283BE3"/>
    <w:rsid w:val="002840CD"/>
    <w:rsid w:val="00284772"/>
    <w:rsid w:val="00285BA4"/>
    <w:rsid w:val="00285CE9"/>
    <w:rsid w:val="002866CF"/>
    <w:rsid w:val="0028713F"/>
    <w:rsid w:val="002878F6"/>
    <w:rsid w:val="00287BC0"/>
    <w:rsid w:val="00290376"/>
    <w:rsid w:val="00290689"/>
    <w:rsid w:val="00290F9F"/>
    <w:rsid w:val="0029139E"/>
    <w:rsid w:val="0029157D"/>
    <w:rsid w:val="0029181F"/>
    <w:rsid w:val="00292041"/>
    <w:rsid w:val="00292BC6"/>
    <w:rsid w:val="00293204"/>
    <w:rsid w:val="0029321A"/>
    <w:rsid w:val="00293654"/>
    <w:rsid w:val="00294638"/>
    <w:rsid w:val="0029552A"/>
    <w:rsid w:val="00297BA8"/>
    <w:rsid w:val="002A1569"/>
    <w:rsid w:val="002A1F04"/>
    <w:rsid w:val="002A2536"/>
    <w:rsid w:val="002A2BE4"/>
    <w:rsid w:val="002A32CA"/>
    <w:rsid w:val="002A3886"/>
    <w:rsid w:val="002A3C61"/>
    <w:rsid w:val="002A3FA8"/>
    <w:rsid w:val="002A4D75"/>
    <w:rsid w:val="002A576D"/>
    <w:rsid w:val="002A606D"/>
    <w:rsid w:val="002A6510"/>
    <w:rsid w:val="002A6BA9"/>
    <w:rsid w:val="002A70C3"/>
    <w:rsid w:val="002A7A53"/>
    <w:rsid w:val="002B09C9"/>
    <w:rsid w:val="002B0A10"/>
    <w:rsid w:val="002B0C63"/>
    <w:rsid w:val="002B0DD9"/>
    <w:rsid w:val="002B1E77"/>
    <w:rsid w:val="002B1F52"/>
    <w:rsid w:val="002B204F"/>
    <w:rsid w:val="002B400B"/>
    <w:rsid w:val="002B4E42"/>
    <w:rsid w:val="002B5664"/>
    <w:rsid w:val="002B594C"/>
    <w:rsid w:val="002B60A9"/>
    <w:rsid w:val="002B6108"/>
    <w:rsid w:val="002B6470"/>
    <w:rsid w:val="002C025E"/>
    <w:rsid w:val="002C04DD"/>
    <w:rsid w:val="002C12CB"/>
    <w:rsid w:val="002C1601"/>
    <w:rsid w:val="002C20EB"/>
    <w:rsid w:val="002C256F"/>
    <w:rsid w:val="002C2968"/>
    <w:rsid w:val="002C3B82"/>
    <w:rsid w:val="002C47A2"/>
    <w:rsid w:val="002C49E5"/>
    <w:rsid w:val="002C6024"/>
    <w:rsid w:val="002C6638"/>
    <w:rsid w:val="002C67CE"/>
    <w:rsid w:val="002C7030"/>
    <w:rsid w:val="002C7AE0"/>
    <w:rsid w:val="002D0446"/>
    <w:rsid w:val="002D088D"/>
    <w:rsid w:val="002D188F"/>
    <w:rsid w:val="002D1F31"/>
    <w:rsid w:val="002D1FD0"/>
    <w:rsid w:val="002D244B"/>
    <w:rsid w:val="002D313B"/>
    <w:rsid w:val="002D37FB"/>
    <w:rsid w:val="002D46ED"/>
    <w:rsid w:val="002D474F"/>
    <w:rsid w:val="002D4CC1"/>
    <w:rsid w:val="002D4CDE"/>
    <w:rsid w:val="002D7697"/>
    <w:rsid w:val="002D7ED0"/>
    <w:rsid w:val="002D7F83"/>
    <w:rsid w:val="002E14FC"/>
    <w:rsid w:val="002E1966"/>
    <w:rsid w:val="002E2081"/>
    <w:rsid w:val="002E21E7"/>
    <w:rsid w:val="002E3C01"/>
    <w:rsid w:val="002E535B"/>
    <w:rsid w:val="002E5596"/>
    <w:rsid w:val="002E61A1"/>
    <w:rsid w:val="002E629E"/>
    <w:rsid w:val="002E68BF"/>
    <w:rsid w:val="002E6909"/>
    <w:rsid w:val="002E72EF"/>
    <w:rsid w:val="002E74A2"/>
    <w:rsid w:val="002E7A5C"/>
    <w:rsid w:val="002E7C0C"/>
    <w:rsid w:val="002F06CB"/>
    <w:rsid w:val="002F0E7B"/>
    <w:rsid w:val="002F2BAF"/>
    <w:rsid w:val="002F380F"/>
    <w:rsid w:val="002F5127"/>
    <w:rsid w:val="002F5B26"/>
    <w:rsid w:val="002F60CA"/>
    <w:rsid w:val="002F6682"/>
    <w:rsid w:val="002F6B98"/>
    <w:rsid w:val="002F7380"/>
    <w:rsid w:val="002F752F"/>
    <w:rsid w:val="00300FF4"/>
    <w:rsid w:val="003017F7"/>
    <w:rsid w:val="00302148"/>
    <w:rsid w:val="003028C4"/>
    <w:rsid w:val="00302BD1"/>
    <w:rsid w:val="00302F74"/>
    <w:rsid w:val="00303868"/>
    <w:rsid w:val="00303D27"/>
    <w:rsid w:val="003043A9"/>
    <w:rsid w:val="003044F9"/>
    <w:rsid w:val="0030515E"/>
    <w:rsid w:val="003051B1"/>
    <w:rsid w:val="003066FD"/>
    <w:rsid w:val="00306810"/>
    <w:rsid w:val="00307465"/>
    <w:rsid w:val="00307D8D"/>
    <w:rsid w:val="00307FA1"/>
    <w:rsid w:val="00310381"/>
    <w:rsid w:val="00310788"/>
    <w:rsid w:val="003112C5"/>
    <w:rsid w:val="00311EE9"/>
    <w:rsid w:val="003128C5"/>
    <w:rsid w:val="00313A41"/>
    <w:rsid w:val="00313F07"/>
    <w:rsid w:val="003144BA"/>
    <w:rsid w:val="003203E9"/>
    <w:rsid w:val="003204A9"/>
    <w:rsid w:val="0032057B"/>
    <w:rsid w:val="00320BE8"/>
    <w:rsid w:val="00320E9D"/>
    <w:rsid w:val="0032111C"/>
    <w:rsid w:val="00321838"/>
    <w:rsid w:val="00322648"/>
    <w:rsid w:val="003231EF"/>
    <w:rsid w:val="00323252"/>
    <w:rsid w:val="00324831"/>
    <w:rsid w:val="00324A27"/>
    <w:rsid w:val="00325AEC"/>
    <w:rsid w:val="00325FB1"/>
    <w:rsid w:val="0032669C"/>
    <w:rsid w:val="00327745"/>
    <w:rsid w:val="00330295"/>
    <w:rsid w:val="0033068E"/>
    <w:rsid w:val="00330B74"/>
    <w:rsid w:val="003311E3"/>
    <w:rsid w:val="00332757"/>
    <w:rsid w:val="00332C26"/>
    <w:rsid w:val="00332DBD"/>
    <w:rsid w:val="00332E3E"/>
    <w:rsid w:val="003333A4"/>
    <w:rsid w:val="003337C3"/>
    <w:rsid w:val="00333C07"/>
    <w:rsid w:val="00333C84"/>
    <w:rsid w:val="00335B55"/>
    <w:rsid w:val="003367EE"/>
    <w:rsid w:val="00336C16"/>
    <w:rsid w:val="00336DC1"/>
    <w:rsid w:val="00337064"/>
    <w:rsid w:val="003372A3"/>
    <w:rsid w:val="00337A68"/>
    <w:rsid w:val="00337DA7"/>
    <w:rsid w:val="00341747"/>
    <w:rsid w:val="00342BFB"/>
    <w:rsid w:val="00343038"/>
    <w:rsid w:val="00343665"/>
    <w:rsid w:val="00343824"/>
    <w:rsid w:val="00345C31"/>
    <w:rsid w:val="0034745A"/>
    <w:rsid w:val="00347623"/>
    <w:rsid w:val="0034796F"/>
    <w:rsid w:val="00347D22"/>
    <w:rsid w:val="00350C27"/>
    <w:rsid w:val="00350C5B"/>
    <w:rsid w:val="00351DC3"/>
    <w:rsid w:val="00352AC6"/>
    <w:rsid w:val="00352DDF"/>
    <w:rsid w:val="00352E8A"/>
    <w:rsid w:val="00353242"/>
    <w:rsid w:val="0035358E"/>
    <w:rsid w:val="00353E18"/>
    <w:rsid w:val="00354704"/>
    <w:rsid w:val="003556B1"/>
    <w:rsid w:val="003560CE"/>
    <w:rsid w:val="003564CF"/>
    <w:rsid w:val="003574B9"/>
    <w:rsid w:val="00357DDF"/>
    <w:rsid w:val="00360E4A"/>
    <w:rsid w:val="003617A8"/>
    <w:rsid w:val="00361835"/>
    <w:rsid w:val="00361850"/>
    <w:rsid w:val="0036191D"/>
    <w:rsid w:val="003625D0"/>
    <w:rsid w:val="0036297B"/>
    <w:rsid w:val="00362FA8"/>
    <w:rsid w:val="0036390E"/>
    <w:rsid w:val="003640CE"/>
    <w:rsid w:val="0036438C"/>
    <w:rsid w:val="00364397"/>
    <w:rsid w:val="003652F3"/>
    <w:rsid w:val="003659B7"/>
    <w:rsid w:val="00365B93"/>
    <w:rsid w:val="003661E1"/>
    <w:rsid w:val="0037028F"/>
    <w:rsid w:val="00370E6D"/>
    <w:rsid w:val="00372767"/>
    <w:rsid w:val="00373145"/>
    <w:rsid w:val="0037323F"/>
    <w:rsid w:val="0037332F"/>
    <w:rsid w:val="003736DD"/>
    <w:rsid w:val="00374200"/>
    <w:rsid w:val="003744F0"/>
    <w:rsid w:val="00375BA0"/>
    <w:rsid w:val="00376196"/>
    <w:rsid w:val="00376E87"/>
    <w:rsid w:val="00377C17"/>
    <w:rsid w:val="00377EBA"/>
    <w:rsid w:val="00380C4D"/>
    <w:rsid w:val="00381237"/>
    <w:rsid w:val="00381BAC"/>
    <w:rsid w:val="0038288C"/>
    <w:rsid w:val="003835E8"/>
    <w:rsid w:val="00383B9E"/>
    <w:rsid w:val="00383C2C"/>
    <w:rsid w:val="00384869"/>
    <w:rsid w:val="003849D3"/>
    <w:rsid w:val="00384EE7"/>
    <w:rsid w:val="003863BF"/>
    <w:rsid w:val="00386440"/>
    <w:rsid w:val="00386C76"/>
    <w:rsid w:val="00387846"/>
    <w:rsid w:val="00390087"/>
    <w:rsid w:val="00390E64"/>
    <w:rsid w:val="00391AF8"/>
    <w:rsid w:val="00391CE6"/>
    <w:rsid w:val="00391E5A"/>
    <w:rsid w:val="0039247F"/>
    <w:rsid w:val="00392701"/>
    <w:rsid w:val="00392908"/>
    <w:rsid w:val="00393B1A"/>
    <w:rsid w:val="00394EBB"/>
    <w:rsid w:val="00395495"/>
    <w:rsid w:val="00395646"/>
    <w:rsid w:val="00397955"/>
    <w:rsid w:val="003A0189"/>
    <w:rsid w:val="003A0690"/>
    <w:rsid w:val="003A06D0"/>
    <w:rsid w:val="003A1581"/>
    <w:rsid w:val="003A1AA1"/>
    <w:rsid w:val="003A2453"/>
    <w:rsid w:val="003A377A"/>
    <w:rsid w:val="003A3DA3"/>
    <w:rsid w:val="003A3E4F"/>
    <w:rsid w:val="003A415D"/>
    <w:rsid w:val="003A43B0"/>
    <w:rsid w:val="003A67EA"/>
    <w:rsid w:val="003A6D60"/>
    <w:rsid w:val="003A73FC"/>
    <w:rsid w:val="003B0189"/>
    <w:rsid w:val="003B1015"/>
    <w:rsid w:val="003B14D8"/>
    <w:rsid w:val="003B165A"/>
    <w:rsid w:val="003B183B"/>
    <w:rsid w:val="003B242C"/>
    <w:rsid w:val="003B26D6"/>
    <w:rsid w:val="003B50ED"/>
    <w:rsid w:val="003B53C4"/>
    <w:rsid w:val="003B5D8E"/>
    <w:rsid w:val="003B6539"/>
    <w:rsid w:val="003B7BB2"/>
    <w:rsid w:val="003C0878"/>
    <w:rsid w:val="003C0B0D"/>
    <w:rsid w:val="003C0F55"/>
    <w:rsid w:val="003C27A6"/>
    <w:rsid w:val="003C45BF"/>
    <w:rsid w:val="003C5DAD"/>
    <w:rsid w:val="003C5DFE"/>
    <w:rsid w:val="003C69AC"/>
    <w:rsid w:val="003C6E00"/>
    <w:rsid w:val="003C6EB5"/>
    <w:rsid w:val="003C6ED8"/>
    <w:rsid w:val="003C7AA1"/>
    <w:rsid w:val="003C7B84"/>
    <w:rsid w:val="003D0F15"/>
    <w:rsid w:val="003D15DE"/>
    <w:rsid w:val="003D1A96"/>
    <w:rsid w:val="003D1E6F"/>
    <w:rsid w:val="003D2247"/>
    <w:rsid w:val="003D2A3C"/>
    <w:rsid w:val="003D3348"/>
    <w:rsid w:val="003D3EC5"/>
    <w:rsid w:val="003D4197"/>
    <w:rsid w:val="003D4F58"/>
    <w:rsid w:val="003D55FC"/>
    <w:rsid w:val="003D59AE"/>
    <w:rsid w:val="003D5B40"/>
    <w:rsid w:val="003D6309"/>
    <w:rsid w:val="003D63FC"/>
    <w:rsid w:val="003D6E8A"/>
    <w:rsid w:val="003D7208"/>
    <w:rsid w:val="003E0D3C"/>
    <w:rsid w:val="003E1BAF"/>
    <w:rsid w:val="003E1E7C"/>
    <w:rsid w:val="003E2438"/>
    <w:rsid w:val="003E3A3B"/>
    <w:rsid w:val="003E4432"/>
    <w:rsid w:val="003E4E3B"/>
    <w:rsid w:val="003E5BA2"/>
    <w:rsid w:val="003E6664"/>
    <w:rsid w:val="003E68D4"/>
    <w:rsid w:val="003E691C"/>
    <w:rsid w:val="003E7034"/>
    <w:rsid w:val="003E7AE1"/>
    <w:rsid w:val="003F020C"/>
    <w:rsid w:val="003F2144"/>
    <w:rsid w:val="003F2183"/>
    <w:rsid w:val="003F2D79"/>
    <w:rsid w:val="003F3389"/>
    <w:rsid w:val="003F33B5"/>
    <w:rsid w:val="003F380F"/>
    <w:rsid w:val="003F381B"/>
    <w:rsid w:val="003F3AA6"/>
    <w:rsid w:val="003F46D5"/>
    <w:rsid w:val="003F4BF7"/>
    <w:rsid w:val="003F690B"/>
    <w:rsid w:val="003F6B20"/>
    <w:rsid w:val="003F74A4"/>
    <w:rsid w:val="003F7B94"/>
    <w:rsid w:val="00400E38"/>
    <w:rsid w:val="004012BA"/>
    <w:rsid w:val="00401506"/>
    <w:rsid w:val="00402379"/>
    <w:rsid w:val="004023FF"/>
    <w:rsid w:val="00403C00"/>
    <w:rsid w:val="00403DD4"/>
    <w:rsid w:val="004040AF"/>
    <w:rsid w:val="004054A1"/>
    <w:rsid w:val="004060D3"/>
    <w:rsid w:val="00406B8D"/>
    <w:rsid w:val="00407EB4"/>
    <w:rsid w:val="0041075A"/>
    <w:rsid w:val="004110D8"/>
    <w:rsid w:val="00411776"/>
    <w:rsid w:val="00412266"/>
    <w:rsid w:val="00412C7F"/>
    <w:rsid w:val="00415ADA"/>
    <w:rsid w:val="004164C4"/>
    <w:rsid w:val="00416993"/>
    <w:rsid w:val="00416D80"/>
    <w:rsid w:val="00417349"/>
    <w:rsid w:val="004174A5"/>
    <w:rsid w:val="004202B3"/>
    <w:rsid w:val="00421311"/>
    <w:rsid w:val="00421574"/>
    <w:rsid w:val="00422141"/>
    <w:rsid w:val="00422F7C"/>
    <w:rsid w:val="004235CF"/>
    <w:rsid w:val="00423FB2"/>
    <w:rsid w:val="0042455A"/>
    <w:rsid w:val="00424E53"/>
    <w:rsid w:val="004255D8"/>
    <w:rsid w:val="0042581D"/>
    <w:rsid w:val="00426E3C"/>
    <w:rsid w:val="0042786A"/>
    <w:rsid w:val="00430159"/>
    <w:rsid w:val="0043034C"/>
    <w:rsid w:val="0043040C"/>
    <w:rsid w:val="004329A3"/>
    <w:rsid w:val="004329EE"/>
    <w:rsid w:val="004333AD"/>
    <w:rsid w:val="00434148"/>
    <w:rsid w:val="00434C94"/>
    <w:rsid w:val="00434ED1"/>
    <w:rsid w:val="00434EE8"/>
    <w:rsid w:val="00435CE6"/>
    <w:rsid w:val="00436E30"/>
    <w:rsid w:val="00436FDC"/>
    <w:rsid w:val="00437AC4"/>
    <w:rsid w:val="004408A4"/>
    <w:rsid w:val="00440ED7"/>
    <w:rsid w:val="00440FFF"/>
    <w:rsid w:val="00441606"/>
    <w:rsid w:val="0044180E"/>
    <w:rsid w:val="0044207F"/>
    <w:rsid w:val="0044356A"/>
    <w:rsid w:val="00443DDD"/>
    <w:rsid w:val="00444AE6"/>
    <w:rsid w:val="00444F0B"/>
    <w:rsid w:val="004456F5"/>
    <w:rsid w:val="00445E51"/>
    <w:rsid w:val="00446A41"/>
    <w:rsid w:val="00446A6A"/>
    <w:rsid w:val="00446BD3"/>
    <w:rsid w:val="00447111"/>
    <w:rsid w:val="00447E9E"/>
    <w:rsid w:val="00447EB9"/>
    <w:rsid w:val="004512CA"/>
    <w:rsid w:val="004517DE"/>
    <w:rsid w:val="00451BC7"/>
    <w:rsid w:val="004521B7"/>
    <w:rsid w:val="00452726"/>
    <w:rsid w:val="004527AD"/>
    <w:rsid w:val="00452A08"/>
    <w:rsid w:val="00452B9E"/>
    <w:rsid w:val="00452BC7"/>
    <w:rsid w:val="00452EAD"/>
    <w:rsid w:val="004530C1"/>
    <w:rsid w:val="00453D8D"/>
    <w:rsid w:val="00453F15"/>
    <w:rsid w:val="00454050"/>
    <w:rsid w:val="00454AD7"/>
    <w:rsid w:val="00454E2F"/>
    <w:rsid w:val="00455941"/>
    <w:rsid w:val="004569E3"/>
    <w:rsid w:val="00460265"/>
    <w:rsid w:val="004623B7"/>
    <w:rsid w:val="00462479"/>
    <w:rsid w:val="00462E8B"/>
    <w:rsid w:val="00463020"/>
    <w:rsid w:val="00463247"/>
    <w:rsid w:val="0046377D"/>
    <w:rsid w:val="00464B1C"/>
    <w:rsid w:val="00465277"/>
    <w:rsid w:val="004659B5"/>
    <w:rsid w:val="00465E52"/>
    <w:rsid w:val="00466057"/>
    <w:rsid w:val="004667DC"/>
    <w:rsid w:val="00466A70"/>
    <w:rsid w:val="00467B8E"/>
    <w:rsid w:val="00467D71"/>
    <w:rsid w:val="004700B3"/>
    <w:rsid w:val="00470AB9"/>
    <w:rsid w:val="00471B2C"/>
    <w:rsid w:val="00473309"/>
    <w:rsid w:val="004733EA"/>
    <w:rsid w:val="00473859"/>
    <w:rsid w:val="004756CD"/>
    <w:rsid w:val="004756D1"/>
    <w:rsid w:val="004756DC"/>
    <w:rsid w:val="004762A5"/>
    <w:rsid w:val="00476ABC"/>
    <w:rsid w:val="00477468"/>
    <w:rsid w:val="00482A82"/>
    <w:rsid w:val="004830E7"/>
    <w:rsid w:val="00483690"/>
    <w:rsid w:val="004838BF"/>
    <w:rsid w:val="004841C7"/>
    <w:rsid w:val="00484327"/>
    <w:rsid w:val="00484932"/>
    <w:rsid w:val="00484C8D"/>
    <w:rsid w:val="00484CAC"/>
    <w:rsid w:val="00484FFB"/>
    <w:rsid w:val="004856D9"/>
    <w:rsid w:val="00485E21"/>
    <w:rsid w:val="00486F4A"/>
    <w:rsid w:val="004872A4"/>
    <w:rsid w:val="00490235"/>
    <w:rsid w:val="0049073E"/>
    <w:rsid w:val="00490E89"/>
    <w:rsid w:val="0049155C"/>
    <w:rsid w:val="004920C0"/>
    <w:rsid w:val="00492193"/>
    <w:rsid w:val="004926C3"/>
    <w:rsid w:val="00492A9B"/>
    <w:rsid w:val="0049316B"/>
    <w:rsid w:val="00493FCD"/>
    <w:rsid w:val="0049481D"/>
    <w:rsid w:val="00494D1D"/>
    <w:rsid w:val="00494DA1"/>
    <w:rsid w:val="00495057"/>
    <w:rsid w:val="004951AB"/>
    <w:rsid w:val="00496433"/>
    <w:rsid w:val="00496AF7"/>
    <w:rsid w:val="004A00F8"/>
    <w:rsid w:val="004A014B"/>
    <w:rsid w:val="004A0A6B"/>
    <w:rsid w:val="004A1595"/>
    <w:rsid w:val="004A2480"/>
    <w:rsid w:val="004A263A"/>
    <w:rsid w:val="004A3C5D"/>
    <w:rsid w:val="004A5C4C"/>
    <w:rsid w:val="004A6653"/>
    <w:rsid w:val="004A7E25"/>
    <w:rsid w:val="004B014F"/>
    <w:rsid w:val="004B053B"/>
    <w:rsid w:val="004B09E0"/>
    <w:rsid w:val="004B21E6"/>
    <w:rsid w:val="004B2E74"/>
    <w:rsid w:val="004B35CE"/>
    <w:rsid w:val="004B3BBF"/>
    <w:rsid w:val="004B3D85"/>
    <w:rsid w:val="004B43E6"/>
    <w:rsid w:val="004B5341"/>
    <w:rsid w:val="004B5E13"/>
    <w:rsid w:val="004B6350"/>
    <w:rsid w:val="004B6D30"/>
    <w:rsid w:val="004B75FE"/>
    <w:rsid w:val="004B7B63"/>
    <w:rsid w:val="004C054B"/>
    <w:rsid w:val="004C0BB8"/>
    <w:rsid w:val="004C13F5"/>
    <w:rsid w:val="004C1BB5"/>
    <w:rsid w:val="004C1C3C"/>
    <w:rsid w:val="004C1CFA"/>
    <w:rsid w:val="004C2001"/>
    <w:rsid w:val="004C2EB2"/>
    <w:rsid w:val="004C31BA"/>
    <w:rsid w:val="004C3717"/>
    <w:rsid w:val="004C3E40"/>
    <w:rsid w:val="004C4604"/>
    <w:rsid w:val="004C46A8"/>
    <w:rsid w:val="004C4F8D"/>
    <w:rsid w:val="004C583F"/>
    <w:rsid w:val="004C6009"/>
    <w:rsid w:val="004C6EEA"/>
    <w:rsid w:val="004D1FC7"/>
    <w:rsid w:val="004D20FD"/>
    <w:rsid w:val="004D32B6"/>
    <w:rsid w:val="004D45B4"/>
    <w:rsid w:val="004D4678"/>
    <w:rsid w:val="004D4726"/>
    <w:rsid w:val="004D48BC"/>
    <w:rsid w:val="004D5019"/>
    <w:rsid w:val="004D6574"/>
    <w:rsid w:val="004D682B"/>
    <w:rsid w:val="004D6DF4"/>
    <w:rsid w:val="004D7D62"/>
    <w:rsid w:val="004E1240"/>
    <w:rsid w:val="004E141A"/>
    <w:rsid w:val="004E31A8"/>
    <w:rsid w:val="004E3624"/>
    <w:rsid w:val="004E3657"/>
    <w:rsid w:val="004E3FB1"/>
    <w:rsid w:val="004E48C5"/>
    <w:rsid w:val="004E4B87"/>
    <w:rsid w:val="004E6F0B"/>
    <w:rsid w:val="004E7C25"/>
    <w:rsid w:val="004F0CC9"/>
    <w:rsid w:val="004F374D"/>
    <w:rsid w:val="004F3A7E"/>
    <w:rsid w:val="004F47EB"/>
    <w:rsid w:val="004F5571"/>
    <w:rsid w:val="004F5AD0"/>
    <w:rsid w:val="004F6F77"/>
    <w:rsid w:val="004F7025"/>
    <w:rsid w:val="004F732A"/>
    <w:rsid w:val="004F7783"/>
    <w:rsid w:val="00501286"/>
    <w:rsid w:val="00501658"/>
    <w:rsid w:val="00501DD3"/>
    <w:rsid w:val="00502597"/>
    <w:rsid w:val="0050274C"/>
    <w:rsid w:val="005038C1"/>
    <w:rsid w:val="00503B8D"/>
    <w:rsid w:val="00503D99"/>
    <w:rsid w:val="0050414C"/>
    <w:rsid w:val="005041D3"/>
    <w:rsid w:val="005041F4"/>
    <w:rsid w:val="00505F82"/>
    <w:rsid w:val="0050613B"/>
    <w:rsid w:val="00506FE0"/>
    <w:rsid w:val="00507148"/>
    <w:rsid w:val="005071E7"/>
    <w:rsid w:val="005075A3"/>
    <w:rsid w:val="00507A48"/>
    <w:rsid w:val="00507C7A"/>
    <w:rsid w:val="00510258"/>
    <w:rsid w:val="005103AC"/>
    <w:rsid w:val="0051111D"/>
    <w:rsid w:val="0051166B"/>
    <w:rsid w:val="00511C75"/>
    <w:rsid w:val="0051289E"/>
    <w:rsid w:val="00512A69"/>
    <w:rsid w:val="00512B6B"/>
    <w:rsid w:val="00513E99"/>
    <w:rsid w:val="00514FA5"/>
    <w:rsid w:val="0051536F"/>
    <w:rsid w:val="00515C57"/>
    <w:rsid w:val="00515F52"/>
    <w:rsid w:val="00516F84"/>
    <w:rsid w:val="00517099"/>
    <w:rsid w:val="005170BD"/>
    <w:rsid w:val="0051751A"/>
    <w:rsid w:val="00517619"/>
    <w:rsid w:val="00517E65"/>
    <w:rsid w:val="00520021"/>
    <w:rsid w:val="005222DA"/>
    <w:rsid w:val="005225B2"/>
    <w:rsid w:val="00522C86"/>
    <w:rsid w:val="00524091"/>
    <w:rsid w:val="00526F8A"/>
    <w:rsid w:val="005271F8"/>
    <w:rsid w:val="00530723"/>
    <w:rsid w:val="00532FD3"/>
    <w:rsid w:val="00533727"/>
    <w:rsid w:val="00533EA3"/>
    <w:rsid w:val="005340FB"/>
    <w:rsid w:val="00534790"/>
    <w:rsid w:val="005349A7"/>
    <w:rsid w:val="0053513F"/>
    <w:rsid w:val="00535C12"/>
    <w:rsid w:val="005367CC"/>
    <w:rsid w:val="0053708C"/>
    <w:rsid w:val="0053719D"/>
    <w:rsid w:val="005373FF"/>
    <w:rsid w:val="005376EE"/>
    <w:rsid w:val="00541073"/>
    <w:rsid w:val="005410F8"/>
    <w:rsid w:val="00541674"/>
    <w:rsid w:val="005422D8"/>
    <w:rsid w:val="00543761"/>
    <w:rsid w:val="00543796"/>
    <w:rsid w:val="00545CB1"/>
    <w:rsid w:val="0054662E"/>
    <w:rsid w:val="00546927"/>
    <w:rsid w:val="00547132"/>
    <w:rsid w:val="0054716E"/>
    <w:rsid w:val="00547662"/>
    <w:rsid w:val="005477F1"/>
    <w:rsid w:val="00547DFE"/>
    <w:rsid w:val="0055028B"/>
    <w:rsid w:val="0055077D"/>
    <w:rsid w:val="00550D9B"/>
    <w:rsid w:val="00551291"/>
    <w:rsid w:val="00551691"/>
    <w:rsid w:val="00552343"/>
    <w:rsid w:val="00552BCE"/>
    <w:rsid w:val="00552C2C"/>
    <w:rsid w:val="00553C35"/>
    <w:rsid w:val="00553F5A"/>
    <w:rsid w:val="005545F2"/>
    <w:rsid w:val="005546F7"/>
    <w:rsid w:val="005553E6"/>
    <w:rsid w:val="0055567F"/>
    <w:rsid w:val="00555750"/>
    <w:rsid w:val="00555B55"/>
    <w:rsid w:val="00556F15"/>
    <w:rsid w:val="00557736"/>
    <w:rsid w:val="005606CE"/>
    <w:rsid w:val="0056099B"/>
    <w:rsid w:val="00561CE4"/>
    <w:rsid w:val="00561ECA"/>
    <w:rsid w:val="005624C3"/>
    <w:rsid w:val="00562EF0"/>
    <w:rsid w:val="00562FAA"/>
    <w:rsid w:val="00564A13"/>
    <w:rsid w:val="00565333"/>
    <w:rsid w:val="0056546F"/>
    <w:rsid w:val="0056771B"/>
    <w:rsid w:val="00571034"/>
    <w:rsid w:val="00571E05"/>
    <w:rsid w:val="00572C44"/>
    <w:rsid w:val="00573849"/>
    <w:rsid w:val="005743FF"/>
    <w:rsid w:val="005755D3"/>
    <w:rsid w:val="00575FB0"/>
    <w:rsid w:val="005762FE"/>
    <w:rsid w:val="005764F4"/>
    <w:rsid w:val="00580B20"/>
    <w:rsid w:val="00580C15"/>
    <w:rsid w:val="005816CE"/>
    <w:rsid w:val="00582143"/>
    <w:rsid w:val="00582D38"/>
    <w:rsid w:val="00583EB1"/>
    <w:rsid w:val="0058421A"/>
    <w:rsid w:val="0058437E"/>
    <w:rsid w:val="00584D99"/>
    <w:rsid w:val="005854FE"/>
    <w:rsid w:val="00585A05"/>
    <w:rsid w:val="00585E78"/>
    <w:rsid w:val="00586DB4"/>
    <w:rsid w:val="00587146"/>
    <w:rsid w:val="00587A9E"/>
    <w:rsid w:val="00587E8D"/>
    <w:rsid w:val="00590AFD"/>
    <w:rsid w:val="00590B57"/>
    <w:rsid w:val="00591644"/>
    <w:rsid w:val="005918F6"/>
    <w:rsid w:val="00591F98"/>
    <w:rsid w:val="005924F7"/>
    <w:rsid w:val="00592E49"/>
    <w:rsid w:val="00593443"/>
    <w:rsid w:val="00593556"/>
    <w:rsid w:val="005948D3"/>
    <w:rsid w:val="00594D44"/>
    <w:rsid w:val="005968BF"/>
    <w:rsid w:val="00596CFC"/>
    <w:rsid w:val="005A0219"/>
    <w:rsid w:val="005A0765"/>
    <w:rsid w:val="005A0C26"/>
    <w:rsid w:val="005A10AB"/>
    <w:rsid w:val="005A110E"/>
    <w:rsid w:val="005A15CD"/>
    <w:rsid w:val="005A206F"/>
    <w:rsid w:val="005A21CE"/>
    <w:rsid w:val="005A2F0E"/>
    <w:rsid w:val="005A3125"/>
    <w:rsid w:val="005A3366"/>
    <w:rsid w:val="005A6B5F"/>
    <w:rsid w:val="005B0359"/>
    <w:rsid w:val="005B0C29"/>
    <w:rsid w:val="005B104A"/>
    <w:rsid w:val="005B1405"/>
    <w:rsid w:val="005B20F3"/>
    <w:rsid w:val="005B23DD"/>
    <w:rsid w:val="005B31C6"/>
    <w:rsid w:val="005B353C"/>
    <w:rsid w:val="005B3CBB"/>
    <w:rsid w:val="005B40F0"/>
    <w:rsid w:val="005B4195"/>
    <w:rsid w:val="005B49C7"/>
    <w:rsid w:val="005B4F18"/>
    <w:rsid w:val="005B58FC"/>
    <w:rsid w:val="005B6C13"/>
    <w:rsid w:val="005B7AD5"/>
    <w:rsid w:val="005B7FD3"/>
    <w:rsid w:val="005C0324"/>
    <w:rsid w:val="005C0C50"/>
    <w:rsid w:val="005C0CB4"/>
    <w:rsid w:val="005C11C4"/>
    <w:rsid w:val="005C1F29"/>
    <w:rsid w:val="005C296F"/>
    <w:rsid w:val="005C3139"/>
    <w:rsid w:val="005C32B0"/>
    <w:rsid w:val="005C419F"/>
    <w:rsid w:val="005C4343"/>
    <w:rsid w:val="005C45AC"/>
    <w:rsid w:val="005C47F2"/>
    <w:rsid w:val="005C552B"/>
    <w:rsid w:val="005C622E"/>
    <w:rsid w:val="005C670E"/>
    <w:rsid w:val="005C6CCD"/>
    <w:rsid w:val="005D1338"/>
    <w:rsid w:val="005D15A9"/>
    <w:rsid w:val="005D34EE"/>
    <w:rsid w:val="005D4222"/>
    <w:rsid w:val="005D499A"/>
    <w:rsid w:val="005D5116"/>
    <w:rsid w:val="005D5D30"/>
    <w:rsid w:val="005D62ED"/>
    <w:rsid w:val="005D6811"/>
    <w:rsid w:val="005D7E32"/>
    <w:rsid w:val="005E0388"/>
    <w:rsid w:val="005E063B"/>
    <w:rsid w:val="005E14CC"/>
    <w:rsid w:val="005E190C"/>
    <w:rsid w:val="005E22EE"/>
    <w:rsid w:val="005E23FC"/>
    <w:rsid w:val="005E26E0"/>
    <w:rsid w:val="005E2FDA"/>
    <w:rsid w:val="005E3818"/>
    <w:rsid w:val="005E386D"/>
    <w:rsid w:val="005E3EAC"/>
    <w:rsid w:val="005E5765"/>
    <w:rsid w:val="005E5944"/>
    <w:rsid w:val="005E59E9"/>
    <w:rsid w:val="005E5FB6"/>
    <w:rsid w:val="005E62FB"/>
    <w:rsid w:val="005E6417"/>
    <w:rsid w:val="005E68F7"/>
    <w:rsid w:val="005E77FF"/>
    <w:rsid w:val="005F0536"/>
    <w:rsid w:val="005F0598"/>
    <w:rsid w:val="005F1190"/>
    <w:rsid w:val="005F1A94"/>
    <w:rsid w:val="005F1BCF"/>
    <w:rsid w:val="005F1D8E"/>
    <w:rsid w:val="005F22E0"/>
    <w:rsid w:val="005F2969"/>
    <w:rsid w:val="005F2FC2"/>
    <w:rsid w:val="005F36F9"/>
    <w:rsid w:val="005F54DA"/>
    <w:rsid w:val="005F6E95"/>
    <w:rsid w:val="005F7073"/>
    <w:rsid w:val="005F7F46"/>
    <w:rsid w:val="00600074"/>
    <w:rsid w:val="00600359"/>
    <w:rsid w:val="00600C58"/>
    <w:rsid w:val="00601372"/>
    <w:rsid w:val="00602167"/>
    <w:rsid w:val="0060276A"/>
    <w:rsid w:val="00603343"/>
    <w:rsid w:val="00603E2B"/>
    <w:rsid w:val="00603EA5"/>
    <w:rsid w:val="00604B71"/>
    <w:rsid w:val="00604DAF"/>
    <w:rsid w:val="006051D5"/>
    <w:rsid w:val="006055CB"/>
    <w:rsid w:val="006061BA"/>
    <w:rsid w:val="0060678B"/>
    <w:rsid w:val="006078B9"/>
    <w:rsid w:val="00607C98"/>
    <w:rsid w:val="00607D37"/>
    <w:rsid w:val="006103A3"/>
    <w:rsid w:val="0061042F"/>
    <w:rsid w:val="0061061B"/>
    <w:rsid w:val="00610CEB"/>
    <w:rsid w:val="00611004"/>
    <w:rsid w:val="0061114F"/>
    <w:rsid w:val="006123C8"/>
    <w:rsid w:val="00612BE4"/>
    <w:rsid w:val="0061441D"/>
    <w:rsid w:val="006146D8"/>
    <w:rsid w:val="00614A12"/>
    <w:rsid w:val="00614E55"/>
    <w:rsid w:val="00614FFF"/>
    <w:rsid w:val="0061566A"/>
    <w:rsid w:val="006163E3"/>
    <w:rsid w:val="006167C8"/>
    <w:rsid w:val="006171DC"/>
    <w:rsid w:val="00617800"/>
    <w:rsid w:val="006179E2"/>
    <w:rsid w:val="00617D8B"/>
    <w:rsid w:val="0062054E"/>
    <w:rsid w:val="0062087D"/>
    <w:rsid w:val="00620AB2"/>
    <w:rsid w:val="00620F3A"/>
    <w:rsid w:val="00621306"/>
    <w:rsid w:val="00622D44"/>
    <w:rsid w:val="006232F8"/>
    <w:rsid w:val="00623A17"/>
    <w:rsid w:val="00624F9F"/>
    <w:rsid w:val="0062504A"/>
    <w:rsid w:val="006255A1"/>
    <w:rsid w:val="00625F82"/>
    <w:rsid w:val="006268F4"/>
    <w:rsid w:val="0062724A"/>
    <w:rsid w:val="00627E51"/>
    <w:rsid w:val="00630E4B"/>
    <w:rsid w:val="00630F8C"/>
    <w:rsid w:val="00631203"/>
    <w:rsid w:val="00631328"/>
    <w:rsid w:val="00631962"/>
    <w:rsid w:val="0063236C"/>
    <w:rsid w:val="00632BFA"/>
    <w:rsid w:val="00632E9A"/>
    <w:rsid w:val="006332E6"/>
    <w:rsid w:val="0063390D"/>
    <w:rsid w:val="00633A60"/>
    <w:rsid w:val="00633B10"/>
    <w:rsid w:val="00633FDB"/>
    <w:rsid w:val="00634104"/>
    <w:rsid w:val="00634DF6"/>
    <w:rsid w:val="0063563D"/>
    <w:rsid w:val="00635781"/>
    <w:rsid w:val="00635BE7"/>
    <w:rsid w:val="006360E8"/>
    <w:rsid w:val="00637559"/>
    <w:rsid w:val="0063781D"/>
    <w:rsid w:val="00637EC8"/>
    <w:rsid w:val="006402AA"/>
    <w:rsid w:val="0064057B"/>
    <w:rsid w:val="00640711"/>
    <w:rsid w:val="00640C92"/>
    <w:rsid w:val="00640DEC"/>
    <w:rsid w:val="0064135E"/>
    <w:rsid w:val="006420B1"/>
    <w:rsid w:val="0064285C"/>
    <w:rsid w:val="00642CCB"/>
    <w:rsid w:val="00643D85"/>
    <w:rsid w:val="006448F6"/>
    <w:rsid w:val="00644C63"/>
    <w:rsid w:val="00645AAD"/>
    <w:rsid w:val="00645FE9"/>
    <w:rsid w:val="006461F2"/>
    <w:rsid w:val="00646DA6"/>
    <w:rsid w:val="00647D22"/>
    <w:rsid w:val="00650348"/>
    <w:rsid w:val="00651031"/>
    <w:rsid w:val="00652226"/>
    <w:rsid w:val="00652347"/>
    <w:rsid w:val="00653947"/>
    <w:rsid w:val="00653EB5"/>
    <w:rsid w:val="00653FAF"/>
    <w:rsid w:val="00654F2F"/>
    <w:rsid w:val="00655668"/>
    <w:rsid w:val="006558E1"/>
    <w:rsid w:val="00655A48"/>
    <w:rsid w:val="00655F81"/>
    <w:rsid w:val="006563FA"/>
    <w:rsid w:val="006566FA"/>
    <w:rsid w:val="00656C0A"/>
    <w:rsid w:val="006571E5"/>
    <w:rsid w:val="006575E4"/>
    <w:rsid w:val="00657DED"/>
    <w:rsid w:val="00660101"/>
    <w:rsid w:val="00660FB3"/>
    <w:rsid w:val="0066126B"/>
    <w:rsid w:val="006615FC"/>
    <w:rsid w:val="00661682"/>
    <w:rsid w:val="00662169"/>
    <w:rsid w:val="0066232C"/>
    <w:rsid w:val="00662878"/>
    <w:rsid w:val="00664EBB"/>
    <w:rsid w:val="0066598D"/>
    <w:rsid w:val="00665A54"/>
    <w:rsid w:val="006669B7"/>
    <w:rsid w:val="00666C18"/>
    <w:rsid w:val="00666C71"/>
    <w:rsid w:val="00667973"/>
    <w:rsid w:val="00667EEE"/>
    <w:rsid w:val="00670221"/>
    <w:rsid w:val="006703FA"/>
    <w:rsid w:val="00670652"/>
    <w:rsid w:val="006716C9"/>
    <w:rsid w:val="00671910"/>
    <w:rsid w:val="00671ABF"/>
    <w:rsid w:val="00671E72"/>
    <w:rsid w:val="00673B7B"/>
    <w:rsid w:val="00674091"/>
    <w:rsid w:val="0067431F"/>
    <w:rsid w:val="0067492B"/>
    <w:rsid w:val="00674E02"/>
    <w:rsid w:val="00675D91"/>
    <w:rsid w:val="00675F80"/>
    <w:rsid w:val="00676EA7"/>
    <w:rsid w:val="0067757D"/>
    <w:rsid w:val="00680258"/>
    <w:rsid w:val="006802BC"/>
    <w:rsid w:val="00680662"/>
    <w:rsid w:val="00680674"/>
    <w:rsid w:val="00681225"/>
    <w:rsid w:val="0068162C"/>
    <w:rsid w:val="006818F4"/>
    <w:rsid w:val="0068192D"/>
    <w:rsid w:val="006842FB"/>
    <w:rsid w:val="00684DED"/>
    <w:rsid w:val="006851A4"/>
    <w:rsid w:val="00687E0A"/>
    <w:rsid w:val="00690B2B"/>
    <w:rsid w:val="00690BFB"/>
    <w:rsid w:val="00691207"/>
    <w:rsid w:val="00691E4D"/>
    <w:rsid w:val="00692491"/>
    <w:rsid w:val="00692650"/>
    <w:rsid w:val="00693484"/>
    <w:rsid w:val="00694009"/>
    <w:rsid w:val="00694765"/>
    <w:rsid w:val="00695278"/>
    <w:rsid w:val="00695A12"/>
    <w:rsid w:val="006960A8"/>
    <w:rsid w:val="006977C2"/>
    <w:rsid w:val="006A10A5"/>
    <w:rsid w:val="006A348F"/>
    <w:rsid w:val="006A38B4"/>
    <w:rsid w:val="006A3B80"/>
    <w:rsid w:val="006A415A"/>
    <w:rsid w:val="006A4D23"/>
    <w:rsid w:val="006A51D5"/>
    <w:rsid w:val="006A520B"/>
    <w:rsid w:val="006A52DA"/>
    <w:rsid w:val="006A5943"/>
    <w:rsid w:val="006A63A1"/>
    <w:rsid w:val="006A6E34"/>
    <w:rsid w:val="006A7380"/>
    <w:rsid w:val="006B09E7"/>
    <w:rsid w:val="006B0B34"/>
    <w:rsid w:val="006B1ADC"/>
    <w:rsid w:val="006B1B88"/>
    <w:rsid w:val="006B217E"/>
    <w:rsid w:val="006B2BCC"/>
    <w:rsid w:val="006B3B6E"/>
    <w:rsid w:val="006B3DB6"/>
    <w:rsid w:val="006B3F25"/>
    <w:rsid w:val="006B4F57"/>
    <w:rsid w:val="006B605F"/>
    <w:rsid w:val="006B736D"/>
    <w:rsid w:val="006C01FB"/>
    <w:rsid w:val="006C07C5"/>
    <w:rsid w:val="006C09D6"/>
    <w:rsid w:val="006C0CDA"/>
    <w:rsid w:val="006C36CE"/>
    <w:rsid w:val="006C3CAF"/>
    <w:rsid w:val="006C3D55"/>
    <w:rsid w:val="006C3D76"/>
    <w:rsid w:val="006C4556"/>
    <w:rsid w:val="006C5A2A"/>
    <w:rsid w:val="006C75FE"/>
    <w:rsid w:val="006C788B"/>
    <w:rsid w:val="006D0097"/>
    <w:rsid w:val="006D0493"/>
    <w:rsid w:val="006D0D42"/>
    <w:rsid w:val="006D0D7F"/>
    <w:rsid w:val="006D0E48"/>
    <w:rsid w:val="006D13C5"/>
    <w:rsid w:val="006D13F3"/>
    <w:rsid w:val="006D140E"/>
    <w:rsid w:val="006D21E5"/>
    <w:rsid w:val="006D3781"/>
    <w:rsid w:val="006D41CA"/>
    <w:rsid w:val="006D4450"/>
    <w:rsid w:val="006D462B"/>
    <w:rsid w:val="006D46DC"/>
    <w:rsid w:val="006D51E6"/>
    <w:rsid w:val="006D530C"/>
    <w:rsid w:val="006D6CAB"/>
    <w:rsid w:val="006D794C"/>
    <w:rsid w:val="006D7B66"/>
    <w:rsid w:val="006D7C76"/>
    <w:rsid w:val="006D7DCC"/>
    <w:rsid w:val="006E04C9"/>
    <w:rsid w:val="006E0671"/>
    <w:rsid w:val="006E0CD7"/>
    <w:rsid w:val="006E17B8"/>
    <w:rsid w:val="006E1AED"/>
    <w:rsid w:val="006E22A5"/>
    <w:rsid w:val="006E2EA8"/>
    <w:rsid w:val="006E3692"/>
    <w:rsid w:val="006E3931"/>
    <w:rsid w:val="006E45D0"/>
    <w:rsid w:val="006E477E"/>
    <w:rsid w:val="006E5A9C"/>
    <w:rsid w:val="006E7508"/>
    <w:rsid w:val="006E7899"/>
    <w:rsid w:val="006F09C4"/>
    <w:rsid w:val="006F0D22"/>
    <w:rsid w:val="006F1100"/>
    <w:rsid w:val="006F15EA"/>
    <w:rsid w:val="006F30EE"/>
    <w:rsid w:val="006F3B5F"/>
    <w:rsid w:val="006F40DD"/>
    <w:rsid w:val="006F4A32"/>
    <w:rsid w:val="006F4E6E"/>
    <w:rsid w:val="006F5322"/>
    <w:rsid w:val="006F5D4F"/>
    <w:rsid w:val="006F6A1B"/>
    <w:rsid w:val="006F77EB"/>
    <w:rsid w:val="00700BF7"/>
    <w:rsid w:val="00701A10"/>
    <w:rsid w:val="00701BE5"/>
    <w:rsid w:val="00702724"/>
    <w:rsid w:val="00703044"/>
    <w:rsid w:val="00703216"/>
    <w:rsid w:val="0070352D"/>
    <w:rsid w:val="00703C24"/>
    <w:rsid w:val="0070440B"/>
    <w:rsid w:val="00704E77"/>
    <w:rsid w:val="00706C09"/>
    <w:rsid w:val="0070792F"/>
    <w:rsid w:val="00707CB7"/>
    <w:rsid w:val="00707D65"/>
    <w:rsid w:val="00707DEC"/>
    <w:rsid w:val="007102DA"/>
    <w:rsid w:val="00710362"/>
    <w:rsid w:val="007103F9"/>
    <w:rsid w:val="0071105C"/>
    <w:rsid w:val="00712190"/>
    <w:rsid w:val="00713038"/>
    <w:rsid w:val="0071393C"/>
    <w:rsid w:val="00714494"/>
    <w:rsid w:val="00714B29"/>
    <w:rsid w:val="00714E80"/>
    <w:rsid w:val="007158B9"/>
    <w:rsid w:val="00715A0F"/>
    <w:rsid w:val="00715D3C"/>
    <w:rsid w:val="00715E52"/>
    <w:rsid w:val="00720C43"/>
    <w:rsid w:val="00720E6F"/>
    <w:rsid w:val="00721175"/>
    <w:rsid w:val="0072139F"/>
    <w:rsid w:val="0072319B"/>
    <w:rsid w:val="007236CD"/>
    <w:rsid w:val="00724A2A"/>
    <w:rsid w:val="00725F9F"/>
    <w:rsid w:val="0072786C"/>
    <w:rsid w:val="00730403"/>
    <w:rsid w:val="0073073F"/>
    <w:rsid w:val="00730DDF"/>
    <w:rsid w:val="00731024"/>
    <w:rsid w:val="00731158"/>
    <w:rsid w:val="00731246"/>
    <w:rsid w:val="00731FB6"/>
    <w:rsid w:val="0073216E"/>
    <w:rsid w:val="00732563"/>
    <w:rsid w:val="00732768"/>
    <w:rsid w:val="007330A4"/>
    <w:rsid w:val="00734601"/>
    <w:rsid w:val="0073546C"/>
    <w:rsid w:val="00735707"/>
    <w:rsid w:val="0073615A"/>
    <w:rsid w:val="0073622E"/>
    <w:rsid w:val="00736291"/>
    <w:rsid w:val="00736AAB"/>
    <w:rsid w:val="00736DAD"/>
    <w:rsid w:val="00737630"/>
    <w:rsid w:val="00737776"/>
    <w:rsid w:val="0074005A"/>
    <w:rsid w:val="00740966"/>
    <w:rsid w:val="00740E7F"/>
    <w:rsid w:val="00741317"/>
    <w:rsid w:val="007420C6"/>
    <w:rsid w:val="00742176"/>
    <w:rsid w:val="00742247"/>
    <w:rsid w:val="00742339"/>
    <w:rsid w:val="00743266"/>
    <w:rsid w:val="00743421"/>
    <w:rsid w:val="007435EC"/>
    <w:rsid w:val="007440C4"/>
    <w:rsid w:val="007449B3"/>
    <w:rsid w:val="00744CC5"/>
    <w:rsid w:val="00745D28"/>
    <w:rsid w:val="00745E6C"/>
    <w:rsid w:val="00746078"/>
    <w:rsid w:val="00746F32"/>
    <w:rsid w:val="00747655"/>
    <w:rsid w:val="00750587"/>
    <w:rsid w:val="00751989"/>
    <w:rsid w:val="00751A20"/>
    <w:rsid w:val="007527BD"/>
    <w:rsid w:val="00752CDB"/>
    <w:rsid w:val="00753522"/>
    <w:rsid w:val="007538E7"/>
    <w:rsid w:val="00754937"/>
    <w:rsid w:val="00754A92"/>
    <w:rsid w:val="00755743"/>
    <w:rsid w:val="00756F4C"/>
    <w:rsid w:val="0075725A"/>
    <w:rsid w:val="00757FF3"/>
    <w:rsid w:val="007609E7"/>
    <w:rsid w:val="00760B0B"/>
    <w:rsid w:val="00760FFB"/>
    <w:rsid w:val="0076115C"/>
    <w:rsid w:val="007616FD"/>
    <w:rsid w:val="00761FB5"/>
    <w:rsid w:val="00762242"/>
    <w:rsid w:val="00763259"/>
    <w:rsid w:val="00763758"/>
    <w:rsid w:val="00764447"/>
    <w:rsid w:val="007644FB"/>
    <w:rsid w:val="00764AA1"/>
    <w:rsid w:val="00765447"/>
    <w:rsid w:val="007659BD"/>
    <w:rsid w:val="00765A39"/>
    <w:rsid w:val="00765F40"/>
    <w:rsid w:val="0076713A"/>
    <w:rsid w:val="00767521"/>
    <w:rsid w:val="00767930"/>
    <w:rsid w:val="00767BAF"/>
    <w:rsid w:val="0077117B"/>
    <w:rsid w:val="0077217E"/>
    <w:rsid w:val="007724AA"/>
    <w:rsid w:val="00772818"/>
    <w:rsid w:val="00772984"/>
    <w:rsid w:val="00773258"/>
    <w:rsid w:val="00773E5C"/>
    <w:rsid w:val="00774024"/>
    <w:rsid w:val="00774802"/>
    <w:rsid w:val="00775904"/>
    <w:rsid w:val="00775B14"/>
    <w:rsid w:val="00775C3D"/>
    <w:rsid w:val="00775E32"/>
    <w:rsid w:val="00776C46"/>
    <w:rsid w:val="00776D82"/>
    <w:rsid w:val="007772AB"/>
    <w:rsid w:val="007777B8"/>
    <w:rsid w:val="0078047C"/>
    <w:rsid w:val="00780631"/>
    <w:rsid w:val="00780B60"/>
    <w:rsid w:val="00782014"/>
    <w:rsid w:val="00782018"/>
    <w:rsid w:val="00782898"/>
    <w:rsid w:val="007835ED"/>
    <w:rsid w:val="007838F9"/>
    <w:rsid w:val="00783E04"/>
    <w:rsid w:val="007841B1"/>
    <w:rsid w:val="0078448E"/>
    <w:rsid w:val="007847AA"/>
    <w:rsid w:val="00784FA1"/>
    <w:rsid w:val="007859A8"/>
    <w:rsid w:val="00786585"/>
    <w:rsid w:val="0078681E"/>
    <w:rsid w:val="0078692C"/>
    <w:rsid w:val="0079044C"/>
    <w:rsid w:val="00790D3D"/>
    <w:rsid w:val="0079206D"/>
    <w:rsid w:val="0079297C"/>
    <w:rsid w:val="0079319B"/>
    <w:rsid w:val="0079348D"/>
    <w:rsid w:val="007935A3"/>
    <w:rsid w:val="00793ADC"/>
    <w:rsid w:val="007945A7"/>
    <w:rsid w:val="00794E15"/>
    <w:rsid w:val="0079578D"/>
    <w:rsid w:val="00796384"/>
    <w:rsid w:val="0079678D"/>
    <w:rsid w:val="00796F72"/>
    <w:rsid w:val="007978AD"/>
    <w:rsid w:val="00797BC1"/>
    <w:rsid w:val="00797C59"/>
    <w:rsid w:val="007A06B2"/>
    <w:rsid w:val="007A0E07"/>
    <w:rsid w:val="007A20CE"/>
    <w:rsid w:val="007A24E0"/>
    <w:rsid w:val="007A2ACA"/>
    <w:rsid w:val="007A3739"/>
    <w:rsid w:val="007A4102"/>
    <w:rsid w:val="007A4263"/>
    <w:rsid w:val="007A49C1"/>
    <w:rsid w:val="007A547D"/>
    <w:rsid w:val="007A69BF"/>
    <w:rsid w:val="007A7009"/>
    <w:rsid w:val="007A7740"/>
    <w:rsid w:val="007A7B4D"/>
    <w:rsid w:val="007A7EF5"/>
    <w:rsid w:val="007B0005"/>
    <w:rsid w:val="007B0067"/>
    <w:rsid w:val="007B05C1"/>
    <w:rsid w:val="007B0844"/>
    <w:rsid w:val="007B1BB7"/>
    <w:rsid w:val="007B20D7"/>
    <w:rsid w:val="007B254D"/>
    <w:rsid w:val="007B36D8"/>
    <w:rsid w:val="007B3C1F"/>
    <w:rsid w:val="007B3C20"/>
    <w:rsid w:val="007B3E05"/>
    <w:rsid w:val="007B4CB3"/>
    <w:rsid w:val="007B55E7"/>
    <w:rsid w:val="007B7398"/>
    <w:rsid w:val="007B7AFC"/>
    <w:rsid w:val="007B7CD4"/>
    <w:rsid w:val="007C1F55"/>
    <w:rsid w:val="007C22AB"/>
    <w:rsid w:val="007C2A52"/>
    <w:rsid w:val="007C3790"/>
    <w:rsid w:val="007C3988"/>
    <w:rsid w:val="007C3B17"/>
    <w:rsid w:val="007C508A"/>
    <w:rsid w:val="007C52FA"/>
    <w:rsid w:val="007C54B4"/>
    <w:rsid w:val="007C6757"/>
    <w:rsid w:val="007C7633"/>
    <w:rsid w:val="007D0263"/>
    <w:rsid w:val="007D2AEC"/>
    <w:rsid w:val="007D2D58"/>
    <w:rsid w:val="007D46C3"/>
    <w:rsid w:val="007D567C"/>
    <w:rsid w:val="007D6653"/>
    <w:rsid w:val="007D66EE"/>
    <w:rsid w:val="007D6945"/>
    <w:rsid w:val="007D6F41"/>
    <w:rsid w:val="007D6F99"/>
    <w:rsid w:val="007D78B3"/>
    <w:rsid w:val="007E1195"/>
    <w:rsid w:val="007E1ECB"/>
    <w:rsid w:val="007E2877"/>
    <w:rsid w:val="007E2C23"/>
    <w:rsid w:val="007E32AE"/>
    <w:rsid w:val="007E3BE6"/>
    <w:rsid w:val="007E4114"/>
    <w:rsid w:val="007E4CD3"/>
    <w:rsid w:val="007E5BEF"/>
    <w:rsid w:val="007E6337"/>
    <w:rsid w:val="007E64DB"/>
    <w:rsid w:val="007E7C58"/>
    <w:rsid w:val="007E7CE4"/>
    <w:rsid w:val="007F16AE"/>
    <w:rsid w:val="007F2012"/>
    <w:rsid w:val="007F2DE5"/>
    <w:rsid w:val="007F3B00"/>
    <w:rsid w:val="007F452B"/>
    <w:rsid w:val="007F4C4B"/>
    <w:rsid w:val="007F5417"/>
    <w:rsid w:val="007F5E19"/>
    <w:rsid w:val="007F6C5A"/>
    <w:rsid w:val="007F6F52"/>
    <w:rsid w:val="007F7145"/>
    <w:rsid w:val="0080050B"/>
    <w:rsid w:val="00801198"/>
    <w:rsid w:val="00803156"/>
    <w:rsid w:val="008034DF"/>
    <w:rsid w:val="00805ACB"/>
    <w:rsid w:val="00806DBC"/>
    <w:rsid w:val="00807238"/>
    <w:rsid w:val="0080741F"/>
    <w:rsid w:val="00807B2D"/>
    <w:rsid w:val="00807B3C"/>
    <w:rsid w:val="0081064D"/>
    <w:rsid w:val="008114DE"/>
    <w:rsid w:val="00811EC6"/>
    <w:rsid w:val="008120A2"/>
    <w:rsid w:val="00812B9C"/>
    <w:rsid w:val="008134B7"/>
    <w:rsid w:val="00814263"/>
    <w:rsid w:val="00814A80"/>
    <w:rsid w:val="00815C69"/>
    <w:rsid w:val="008172F4"/>
    <w:rsid w:val="008177A6"/>
    <w:rsid w:val="00817984"/>
    <w:rsid w:val="00820849"/>
    <w:rsid w:val="00820B49"/>
    <w:rsid w:val="0082152E"/>
    <w:rsid w:val="00822D9C"/>
    <w:rsid w:val="008235B8"/>
    <w:rsid w:val="00826466"/>
    <w:rsid w:val="00826507"/>
    <w:rsid w:val="0082682D"/>
    <w:rsid w:val="00826892"/>
    <w:rsid w:val="0082696B"/>
    <w:rsid w:val="00826A9D"/>
    <w:rsid w:val="00827726"/>
    <w:rsid w:val="008278D4"/>
    <w:rsid w:val="00830281"/>
    <w:rsid w:val="00830DBF"/>
    <w:rsid w:val="00830E36"/>
    <w:rsid w:val="008315B1"/>
    <w:rsid w:val="00831E09"/>
    <w:rsid w:val="008330A3"/>
    <w:rsid w:val="00833815"/>
    <w:rsid w:val="00833EEC"/>
    <w:rsid w:val="008341DB"/>
    <w:rsid w:val="0083461E"/>
    <w:rsid w:val="00834B11"/>
    <w:rsid w:val="008358C6"/>
    <w:rsid w:val="00835F39"/>
    <w:rsid w:val="00836DA9"/>
    <w:rsid w:val="00837AFE"/>
    <w:rsid w:val="00840251"/>
    <w:rsid w:val="00840C40"/>
    <w:rsid w:val="00840F41"/>
    <w:rsid w:val="00840FC8"/>
    <w:rsid w:val="00841A03"/>
    <w:rsid w:val="00841C4F"/>
    <w:rsid w:val="0084246B"/>
    <w:rsid w:val="00843869"/>
    <w:rsid w:val="00843F1B"/>
    <w:rsid w:val="00844403"/>
    <w:rsid w:val="00845997"/>
    <w:rsid w:val="00846EAC"/>
    <w:rsid w:val="00847E71"/>
    <w:rsid w:val="00850371"/>
    <w:rsid w:val="00850701"/>
    <w:rsid w:val="00850D99"/>
    <w:rsid w:val="00851285"/>
    <w:rsid w:val="00852456"/>
    <w:rsid w:val="008525EF"/>
    <w:rsid w:val="008530F6"/>
    <w:rsid w:val="00853D43"/>
    <w:rsid w:val="008547A1"/>
    <w:rsid w:val="00855713"/>
    <w:rsid w:val="00855CAB"/>
    <w:rsid w:val="00855E44"/>
    <w:rsid w:val="00856093"/>
    <w:rsid w:val="00856941"/>
    <w:rsid w:val="00857E3D"/>
    <w:rsid w:val="00860402"/>
    <w:rsid w:val="00860D7C"/>
    <w:rsid w:val="00861A5D"/>
    <w:rsid w:val="00861D55"/>
    <w:rsid w:val="00864279"/>
    <w:rsid w:val="008642B2"/>
    <w:rsid w:val="008645AB"/>
    <w:rsid w:val="008649F7"/>
    <w:rsid w:val="00865A23"/>
    <w:rsid w:val="00866B21"/>
    <w:rsid w:val="00867433"/>
    <w:rsid w:val="008704D8"/>
    <w:rsid w:val="008713EE"/>
    <w:rsid w:val="0087146E"/>
    <w:rsid w:val="0087175A"/>
    <w:rsid w:val="00872767"/>
    <w:rsid w:val="008736FE"/>
    <w:rsid w:val="00873719"/>
    <w:rsid w:val="00873858"/>
    <w:rsid w:val="00873D7C"/>
    <w:rsid w:val="008749C5"/>
    <w:rsid w:val="00875B0F"/>
    <w:rsid w:val="00876410"/>
    <w:rsid w:val="0087763B"/>
    <w:rsid w:val="00877F7B"/>
    <w:rsid w:val="0088001E"/>
    <w:rsid w:val="00880493"/>
    <w:rsid w:val="0088058C"/>
    <w:rsid w:val="008818F7"/>
    <w:rsid w:val="00881BFE"/>
    <w:rsid w:val="00881E2B"/>
    <w:rsid w:val="0088219E"/>
    <w:rsid w:val="00882FF3"/>
    <w:rsid w:val="008831CE"/>
    <w:rsid w:val="008834A4"/>
    <w:rsid w:val="0088355D"/>
    <w:rsid w:val="00883EC4"/>
    <w:rsid w:val="0088418D"/>
    <w:rsid w:val="00884319"/>
    <w:rsid w:val="00884B93"/>
    <w:rsid w:val="00885951"/>
    <w:rsid w:val="00885CE3"/>
    <w:rsid w:val="00885FD7"/>
    <w:rsid w:val="00886939"/>
    <w:rsid w:val="008903A9"/>
    <w:rsid w:val="008905B5"/>
    <w:rsid w:val="00890820"/>
    <w:rsid w:val="008914CC"/>
    <w:rsid w:val="0089296F"/>
    <w:rsid w:val="00892C87"/>
    <w:rsid w:val="0089342F"/>
    <w:rsid w:val="00893929"/>
    <w:rsid w:val="00893945"/>
    <w:rsid w:val="00893A57"/>
    <w:rsid w:val="008959D0"/>
    <w:rsid w:val="00895C53"/>
    <w:rsid w:val="00895F5D"/>
    <w:rsid w:val="00896004"/>
    <w:rsid w:val="0089727D"/>
    <w:rsid w:val="00897B2C"/>
    <w:rsid w:val="008A0A09"/>
    <w:rsid w:val="008A0F26"/>
    <w:rsid w:val="008A17B0"/>
    <w:rsid w:val="008A187C"/>
    <w:rsid w:val="008A1F54"/>
    <w:rsid w:val="008A2BFA"/>
    <w:rsid w:val="008A3BE9"/>
    <w:rsid w:val="008A4729"/>
    <w:rsid w:val="008A4CC0"/>
    <w:rsid w:val="008A509A"/>
    <w:rsid w:val="008A6D04"/>
    <w:rsid w:val="008A7148"/>
    <w:rsid w:val="008A7985"/>
    <w:rsid w:val="008B02C6"/>
    <w:rsid w:val="008B08C0"/>
    <w:rsid w:val="008B2CF9"/>
    <w:rsid w:val="008B4DD6"/>
    <w:rsid w:val="008B4FF6"/>
    <w:rsid w:val="008B5027"/>
    <w:rsid w:val="008B57EC"/>
    <w:rsid w:val="008B59C8"/>
    <w:rsid w:val="008B6689"/>
    <w:rsid w:val="008B68BD"/>
    <w:rsid w:val="008B6AD0"/>
    <w:rsid w:val="008B7D10"/>
    <w:rsid w:val="008C091B"/>
    <w:rsid w:val="008C0A16"/>
    <w:rsid w:val="008C1458"/>
    <w:rsid w:val="008C15C6"/>
    <w:rsid w:val="008C1C0D"/>
    <w:rsid w:val="008C214F"/>
    <w:rsid w:val="008C26C2"/>
    <w:rsid w:val="008C2FF6"/>
    <w:rsid w:val="008C3D0C"/>
    <w:rsid w:val="008C5F0B"/>
    <w:rsid w:val="008C5F29"/>
    <w:rsid w:val="008C6C25"/>
    <w:rsid w:val="008D0FB9"/>
    <w:rsid w:val="008D1284"/>
    <w:rsid w:val="008D155F"/>
    <w:rsid w:val="008D15C2"/>
    <w:rsid w:val="008D1D67"/>
    <w:rsid w:val="008D454E"/>
    <w:rsid w:val="008D5323"/>
    <w:rsid w:val="008D5ACE"/>
    <w:rsid w:val="008D5EBC"/>
    <w:rsid w:val="008D6291"/>
    <w:rsid w:val="008D7228"/>
    <w:rsid w:val="008E06A6"/>
    <w:rsid w:val="008E185F"/>
    <w:rsid w:val="008E1BAD"/>
    <w:rsid w:val="008E225B"/>
    <w:rsid w:val="008E345B"/>
    <w:rsid w:val="008E34EA"/>
    <w:rsid w:val="008E38F9"/>
    <w:rsid w:val="008E477E"/>
    <w:rsid w:val="008E4D25"/>
    <w:rsid w:val="008E5393"/>
    <w:rsid w:val="008E53D8"/>
    <w:rsid w:val="008E599D"/>
    <w:rsid w:val="008E59D5"/>
    <w:rsid w:val="008E5CC9"/>
    <w:rsid w:val="008E5FF8"/>
    <w:rsid w:val="008E6454"/>
    <w:rsid w:val="008E6592"/>
    <w:rsid w:val="008E65CB"/>
    <w:rsid w:val="008E66E4"/>
    <w:rsid w:val="008E6CA7"/>
    <w:rsid w:val="008E6DE4"/>
    <w:rsid w:val="008E6FE5"/>
    <w:rsid w:val="008E7CD2"/>
    <w:rsid w:val="008F0F03"/>
    <w:rsid w:val="008F1075"/>
    <w:rsid w:val="008F18AD"/>
    <w:rsid w:val="008F1AD8"/>
    <w:rsid w:val="008F2463"/>
    <w:rsid w:val="008F2A4F"/>
    <w:rsid w:val="008F31DF"/>
    <w:rsid w:val="008F3B35"/>
    <w:rsid w:val="008F4620"/>
    <w:rsid w:val="008F5315"/>
    <w:rsid w:val="008F5394"/>
    <w:rsid w:val="008F5811"/>
    <w:rsid w:val="008F5E56"/>
    <w:rsid w:val="008F65CF"/>
    <w:rsid w:val="008F6DA3"/>
    <w:rsid w:val="008F6FD1"/>
    <w:rsid w:val="008F712D"/>
    <w:rsid w:val="008F73C3"/>
    <w:rsid w:val="008F7463"/>
    <w:rsid w:val="008F7625"/>
    <w:rsid w:val="008F79EF"/>
    <w:rsid w:val="00900E83"/>
    <w:rsid w:val="0090120E"/>
    <w:rsid w:val="00901478"/>
    <w:rsid w:val="00901BB2"/>
    <w:rsid w:val="00902BAC"/>
    <w:rsid w:val="009036C4"/>
    <w:rsid w:val="009046AA"/>
    <w:rsid w:val="00904A7F"/>
    <w:rsid w:val="00904F12"/>
    <w:rsid w:val="00905797"/>
    <w:rsid w:val="00906337"/>
    <w:rsid w:val="009064B6"/>
    <w:rsid w:val="00907435"/>
    <w:rsid w:val="009079A6"/>
    <w:rsid w:val="00907A71"/>
    <w:rsid w:val="00907C87"/>
    <w:rsid w:val="00907FC5"/>
    <w:rsid w:val="00907FE7"/>
    <w:rsid w:val="00910B6E"/>
    <w:rsid w:val="009111B9"/>
    <w:rsid w:val="00911277"/>
    <w:rsid w:val="00911CCD"/>
    <w:rsid w:val="009134CC"/>
    <w:rsid w:val="00913D9B"/>
    <w:rsid w:val="00914262"/>
    <w:rsid w:val="00914BE8"/>
    <w:rsid w:val="00916538"/>
    <w:rsid w:val="009167EA"/>
    <w:rsid w:val="00917572"/>
    <w:rsid w:val="00917895"/>
    <w:rsid w:val="00917DB0"/>
    <w:rsid w:val="0092109A"/>
    <w:rsid w:val="00921E85"/>
    <w:rsid w:val="009231AA"/>
    <w:rsid w:val="0092379A"/>
    <w:rsid w:val="00923FA6"/>
    <w:rsid w:val="009244B2"/>
    <w:rsid w:val="009245BD"/>
    <w:rsid w:val="00924ED7"/>
    <w:rsid w:val="00925979"/>
    <w:rsid w:val="00925D82"/>
    <w:rsid w:val="00926551"/>
    <w:rsid w:val="00926FD9"/>
    <w:rsid w:val="00927238"/>
    <w:rsid w:val="00927480"/>
    <w:rsid w:val="00927881"/>
    <w:rsid w:val="00927A94"/>
    <w:rsid w:val="00931796"/>
    <w:rsid w:val="00931B15"/>
    <w:rsid w:val="00931CA6"/>
    <w:rsid w:val="00931CAF"/>
    <w:rsid w:val="00931D4D"/>
    <w:rsid w:val="00931E47"/>
    <w:rsid w:val="00932B67"/>
    <w:rsid w:val="00932E77"/>
    <w:rsid w:val="00932EB1"/>
    <w:rsid w:val="0093327B"/>
    <w:rsid w:val="00933D48"/>
    <w:rsid w:val="00934257"/>
    <w:rsid w:val="00934757"/>
    <w:rsid w:val="00934BBB"/>
    <w:rsid w:val="00934F2D"/>
    <w:rsid w:val="00935054"/>
    <w:rsid w:val="00935DC7"/>
    <w:rsid w:val="00936224"/>
    <w:rsid w:val="009366DB"/>
    <w:rsid w:val="00936C64"/>
    <w:rsid w:val="00940524"/>
    <w:rsid w:val="0094112A"/>
    <w:rsid w:val="00943479"/>
    <w:rsid w:val="009436D1"/>
    <w:rsid w:val="00943E21"/>
    <w:rsid w:val="00944972"/>
    <w:rsid w:val="00944AF2"/>
    <w:rsid w:val="00944CA1"/>
    <w:rsid w:val="00944EEF"/>
    <w:rsid w:val="00944FF8"/>
    <w:rsid w:val="00945C7A"/>
    <w:rsid w:val="00946794"/>
    <w:rsid w:val="00946821"/>
    <w:rsid w:val="00946D99"/>
    <w:rsid w:val="00947136"/>
    <w:rsid w:val="00947650"/>
    <w:rsid w:val="009477FC"/>
    <w:rsid w:val="0095028D"/>
    <w:rsid w:val="00951FB3"/>
    <w:rsid w:val="009520C9"/>
    <w:rsid w:val="0095334B"/>
    <w:rsid w:val="009546CC"/>
    <w:rsid w:val="00954C5A"/>
    <w:rsid w:val="00954FD3"/>
    <w:rsid w:val="00955298"/>
    <w:rsid w:val="009608B7"/>
    <w:rsid w:val="00962A77"/>
    <w:rsid w:val="00962D8E"/>
    <w:rsid w:val="009647A2"/>
    <w:rsid w:val="009648EB"/>
    <w:rsid w:val="0096533A"/>
    <w:rsid w:val="00965A5B"/>
    <w:rsid w:val="00966C2A"/>
    <w:rsid w:val="00966F54"/>
    <w:rsid w:val="00967199"/>
    <w:rsid w:val="009671B7"/>
    <w:rsid w:val="009675E2"/>
    <w:rsid w:val="00967F3B"/>
    <w:rsid w:val="00970135"/>
    <w:rsid w:val="0097022D"/>
    <w:rsid w:val="00970308"/>
    <w:rsid w:val="00970CCE"/>
    <w:rsid w:val="00971206"/>
    <w:rsid w:val="009718DC"/>
    <w:rsid w:val="0097251F"/>
    <w:rsid w:val="009726D1"/>
    <w:rsid w:val="00972C1F"/>
    <w:rsid w:val="00972C33"/>
    <w:rsid w:val="009731B9"/>
    <w:rsid w:val="00973FD2"/>
    <w:rsid w:val="0097428D"/>
    <w:rsid w:val="009742F9"/>
    <w:rsid w:val="00974DD1"/>
    <w:rsid w:val="00975CDA"/>
    <w:rsid w:val="00975EF2"/>
    <w:rsid w:val="00975FC4"/>
    <w:rsid w:val="0097618D"/>
    <w:rsid w:val="00980B1C"/>
    <w:rsid w:val="00980F75"/>
    <w:rsid w:val="009816FF"/>
    <w:rsid w:val="00981DFF"/>
    <w:rsid w:val="00982548"/>
    <w:rsid w:val="0098287C"/>
    <w:rsid w:val="00982988"/>
    <w:rsid w:val="0098329C"/>
    <w:rsid w:val="00983412"/>
    <w:rsid w:val="0098376F"/>
    <w:rsid w:val="00983875"/>
    <w:rsid w:val="00983D68"/>
    <w:rsid w:val="00984ACE"/>
    <w:rsid w:val="00984FB1"/>
    <w:rsid w:val="00985A07"/>
    <w:rsid w:val="00986114"/>
    <w:rsid w:val="0098678B"/>
    <w:rsid w:val="00986C23"/>
    <w:rsid w:val="00987400"/>
    <w:rsid w:val="009901F2"/>
    <w:rsid w:val="00991EC2"/>
    <w:rsid w:val="0099271A"/>
    <w:rsid w:val="009928AE"/>
    <w:rsid w:val="0099296C"/>
    <w:rsid w:val="00993F96"/>
    <w:rsid w:val="00995EB0"/>
    <w:rsid w:val="00995FCE"/>
    <w:rsid w:val="009974D0"/>
    <w:rsid w:val="009A1633"/>
    <w:rsid w:val="009A1904"/>
    <w:rsid w:val="009A2195"/>
    <w:rsid w:val="009A3268"/>
    <w:rsid w:val="009A3A62"/>
    <w:rsid w:val="009A3B34"/>
    <w:rsid w:val="009A3B64"/>
    <w:rsid w:val="009A3E9F"/>
    <w:rsid w:val="009A466E"/>
    <w:rsid w:val="009A4833"/>
    <w:rsid w:val="009A48DB"/>
    <w:rsid w:val="009B048F"/>
    <w:rsid w:val="009B17FE"/>
    <w:rsid w:val="009B1B43"/>
    <w:rsid w:val="009B290D"/>
    <w:rsid w:val="009B2CAB"/>
    <w:rsid w:val="009B313D"/>
    <w:rsid w:val="009B365D"/>
    <w:rsid w:val="009B3EB4"/>
    <w:rsid w:val="009B4141"/>
    <w:rsid w:val="009B42FA"/>
    <w:rsid w:val="009B4587"/>
    <w:rsid w:val="009B4D12"/>
    <w:rsid w:val="009B55B2"/>
    <w:rsid w:val="009B63C4"/>
    <w:rsid w:val="009B64D1"/>
    <w:rsid w:val="009B6C36"/>
    <w:rsid w:val="009B6EE0"/>
    <w:rsid w:val="009B7758"/>
    <w:rsid w:val="009B7A0D"/>
    <w:rsid w:val="009C0272"/>
    <w:rsid w:val="009C0723"/>
    <w:rsid w:val="009C0F04"/>
    <w:rsid w:val="009C1B09"/>
    <w:rsid w:val="009C1DE0"/>
    <w:rsid w:val="009C2E64"/>
    <w:rsid w:val="009C3D7D"/>
    <w:rsid w:val="009C3FE4"/>
    <w:rsid w:val="009C52C7"/>
    <w:rsid w:val="009C5533"/>
    <w:rsid w:val="009C68B5"/>
    <w:rsid w:val="009C7B5E"/>
    <w:rsid w:val="009C7E97"/>
    <w:rsid w:val="009D0193"/>
    <w:rsid w:val="009D0EC9"/>
    <w:rsid w:val="009D1578"/>
    <w:rsid w:val="009D289E"/>
    <w:rsid w:val="009D38FA"/>
    <w:rsid w:val="009D3D7C"/>
    <w:rsid w:val="009D411B"/>
    <w:rsid w:val="009D5427"/>
    <w:rsid w:val="009D611E"/>
    <w:rsid w:val="009D644B"/>
    <w:rsid w:val="009D6C03"/>
    <w:rsid w:val="009D6D90"/>
    <w:rsid w:val="009D745D"/>
    <w:rsid w:val="009D75AC"/>
    <w:rsid w:val="009D772F"/>
    <w:rsid w:val="009D7924"/>
    <w:rsid w:val="009E0674"/>
    <w:rsid w:val="009E09B2"/>
    <w:rsid w:val="009E2A1A"/>
    <w:rsid w:val="009E2C65"/>
    <w:rsid w:val="009E2E51"/>
    <w:rsid w:val="009E32A0"/>
    <w:rsid w:val="009E3962"/>
    <w:rsid w:val="009E5C05"/>
    <w:rsid w:val="009E6096"/>
    <w:rsid w:val="009E6616"/>
    <w:rsid w:val="009E7636"/>
    <w:rsid w:val="009F002F"/>
    <w:rsid w:val="009F03A9"/>
    <w:rsid w:val="009F0D5C"/>
    <w:rsid w:val="009F18FC"/>
    <w:rsid w:val="009F1AE2"/>
    <w:rsid w:val="009F2024"/>
    <w:rsid w:val="009F2192"/>
    <w:rsid w:val="009F2B6C"/>
    <w:rsid w:val="009F3537"/>
    <w:rsid w:val="009F38CC"/>
    <w:rsid w:val="009F3ECA"/>
    <w:rsid w:val="009F4D7C"/>
    <w:rsid w:val="009F55BB"/>
    <w:rsid w:val="009F6014"/>
    <w:rsid w:val="009F6112"/>
    <w:rsid w:val="009F745C"/>
    <w:rsid w:val="009F7825"/>
    <w:rsid w:val="00A00383"/>
    <w:rsid w:val="00A007CF"/>
    <w:rsid w:val="00A00BFA"/>
    <w:rsid w:val="00A0110F"/>
    <w:rsid w:val="00A02C9A"/>
    <w:rsid w:val="00A02DA0"/>
    <w:rsid w:val="00A03C4D"/>
    <w:rsid w:val="00A03FCF"/>
    <w:rsid w:val="00A04C05"/>
    <w:rsid w:val="00A0505B"/>
    <w:rsid w:val="00A05E4F"/>
    <w:rsid w:val="00A06147"/>
    <w:rsid w:val="00A06708"/>
    <w:rsid w:val="00A0745C"/>
    <w:rsid w:val="00A074B2"/>
    <w:rsid w:val="00A0768D"/>
    <w:rsid w:val="00A07762"/>
    <w:rsid w:val="00A10CED"/>
    <w:rsid w:val="00A10E5E"/>
    <w:rsid w:val="00A113BA"/>
    <w:rsid w:val="00A1181E"/>
    <w:rsid w:val="00A11AA7"/>
    <w:rsid w:val="00A1200D"/>
    <w:rsid w:val="00A1226A"/>
    <w:rsid w:val="00A12855"/>
    <w:rsid w:val="00A136CD"/>
    <w:rsid w:val="00A143E8"/>
    <w:rsid w:val="00A14F5A"/>
    <w:rsid w:val="00A15406"/>
    <w:rsid w:val="00A15822"/>
    <w:rsid w:val="00A15BAF"/>
    <w:rsid w:val="00A15D1B"/>
    <w:rsid w:val="00A16505"/>
    <w:rsid w:val="00A1670D"/>
    <w:rsid w:val="00A167AD"/>
    <w:rsid w:val="00A172E6"/>
    <w:rsid w:val="00A17E1B"/>
    <w:rsid w:val="00A2031A"/>
    <w:rsid w:val="00A20353"/>
    <w:rsid w:val="00A208A0"/>
    <w:rsid w:val="00A2090D"/>
    <w:rsid w:val="00A20A3C"/>
    <w:rsid w:val="00A20CDB"/>
    <w:rsid w:val="00A20F47"/>
    <w:rsid w:val="00A20FF9"/>
    <w:rsid w:val="00A21AD4"/>
    <w:rsid w:val="00A22C58"/>
    <w:rsid w:val="00A23B09"/>
    <w:rsid w:val="00A23E59"/>
    <w:rsid w:val="00A24159"/>
    <w:rsid w:val="00A26492"/>
    <w:rsid w:val="00A26924"/>
    <w:rsid w:val="00A27A99"/>
    <w:rsid w:val="00A27CDB"/>
    <w:rsid w:val="00A27CDD"/>
    <w:rsid w:val="00A27D63"/>
    <w:rsid w:val="00A309A0"/>
    <w:rsid w:val="00A30F89"/>
    <w:rsid w:val="00A310BD"/>
    <w:rsid w:val="00A31561"/>
    <w:rsid w:val="00A3268D"/>
    <w:rsid w:val="00A32C03"/>
    <w:rsid w:val="00A32C34"/>
    <w:rsid w:val="00A3326F"/>
    <w:rsid w:val="00A332C0"/>
    <w:rsid w:val="00A33B71"/>
    <w:rsid w:val="00A3558B"/>
    <w:rsid w:val="00A355B1"/>
    <w:rsid w:val="00A364D8"/>
    <w:rsid w:val="00A36634"/>
    <w:rsid w:val="00A36B00"/>
    <w:rsid w:val="00A36D29"/>
    <w:rsid w:val="00A378E6"/>
    <w:rsid w:val="00A37F85"/>
    <w:rsid w:val="00A40B8D"/>
    <w:rsid w:val="00A41801"/>
    <w:rsid w:val="00A41C62"/>
    <w:rsid w:val="00A42808"/>
    <w:rsid w:val="00A43868"/>
    <w:rsid w:val="00A43CD7"/>
    <w:rsid w:val="00A4530A"/>
    <w:rsid w:val="00A45805"/>
    <w:rsid w:val="00A46287"/>
    <w:rsid w:val="00A502D4"/>
    <w:rsid w:val="00A50F73"/>
    <w:rsid w:val="00A52FC9"/>
    <w:rsid w:val="00A530EB"/>
    <w:rsid w:val="00A532C8"/>
    <w:rsid w:val="00A54057"/>
    <w:rsid w:val="00A5440B"/>
    <w:rsid w:val="00A54DDA"/>
    <w:rsid w:val="00A555CA"/>
    <w:rsid w:val="00A57A16"/>
    <w:rsid w:val="00A604FC"/>
    <w:rsid w:val="00A60AF6"/>
    <w:rsid w:val="00A6130D"/>
    <w:rsid w:val="00A63609"/>
    <w:rsid w:val="00A646BC"/>
    <w:rsid w:val="00A652EE"/>
    <w:rsid w:val="00A65A0A"/>
    <w:rsid w:val="00A65D05"/>
    <w:rsid w:val="00A65D38"/>
    <w:rsid w:val="00A66D78"/>
    <w:rsid w:val="00A673B4"/>
    <w:rsid w:val="00A679FF"/>
    <w:rsid w:val="00A67DBD"/>
    <w:rsid w:val="00A7090D"/>
    <w:rsid w:val="00A7129A"/>
    <w:rsid w:val="00A7138A"/>
    <w:rsid w:val="00A716F4"/>
    <w:rsid w:val="00A71EA8"/>
    <w:rsid w:val="00A72B3E"/>
    <w:rsid w:val="00A73399"/>
    <w:rsid w:val="00A734A4"/>
    <w:rsid w:val="00A7367C"/>
    <w:rsid w:val="00A736B7"/>
    <w:rsid w:val="00A73D0A"/>
    <w:rsid w:val="00A73D8E"/>
    <w:rsid w:val="00A7415B"/>
    <w:rsid w:val="00A7463E"/>
    <w:rsid w:val="00A747B5"/>
    <w:rsid w:val="00A75FE4"/>
    <w:rsid w:val="00A767C8"/>
    <w:rsid w:val="00A77872"/>
    <w:rsid w:val="00A77F03"/>
    <w:rsid w:val="00A80C23"/>
    <w:rsid w:val="00A82373"/>
    <w:rsid w:val="00A82909"/>
    <w:rsid w:val="00A82C12"/>
    <w:rsid w:val="00A82DCE"/>
    <w:rsid w:val="00A84491"/>
    <w:rsid w:val="00A84FBE"/>
    <w:rsid w:val="00A861C7"/>
    <w:rsid w:val="00A866E7"/>
    <w:rsid w:val="00A8682C"/>
    <w:rsid w:val="00A868F7"/>
    <w:rsid w:val="00A90741"/>
    <w:rsid w:val="00A9076E"/>
    <w:rsid w:val="00A90CB3"/>
    <w:rsid w:val="00A91F58"/>
    <w:rsid w:val="00A9255E"/>
    <w:rsid w:val="00A93855"/>
    <w:rsid w:val="00A9390E"/>
    <w:rsid w:val="00A93D12"/>
    <w:rsid w:val="00A93E24"/>
    <w:rsid w:val="00A948AA"/>
    <w:rsid w:val="00A9513E"/>
    <w:rsid w:val="00A9548E"/>
    <w:rsid w:val="00A95818"/>
    <w:rsid w:val="00A95A7F"/>
    <w:rsid w:val="00A95CBE"/>
    <w:rsid w:val="00A969C5"/>
    <w:rsid w:val="00A9729F"/>
    <w:rsid w:val="00A977CE"/>
    <w:rsid w:val="00AA0918"/>
    <w:rsid w:val="00AA1207"/>
    <w:rsid w:val="00AA12A4"/>
    <w:rsid w:val="00AA1DCF"/>
    <w:rsid w:val="00AA2B16"/>
    <w:rsid w:val="00AA32C1"/>
    <w:rsid w:val="00AA352A"/>
    <w:rsid w:val="00AA3FEF"/>
    <w:rsid w:val="00AA4BFA"/>
    <w:rsid w:val="00AA5CC6"/>
    <w:rsid w:val="00AA6BBF"/>
    <w:rsid w:val="00AA72C8"/>
    <w:rsid w:val="00AA7568"/>
    <w:rsid w:val="00AB1E39"/>
    <w:rsid w:val="00AB1FC0"/>
    <w:rsid w:val="00AB204A"/>
    <w:rsid w:val="00AB269B"/>
    <w:rsid w:val="00AB326D"/>
    <w:rsid w:val="00AB34B1"/>
    <w:rsid w:val="00AB35B9"/>
    <w:rsid w:val="00AB3781"/>
    <w:rsid w:val="00AB4B57"/>
    <w:rsid w:val="00AB5BBF"/>
    <w:rsid w:val="00AB5F7C"/>
    <w:rsid w:val="00AB7C4C"/>
    <w:rsid w:val="00AC005E"/>
    <w:rsid w:val="00AC0A17"/>
    <w:rsid w:val="00AC10DB"/>
    <w:rsid w:val="00AC115A"/>
    <w:rsid w:val="00AC15D5"/>
    <w:rsid w:val="00AC21E4"/>
    <w:rsid w:val="00AC237A"/>
    <w:rsid w:val="00AC26A9"/>
    <w:rsid w:val="00AC284E"/>
    <w:rsid w:val="00AC2CE1"/>
    <w:rsid w:val="00AC3318"/>
    <w:rsid w:val="00AC37A6"/>
    <w:rsid w:val="00AC395E"/>
    <w:rsid w:val="00AC3B24"/>
    <w:rsid w:val="00AC59CC"/>
    <w:rsid w:val="00AC695C"/>
    <w:rsid w:val="00AC6ECC"/>
    <w:rsid w:val="00AC7D8F"/>
    <w:rsid w:val="00AC7DAF"/>
    <w:rsid w:val="00AD11DB"/>
    <w:rsid w:val="00AD21DF"/>
    <w:rsid w:val="00AD2639"/>
    <w:rsid w:val="00AD2F10"/>
    <w:rsid w:val="00AD356C"/>
    <w:rsid w:val="00AD3749"/>
    <w:rsid w:val="00AD3A3C"/>
    <w:rsid w:val="00AD3EEB"/>
    <w:rsid w:val="00AD42C1"/>
    <w:rsid w:val="00AD6A90"/>
    <w:rsid w:val="00AD7E1C"/>
    <w:rsid w:val="00AD7FCE"/>
    <w:rsid w:val="00AE0262"/>
    <w:rsid w:val="00AE0975"/>
    <w:rsid w:val="00AE0FC1"/>
    <w:rsid w:val="00AE1892"/>
    <w:rsid w:val="00AE1E09"/>
    <w:rsid w:val="00AE1EF0"/>
    <w:rsid w:val="00AE2576"/>
    <w:rsid w:val="00AE2821"/>
    <w:rsid w:val="00AE2BDD"/>
    <w:rsid w:val="00AE322C"/>
    <w:rsid w:val="00AE3D0C"/>
    <w:rsid w:val="00AE3FB5"/>
    <w:rsid w:val="00AE46E8"/>
    <w:rsid w:val="00AE5625"/>
    <w:rsid w:val="00AE7DC9"/>
    <w:rsid w:val="00AE7E91"/>
    <w:rsid w:val="00AF03CA"/>
    <w:rsid w:val="00AF07AB"/>
    <w:rsid w:val="00AF0ACF"/>
    <w:rsid w:val="00AF10F6"/>
    <w:rsid w:val="00AF1768"/>
    <w:rsid w:val="00AF32E9"/>
    <w:rsid w:val="00AF3400"/>
    <w:rsid w:val="00AF4D5E"/>
    <w:rsid w:val="00AF5CAD"/>
    <w:rsid w:val="00AF6CAB"/>
    <w:rsid w:val="00AF6D99"/>
    <w:rsid w:val="00AF76FF"/>
    <w:rsid w:val="00B0018A"/>
    <w:rsid w:val="00B00889"/>
    <w:rsid w:val="00B00F21"/>
    <w:rsid w:val="00B014A7"/>
    <w:rsid w:val="00B0192F"/>
    <w:rsid w:val="00B0275C"/>
    <w:rsid w:val="00B03408"/>
    <w:rsid w:val="00B0385D"/>
    <w:rsid w:val="00B03E98"/>
    <w:rsid w:val="00B04178"/>
    <w:rsid w:val="00B0421E"/>
    <w:rsid w:val="00B042D4"/>
    <w:rsid w:val="00B045AF"/>
    <w:rsid w:val="00B05955"/>
    <w:rsid w:val="00B05A30"/>
    <w:rsid w:val="00B0641F"/>
    <w:rsid w:val="00B06D77"/>
    <w:rsid w:val="00B07C81"/>
    <w:rsid w:val="00B07DD8"/>
    <w:rsid w:val="00B103B9"/>
    <w:rsid w:val="00B12A56"/>
    <w:rsid w:val="00B12DCD"/>
    <w:rsid w:val="00B13CA3"/>
    <w:rsid w:val="00B13E78"/>
    <w:rsid w:val="00B16297"/>
    <w:rsid w:val="00B16CE0"/>
    <w:rsid w:val="00B16EC6"/>
    <w:rsid w:val="00B172D6"/>
    <w:rsid w:val="00B177DE"/>
    <w:rsid w:val="00B17FBF"/>
    <w:rsid w:val="00B20410"/>
    <w:rsid w:val="00B20421"/>
    <w:rsid w:val="00B204BC"/>
    <w:rsid w:val="00B21367"/>
    <w:rsid w:val="00B2141F"/>
    <w:rsid w:val="00B21E86"/>
    <w:rsid w:val="00B229FE"/>
    <w:rsid w:val="00B23A70"/>
    <w:rsid w:val="00B25BB6"/>
    <w:rsid w:val="00B25D9D"/>
    <w:rsid w:val="00B2600C"/>
    <w:rsid w:val="00B2617B"/>
    <w:rsid w:val="00B2693D"/>
    <w:rsid w:val="00B27446"/>
    <w:rsid w:val="00B277FD"/>
    <w:rsid w:val="00B279A0"/>
    <w:rsid w:val="00B3012C"/>
    <w:rsid w:val="00B30965"/>
    <w:rsid w:val="00B30B3B"/>
    <w:rsid w:val="00B31690"/>
    <w:rsid w:val="00B31AD8"/>
    <w:rsid w:val="00B32512"/>
    <w:rsid w:val="00B32B6D"/>
    <w:rsid w:val="00B33C5C"/>
    <w:rsid w:val="00B34B72"/>
    <w:rsid w:val="00B34CBE"/>
    <w:rsid w:val="00B35144"/>
    <w:rsid w:val="00B36271"/>
    <w:rsid w:val="00B36FB1"/>
    <w:rsid w:val="00B378B1"/>
    <w:rsid w:val="00B40F08"/>
    <w:rsid w:val="00B411E7"/>
    <w:rsid w:val="00B41229"/>
    <w:rsid w:val="00B42F7B"/>
    <w:rsid w:val="00B4349B"/>
    <w:rsid w:val="00B43A53"/>
    <w:rsid w:val="00B44D6C"/>
    <w:rsid w:val="00B459D5"/>
    <w:rsid w:val="00B466D2"/>
    <w:rsid w:val="00B47197"/>
    <w:rsid w:val="00B5066C"/>
    <w:rsid w:val="00B516BF"/>
    <w:rsid w:val="00B517E5"/>
    <w:rsid w:val="00B51CAE"/>
    <w:rsid w:val="00B527B8"/>
    <w:rsid w:val="00B527DC"/>
    <w:rsid w:val="00B5394B"/>
    <w:rsid w:val="00B545A2"/>
    <w:rsid w:val="00B551C2"/>
    <w:rsid w:val="00B55B2F"/>
    <w:rsid w:val="00B567C5"/>
    <w:rsid w:val="00B56D02"/>
    <w:rsid w:val="00B60E46"/>
    <w:rsid w:val="00B613B7"/>
    <w:rsid w:val="00B62812"/>
    <w:rsid w:val="00B629C3"/>
    <w:rsid w:val="00B62D03"/>
    <w:rsid w:val="00B62D23"/>
    <w:rsid w:val="00B62EEF"/>
    <w:rsid w:val="00B63098"/>
    <w:rsid w:val="00B6352E"/>
    <w:rsid w:val="00B63B92"/>
    <w:rsid w:val="00B64833"/>
    <w:rsid w:val="00B64A15"/>
    <w:rsid w:val="00B66574"/>
    <w:rsid w:val="00B66F6A"/>
    <w:rsid w:val="00B674D2"/>
    <w:rsid w:val="00B67A8E"/>
    <w:rsid w:val="00B67DDA"/>
    <w:rsid w:val="00B67E82"/>
    <w:rsid w:val="00B70309"/>
    <w:rsid w:val="00B70C59"/>
    <w:rsid w:val="00B718B4"/>
    <w:rsid w:val="00B71EB5"/>
    <w:rsid w:val="00B7244D"/>
    <w:rsid w:val="00B72551"/>
    <w:rsid w:val="00B728D6"/>
    <w:rsid w:val="00B72C4C"/>
    <w:rsid w:val="00B75C53"/>
    <w:rsid w:val="00B76111"/>
    <w:rsid w:val="00B77876"/>
    <w:rsid w:val="00B8020C"/>
    <w:rsid w:val="00B80331"/>
    <w:rsid w:val="00B80731"/>
    <w:rsid w:val="00B80E6A"/>
    <w:rsid w:val="00B8187F"/>
    <w:rsid w:val="00B81B15"/>
    <w:rsid w:val="00B826D6"/>
    <w:rsid w:val="00B82997"/>
    <w:rsid w:val="00B83031"/>
    <w:rsid w:val="00B8370D"/>
    <w:rsid w:val="00B83AA2"/>
    <w:rsid w:val="00B83B3E"/>
    <w:rsid w:val="00B851AE"/>
    <w:rsid w:val="00B85953"/>
    <w:rsid w:val="00B86CD9"/>
    <w:rsid w:val="00B86DF9"/>
    <w:rsid w:val="00B9064A"/>
    <w:rsid w:val="00B90794"/>
    <w:rsid w:val="00B90F83"/>
    <w:rsid w:val="00B91262"/>
    <w:rsid w:val="00B926DD"/>
    <w:rsid w:val="00B92936"/>
    <w:rsid w:val="00B93A67"/>
    <w:rsid w:val="00B951B8"/>
    <w:rsid w:val="00B956F8"/>
    <w:rsid w:val="00B95E03"/>
    <w:rsid w:val="00B965CC"/>
    <w:rsid w:val="00B97113"/>
    <w:rsid w:val="00BA0060"/>
    <w:rsid w:val="00BA0AA7"/>
    <w:rsid w:val="00BA30A9"/>
    <w:rsid w:val="00BA3E45"/>
    <w:rsid w:val="00BA4193"/>
    <w:rsid w:val="00BA4B46"/>
    <w:rsid w:val="00BA6A0F"/>
    <w:rsid w:val="00BA6FE4"/>
    <w:rsid w:val="00BA71F4"/>
    <w:rsid w:val="00BA7570"/>
    <w:rsid w:val="00BA7CAB"/>
    <w:rsid w:val="00BB058D"/>
    <w:rsid w:val="00BB0E0E"/>
    <w:rsid w:val="00BB18F6"/>
    <w:rsid w:val="00BB2BD0"/>
    <w:rsid w:val="00BB3C86"/>
    <w:rsid w:val="00BB442E"/>
    <w:rsid w:val="00BB46D6"/>
    <w:rsid w:val="00BB4D32"/>
    <w:rsid w:val="00BB4E35"/>
    <w:rsid w:val="00BB54BF"/>
    <w:rsid w:val="00BB5B25"/>
    <w:rsid w:val="00BB6F28"/>
    <w:rsid w:val="00BB70FC"/>
    <w:rsid w:val="00BB7165"/>
    <w:rsid w:val="00BB7AE9"/>
    <w:rsid w:val="00BB7F6E"/>
    <w:rsid w:val="00BC00A3"/>
    <w:rsid w:val="00BC0C08"/>
    <w:rsid w:val="00BC0C67"/>
    <w:rsid w:val="00BC1134"/>
    <w:rsid w:val="00BC179F"/>
    <w:rsid w:val="00BC232B"/>
    <w:rsid w:val="00BC24A3"/>
    <w:rsid w:val="00BC2D48"/>
    <w:rsid w:val="00BC32BA"/>
    <w:rsid w:val="00BC3EA8"/>
    <w:rsid w:val="00BC49DD"/>
    <w:rsid w:val="00BC49EF"/>
    <w:rsid w:val="00BC4B59"/>
    <w:rsid w:val="00BC562B"/>
    <w:rsid w:val="00BC5B4B"/>
    <w:rsid w:val="00BC67D3"/>
    <w:rsid w:val="00BC6B82"/>
    <w:rsid w:val="00BC6D6D"/>
    <w:rsid w:val="00BD165D"/>
    <w:rsid w:val="00BD28E9"/>
    <w:rsid w:val="00BD3004"/>
    <w:rsid w:val="00BD4B70"/>
    <w:rsid w:val="00BD4DEA"/>
    <w:rsid w:val="00BD5931"/>
    <w:rsid w:val="00BD6168"/>
    <w:rsid w:val="00BD6231"/>
    <w:rsid w:val="00BD7BE2"/>
    <w:rsid w:val="00BE09FB"/>
    <w:rsid w:val="00BE0EF9"/>
    <w:rsid w:val="00BE11CD"/>
    <w:rsid w:val="00BE141E"/>
    <w:rsid w:val="00BE1651"/>
    <w:rsid w:val="00BE2221"/>
    <w:rsid w:val="00BE3070"/>
    <w:rsid w:val="00BE31B2"/>
    <w:rsid w:val="00BE35D7"/>
    <w:rsid w:val="00BE363E"/>
    <w:rsid w:val="00BE4C0E"/>
    <w:rsid w:val="00BE4D36"/>
    <w:rsid w:val="00BE5A85"/>
    <w:rsid w:val="00BE63D2"/>
    <w:rsid w:val="00BE7647"/>
    <w:rsid w:val="00BE7E6D"/>
    <w:rsid w:val="00BE7E7D"/>
    <w:rsid w:val="00BF0197"/>
    <w:rsid w:val="00BF0D20"/>
    <w:rsid w:val="00BF0D63"/>
    <w:rsid w:val="00BF10B7"/>
    <w:rsid w:val="00BF1805"/>
    <w:rsid w:val="00BF29D1"/>
    <w:rsid w:val="00BF33C4"/>
    <w:rsid w:val="00BF3563"/>
    <w:rsid w:val="00BF3698"/>
    <w:rsid w:val="00BF3BFA"/>
    <w:rsid w:val="00BF3E12"/>
    <w:rsid w:val="00BF3EBD"/>
    <w:rsid w:val="00BF4402"/>
    <w:rsid w:val="00BF4936"/>
    <w:rsid w:val="00BF522F"/>
    <w:rsid w:val="00BF610B"/>
    <w:rsid w:val="00BF653F"/>
    <w:rsid w:val="00BF68CC"/>
    <w:rsid w:val="00BF6CDF"/>
    <w:rsid w:val="00BF6EC7"/>
    <w:rsid w:val="00C003D1"/>
    <w:rsid w:val="00C0045E"/>
    <w:rsid w:val="00C00585"/>
    <w:rsid w:val="00C007B6"/>
    <w:rsid w:val="00C007FE"/>
    <w:rsid w:val="00C02B9B"/>
    <w:rsid w:val="00C02C72"/>
    <w:rsid w:val="00C03122"/>
    <w:rsid w:val="00C03507"/>
    <w:rsid w:val="00C03F26"/>
    <w:rsid w:val="00C04C47"/>
    <w:rsid w:val="00C05686"/>
    <w:rsid w:val="00C0604D"/>
    <w:rsid w:val="00C06178"/>
    <w:rsid w:val="00C066BB"/>
    <w:rsid w:val="00C06C7A"/>
    <w:rsid w:val="00C07CA4"/>
    <w:rsid w:val="00C07D9F"/>
    <w:rsid w:val="00C10743"/>
    <w:rsid w:val="00C10BA7"/>
    <w:rsid w:val="00C125A4"/>
    <w:rsid w:val="00C126E1"/>
    <w:rsid w:val="00C148DD"/>
    <w:rsid w:val="00C15153"/>
    <w:rsid w:val="00C15225"/>
    <w:rsid w:val="00C15C81"/>
    <w:rsid w:val="00C163DB"/>
    <w:rsid w:val="00C16595"/>
    <w:rsid w:val="00C16CCF"/>
    <w:rsid w:val="00C16EE6"/>
    <w:rsid w:val="00C16F22"/>
    <w:rsid w:val="00C175FC"/>
    <w:rsid w:val="00C17625"/>
    <w:rsid w:val="00C212B6"/>
    <w:rsid w:val="00C21A19"/>
    <w:rsid w:val="00C21B88"/>
    <w:rsid w:val="00C220FF"/>
    <w:rsid w:val="00C229F5"/>
    <w:rsid w:val="00C238E8"/>
    <w:rsid w:val="00C24766"/>
    <w:rsid w:val="00C26C41"/>
    <w:rsid w:val="00C27103"/>
    <w:rsid w:val="00C27241"/>
    <w:rsid w:val="00C278F2"/>
    <w:rsid w:val="00C307BC"/>
    <w:rsid w:val="00C30855"/>
    <w:rsid w:val="00C30956"/>
    <w:rsid w:val="00C30A45"/>
    <w:rsid w:val="00C319C3"/>
    <w:rsid w:val="00C31CD5"/>
    <w:rsid w:val="00C32EC2"/>
    <w:rsid w:val="00C331B4"/>
    <w:rsid w:val="00C33CA0"/>
    <w:rsid w:val="00C3403D"/>
    <w:rsid w:val="00C34650"/>
    <w:rsid w:val="00C34B4C"/>
    <w:rsid w:val="00C34BFC"/>
    <w:rsid w:val="00C3713C"/>
    <w:rsid w:val="00C408B0"/>
    <w:rsid w:val="00C413C6"/>
    <w:rsid w:val="00C41AA1"/>
    <w:rsid w:val="00C41D3C"/>
    <w:rsid w:val="00C427B7"/>
    <w:rsid w:val="00C42A3E"/>
    <w:rsid w:val="00C42D86"/>
    <w:rsid w:val="00C4364F"/>
    <w:rsid w:val="00C43A42"/>
    <w:rsid w:val="00C450C0"/>
    <w:rsid w:val="00C45616"/>
    <w:rsid w:val="00C47852"/>
    <w:rsid w:val="00C47A63"/>
    <w:rsid w:val="00C47CDA"/>
    <w:rsid w:val="00C50605"/>
    <w:rsid w:val="00C50917"/>
    <w:rsid w:val="00C519FD"/>
    <w:rsid w:val="00C52039"/>
    <w:rsid w:val="00C521B3"/>
    <w:rsid w:val="00C5226A"/>
    <w:rsid w:val="00C523C0"/>
    <w:rsid w:val="00C52ACA"/>
    <w:rsid w:val="00C5311A"/>
    <w:rsid w:val="00C535BD"/>
    <w:rsid w:val="00C53ADB"/>
    <w:rsid w:val="00C53CE6"/>
    <w:rsid w:val="00C54BD3"/>
    <w:rsid w:val="00C54F5F"/>
    <w:rsid w:val="00C55B01"/>
    <w:rsid w:val="00C55C6F"/>
    <w:rsid w:val="00C56D1E"/>
    <w:rsid w:val="00C56E56"/>
    <w:rsid w:val="00C57355"/>
    <w:rsid w:val="00C57721"/>
    <w:rsid w:val="00C57902"/>
    <w:rsid w:val="00C60487"/>
    <w:rsid w:val="00C613B5"/>
    <w:rsid w:val="00C625C4"/>
    <w:rsid w:val="00C631B0"/>
    <w:rsid w:val="00C63436"/>
    <w:rsid w:val="00C634B9"/>
    <w:rsid w:val="00C63521"/>
    <w:rsid w:val="00C6372C"/>
    <w:rsid w:val="00C63A10"/>
    <w:rsid w:val="00C63CC1"/>
    <w:rsid w:val="00C645B6"/>
    <w:rsid w:val="00C648A7"/>
    <w:rsid w:val="00C6495D"/>
    <w:rsid w:val="00C652A0"/>
    <w:rsid w:val="00C660CC"/>
    <w:rsid w:val="00C66B9D"/>
    <w:rsid w:val="00C66C28"/>
    <w:rsid w:val="00C712CD"/>
    <w:rsid w:val="00C71F31"/>
    <w:rsid w:val="00C73D56"/>
    <w:rsid w:val="00C73DD5"/>
    <w:rsid w:val="00C741EC"/>
    <w:rsid w:val="00C75C01"/>
    <w:rsid w:val="00C76074"/>
    <w:rsid w:val="00C7628F"/>
    <w:rsid w:val="00C77CF5"/>
    <w:rsid w:val="00C80317"/>
    <w:rsid w:val="00C80380"/>
    <w:rsid w:val="00C80681"/>
    <w:rsid w:val="00C807D3"/>
    <w:rsid w:val="00C80E76"/>
    <w:rsid w:val="00C812CA"/>
    <w:rsid w:val="00C81944"/>
    <w:rsid w:val="00C821AE"/>
    <w:rsid w:val="00C82F22"/>
    <w:rsid w:val="00C83411"/>
    <w:rsid w:val="00C83DB2"/>
    <w:rsid w:val="00C83F1B"/>
    <w:rsid w:val="00C83FF7"/>
    <w:rsid w:val="00C845C3"/>
    <w:rsid w:val="00C846D6"/>
    <w:rsid w:val="00C86502"/>
    <w:rsid w:val="00C86588"/>
    <w:rsid w:val="00C8740B"/>
    <w:rsid w:val="00C90067"/>
    <w:rsid w:val="00C90A1E"/>
    <w:rsid w:val="00C90B88"/>
    <w:rsid w:val="00C90F04"/>
    <w:rsid w:val="00C9172B"/>
    <w:rsid w:val="00C9334B"/>
    <w:rsid w:val="00C93691"/>
    <w:rsid w:val="00C93BAE"/>
    <w:rsid w:val="00C94A0E"/>
    <w:rsid w:val="00C94D06"/>
    <w:rsid w:val="00C95047"/>
    <w:rsid w:val="00C9586A"/>
    <w:rsid w:val="00C971CF"/>
    <w:rsid w:val="00C97275"/>
    <w:rsid w:val="00C97494"/>
    <w:rsid w:val="00C97BE2"/>
    <w:rsid w:val="00CA0192"/>
    <w:rsid w:val="00CA250A"/>
    <w:rsid w:val="00CA2B5D"/>
    <w:rsid w:val="00CA3032"/>
    <w:rsid w:val="00CA41B6"/>
    <w:rsid w:val="00CA457D"/>
    <w:rsid w:val="00CA4726"/>
    <w:rsid w:val="00CA5497"/>
    <w:rsid w:val="00CA5BAA"/>
    <w:rsid w:val="00CA5DA6"/>
    <w:rsid w:val="00CA68B4"/>
    <w:rsid w:val="00CA6CEE"/>
    <w:rsid w:val="00CA70A6"/>
    <w:rsid w:val="00CA72C0"/>
    <w:rsid w:val="00CB0800"/>
    <w:rsid w:val="00CB1424"/>
    <w:rsid w:val="00CB2994"/>
    <w:rsid w:val="00CB320D"/>
    <w:rsid w:val="00CB3B8D"/>
    <w:rsid w:val="00CB466E"/>
    <w:rsid w:val="00CB4D9D"/>
    <w:rsid w:val="00CB7BAC"/>
    <w:rsid w:val="00CB7E33"/>
    <w:rsid w:val="00CC12B8"/>
    <w:rsid w:val="00CC243F"/>
    <w:rsid w:val="00CC2E6F"/>
    <w:rsid w:val="00CC2F77"/>
    <w:rsid w:val="00CC2FF1"/>
    <w:rsid w:val="00CC3A15"/>
    <w:rsid w:val="00CC415A"/>
    <w:rsid w:val="00CC475A"/>
    <w:rsid w:val="00CC5222"/>
    <w:rsid w:val="00CC5D1F"/>
    <w:rsid w:val="00CC6008"/>
    <w:rsid w:val="00CC621E"/>
    <w:rsid w:val="00CC6487"/>
    <w:rsid w:val="00CC6B05"/>
    <w:rsid w:val="00CD0DBE"/>
    <w:rsid w:val="00CD0EC9"/>
    <w:rsid w:val="00CD13E4"/>
    <w:rsid w:val="00CD5113"/>
    <w:rsid w:val="00CD5CE8"/>
    <w:rsid w:val="00CD5FB1"/>
    <w:rsid w:val="00CD63D2"/>
    <w:rsid w:val="00CD742D"/>
    <w:rsid w:val="00CD794D"/>
    <w:rsid w:val="00CD7FE5"/>
    <w:rsid w:val="00CE0059"/>
    <w:rsid w:val="00CE0337"/>
    <w:rsid w:val="00CE0CC9"/>
    <w:rsid w:val="00CE12DA"/>
    <w:rsid w:val="00CE1699"/>
    <w:rsid w:val="00CE343B"/>
    <w:rsid w:val="00CE3F77"/>
    <w:rsid w:val="00CE4078"/>
    <w:rsid w:val="00CE43B8"/>
    <w:rsid w:val="00CE4D7B"/>
    <w:rsid w:val="00CE506B"/>
    <w:rsid w:val="00CE53CB"/>
    <w:rsid w:val="00CE551A"/>
    <w:rsid w:val="00CE5A01"/>
    <w:rsid w:val="00CE5C6E"/>
    <w:rsid w:val="00CE62A8"/>
    <w:rsid w:val="00CE7321"/>
    <w:rsid w:val="00CE794C"/>
    <w:rsid w:val="00CE7E63"/>
    <w:rsid w:val="00CF0178"/>
    <w:rsid w:val="00CF01C1"/>
    <w:rsid w:val="00CF0EE5"/>
    <w:rsid w:val="00CF1717"/>
    <w:rsid w:val="00CF4D5D"/>
    <w:rsid w:val="00CF50DF"/>
    <w:rsid w:val="00CF551A"/>
    <w:rsid w:val="00CF6E71"/>
    <w:rsid w:val="00D002D8"/>
    <w:rsid w:val="00D00F74"/>
    <w:rsid w:val="00D01E43"/>
    <w:rsid w:val="00D01FDB"/>
    <w:rsid w:val="00D03092"/>
    <w:rsid w:val="00D04D30"/>
    <w:rsid w:val="00D061EB"/>
    <w:rsid w:val="00D07194"/>
    <w:rsid w:val="00D0756D"/>
    <w:rsid w:val="00D0788D"/>
    <w:rsid w:val="00D10017"/>
    <w:rsid w:val="00D10284"/>
    <w:rsid w:val="00D10C2E"/>
    <w:rsid w:val="00D1128E"/>
    <w:rsid w:val="00D11D24"/>
    <w:rsid w:val="00D11DE2"/>
    <w:rsid w:val="00D12A57"/>
    <w:rsid w:val="00D1399A"/>
    <w:rsid w:val="00D13E15"/>
    <w:rsid w:val="00D145FE"/>
    <w:rsid w:val="00D1469A"/>
    <w:rsid w:val="00D15257"/>
    <w:rsid w:val="00D156A5"/>
    <w:rsid w:val="00D16351"/>
    <w:rsid w:val="00D16D2A"/>
    <w:rsid w:val="00D171AD"/>
    <w:rsid w:val="00D172E1"/>
    <w:rsid w:val="00D17A57"/>
    <w:rsid w:val="00D17B85"/>
    <w:rsid w:val="00D2065D"/>
    <w:rsid w:val="00D211A3"/>
    <w:rsid w:val="00D22239"/>
    <w:rsid w:val="00D22577"/>
    <w:rsid w:val="00D22911"/>
    <w:rsid w:val="00D22A62"/>
    <w:rsid w:val="00D22C89"/>
    <w:rsid w:val="00D2424D"/>
    <w:rsid w:val="00D255FF"/>
    <w:rsid w:val="00D259FC"/>
    <w:rsid w:val="00D26082"/>
    <w:rsid w:val="00D260C8"/>
    <w:rsid w:val="00D26653"/>
    <w:rsid w:val="00D26E4F"/>
    <w:rsid w:val="00D2735B"/>
    <w:rsid w:val="00D27628"/>
    <w:rsid w:val="00D312F0"/>
    <w:rsid w:val="00D3175A"/>
    <w:rsid w:val="00D319A0"/>
    <w:rsid w:val="00D33537"/>
    <w:rsid w:val="00D33DBF"/>
    <w:rsid w:val="00D33E5C"/>
    <w:rsid w:val="00D35187"/>
    <w:rsid w:val="00D3691B"/>
    <w:rsid w:val="00D36C02"/>
    <w:rsid w:val="00D376F9"/>
    <w:rsid w:val="00D37880"/>
    <w:rsid w:val="00D37F42"/>
    <w:rsid w:val="00D405B6"/>
    <w:rsid w:val="00D40FF2"/>
    <w:rsid w:val="00D40FF3"/>
    <w:rsid w:val="00D420EA"/>
    <w:rsid w:val="00D4248B"/>
    <w:rsid w:val="00D4264C"/>
    <w:rsid w:val="00D42BF6"/>
    <w:rsid w:val="00D42E17"/>
    <w:rsid w:val="00D4329D"/>
    <w:rsid w:val="00D43F7D"/>
    <w:rsid w:val="00D47333"/>
    <w:rsid w:val="00D4766A"/>
    <w:rsid w:val="00D47E5A"/>
    <w:rsid w:val="00D503F7"/>
    <w:rsid w:val="00D50963"/>
    <w:rsid w:val="00D5192F"/>
    <w:rsid w:val="00D51D20"/>
    <w:rsid w:val="00D51F4C"/>
    <w:rsid w:val="00D52068"/>
    <w:rsid w:val="00D52327"/>
    <w:rsid w:val="00D52E5C"/>
    <w:rsid w:val="00D53804"/>
    <w:rsid w:val="00D53ABF"/>
    <w:rsid w:val="00D54526"/>
    <w:rsid w:val="00D545C4"/>
    <w:rsid w:val="00D553D5"/>
    <w:rsid w:val="00D555C1"/>
    <w:rsid w:val="00D55D03"/>
    <w:rsid w:val="00D55D2D"/>
    <w:rsid w:val="00D55D5A"/>
    <w:rsid w:val="00D56235"/>
    <w:rsid w:val="00D5798F"/>
    <w:rsid w:val="00D57F2C"/>
    <w:rsid w:val="00D61FAD"/>
    <w:rsid w:val="00D62CC9"/>
    <w:rsid w:val="00D62D9E"/>
    <w:rsid w:val="00D6498A"/>
    <w:rsid w:val="00D653AF"/>
    <w:rsid w:val="00D65E7C"/>
    <w:rsid w:val="00D674FE"/>
    <w:rsid w:val="00D67984"/>
    <w:rsid w:val="00D67DDD"/>
    <w:rsid w:val="00D704C4"/>
    <w:rsid w:val="00D70F95"/>
    <w:rsid w:val="00D71458"/>
    <w:rsid w:val="00D714E5"/>
    <w:rsid w:val="00D71716"/>
    <w:rsid w:val="00D720A3"/>
    <w:rsid w:val="00D721F3"/>
    <w:rsid w:val="00D723B0"/>
    <w:rsid w:val="00D72A01"/>
    <w:rsid w:val="00D7347A"/>
    <w:rsid w:val="00D73687"/>
    <w:rsid w:val="00D73A81"/>
    <w:rsid w:val="00D73FE5"/>
    <w:rsid w:val="00D74100"/>
    <w:rsid w:val="00D7431A"/>
    <w:rsid w:val="00D76965"/>
    <w:rsid w:val="00D801AA"/>
    <w:rsid w:val="00D80906"/>
    <w:rsid w:val="00D81B68"/>
    <w:rsid w:val="00D827F8"/>
    <w:rsid w:val="00D82904"/>
    <w:rsid w:val="00D83C24"/>
    <w:rsid w:val="00D840AF"/>
    <w:rsid w:val="00D84B1D"/>
    <w:rsid w:val="00D85295"/>
    <w:rsid w:val="00D85651"/>
    <w:rsid w:val="00D85B81"/>
    <w:rsid w:val="00D8610A"/>
    <w:rsid w:val="00D869D7"/>
    <w:rsid w:val="00D86F63"/>
    <w:rsid w:val="00D876D9"/>
    <w:rsid w:val="00D87C6F"/>
    <w:rsid w:val="00D87D0F"/>
    <w:rsid w:val="00D90DD9"/>
    <w:rsid w:val="00D9122D"/>
    <w:rsid w:val="00D9139B"/>
    <w:rsid w:val="00D91720"/>
    <w:rsid w:val="00D91A49"/>
    <w:rsid w:val="00D9331E"/>
    <w:rsid w:val="00D9394C"/>
    <w:rsid w:val="00D939CA"/>
    <w:rsid w:val="00D95009"/>
    <w:rsid w:val="00D95041"/>
    <w:rsid w:val="00D954C8"/>
    <w:rsid w:val="00D95F6B"/>
    <w:rsid w:val="00D96620"/>
    <w:rsid w:val="00D96817"/>
    <w:rsid w:val="00D97307"/>
    <w:rsid w:val="00D97820"/>
    <w:rsid w:val="00D97A57"/>
    <w:rsid w:val="00DA09FC"/>
    <w:rsid w:val="00DA1E22"/>
    <w:rsid w:val="00DA2110"/>
    <w:rsid w:val="00DA2137"/>
    <w:rsid w:val="00DA3577"/>
    <w:rsid w:val="00DA36ED"/>
    <w:rsid w:val="00DA40CC"/>
    <w:rsid w:val="00DA496E"/>
    <w:rsid w:val="00DA55BB"/>
    <w:rsid w:val="00DA59DB"/>
    <w:rsid w:val="00DA65C2"/>
    <w:rsid w:val="00DA6728"/>
    <w:rsid w:val="00DA6A3B"/>
    <w:rsid w:val="00DA6BF7"/>
    <w:rsid w:val="00DA6D01"/>
    <w:rsid w:val="00DA71B7"/>
    <w:rsid w:val="00DB09AF"/>
    <w:rsid w:val="00DB1713"/>
    <w:rsid w:val="00DB1A83"/>
    <w:rsid w:val="00DB1F27"/>
    <w:rsid w:val="00DB20AB"/>
    <w:rsid w:val="00DB253D"/>
    <w:rsid w:val="00DB2573"/>
    <w:rsid w:val="00DB268A"/>
    <w:rsid w:val="00DB27B8"/>
    <w:rsid w:val="00DB2AF6"/>
    <w:rsid w:val="00DB560A"/>
    <w:rsid w:val="00DB5CF8"/>
    <w:rsid w:val="00DB5F4B"/>
    <w:rsid w:val="00DB6074"/>
    <w:rsid w:val="00DB713B"/>
    <w:rsid w:val="00DB787D"/>
    <w:rsid w:val="00DB7B53"/>
    <w:rsid w:val="00DB7D53"/>
    <w:rsid w:val="00DC0038"/>
    <w:rsid w:val="00DC052E"/>
    <w:rsid w:val="00DC06FB"/>
    <w:rsid w:val="00DC084F"/>
    <w:rsid w:val="00DC1299"/>
    <w:rsid w:val="00DC1561"/>
    <w:rsid w:val="00DC1A38"/>
    <w:rsid w:val="00DC1B27"/>
    <w:rsid w:val="00DC1BDC"/>
    <w:rsid w:val="00DC1DCE"/>
    <w:rsid w:val="00DC2479"/>
    <w:rsid w:val="00DC3006"/>
    <w:rsid w:val="00DC3EB6"/>
    <w:rsid w:val="00DC5D31"/>
    <w:rsid w:val="00DC6825"/>
    <w:rsid w:val="00DC70F0"/>
    <w:rsid w:val="00DC73CD"/>
    <w:rsid w:val="00DD17FC"/>
    <w:rsid w:val="00DD1911"/>
    <w:rsid w:val="00DD1AE0"/>
    <w:rsid w:val="00DD1B61"/>
    <w:rsid w:val="00DD23F6"/>
    <w:rsid w:val="00DD2BD6"/>
    <w:rsid w:val="00DD3EA1"/>
    <w:rsid w:val="00DD4CCF"/>
    <w:rsid w:val="00DD5D45"/>
    <w:rsid w:val="00DD767B"/>
    <w:rsid w:val="00DD7EAD"/>
    <w:rsid w:val="00DE06A4"/>
    <w:rsid w:val="00DE12D3"/>
    <w:rsid w:val="00DE1325"/>
    <w:rsid w:val="00DE194B"/>
    <w:rsid w:val="00DE1A34"/>
    <w:rsid w:val="00DE277E"/>
    <w:rsid w:val="00DE30EC"/>
    <w:rsid w:val="00DE390F"/>
    <w:rsid w:val="00DE3E4D"/>
    <w:rsid w:val="00DE40D5"/>
    <w:rsid w:val="00DE417F"/>
    <w:rsid w:val="00DE43AF"/>
    <w:rsid w:val="00DE453B"/>
    <w:rsid w:val="00DE54F5"/>
    <w:rsid w:val="00DE6429"/>
    <w:rsid w:val="00DE6A5E"/>
    <w:rsid w:val="00DE7CED"/>
    <w:rsid w:val="00DE7E0F"/>
    <w:rsid w:val="00DF0329"/>
    <w:rsid w:val="00DF0BA3"/>
    <w:rsid w:val="00DF152E"/>
    <w:rsid w:val="00DF193D"/>
    <w:rsid w:val="00DF1C62"/>
    <w:rsid w:val="00DF2411"/>
    <w:rsid w:val="00DF263A"/>
    <w:rsid w:val="00DF347A"/>
    <w:rsid w:val="00DF38BD"/>
    <w:rsid w:val="00DF3A8E"/>
    <w:rsid w:val="00DF3D1D"/>
    <w:rsid w:val="00DF42CC"/>
    <w:rsid w:val="00DF4AD1"/>
    <w:rsid w:val="00DF52F4"/>
    <w:rsid w:val="00DF5823"/>
    <w:rsid w:val="00DF5CA5"/>
    <w:rsid w:val="00DF637A"/>
    <w:rsid w:val="00E00040"/>
    <w:rsid w:val="00E00767"/>
    <w:rsid w:val="00E00A8E"/>
    <w:rsid w:val="00E0113A"/>
    <w:rsid w:val="00E013D8"/>
    <w:rsid w:val="00E015A6"/>
    <w:rsid w:val="00E022E4"/>
    <w:rsid w:val="00E03010"/>
    <w:rsid w:val="00E0446A"/>
    <w:rsid w:val="00E044B9"/>
    <w:rsid w:val="00E0468B"/>
    <w:rsid w:val="00E046A9"/>
    <w:rsid w:val="00E0492D"/>
    <w:rsid w:val="00E05515"/>
    <w:rsid w:val="00E05DE3"/>
    <w:rsid w:val="00E0608B"/>
    <w:rsid w:val="00E062B7"/>
    <w:rsid w:val="00E066AF"/>
    <w:rsid w:val="00E07E35"/>
    <w:rsid w:val="00E107EE"/>
    <w:rsid w:val="00E1169F"/>
    <w:rsid w:val="00E117C0"/>
    <w:rsid w:val="00E128B6"/>
    <w:rsid w:val="00E133BD"/>
    <w:rsid w:val="00E1518A"/>
    <w:rsid w:val="00E15A8D"/>
    <w:rsid w:val="00E164EA"/>
    <w:rsid w:val="00E16798"/>
    <w:rsid w:val="00E17374"/>
    <w:rsid w:val="00E20137"/>
    <w:rsid w:val="00E20DE3"/>
    <w:rsid w:val="00E21029"/>
    <w:rsid w:val="00E21F1D"/>
    <w:rsid w:val="00E21F43"/>
    <w:rsid w:val="00E22181"/>
    <w:rsid w:val="00E22457"/>
    <w:rsid w:val="00E225AD"/>
    <w:rsid w:val="00E233C4"/>
    <w:rsid w:val="00E23406"/>
    <w:rsid w:val="00E23841"/>
    <w:rsid w:val="00E24D0D"/>
    <w:rsid w:val="00E24FC0"/>
    <w:rsid w:val="00E25816"/>
    <w:rsid w:val="00E25D18"/>
    <w:rsid w:val="00E26244"/>
    <w:rsid w:val="00E2686E"/>
    <w:rsid w:val="00E27C1B"/>
    <w:rsid w:val="00E3014F"/>
    <w:rsid w:val="00E318F9"/>
    <w:rsid w:val="00E31CDC"/>
    <w:rsid w:val="00E325E9"/>
    <w:rsid w:val="00E3344C"/>
    <w:rsid w:val="00E33BE9"/>
    <w:rsid w:val="00E3420F"/>
    <w:rsid w:val="00E35E1F"/>
    <w:rsid w:val="00E35ED3"/>
    <w:rsid w:val="00E36FAE"/>
    <w:rsid w:val="00E37214"/>
    <w:rsid w:val="00E40443"/>
    <w:rsid w:val="00E40BC8"/>
    <w:rsid w:val="00E4119A"/>
    <w:rsid w:val="00E4242D"/>
    <w:rsid w:val="00E42539"/>
    <w:rsid w:val="00E42FB6"/>
    <w:rsid w:val="00E43128"/>
    <w:rsid w:val="00E432B0"/>
    <w:rsid w:val="00E4375C"/>
    <w:rsid w:val="00E45F75"/>
    <w:rsid w:val="00E46A9C"/>
    <w:rsid w:val="00E479B2"/>
    <w:rsid w:val="00E502A5"/>
    <w:rsid w:val="00E50748"/>
    <w:rsid w:val="00E50F31"/>
    <w:rsid w:val="00E51100"/>
    <w:rsid w:val="00E52E1C"/>
    <w:rsid w:val="00E53190"/>
    <w:rsid w:val="00E535B4"/>
    <w:rsid w:val="00E5361F"/>
    <w:rsid w:val="00E540A6"/>
    <w:rsid w:val="00E5412C"/>
    <w:rsid w:val="00E547D4"/>
    <w:rsid w:val="00E55DDB"/>
    <w:rsid w:val="00E60F37"/>
    <w:rsid w:val="00E61C34"/>
    <w:rsid w:val="00E624FF"/>
    <w:rsid w:val="00E626D0"/>
    <w:rsid w:val="00E63445"/>
    <w:rsid w:val="00E6354D"/>
    <w:rsid w:val="00E636DA"/>
    <w:rsid w:val="00E63DB1"/>
    <w:rsid w:val="00E649A6"/>
    <w:rsid w:val="00E64B0E"/>
    <w:rsid w:val="00E65460"/>
    <w:rsid w:val="00E66F85"/>
    <w:rsid w:val="00E67C77"/>
    <w:rsid w:val="00E700F9"/>
    <w:rsid w:val="00E70C06"/>
    <w:rsid w:val="00E70FA2"/>
    <w:rsid w:val="00E718A5"/>
    <w:rsid w:val="00E71B77"/>
    <w:rsid w:val="00E72770"/>
    <w:rsid w:val="00E72E75"/>
    <w:rsid w:val="00E7316C"/>
    <w:rsid w:val="00E731B2"/>
    <w:rsid w:val="00E73394"/>
    <w:rsid w:val="00E734B4"/>
    <w:rsid w:val="00E73F53"/>
    <w:rsid w:val="00E741D2"/>
    <w:rsid w:val="00E74298"/>
    <w:rsid w:val="00E74B65"/>
    <w:rsid w:val="00E74EA2"/>
    <w:rsid w:val="00E752E2"/>
    <w:rsid w:val="00E753A0"/>
    <w:rsid w:val="00E75CB4"/>
    <w:rsid w:val="00E761D9"/>
    <w:rsid w:val="00E7742A"/>
    <w:rsid w:val="00E7754C"/>
    <w:rsid w:val="00E8066D"/>
    <w:rsid w:val="00E80DDE"/>
    <w:rsid w:val="00E81E8F"/>
    <w:rsid w:val="00E8284A"/>
    <w:rsid w:val="00E8360C"/>
    <w:rsid w:val="00E83894"/>
    <w:rsid w:val="00E839AE"/>
    <w:rsid w:val="00E84094"/>
    <w:rsid w:val="00E841C3"/>
    <w:rsid w:val="00E84A38"/>
    <w:rsid w:val="00E857BF"/>
    <w:rsid w:val="00E8585D"/>
    <w:rsid w:val="00E8613A"/>
    <w:rsid w:val="00E86864"/>
    <w:rsid w:val="00E870B7"/>
    <w:rsid w:val="00E879C5"/>
    <w:rsid w:val="00E87EEB"/>
    <w:rsid w:val="00E9031A"/>
    <w:rsid w:val="00E90587"/>
    <w:rsid w:val="00E90D9B"/>
    <w:rsid w:val="00E90FDC"/>
    <w:rsid w:val="00E91499"/>
    <w:rsid w:val="00E91778"/>
    <w:rsid w:val="00E9190E"/>
    <w:rsid w:val="00E921F9"/>
    <w:rsid w:val="00E92799"/>
    <w:rsid w:val="00E930BB"/>
    <w:rsid w:val="00E93BD2"/>
    <w:rsid w:val="00E95099"/>
    <w:rsid w:val="00E95578"/>
    <w:rsid w:val="00E960B7"/>
    <w:rsid w:val="00E972EE"/>
    <w:rsid w:val="00E97549"/>
    <w:rsid w:val="00E97712"/>
    <w:rsid w:val="00E979CA"/>
    <w:rsid w:val="00E97AC0"/>
    <w:rsid w:val="00E97D41"/>
    <w:rsid w:val="00EA05EC"/>
    <w:rsid w:val="00EA06CE"/>
    <w:rsid w:val="00EA0B24"/>
    <w:rsid w:val="00EA16CD"/>
    <w:rsid w:val="00EA1C94"/>
    <w:rsid w:val="00EA2D8C"/>
    <w:rsid w:val="00EA341D"/>
    <w:rsid w:val="00EA3FB7"/>
    <w:rsid w:val="00EA498B"/>
    <w:rsid w:val="00EA4DE9"/>
    <w:rsid w:val="00EA58E4"/>
    <w:rsid w:val="00EA5FE8"/>
    <w:rsid w:val="00EA6ACC"/>
    <w:rsid w:val="00EA70E7"/>
    <w:rsid w:val="00EA7A6C"/>
    <w:rsid w:val="00EB04CD"/>
    <w:rsid w:val="00EB075F"/>
    <w:rsid w:val="00EB0DF5"/>
    <w:rsid w:val="00EB0E47"/>
    <w:rsid w:val="00EB0FE9"/>
    <w:rsid w:val="00EB2227"/>
    <w:rsid w:val="00EB24DE"/>
    <w:rsid w:val="00EB252A"/>
    <w:rsid w:val="00EB2BEE"/>
    <w:rsid w:val="00EB3C05"/>
    <w:rsid w:val="00EB3D81"/>
    <w:rsid w:val="00EB42C4"/>
    <w:rsid w:val="00EB4440"/>
    <w:rsid w:val="00EB54D4"/>
    <w:rsid w:val="00EB5C97"/>
    <w:rsid w:val="00EB5E5F"/>
    <w:rsid w:val="00EB5FD2"/>
    <w:rsid w:val="00EB6310"/>
    <w:rsid w:val="00EB6CAA"/>
    <w:rsid w:val="00EB6FA9"/>
    <w:rsid w:val="00EB76AE"/>
    <w:rsid w:val="00EC0337"/>
    <w:rsid w:val="00EC0E98"/>
    <w:rsid w:val="00EC16C6"/>
    <w:rsid w:val="00EC1DD1"/>
    <w:rsid w:val="00EC2811"/>
    <w:rsid w:val="00EC2DCC"/>
    <w:rsid w:val="00EC3DBE"/>
    <w:rsid w:val="00EC472F"/>
    <w:rsid w:val="00EC4BE6"/>
    <w:rsid w:val="00EC5CFD"/>
    <w:rsid w:val="00EC6257"/>
    <w:rsid w:val="00EC693C"/>
    <w:rsid w:val="00EC6FDF"/>
    <w:rsid w:val="00ED1309"/>
    <w:rsid w:val="00ED1C74"/>
    <w:rsid w:val="00ED3EFC"/>
    <w:rsid w:val="00ED4ADE"/>
    <w:rsid w:val="00ED4F4B"/>
    <w:rsid w:val="00ED54A4"/>
    <w:rsid w:val="00ED5553"/>
    <w:rsid w:val="00ED5B37"/>
    <w:rsid w:val="00ED628E"/>
    <w:rsid w:val="00ED7B22"/>
    <w:rsid w:val="00EE119C"/>
    <w:rsid w:val="00EE11DE"/>
    <w:rsid w:val="00EE14AD"/>
    <w:rsid w:val="00EE1570"/>
    <w:rsid w:val="00EE15A2"/>
    <w:rsid w:val="00EE2862"/>
    <w:rsid w:val="00EE2A26"/>
    <w:rsid w:val="00EE2A65"/>
    <w:rsid w:val="00EE2E60"/>
    <w:rsid w:val="00EE330D"/>
    <w:rsid w:val="00EE340D"/>
    <w:rsid w:val="00EE3EE5"/>
    <w:rsid w:val="00EE477F"/>
    <w:rsid w:val="00EE50D0"/>
    <w:rsid w:val="00EE58F0"/>
    <w:rsid w:val="00EE5CB8"/>
    <w:rsid w:val="00EE728D"/>
    <w:rsid w:val="00EE7885"/>
    <w:rsid w:val="00EF02B1"/>
    <w:rsid w:val="00EF0BFD"/>
    <w:rsid w:val="00EF12CC"/>
    <w:rsid w:val="00EF1C91"/>
    <w:rsid w:val="00EF4197"/>
    <w:rsid w:val="00EF41BB"/>
    <w:rsid w:val="00EF4C30"/>
    <w:rsid w:val="00EF4E71"/>
    <w:rsid w:val="00EF50FC"/>
    <w:rsid w:val="00EF6FC0"/>
    <w:rsid w:val="00F007C1"/>
    <w:rsid w:val="00F00915"/>
    <w:rsid w:val="00F02973"/>
    <w:rsid w:val="00F02C65"/>
    <w:rsid w:val="00F03136"/>
    <w:rsid w:val="00F0432F"/>
    <w:rsid w:val="00F047C1"/>
    <w:rsid w:val="00F04F80"/>
    <w:rsid w:val="00F051E6"/>
    <w:rsid w:val="00F053C2"/>
    <w:rsid w:val="00F06806"/>
    <w:rsid w:val="00F10156"/>
    <w:rsid w:val="00F1026C"/>
    <w:rsid w:val="00F10AF6"/>
    <w:rsid w:val="00F11CEB"/>
    <w:rsid w:val="00F11DB2"/>
    <w:rsid w:val="00F1290F"/>
    <w:rsid w:val="00F13377"/>
    <w:rsid w:val="00F13E62"/>
    <w:rsid w:val="00F13FC1"/>
    <w:rsid w:val="00F143FD"/>
    <w:rsid w:val="00F14A64"/>
    <w:rsid w:val="00F15371"/>
    <w:rsid w:val="00F1654B"/>
    <w:rsid w:val="00F16643"/>
    <w:rsid w:val="00F16C69"/>
    <w:rsid w:val="00F1744D"/>
    <w:rsid w:val="00F17875"/>
    <w:rsid w:val="00F2074A"/>
    <w:rsid w:val="00F20933"/>
    <w:rsid w:val="00F20BAE"/>
    <w:rsid w:val="00F20D34"/>
    <w:rsid w:val="00F214B9"/>
    <w:rsid w:val="00F229C4"/>
    <w:rsid w:val="00F233B0"/>
    <w:rsid w:val="00F25582"/>
    <w:rsid w:val="00F273C2"/>
    <w:rsid w:val="00F27409"/>
    <w:rsid w:val="00F27C18"/>
    <w:rsid w:val="00F31090"/>
    <w:rsid w:val="00F3167A"/>
    <w:rsid w:val="00F31E76"/>
    <w:rsid w:val="00F32988"/>
    <w:rsid w:val="00F33583"/>
    <w:rsid w:val="00F338B2"/>
    <w:rsid w:val="00F352FB"/>
    <w:rsid w:val="00F35FFC"/>
    <w:rsid w:val="00F36051"/>
    <w:rsid w:val="00F361D8"/>
    <w:rsid w:val="00F368B7"/>
    <w:rsid w:val="00F3780B"/>
    <w:rsid w:val="00F40185"/>
    <w:rsid w:val="00F401F6"/>
    <w:rsid w:val="00F40572"/>
    <w:rsid w:val="00F40BB1"/>
    <w:rsid w:val="00F40BD0"/>
    <w:rsid w:val="00F40EFD"/>
    <w:rsid w:val="00F41B5A"/>
    <w:rsid w:val="00F41F6B"/>
    <w:rsid w:val="00F42132"/>
    <w:rsid w:val="00F42AB5"/>
    <w:rsid w:val="00F42B06"/>
    <w:rsid w:val="00F42EB1"/>
    <w:rsid w:val="00F42F19"/>
    <w:rsid w:val="00F434B3"/>
    <w:rsid w:val="00F435CE"/>
    <w:rsid w:val="00F43818"/>
    <w:rsid w:val="00F4466A"/>
    <w:rsid w:val="00F46C41"/>
    <w:rsid w:val="00F4719E"/>
    <w:rsid w:val="00F4763C"/>
    <w:rsid w:val="00F47822"/>
    <w:rsid w:val="00F5047B"/>
    <w:rsid w:val="00F504D0"/>
    <w:rsid w:val="00F50A4E"/>
    <w:rsid w:val="00F50F53"/>
    <w:rsid w:val="00F512B1"/>
    <w:rsid w:val="00F517E7"/>
    <w:rsid w:val="00F51C80"/>
    <w:rsid w:val="00F52F0D"/>
    <w:rsid w:val="00F53A76"/>
    <w:rsid w:val="00F53EEF"/>
    <w:rsid w:val="00F5519C"/>
    <w:rsid w:val="00F55A2A"/>
    <w:rsid w:val="00F55BB6"/>
    <w:rsid w:val="00F562D9"/>
    <w:rsid w:val="00F565AE"/>
    <w:rsid w:val="00F57539"/>
    <w:rsid w:val="00F57ECC"/>
    <w:rsid w:val="00F603DA"/>
    <w:rsid w:val="00F60754"/>
    <w:rsid w:val="00F6079F"/>
    <w:rsid w:val="00F61ACE"/>
    <w:rsid w:val="00F61B5B"/>
    <w:rsid w:val="00F62289"/>
    <w:rsid w:val="00F62AFE"/>
    <w:rsid w:val="00F636BA"/>
    <w:rsid w:val="00F648EF"/>
    <w:rsid w:val="00F64A5B"/>
    <w:rsid w:val="00F64B7D"/>
    <w:rsid w:val="00F650B9"/>
    <w:rsid w:val="00F6513D"/>
    <w:rsid w:val="00F65508"/>
    <w:rsid w:val="00F657FD"/>
    <w:rsid w:val="00F65890"/>
    <w:rsid w:val="00F659F6"/>
    <w:rsid w:val="00F6630B"/>
    <w:rsid w:val="00F6652E"/>
    <w:rsid w:val="00F66BBA"/>
    <w:rsid w:val="00F66D2C"/>
    <w:rsid w:val="00F6761C"/>
    <w:rsid w:val="00F70089"/>
    <w:rsid w:val="00F70886"/>
    <w:rsid w:val="00F70C37"/>
    <w:rsid w:val="00F716D6"/>
    <w:rsid w:val="00F73CC1"/>
    <w:rsid w:val="00F74A6C"/>
    <w:rsid w:val="00F75417"/>
    <w:rsid w:val="00F76DE2"/>
    <w:rsid w:val="00F77038"/>
    <w:rsid w:val="00F77154"/>
    <w:rsid w:val="00F7739C"/>
    <w:rsid w:val="00F7741F"/>
    <w:rsid w:val="00F80A66"/>
    <w:rsid w:val="00F80E1D"/>
    <w:rsid w:val="00F81167"/>
    <w:rsid w:val="00F819FC"/>
    <w:rsid w:val="00F8217E"/>
    <w:rsid w:val="00F83739"/>
    <w:rsid w:val="00F850DD"/>
    <w:rsid w:val="00F85AFC"/>
    <w:rsid w:val="00F86A1D"/>
    <w:rsid w:val="00F86DDB"/>
    <w:rsid w:val="00F8724F"/>
    <w:rsid w:val="00F87D13"/>
    <w:rsid w:val="00F90A3B"/>
    <w:rsid w:val="00F90A4B"/>
    <w:rsid w:val="00F90C05"/>
    <w:rsid w:val="00F91570"/>
    <w:rsid w:val="00F918A0"/>
    <w:rsid w:val="00F9216D"/>
    <w:rsid w:val="00F92C25"/>
    <w:rsid w:val="00F9357D"/>
    <w:rsid w:val="00F939A5"/>
    <w:rsid w:val="00F94727"/>
    <w:rsid w:val="00F948E4"/>
    <w:rsid w:val="00F95035"/>
    <w:rsid w:val="00F9639E"/>
    <w:rsid w:val="00F9670E"/>
    <w:rsid w:val="00F96862"/>
    <w:rsid w:val="00F96867"/>
    <w:rsid w:val="00F97FAE"/>
    <w:rsid w:val="00FA00F4"/>
    <w:rsid w:val="00FA09DB"/>
    <w:rsid w:val="00FA23FB"/>
    <w:rsid w:val="00FA25EC"/>
    <w:rsid w:val="00FA4D0B"/>
    <w:rsid w:val="00FA4F44"/>
    <w:rsid w:val="00FA5C6F"/>
    <w:rsid w:val="00FA5E7B"/>
    <w:rsid w:val="00FA6E6D"/>
    <w:rsid w:val="00FA737A"/>
    <w:rsid w:val="00FB050C"/>
    <w:rsid w:val="00FB1432"/>
    <w:rsid w:val="00FB1DAD"/>
    <w:rsid w:val="00FB1E85"/>
    <w:rsid w:val="00FB240F"/>
    <w:rsid w:val="00FB2554"/>
    <w:rsid w:val="00FB328C"/>
    <w:rsid w:val="00FB3323"/>
    <w:rsid w:val="00FB38C1"/>
    <w:rsid w:val="00FB435C"/>
    <w:rsid w:val="00FB47F5"/>
    <w:rsid w:val="00FB53F7"/>
    <w:rsid w:val="00FB5D92"/>
    <w:rsid w:val="00FB6CA2"/>
    <w:rsid w:val="00FB6F18"/>
    <w:rsid w:val="00FC0211"/>
    <w:rsid w:val="00FC1119"/>
    <w:rsid w:val="00FC26F5"/>
    <w:rsid w:val="00FC2763"/>
    <w:rsid w:val="00FC2CF2"/>
    <w:rsid w:val="00FC2E80"/>
    <w:rsid w:val="00FC4318"/>
    <w:rsid w:val="00FC44DA"/>
    <w:rsid w:val="00FC4DB3"/>
    <w:rsid w:val="00FC4F4A"/>
    <w:rsid w:val="00FC50FA"/>
    <w:rsid w:val="00FC52EA"/>
    <w:rsid w:val="00FC5416"/>
    <w:rsid w:val="00FC5A45"/>
    <w:rsid w:val="00FC71A1"/>
    <w:rsid w:val="00FC7C11"/>
    <w:rsid w:val="00FD0F93"/>
    <w:rsid w:val="00FD11CF"/>
    <w:rsid w:val="00FD2347"/>
    <w:rsid w:val="00FD2539"/>
    <w:rsid w:val="00FD2D4A"/>
    <w:rsid w:val="00FD35A8"/>
    <w:rsid w:val="00FD35CB"/>
    <w:rsid w:val="00FD3C97"/>
    <w:rsid w:val="00FD4CD3"/>
    <w:rsid w:val="00FD5FAE"/>
    <w:rsid w:val="00FD613B"/>
    <w:rsid w:val="00FD6C0E"/>
    <w:rsid w:val="00FE04E1"/>
    <w:rsid w:val="00FE13DC"/>
    <w:rsid w:val="00FE218F"/>
    <w:rsid w:val="00FE2754"/>
    <w:rsid w:val="00FE2F96"/>
    <w:rsid w:val="00FE2FA7"/>
    <w:rsid w:val="00FE31F2"/>
    <w:rsid w:val="00FE5176"/>
    <w:rsid w:val="00FE55C3"/>
    <w:rsid w:val="00FE617D"/>
    <w:rsid w:val="00FE6564"/>
    <w:rsid w:val="00FE679C"/>
    <w:rsid w:val="00FE6AF7"/>
    <w:rsid w:val="00FE705A"/>
    <w:rsid w:val="00FE78A7"/>
    <w:rsid w:val="00FF2A70"/>
    <w:rsid w:val="00FF3316"/>
    <w:rsid w:val="00FF4D79"/>
    <w:rsid w:val="00FF50C1"/>
    <w:rsid w:val="00FF5462"/>
    <w:rsid w:val="00FF5654"/>
    <w:rsid w:val="00FF5744"/>
    <w:rsid w:val="00FF6345"/>
    <w:rsid w:val="00FF654E"/>
    <w:rsid w:val="00FF73C5"/>
    <w:rsid w:val="00FF7BFF"/>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84D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954C5A"/>
    <w:pPr>
      <w:keepNext/>
      <w:keepLines/>
      <w:numPr>
        <w:numId w:val="74"/>
      </w:numPr>
      <w:spacing w:before="480" w:after="0"/>
      <w:outlineLvl w:val="0"/>
    </w:pPr>
    <w:rPr>
      <w:rFonts w:ascii="Georgia" w:eastAsiaTheme="majorEastAsia" w:hAnsi="Georgia" w:cstheme="majorBidi"/>
      <w:b/>
      <w:bCs/>
      <w:color w:val="821A1A"/>
      <w:sz w:val="40"/>
      <w:szCs w:val="28"/>
    </w:rPr>
  </w:style>
  <w:style w:type="paragraph" w:styleId="Antrat2">
    <w:name w:val="heading 2"/>
    <w:basedOn w:val="prastasis"/>
    <w:next w:val="prastasis"/>
    <w:link w:val="Antrat2Diagrama"/>
    <w:uiPriority w:val="9"/>
    <w:unhideWhenUsed/>
    <w:qFormat/>
    <w:rsid w:val="005A0219"/>
    <w:pPr>
      <w:keepNext/>
      <w:keepLines/>
      <w:spacing w:before="200" w:after="0"/>
      <w:outlineLvl w:val="1"/>
    </w:pPr>
    <w:rPr>
      <w:rFonts w:asciiTheme="majorHAnsi" w:eastAsiaTheme="majorEastAsia" w:hAnsiTheme="majorHAnsi" w:cstheme="majorBidi"/>
      <w:b/>
      <w:bCs/>
      <w:color w:val="821A1A"/>
      <w:sz w:val="32"/>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5A0219"/>
    <w:pPr>
      <w:keepNext/>
      <w:keepLines/>
      <w:spacing w:before="40" w:after="0"/>
      <w:outlineLvl w:val="4"/>
    </w:pPr>
    <w:rPr>
      <w:rFonts w:ascii="Georgia" w:eastAsia="Times New Roman" w:hAnsi="Georgia" w:cs="Arial Unicode MS"/>
      <w:i/>
      <w:color w:val="821A1A"/>
      <w:sz w:val="24"/>
    </w:rPr>
  </w:style>
  <w:style w:type="paragraph" w:styleId="Antrat6">
    <w:name w:val="heading 6"/>
    <w:basedOn w:val="prastasis"/>
    <w:next w:val="prastasis"/>
    <w:link w:val="Antrat6Diagrama"/>
    <w:uiPriority w:val="9"/>
    <w:semiHidden/>
    <w:unhideWhenUsed/>
    <w:qFormat/>
    <w:rsid w:val="005A0219"/>
    <w:pPr>
      <w:keepNext/>
      <w:keepLines/>
      <w:spacing w:before="40" w:after="0"/>
      <w:outlineLvl w:val="5"/>
    </w:pPr>
    <w:rPr>
      <w:rFonts w:ascii="Georgia" w:eastAsia="Times New Roman" w:hAnsi="Georgia" w:cs="Arial Unicode MS"/>
      <w:color w:val="821A1A"/>
      <w:sz w:val="24"/>
    </w:rPr>
  </w:style>
  <w:style w:type="paragraph" w:styleId="Antrat7">
    <w:name w:val="heading 7"/>
    <w:basedOn w:val="prastasis"/>
    <w:next w:val="prastasis"/>
    <w:link w:val="Antrat7Diagrama"/>
    <w:uiPriority w:val="9"/>
    <w:semiHidden/>
    <w:unhideWhenUsed/>
    <w:qFormat/>
    <w:rsid w:val="005A0219"/>
    <w:pPr>
      <w:keepNext/>
      <w:keepLines/>
      <w:spacing w:before="40" w:after="0"/>
      <w:outlineLvl w:val="6"/>
    </w:pPr>
    <w:rPr>
      <w:rFonts w:ascii="Georgia" w:eastAsia="Times New Roman" w:hAnsi="Georgia" w:cs="Arial Unicode MS"/>
      <w:i/>
      <w:iCs/>
      <w:color w:val="400D0D"/>
    </w:rPr>
  </w:style>
  <w:style w:type="paragraph" w:styleId="Antrat8">
    <w:name w:val="heading 8"/>
    <w:basedOn w:val="prastasis"/>
    <w:next w:val="prastasis"/>
    <w:link w:val="Antrat8Diagrama"/>
    <w:uiPriority w:val="9"/>
    <w:semiHidden/>
    <w:unhideWhenUsed/>
    <w:qFormat/>
    <w:rsid w:val="005A0219"/>
    <w:pPr>
      <w:keepNext/>
      <w:keepLines/>
      <w:spacing w:before="40" w:after="0"/>
      <w:outlineLvl w:val="7"/>
    </w:pPr>
    <w:rPr>
      <w:rFonts w:ascii="Georgia" w:eastAsia="Times New Roman" w:hAnsi="Georgia" w:cs="Arial Unicode MS"/>
      <w:color w:val="272727"/>
      <w:sz w:val="21"/>
      <w:szCs w:val="21"/>
    </w:rPr>
  </w:style>
  <w:style w:type="paragraph" w:styleId="Antrat9">
    <w:name w:val="heading 9"/>
    <w:basedOn w:val="prastasis"/>
    <w:next w:val="prastasis"/>
    <w:link w:val="Antrat9Diagrama"/>
    <w:uiPriority w:val="9"/>
    <w:semiHidden/>
    <w:unhideWhenUsed/>
    <w:qFormat/>
    <w:rsid w:val="005A0219"/>
    <w:pPr>
      <w:keepNext/>
      <w:keepLines/>
      <w:spacing w:before="40" w:after="0"/>
      <w:outlineLvl w:val="8"/>
    </w:pPr>
    <w:rPr>
      <w:rFonts w:ascii="Georgia" w:eastAsia="Times New Roman" w:hAnsi="Georgia" w:cs="Arial Unicode MS"/>
      <w:i/>
      <w:iCs/>
      <w:color w:val="272727"/>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54C5A"/>
    <w:rPr>
      <w:rFonts w:ascii="Georgia" w:eastAsiaTheme="majorEastAsia" w:hAnsi="Georgia" w:cstheme="majorBidi"/>
      <w:b/>
      <w:bCs/>
      <w:color w:val="821A1A"/>
      <w:sz w:val="40"/>
      <w:szCs w:val="28"/>
    </w:rPr>
  </w:style>
  <w:style w:type="character" w:customStyle="1" w:styleId="Antrat2Diagrama">
    <w:name w:val="Antraštė 2 Diagrama"/>
    <w:basedOn w:val="Numatytasispastraiposriftas"/>
    <w:link w:val="Antrat2"/>
    <w:uiPriority w:val="9"/>
    <w:rsid w:val="005A0219"/>
    <w:rPr>
      <w:rFonts w:asciiTheme="majorHAnsi" w:eastAsiaTheme="majorEastAsia" w:hAnsiTheme="majorHAnsi" w:cstheme="majorBidi"/>
      <w:b/>
      <w:bCs/>
      <w:color w:val="821A1A"/>
      <w:sz w:val="32"/>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aliases w:val="lentelių turinys"/>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1">
    <w:name w:val="Grid Table 5 Dark - Accent 1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1">
    <w:name w:val="Table Grid Light1"/>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1">
    <w:name w:val="Grid Table 4 - Accent 1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aliases w:val="|| 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aliases w:val="|| Footer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esussraas3parykinimas">
    <w:name w:val="Light List Accent 3"/>
    <w:basedOn w:val="prastojilentel"/>
    <w:uiPriority w:val="61"/>
    <w:rsid w:val="002A576D"/>
    <w:pPr>
      <w:spacing w:after="0" w:line="240" w:lineRule="auto"/>
    </w:pPr>
    <w:rPr>
      <w:lang w:val="lt-LT"/>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vidutinisspalvinimas1parykinimas">
    <w:name w:val="Medium Shading 1 Accent 1"/>
    <w:basedOn w:val="prastojilentel"/>
    <w:uiPriority w:val="63"/>
    <w:rsid w:val="006A520B"/>
    <w:pPr>
      <w:spacing w:after="0" w:line="240" w:lineRule="auto"/>
    </w:pPr>
    <w:rPr>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kumentoinaostekstas">
    <w:name w:val="endnote text"/>
    <w:basedOn w:val="prastasis"/>
    <w:link w:val="DokumentoinaostekstasDiagrama"/>
    <w:uiPriority w:val="99"/>
    <w:semiHidden/>
    <w:unhideWhenUsed/>
    <w:rsid w:val="006A520B"/>
    <w:pPr>
      <w:spacing w:after="0" w:line="240" w:lineRule="auto"/>
    </w:pPr>
    <w:rPr>
      <w:sz w:val="20"/>
      <w:szCs w:val="20"/>
      <w:lang w:val="lt-LT"/>
    </w:rPr>
  </w:style>
  <w:style w:type="character" w:customStyle="1" w:styleId="DokumentoinaostekstasDiagrama">
    <w:name w:val="Dokumento išnašos tekstas Diagrama"/>
    <w:basedOn w:val="Numatytasispastraiposriftas"/>
    <w:link w:val="Dokumentoinaostekstas"/>
    <w:uiPriority w:val="99"/>
    <w:semiHidden/>
    <w:rsid w:val="006A520B"/>
    <w:rPr>
      <w:sz w:val="20"/>
      <w:szCs w:val="20"/>
      <w:lang w:val="lt-LT"/>
    </w:rPr>
  </w:style>
  <w:style w:type="character" w:styleId="Dokumentoinaosnumeris">
    <w:name w:val="endnote reference"/>
    <w:basedOn w:val="Numatytasispastraiposriftas"/>
    <w:uiPriority w:val="99"/>
    <w:semiHidden/>
    <w:unhideWhenUsed/>
    <w:rsid w:val="006A520B"/>
    <w:rPr>
      <w:vertAlign w:val="superscript"/>
    </w:rPr>
  </w:style>
  <w:style w:type="paragraph" w:customStyle="1" w:styleId="Heading51">
    <w:name w:val="Heading 51"/>
    <w:basedOn w:val="prastasis"/>
    <w:next w:val="Pagrindinistekstas"/>
    <w:uiPriority w:val="9"/>
    <w:unhideWhenUsed/>
    <w:rsid w:val="005A0219"/>
    <w:pPr>
      <w:keepNext/>
      <w:spacing w:after="160" w:line="0" w:lineRule="atLeast"/>
      <w:ind w:left="3600" w:hanging="360"/>
      <w:outlineLvl w:val="4"/>
    </w:pPr>
    <w:rPr>
      <w:rFonts w:ascii="Georgia" w:eastAsia="Times New Roman" w:hAnsi="Georgia" w:cs="Arial Unicode MS"/>
      <w:i/>
      <w:color w:val="821A1A"/>
      <w:sz w:val="24"/>
      <w:szCs w:val="20"/>
    </w:rPr>
  </w:style>
  <w:style w:type="paragraph" w:customStyle="1" w:styleId="Heading61">
    <w:name w:val="Heading 61"/>
    <w:basedOn w:val="prastasis"/>
    <w:next w:val="prastasis"/>
    <w:uiPriority w:val="9"/>
    <w:semiHidden/>
    <w:unhideWhenUsed/>
    <w:rsid w:val="005A0219"/>
    <w:pPr>
      <w:keepNext/>
      <w:spacing w:after="160" w:line="0" w:lineRule="atLeast"/>
      <w:outlineLvl w:val="5"/>
    </w:pPr>
    <w:rPr>
      <w:rFonts w:ascii="Georgia" w:eastAsia="Times New Roman" w:hAnsi="Georgia" w:cs="Arial Unicode MS"/>
      <w:color w:val="821A1A"/>
      <w:sz w:val="24"/>
      <w:szCs w:val="20"/>
    </w:rPr>
  </w:style>
  <w:style w:type="paragraph" w:customStyle="1" w:styleId="Heading71">
    <w:name w:val="Heading 71"/>
    <w:basedOn w:val="prastasis"/>
    <w:next w:val="prastasis"/>
    <w:uiPriority w:val="9"/>
    <w:semiHidden/>
    <w:unhideWhenUsed/>
    <w:rsid w:val="005A0219"/>
    <w:pPr>
      <w:keepNext/>
      <w:spacing w:before="40" w:after="0" w:line="240" w:lineRule="auto"/>
      <w:outlineLvl w:val="6"/>
    </w:pPr>
    <w:rPr>
      <w:rFonts w:ascii="Georgia" w:eastAsia="Times New Roman" w:hAnsi="Georgia" w:cs="Arial Unicode MS"/>
      <w:i/>
      <w:iCs/>
      <w:color w:val="400D0D"/>
      <w:sz w:val="20"/>
      <w:szCs w:val="20"/>
    </w:rPr>
  </w:style>
  <w:style w:type="paragraph" w:customStyle="1" w:styleId="Heading81">
    <w:name w:val="Heading 81"/>
    <w:basedOn w:val="prastasis"/>
    <w:next w:val="Pagrindinistekstas"/>
    <w:uiPriority w:val="9"/>
    <w:semiHidden/>
    <w:unhideWhenUsed/>
    <w:rsid w:val="005A0219"/>
    <w:pPr>
      <w:keepNext/>
      <w:spacing w:after="240" w:line="240" w:lineRule="auto"/>
      <w:outlineLvl w:val="7"/>
    </w:pPr>
    <w:rPr>
      <w:rFonts w:ascii="Georgia" w:eastAsia="Times New Roman" w:hAnsi="Georgia" w:cs="Arial Unicode MS"/>
      <w:color w:val="272727"/>
      <w:sz w:val="21"/>
      <w:szCs w:val="21"/>
    </w:rPr>
  </w:style>
  <w:style w:type="paragraph" w:customStyle="1" w:styleId="Heading91">
    <w:name w:val="Heading 91"/>
    <w:basedOn w:val="prastasis"/>
    <w:next w:val="Pagrindinistekstas"/>
    <w:uiPriority w:val="9"/>
    <w:semiHidden/>
    <w:unhideWhenUsed/>
    <w:rsid w:val="005A0219"/>
    <w:pPr>
      <w:keepNext/>
      <w:spacing w:after="240" w:line="240" w:lineRule="auto"/>
      <w:outlineLvl w:val="8"/>
    </w:pPr>
    <w:rPr>
      <w:rFonts w:ascii="Georgia" w:eastAsia="Times New Roman" w:hAnsi="Georgia" w:cs="Arial Unicode MS"/>
      <w:i/>
      <w:iCs/>
      <w:color w:val="272727"/>
      <w:sz w:val="20"/>
      <w:szCs w:val="21"/>
    </w:rPr>
  </w:style>
  <w:style w:type="numbering" w:customStyle="1" w:styleId="NoList1">
    <w:name w:val="No List1"/>
    <w:next w:val="Sraonra"/>
    <w:uiPriority w:val="99"/>
    <w:semiHidden/>
    <w:unhideWhenUsed/>
    <w:rsid w:val="005A0219"/>
  </w:style>
  <w:style w:type="paragraph" w:customStyle="1" w:styleId="Address">
    <w:name w:val="Address"/>
    <w:basedOn w:val="prastasis"/>
    <w:link w:val="AddressChar"/>
    <w:qFormat/>
    <w:rsid w:val="005A0219"/>
    <w:pPr>
      <w:spacing w:after="0" w:line="200" w:lineRule="atLeast"/>
    </w:pPr>
    <w:rPr>
      <w:i/>
      <w:sz w:val="18"/>
      <w:szCs w:val="20"/>
    </w:rPr>
  </w:style>
  <w:style w:type="character" w:customStyle="1" w:styleId="Antrat5Diagrama">
    <w:name w:val="Antraštė 5 Diagrama"/>
    <w:basedOn w:val="Numatytasispastraiposriftas"/>
    <w:link w:val="Antrat5"/>
    <w:uiPriority w:val="9"/>
    <w:rsid w:val="005A0219"/>
    <w:rPr>
      <w:rFonts w:ascii="Georgia" w:eastAsia="Times New Roman" w:hAnsi="Georgia" w:cs="Arial Unicode MS"/>
      <w:i/>
      <w:color w:val="821A1A"/>
      <w:sz w:val="24"/>
    </w:rPr>
  </w:style>
  <w:style w:type="character" w:customStyle="1" w:styleId="Antrat6Diagrama">
    <w:name w:val="Antraštė 6 Diagrama"/>
    <w:basedOn w:val="Numatytasispastraiposriftas"/>
    <w:link w:val="Antrat6"/>
    <w:uiPriority w:val="9"/>
    <w:semiHidden/>
    <w:rsid w:val="005A0219"/>
    <w:rPr>
      <w:rFonts w:ascii="Georgia" w:eastAsia="Times New Roman" w:hAnsi="Georgia" w:cs="Arial Unicode MS"/>
      <w:color w:val="821A1A"/>
      <w:sz w:val="24"/>
    </w:rPr>
  </w:style>
  <w:style w:type="character" w:customStyle="1" w:styleId="Antrat7Diagrama">
    <w:name w:val="Antraštė 7 Diagrama"/>
    <w:basedOn w:val="Numatytasispastraiposriftas"/>
    <w:link w:val="Antrat7"/>
    <w:uiPriority w:val="9"/>
    <w:semiHidden/>
    <w:rsid w:val="005A0219"/>
    <w:rPr>
      <w:rFonts w:ascii="Georgia" w:eastAsia="Times New Roman" w:hAnsi="Georgia" w:cs="Arial Unicode MS"/>
      <w:i/>
      <w:iCs/>
      <w:color w:val="400D0D"/>
    </w:rPr>
  </w:style>
  <w:style w:type="character" w:customStyle="1" w:styleId="Antrat8Diagrama">
    <w:name w:val="Antraštė 8 Diagrama"/>
    <w:basedOn w:val="Numatytasispastraiposriftas"/>
    <w:link w:val="Antrat8"/>
    <w:uiPriority w:val="9"/>
    <w:semiHidden/>
    <w:rsid w:val="005A0219"/>
    <w:rPr>
      <w:rFonts w:ascii="Georgia" w:eastAsia="Times New Roman" w:hAnsi="Georgia" w:cs="Arial Unicode MS"/>
      <w:color w:val="272727"/>
      <w:sz w:val="21"/>
      <w:szCs w:val="21"/>
    </w:rPr>
  </w:style>
  <w:style w:type="character" w:customStyle="1" w:styleId="Antrat9Diagrama">
    <w:name w:val="Antraštė 9 Diagrama"/>
    <w:basedOn w:val="Numatytasispastraiposriftas"/>
    <w:link w:val="Antrat9"/>
    <w:uiPriority w:val="9"/>
    <w:semiHidden/>
    <w:rsid w:val="005A0219"/>
    <w:rPr>
      <w:rFonts w:ascii="Georgia" w:eastAsia="Times New Roman" w:hAnsi="Georgia" w:cs="Arial Unicode MS"/>
      <w:i/>
      <w:iCs/>
      <w:color w:val="272727"/>
      <w:szCs w:val="21"/>
    </w:rPr>
  </w:style>
  <w:style w:type="paragraph" w:customStyle="1" w:styleId="BlockText1">
    <w:name w:val="Block Text1"/>
    <w:basedOn w:val="Pagrindinistekstas"/>
    <w:next w:val="Tekstoblokas"/>
    <w:uiPriority w:val="99"/>
    <w:unhideWhenUsed/>
    <w:rsid w:val="005A0219"/>
    <w:pPr>
      <w:pBdr>
        <w:top w:val="single" w:sz="2" w:space="10" w:color="821A1A" w:shadow="1"/>
        <w:left w:val="single" w:sz="2" w:space="10" w:color="821A1A" w:shadow="1"/>
        <w:bottom w:val="single" w:sz="2" w:space="10" w:color="821A1A" w:shadow="1"/>
        <w:right w:val="single" w:sz="2" w:space="10" w:color="821A1A" w:shadow="1"/>
      </w:pBdr>
      <w:spacing w:after="160" w:line="240" w:lineRule="auto"/>
      <w:ind w:left="230" w:right="230"/>
    </w:pPr>
    <w:rPr>
      <w:rFonts w:eastAsia="Times New Roman" w:cs="Arial Unicode MS"/>
      <w:i/>
      <w:iCs/>
      <w:color w:val="821A1A"/>
      <w:sz w:val="22"/>
      <w:lang w:val="en-US"/>
    </w:rPr>
  </w:style>
  <w:style w:type="paragraph" w:customStyle="1" w:styleId="BlockText2">
    <w:name w:val="Block Text 2"/>
    <w:basedOn w:val="Tekstoblokas"/>
    <w:rsid w:val="005A0219"/>
    <w:pPr>
      <w:pBdr>
        <w:top w:val="single" w:sz="8" w:space="10" w:color="F2F2F2"/>
        <w:left w:val="single" w:sz="8" w:space="10" w:color="F2F2F2"/>
        <w:bottom w:val="single" w:sz="8" w:space="10" w:color="F2F2F2"/>
        <w:right w:val="single" w:sz="8" w:space="10" w:color="F2F2F2"/>
      </w:pBdr>
      <w:shd w:val="clear" w:color="auto" w:fill="D9D9D9"/>
      <w:spacing w:after="160" w:line="240" w:lineRule="auto"/>
      <w:ind w:left="230" w:right="230"/>
    </w:pPr>
    <w:rPr>
      <w:szCs w:val="20"/>
    </w:rPr>
  </w:style>
  <w:style w:type="paragraph" w:customStyle="1" w:styleId="Callout">
    <w:name w:val="Callout"/>
    <w:basedOn w:val="Pagrindinistekstas"/>
    <w:next w:val="Pagrindinistekstas"/>
    <w:rsid w:val="005A0219"/>
    <w:pPr>
      <w:framePr w:w="2102" w:hSpace="230" w:wrap="around" w:vAnchor="text" w:hAnchor="page" w:x="1023" w:y="203"/>
      <w:spacing w:after="160" w:line="240" w:lineRule="auto"/>
    </w:pPr>
    <w:rPr>
      <w:rFonts w:eastAsia="Georgia" w:cs="Arial Unicode MS"/>
      <w:i/>
      <w:color w:val="821A1A"/>
      <w:sz w:val="16"/>
      <w:lang w:val="en-US"/>
    </w:rPr>
  </w:style>
  <w:style w:type="paragraph" w:styleId="Data">
    <w:name w:val="Date"/>
    <w:basedOn w:val="prastasis"/>
    <w:next w:val="Pagrindinistekstas"/>
    <w:link w:val="DataDiagrama"/>
    <w:uiPriority w:val="99"/>
    <w:unhideWhenUsed/>
    <w:rsid w:val="005A0219"/>
    <w:pPr>
      <w:spacing w:after="160"/>
      <w:ind w:left="2376"/>
    </w:pPr>
    <w:rPr>
      <w:sz w:val="28"/>
      <w:szCs w:val="20"/>
    </w:rPr>
  </w:style>
  <w:style w:type="character" w:customStyle="1" w:styleId="DataDiagrama">
    <w:name w:val="Data Diagrama"/>
    <w:basedOn w:val="Numatytasispastraiposriftas"/>
    <w:link w:val="Data"/>
    <w:uiPriority w:val="99"/>
    <w:rsid w:val="005A0219"/>
    <w:rPr>
      <w:sz w:val="28"/>
      <w:szCs w:val="20"/>
    </w:rPr>
  </w:style>
  <w:style w:type="paragraph" w:customStyle="1" w:styleId="Disclaimer">
    <w:name w:val="Disclaimer"/>
    <w:basedOn w:val="Pagrindinistekstas"/>
    <w:link w:val="DisclaimerChar"/>
    <w:qFormat/>
    <w:rsid w:val="005A0219"/>
    <w:pPr>
      <w:spacing w:after="0" w:line="140" w:lineRule="atLeast"/>
    </w:pPr>
    <w:rPr>
      <w:rFonts w:eastAsia="Georgia" w:cs="Arial Unicode MS"/>
      <w:sz w:val="16"/>
      <w:lang w:val="en-US"/>
    </w:rPr>
  </w:style>
  <w:style w:type="paragraph" w:customStyle="1" w:styleId="DividerHeader">
    <w:name w:val="Divider Header"/>
    <w:rsid w:val="005A0219"/>
    <w:pPr>
      <w:spacing w:after="240" w:line="240" w:lineRule="atLeast"/>
    </w:pPr>
    <w:rPr>
      <w:rFonts w:ascii="Georgia" w:hAnsi="Georgia"/>
      <w:i/>
      <w:color w:val="000000"/>
      <w:sz w:val="64"/>
      <w:szCs w:val="20"/>
    </w:rPr>
  </w:style>
  <w:style w:type="paragraph" w:customStyle="1" w:styleId="ExhibitHeading1">
    <w:name w:val="Exhibit Heading 1"/>
    <w:basedOn w:val="Pagrindinistekstas"/>
    <w:next w:val="Pagrindinistekstas"/>
    <w:rsid w:val="005A0219"/>
    <w:pPr>
      <w:keepNext/>
      <w:pageBreakBefore/>
      <w:numPr>
        <w:numId w:val="64"/>
      </w:numPr>
      <w:spacing w:after="480" w:line="0" w:lineRule="atLeast"/>
      <w:outlineLvl w:val="0"/>
    </w:pPr>
    <w:rPr>
      <w:rFonts w:eastAsia="Georgia" w:cs="Arial Unicode MS"/>
      <w:b/>
      <w:i/>
      <w:sz w:val="48"/>
      <w:lang w:val="en-US"/>
    </w:rPr>
  </w:style>
  <w:style w:type="paragraph" w:customStyle="1" w:styleId="ExhibitHeading2">
    <w:name w:val="Exhibit Heading 2"/>
    <w:basedOn w:val="ExhibitHeading1"/>
    <w:next w:val="Pagrindinistekstas"/>
    <w:rsid w:val="005A0219"/>
    <w:pPr>
      <w:pageBreakBefore w:val="0"/>
      <w:numPr>
        <w:ilvl w:val="1"/>
      </w:numPr>
      <w:spacing w:after="160"/>
      <w:outlineLvl w:val="1"/>
    </w:pPr>
    <w:rPr>
      <w:color w:val="821A1A"/>
      <w:sz w:val="32"/>
    </w:rPr>
  </w:style>
  <w:style w:type="paragraph" w:customStyle="1" w:styleId="ExhibitHeading3">
    <w:name w:val="Exhibit Heading 3"/>
    <w:basedOn w:val="ExhibitHeading2"/>
    <w:next w:val="Pagrindinistekstas"/>
    <w:rsid w:val="005A0219"/>
    <w:pPr>
      <w:numPr>
        <w:ilvl w:val="2"/>
      </w:numPr>
      <w:outlineLvl w:val="2"/>
    </w:pPr>
    <w:rPr>
      <w:sz w:val="28"/>
    </w:rPr>
  </w:style>
  <w:style w:type="paragraph" w:customStyle="1" w:styleId="ExhibitHeading4">
    <w:name w:val="Exhibit Heading 4"/>
    <w:basedOn w:val="ExhibitHeading3"/>
    <w:next w:val="Pagrindinistekstas"/>
    <w:rsid w:val="005A0219"/>
    <w:pPr>
      <w:numPr>
        <w:ilvl w:val="3"/>
      </w:numPr>
      <w:outlineLvl w:val="3"/>
    </w:pPr>
    <w:rPr>
      <w:b w:val="0"/>
    </w:rPr>
  </w:style>
  <w:style w:type="paragraph" w:customStyle="1" w:styleId="ExhibitHeading5">
    <w:name w:val="Exhibit Heading 5"/>
    <w:basedOn w:val="ExhibitHeading4"/>
    <w:next w:val="Pagrindinistekstas"/>
    <w:rsid w:val="005A0219"/>
    <w:pPr>
      <w:numPr>
        <w:ilvl w:val="4"/>
      </w:numPr>
      <w:ind w:left="1800" w:hanging="1440"/>
      <w:outlineLvl w:val="4"/>
    </w:pPr>
    <w:rPr>
      <w:sz w:val="24"/>
    </w:rPr>
  </w:style>
  <w:style w:type="paragraph" w:customStyle="1" w:styleId="Guidance">
    <w:name w:val="Guidance"/>
    <w:basedOn w:val="prastasis"/>
    <w:link w:val="GuidanceChar"/>
    <w:uiPriority w:val="99"/>
    <w:qFormat/>
    <w:rsid w:val="005A0219"/>
    <w:pPr>
      <w:spacing w:after="100" w:afterAutospacing="1"/>
    </w:pPr>
    <w:rPr>
      <w:rFonts w:ascii="Arial" w:hAnsi="Arial"/>
      <w:color w:val="00A5FF"/>
      <w:sz w:val="16"/>
      <w:szCs w:val="20"/>
    </w:rPr>
  </w:style>
  <w:style w:type="character" w:customStyle="1" w:styleId="HTMLAcronym1">
    <w:name w:val="HTML Acronym1"/>
    <w:basedOn w:val="Numatytasispastraiposriftas"/>
    <w:uiPriority w:val="99"/>
    <w:semiHidden/>
    <w:unhideWhenUsed/>
    <w:rsid w:val="005A0219"/>
    <w:rPr>
      <w:color w:val="000000"/>
    </w:rPr>
  </w:style>
  <w:style w:type="paragraph" w:styleId="Indeksas1">
    <w:name w:val="index 1"/>
    <w:basedOn w:val="prastasis"/>
    <w:next w:val="prastasis"/>
    <w:autoRedefine/>
    <w:uiPriority w:val="99"/>
    <w:unhideWhenUsed/>
    <w:rsid w:val="005A0219"/>
    <w:pPr>
      <w:spacing w:after="120" w:line="240" w:lineRule="auto"/>
      <w:ind w:left="202" w:hanging="202"/>
    </w:pPr>
    <w:rPr>
      <w:sz w:val="20"/>
      <w:szCs w:val="20"/>
    </w:rPr>
  </w:style>
  <w:style w:type="paragraph" w:styleId="Indeksas2">
    <w:name w:val="index 2"/>
    <w:basedOn w:val="prastasis"/>
    <w:next w:val="prastasis"/>
    <w:autoRedefine/>
    <w:uiPriority w:val="99"/>
    <w:unhideWhenUsed/>
    <w:rsid w:val="005A0219"/>
    <w:pPr>
      <w:spacing w:after="120" w:line="240" w:lineRule="auto"/>
      <w:ind w:left="404" w:hanging="202"/>
    </w:pPr>
    <w:rPr>
      <w:sz w:val="20"/>
      <w:szCs w:val="20"/>
    </w:rPr>
  </w:style>
  <w:style w:type="paragraph" w:styleId="Indeksas3">
    <w:name w:val="index 3"/>
    <w:basedOn w:val="prastasis"/>
    <w:next w:val="prastasis"/>
    <w:autoRedefine/>
    <w:uiPriority w:val="99"/>
    <w:unhideWhenUsed/>
    <w:rsid w:val="005A0219"/>
    <w:pPr>
      <w:spacing w:after="120" w:line="240" w:lineRule="auto"/>
      <w:ind w:left="605" w:hanging="202"/>
    </w:pPr>
    <w:rPr>
      <w:sz w:val="20"/>
      <w:szCs w:val="20"/>
    </w:rPr>
  </w:style>
  <w:style w:type="paragraph" w:styleId="Indeksas4">
    <w:name w:val="index 4"/>
    <w:basedOn w:val="prastasis"/>
    <w:next w:val="prastasis"/>
    <w:autoRedefine/>
    <w:uiPriority w:val="99"/>
    <w:unhideWhenUsed/>
    <w:rsid w:val="005A0219"/>
    <w:pPr>
      <w:spacing w:after="0" w:line="240" w:lineRule="auto"/>
      <w:ind w:left="800" w:hanging="200"/>
    </w:pPr>
    <w:rPr>
      <w:sz w:val="20"/>
      <w:szCs w:val="20"/>
    </w:rPr>
  </w:style>
  <w:style w:type="paragraph" w:styleId="Indeksas5">
    <w:name w:val="index 5"/>
    <w:basedOn w:val="prastasis"/>
    <w:next w:val="prastasis"/>
    <w:autoRedefine/>
    <w:uiPriority w:val="99"/>
    <w:unhideWhenUsed/>
    <w:rsid w:val="005A0219"/>
    <w:pPr>
      <w:spacing w:after="120" w:line="240" w:lineRule="auto"/>
      <w:ind w:left="1008" w:hanging="202"/>
    </w:pPr>
    <w:rPr>
      <w:sz w:val="20"/>
      <w:szCs w:val="20"/>
    </w:rPr>
  </w:style>
  <w:style w:type="paragraph" w:styleId="Indeksas6">
    <w:name w:val="index 6"/>
    <w:basedOn w:val="prastasis"/>
    <w:next w:val="prastasis"/>
    <w:autoRedefine/>
    <w:uiPriority w:val="99"/>
    <w:unhideWhenUsed/>
    <w:rsid w:val="005A0219"/>
    <w:pPr>
      <w:spacing w:after="120" w:line="240" w:lineRule="auto"/>
      <w:ind w:left="1196" w:hanging="202"/>
    </w:pPr>
    <w:rPr>
      <w:sz w:val="20"/>
      <w:szCs w:val="20"/>
    </w:rPr>
  </w:style>
  <w:style w:type="paragraph" w:styleId="Indeksas7">
    <w:name w:val="index 7"/>
    <w:basedOn w:val="prastasis"/>
    <w:next w:val="prastasis"/>
    <w:autoRedefine/>
    <w:uiPriority w:val="99"/>
    <w:unhideWhenUsed/>
    <w:rsid w:val="005A0219"/>
    <w:pPr>
      <w:spacing w:after="120" w:line="240" w:lineRule="auto"/>
      <w:ind w:left="1397" w:hanging="202"/>
    </w:pPr>
    <w:rPr>
      <w:sz w:val="20"/>
      <w:szCs w:val="20"/>
    </w:rPr>
  </w:style>
  <w:style w:type="paragraph" w:styleId="Indeksas8">
    <w:name w:val="index 8"/>
    <w:basedOn w:val="prastasis"/>
    <w:next w:val="prastasis"/>
    <w:autoRedefine/>
    <w:uiPriority w:val="99"/>
    <w:unhideWhenUsed/>
    <w:rsid w:val="005A0219"/>
    <w:pPr>
      <w:spacing w:after="120" w:line="240" w:lineRule="auto"/>
      <w:ind w:left="1599" w:hanging="202"/>
    </w:pPr>
    <w:rPr>
      <w:sz w:val="20"/>
      <w:szCs w:val="20"/>
    </w:rPr>
  </w:style>
  <w:style w:type="paragraph" w:styleId="Indeksas9">
    <w:name w:val="index 9"/>
    <w:basedOn w:val="prastasis"/>
    <w:next w:val="prastasis"/>
    <w:autoRedefine/>
    <w:uiPriority w:val="99"/>
    <w:unhideWhenUsed/>
    <w:rsid w:val="005A0219"/>
    <w:pPr>
      <w:spacing w:after="120" w:line="240" w:lineRule="auto"/>
      <w:ind w:left="1800" w:hanging="202"/>
    </w:pPr>
    <w:rPr>
      <w:sz w:val="20"/>
      <w:szCs w:val="20"/>
    </w:rPr>
  </w:style>
  <w:style w:type="paragraph" w:customStyle="1" w:styleId="IndexHeading1">
    <w:name w:val="Index Heading1"/>
    <w:basedOn w:val="prastasis"/>
    <w:next w:val="Indeksas1"/>
    <w:uiPriority w:val="99"/>
    <w:unhideWhenUsed/>
    <w:rsid w:val="005A0219"/>
    <w:pPr>
      <w:spacing w:after="160" w:line="240" w:lineRule="auto"/>
    </w:pPr>
    <w:rPr>
      <w:rFonts w:ascii="Georgia" w:eastAsia="Times New Roman" w:hAnsi="Georgia" w:cs="Arial Unicode MS"/>
      <w:b/>
      <w:bCs/>
      <w:sz w:val="20"/>
      <w:szCs w:val="20"/>
    </w:rPr>
  </w:style>
  <w:style w:type="character" w:customStyle="1" w:styleId="IntenseEmphasis1">
    <w:name w:val="Intense Emphasis1"/>
    <w:basedOn w:val="Numatytasispastraiposriftas"/>
    <w:uiPriority w:val="21"/>
    <w:rsid w:val="005A0219"/>
    <w:rPr>
      <w:i/>
      <w:iCs/>
      <w:color w:val="821A1A"/>
    </w:rPr>
  </w:style>
  <w:style w:type="paragraph" w:customStyle="1" w:styleId="HeadingText">
    <w:name w:val="Heading Text"/>
    <w:basedOn w:val="Pagrindinistekstas"/>
    <w:next w:val="Pagrindinistekstas"/>
    <w:qFormat/>
    <w:rsid w:val="005A0219"/>
    <w:pPr>
      <w:spacing w:after="80" w:line="240" w:lineRule="auto"/>
    </w:pPr>
    <w:rPr>
      <w:rFonts w:eastAsia="Georgia" w:cs="Arial Unicode MS"/>
      <w:b/>
      <w:color w:val="821A1A"/>
      <w:lang w:val="en-US"/>
    </w:rPr>
  </w:style>
  <w:style w:type="character" w:customStyle="1" w:styleId="IntenseReference1">
    <w:name w:val="Intense Reference1"/>
    <w:basedOn w:val="Numatytasispastraiposriftas"/>
    <w:uiPriority w:val="32"/>
    <w:rsid w:val="005A0219"/>
    <w:rPr>
      <w:b/>
      <w:bCs/>
      <w:smallCaps/>
      <w:color w:val="821A1A"/>
      <w:spacing w:val="5"/>
    </w:rPr>
  </w:style>
  <w:style w:type="paragraph" w:customStyle="1" w:styleId="IntenseQuote1">
    <w:name w:val="Intense Quote1"/>
    <w:basedOn w:val="prastasis"/>
    <w:next w:val="prastasis"/>
    <w:uiPriority w:val="30"/>
    <w:rsid w:val="005A0219"/>
    <w:pPr>
      <w:pBdr>
        <w:bottom w:val="single" w:sz="4" w:space="10" w:color="821A1A"/>
      </w:pBdr>
      <w:spacing w:before="200" w:after="280"/>
      <w:ind w:left="936" w:right="936"/>
    </w:pPr>
    <w:rPr>
      <w:b/>
      <w:i/>
      <w:iCs/>
      <w:color w:val="821A1A"/>
      <w:sz w:val="20"/>
      <w:szCs w:val="20"/>
    </w:rPr>
  </w:style>
  <w:style w:type="character" w:customStyle="1" w:styleId="IskirtacitataDiagrama">
    <w:name w:val="Išskirta citata Diagrama"/>
    <w:basedOn w:val="Numatytasispastraiposriftas"/>
    <w:link w:val="Iskirtacitata"/>
    <w:uiPriority w:val="30"/>
    <w:rsid w:val="005A0219"/>
    <w:rPr>
      <w:b/>
      <w:i/>
      <w:iCs/>
      <w:color w:val="821A1A"/>
    </w:rPr>
  </w:style>
  <w:style w:type="character" w:styleId="Eilutsnumeris">
    <w:name w:val="line number"/>
    <w:basedOn w:val="Numatytasispastraiposriftas"/>
    <w:uiPriority w:val="99"/>
    <w:unhideWhenUsed/>
    <w:rsid w:val="005A0219"/>
  </w:style>
  <w:style w:type="paragraph" w:styleId="Sraas">
    <w:name w:val="List"/>
    <w:basedOn w:val="prastasis"/>
    <w:uiPriority w:val="99"/>
    <w:unhideWhenUsed/>
    <w:rsid w:val="005A0219"/>
    <w:pPr>
      <w:spacing w:after="120" w:line="240" w:lineRule="auto"/>
      <w:ind w:left="346"/>
    </w:pPr>
    <w:rPr>
      <w:sz w:val="20"/>
      <w:szCs w:val="20"/>
    </w:rPr>
  </w:style>
  <w:style w:type="paragraph" w:styleId="Sraas2">
    <w:name w:val="List 2"/>
    <w:basedOn w:val="Sraas"/>
    <w:uiPriority w:val="99"/>
    <w:unhideWhenUsed/>
    <w:rsid w:val="005A0219"/>
    <w:pPr>
      <w:ind w:left="691"/>
    </w:pPr>
  </w:style>
  <w:style w:type="paragraph" w:styleId="Sraas4">
    <w:name w:val="List 4"/>
    <w:basedOn w:val="Sraas3"/>
    <w:uiPriority w:val="99"/>
    <w:unhideWhenUsed/>
    <w:rsid w:val="005A0219"/>
    <w:pPr>
      <w:ind w:left="1382" w:firstLine="0"/>
    </w:pPr>
  </w:style>
  <w:style w:type="paragraph" w:styleId="Sraas3">
    <w:name w:val="List 3"/>
    <w:basedOn w:val="Sraas2"/>
    <w:uiPriority w:val="99"/>
    <w:unhideWhenUsed/>
    <w:rsid w:val="005A0219"/>
    <w:pPr>
      <w:ind w:left="2232" w:hanging="1195"/>
    </w:pPr>
  </w:style>
  <w:style w:type="paragraph" w:styleId="Sraas5">
    <w:name w:val="List 5"/>
    <w:basedOn w:val="prastasis"/>
    <w:uiPriority w:val="99"/>
    <w:unhideWhenUsed/>
    <w:rsid w:val="005A0219"/>
    <w:pPr>
      <w:spacing w:after="120" w:line="240" w:lineRule="auto"/>
      <w:ind w:left="1728"/>
    </w:pPr>
    <w:rPr>
      <w:sz w:val="20"/>
      <w:szCs w:val="20"/>
    </w:rPr>
  </w:style>
  <w:style w:type="paragraph" w:customStyle="1" w:styleId="ListAlpha">
    <w:name w:val="List Alpha"/>
    <w:basedOn w:val="prastasis"/>
    <w:qFormat/>
    <w:rsid w:val="005A0219"/>
    <w:pPr>
      <w:numPr>
        <w:numId w:val="65"/>
      </w:numPr>
      <w:spacing w:after="120" w:line="240" w:lineRule="auto"/>
    </w:pPr>
    <w:rPr>
      <w:sz w:val="20"/>
      <w:szCs w:val="20"/>
    </w:rPr>
  </w:style>
  <w:style w:type="paragraph" w:customStyle="1" w:styleId="ListAlpha2">
    <w:name w:val="List Alpha 2"/>
    <w:basedOn w:val="ListAlpha"/>
    <w:qFormat/>
    <w:rsid w:val="005A0219"/>
    <w:pPr>
      <w:numPr>
        <w:ilvl w:val="1"/>
      </w:numPr>
      <w:tabs>
        <w:tab w:val="clear" w:pos="691"/>
      </w:tabs>
      <w:ind w:left="1440" w:hanging="360"/>
    </w:pPr>
  </w:style>
  <w:style w:type="paragraph" w:customStyle="1" w:styleId="ListAlpha3">
    <w:name w:val="List Alpha 3"/>
    <w:basedOn w:val="ListAlpha"/>
    <w:qFormat/>
    <w:rsid w:val="005A0219"/>
    <w:pPr>
      <w:numPr>
        <w:ilvl w:val="2"/>
      </w:numPr>
    </w:pPr>
  </w:style>
  <w:style w:type="paragraph" w:customStyle="1" w:styleId="ListAlpha4">
    <w:name w:val="List Alpha 4"/>
    <w:basedOn w:val="ListAlpha3"/>
    <w:qFormat/>
    <w:rsid w:val="005A0219"/>
    <w:pPr>
      <w:numPr>
        <w:ilvl w:val="3"/>
      </w:numPr>
      <w:tabs>
        <w:tab w:val="clear" w:pos="1382"/>
        <w:tab w:val="num" w:pos="1037"/>
      </w:tabs>
      <w:ind w:left="1037" w:hanging="346"/>
    </w:pPr>
  </w:style>
  <w:style w:type="paragraph" w:customStyle="1" w:styleId="ListAlpha5">
    <w:name w:val="List Alpha 5"/>
    <w:basedOn w:val="ListAlpha4"/>
    <w:rsid w:val="005A0219"/>
    <w:pPr>
      <w:numPr>
        <w:ilvl w:val="4"/>
      </w:numPr>
      <w:tabs>
        <w:tab w:val="clear" w:pos="1728"/>
        <w:tab w:val="num" w:pos="1037"/>
      </w:tabs>
      <w:ind w:left="1037"/>
    </w:pPr>
  </w:style>
  <w:style w:type="paragraph" w:styleId="Sraassuenkleliais">
    <w:name w:val="List Bullet"/>
    <w:basedOn w:val="prastasis"/>
    <w:uiPriority w:val="99"/>
    <w:unhideWhenUsed/>
    <w:qFormat/>
    <w:rsid w:val="005A0219"/>
    <w:pPr>
      <w:numPr>
        <w:numId w:val="66"/>
      </w:numPr>
      <w:tabs>
        <w:tab w:val="clear" w:pos="346"/>
      </w:tabs>
      <w:spacing w:after="120" w:line="240" w:lineRule="auto"/>
      <w:ind w:left="720" w:hanging="360"/>
    </w:pPr>
    <w:rPr>
      <w:sz w:val="20"/>
      <w:szCs w:val="20"/>
    </w:rPr>
  </w:style>
  <w:style w:type="paragraph" w:styleId="Sraassuenkleliais2">
    <w:name w:val="List Bullet 2"/>
    <w:basedOn w:val="prastasis"/>
    <w:uiPriority w:val="99"/>
    <w:unhideWhenUsed/>
    <w:qFormat/>
    <w:rsid w:val="005A0219"/>
    <w:pPr>
      <w:numPr>
        <w:ilvl w:val="1"/>
        <w:numId w:val="66"/>
      </w:numPr>
      <w:tabs>
        <w:tab w:val="clear" w:pos="691"/>
      </w:tabs>
      <w:spacing w:after="120" w:line="240" w:lineRule="auto"/>
      <w:ind w:left="1440" w:hanging="360"/>
    </w:pPr>
    <w:rPr>
      <w:sz w:val="20"/>
      <w:szCs w:val="20"/>
    </w:rPr>
  </w:style>
  <w:style w:type="paragraph" w:styleId="Sraassuenkleliais3">
    <w:name w:val="List Bullet 3"/>
    <w:basedOn w:val="prastasis"/>
    <w:uiPriority w:val="99"/>
    <w:unhideWhenUsed/>
    <w:qFormat/>
    <w:rsid w:val="005A0219"/>
    <w:pPr>
      <w:numPr>
        <w:ilvl w:val="2"/>
        <w:numId w:val="66"/>
      </w:numPr>
      <w:tabs>
        <w:tab w:val="clear" w:pos="1037"/>
      </w:tabs>
      <w:spacing w:after="120" w:line="240" w:lineRule="auto"/>
      <w:ind w:left="2160" w:hanging="360"/>
    </w:pPr>
    <w:rPr>
      <w:sz w:val="20"/>
      <w:szCs w:val="20"/>
    </w:rPr>
  </w:style>
  <w:style w:type="paragraph" w:styleId="Sraassuenkleliais4">
    <w:name w:val="List Bullet 4"/>
    <w:basedOn w:val="prastasis"/>
    <w:uiPriority w:val="99"/>
    <w:unhideWhenUsed/>
    <w:qFormat/>
    <w:rsid w:val="005A0219"/>
    <w:pPr>
      <w:numPr>
        <w:ilvl w:val="3"/>
        <w:numId w:val="66"/>
      </w:numPr>
      <w:tabs>
        <w:tab w:val="clear" w:pos="1382"/>
      </w:tabs>
      <w:spacing w:after="120" w:line="240" w:lineRule="auto"/>
      <w:ind w:left="2880" w:hanging="360"/>
    </w:pPr>
    <w:rPr>
      <w:sz w:val="20"/>
      <w:szCs w:val="20"/>
    </w:rPr>
  </w:style>
  <w:style w:type="paragraph" w:styleId="Sraassuenkleliais5">
    <w:name w:val="List Bullet 5"/>
    <w:basedOn w:val="prastasis"/>
    <w:uiPriority w:val="99"/>
    <w:unhideWhenUsed/>
    <w:rsid w:val="005A0219"/>
    <w:pPr>
      <w:numPr>
        <w:ilvl w:val="4"/>
        <w:numId w:val="66"/>
      </w:numPr>
      <w:spacing w:after="120" w:line="240" w:lineRule="auto"/>
    </w:pPr>
    <w:rPr>
      <w:sz w:val="20"/>
      <w:szCs w:val="20"/>
    </w:rPr>
  </w:style>
  <w:style w:type="paragraph" w:customStyle="1" w:styleId="ListBullet6">
    <w:name w:val="List Bullet 6"/>
    <w:basedOn w:val="Sraassuenkleliais5"/>
    <w:rsid w:val="005A0219"/>
    <w:pPr>
      <w:numPr>
        <w:ilvl w:val="5"/>
      </w:numPr>
    </w:pPr>
  </w:style>
  <w:style w:type="paragraph" w:customStyle="1" w:styleId="ListBullet7">
    <w:name w:val="List Bullet 7"/>
    <w:basedOn w:val="ListBullet6"/>
    <w:rsid w:val="005A0219"/>
    <w:pPr>
      <w:numPr>
        <w:ilvl w:val="6"/>
      </w:numPr>
      <w:tabs>
        <w:tab w:val="clear" w:pos="2419"/>
        <w:tab w:val="num" w:pos="2074"/>
      </w:tabs>
      <w:ind w:left="2074" w:hanging="346"/>
    </w:pPr>
  </w:style>
  <w:style w:type="paragraph" w:customStyle="1" w:styleId="ListBullet8">
    <w:name w:val="List Bullet 8"/>
    <w:basedOn w:val="ListBullet7"/>
    <w:rsid w:val="005A0219"/>
    <w:pPr>
      <w:numPr>
        <w:ilvl w:val="7"/>
      </w:numPr>
      <w:tabs>
        <w:tab w:val="clear" w:pos="2765"/>
        <w:tab w:val="num" w:pos="2074"/>
      </w:tabs>
      <w:ind w:left="2074"/>
    </w:pPr>
  </w:style>
  <w:style w:type="paragraph" w:customStyle="1" w:styleId="ListBullet9">
    <w:name w:val="List Bullet 9"/>
    <w:basedOn w:val="ListBullet8"/>
    <w:rsid w:val="005A0219"/>
    <w:pPr>
      <w:numPr>
        <w:ilvl w:val="8"/>
      </w:numPr>
      <w:tabs>
        <w:tab w:val="clear" w:pos="3110"/>
        <w:tab w:val="num" w:pos="2074"/>
      </w:tabs>
      <w:ind w:left="2074" w:hanging="346"/>
    </w:pPr>
  </w:style>
  <w:style w:type="paragraph" w:styleId="Sraassunumeriais">
    <w:name w:val="List Number"/>
    <w:basedOn w:val="prastasis"/>
    <w:uiPriority w:val="99"/>
    <w:unhideWhenUsed/>
    <w:qFormat/>
    <w:rsid w:val="005A0219"/>
    <w:pPr>
      <w:numPr>
        <w:numId w:val="67"/>
      </w:numPr>
      <w:spacing w:after="120" w:line="240" w:lineRule="auto"/>
    </w:pPr>
    <w:rPr>
      <w:sz w:val="20"/>
      <w:szCs w:val="20"/>
    </w:rPr>
  </w:style>
  <w:style w:type="paragraph" w:styleId="Sraassunumeriais2">
    <w:name w:val="List Number 2"/>
    <w:basedOn w:val="Sraassunumeriais"/>
    <w:uiPriority w:val="99"/>
    <w:unhideWhenUsed/>
    <w:qFormat/>
    <w:rsid w:val="005A0219"/>
    <w:pPr>
      <w:numPr>
        <w:ilvl w:val="1"/>
      </w:numPr>
      <w:tabs>
        <w:tab w:val="left" w:pos="792"/>
      </w:tabs>
    </w:pPr>
  </w:style>
  <w:style w:type="paragraph" w:styleId="Sraassunumeriais3">
    <w:name w:val="List Number 3"/>
    <w:basedOn w:val="Sraassunumeriais2"/>
    <w:uiPriority w:val="99"/>
    <w:unhideWhenUsed/>
    <w:qFormat/>
    <w:rsid w:val="005A0219"/>
    <w:pPr>
      <w:numPr>
        <w:ilvl w:val="2"/>
      </w:numPr>
      <w:tabs>
        <w:tab w:val="clear" w:pos="792"/>
        <w:tab w:val="left" w:pos="1195"/>
      </w:tabs>
    </w:pPr>
  </w:style>
  <w:style w:type="paragraph" w:styleId="Sraassunumeriais4">
    <w:name w:val="List Number 4"/>
    <w:basedOn w:val="Sraassunumeriais3"/>
    <w:uiPriority w:val="99"/>
    <w:unhideWhenUsed/>
    <w:qFormat/>
    <w:rsid w:val="005A0219"/>
    <w:pPr>
      <w:numPr>
        <w:ilvl w:val="3"/>
      </w:numPr>
      <w:tabs>
        <w:tab w:val="clear" w:pos="1195"/>
        <w:tab w:val="left" w:pos="1642"/>
      </w:tabs>
    </w:pPr>
  </w:style>
  <w:style w:type="paragraph" w:styleId="Sraassunumeriais5">
    <w:name w:val="List Number 5"/>
    <w:basedOn w:val="Sraassunumeriais4"/>
    <w:uiPriority w:val="99"/>
    <w:unhideWhenUsed/>
    <w:rsid w:val="005A0219"/>
    <w:pPr>
      <w:numPr>
        <w:ilvl w:val="4"/>
      </w:numPr>
      <w:tabs>
        <w:tab w:val="clear" w:pos="1642"/>
        <w:tab w:val="clear" w:pos="1728"/>
        <w:tab w:val="left" w:pos="1987"/>
      </w:tabs>
      <w:ind w:left="3600" w:hanging="360"/>
    </w:pPr>
  </w:style>
  <w:style w:type="paragraph" w:styleId="Sraotsinys">
    <w:name w:val="List Continue"/>
    <w:basedOn w:val="prastasis"/>
    <w:uiPriority w:val="99"/>
    <w:unhideWhenUsed/>
    <w:qFormat/>
    <w:rsid w:val="005A0219"/>
    <w:pPr>
      <w:spacing w:after="120" w:line="240" w:lineRule="auto"/>
      <w:ind w:left="346"/>
    </w:pPr>
    <w:rPr>
      <w:sz w:val="20"/>
      <w:szCs w:val="20"/>
    </w:rPr>
  </w:style>
  <w:style w:type="paragraph" w:styleId="Sraotsinys2">
    <w:name w:val="List Continue 2"/>
    <w:basedOn w:val="Sraotsinys"/>
    <w:uiPriority w:val="99"/>
    <w:unhideWhenUsed/>
    <w:qFormat/>
    <w:rsid w:val="005A0219"/>
    <w:pPr>
      <w:ind w:left="691"/>
    </w:pPr>
  </w:style>
  <w:style w:type="paragraph" w:styleId="Sraotsinys3">
    <w:name w:val="List Continue 3"/>
    <w:basedOn w:val="Sraassunumeriais2"/>
    <w:uiPriority w:val="99"/>
    <w:unhideWhenUsed/>
    <w:qFormat/>
    <w:rsid w:val="005A0219"/>
    <w:pPr>
      <w:numPr>
        <w:ilvl w:val="0"/>
        <w:numId w:val="0"/>
      </w:numPr>
      <w:ind w:left="1037"/>
    </w:pPr>
  </w:style>
  <w:style w:type="paragraph" w:styleId="Sraotsinys4">
    <w:name w:val="List Continue 4"/>
    <w:basedOn w:val="Sraotsinys3"/>
    <w:uiPriority w:val="99"/>
    <w:unhideWhenUsed/>
    <w:qFormat/>
    <w:rsid w:val="005A0219"/>
    <w:pPr>
      <w:ind w:left="1382"/>
    </w:pPr>
  </w:style>
  <w:style w:type="paragraph" w:styleId="Sraotsinys5">
    <w:name w:val="List Continue 5"/>
    <w:basedOn w:val="Sraotsinys4"/>
    <w:uiPriority w:val="99"/>
    <w:unhideWhenUsed/>
    <w:rsid w:val="005A0219"/>
    <w:pPr>
      <w:ind w:left="1728"/>
    </w:pPr>
  </w:style>
  <w:style w:type="paragraph" w:styleId="Makrokomandostekstas">
    <w:name w:val="macro"/>
    <w:link w:val="MakrokomandostekstasDiagrama"/>
    <w:uiPriority w:val="99"/>
    <w:unhideWhenUsed/>
    <w:rsid w:val="005A0219"/>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hAnsi="Consolas"/>
      <w:sz w:val="20"/>
      <w:szCs w:val="20"/>
    </w:rPr>
  </w:style>
  <w:style w:type="character" w:customStyle="1" w:styleId="MakrokomandostekstasDiagrama">
    <w:name w:val="Makrokomandos tekstas Diagrama"/>
    <w:basedOn w:val="Numatytasispastraiposriftas"/>
    <w:link w:val="Makrokomandostekstas"/>
    <w:uiPriority w:val="99"/>
    <w:rsid w:val="005A0219"/>
    <w:rPr>
      <w:rFonts w:ascii="Consolas" w:hAnsi="Consolas"/>
      <w:sz w:val="20"/>
      <w:szCs w:val="20"/>
    </w:rPr>
  </w:style>
  <w:style w:type="paragraph" w:customStyle="1" w:styleId="MessageHeader1">
    <w:name w:val="Message Header1"/>
    <w:basedOn w:val="prastasis"/>
    <w:next w:val="inutsantrat"/>
    <w:link w:val="MessageHeaderChar"/>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Arial Unicode MS"/>
      <w:sz w:val="24"/>
      <w:szCs w:val="24"/>
    </w:rPr>
  </w:style>
  <w:style w:type="character" w:customStyle="1" w:styleId="MessageHeaderChar">
    <w:name w:val="Message Header Char"/>
    <w:basedOn w:val="Numatytasispastraiposriftas"/>
    <w:link w:val="MessageHeader1"/>
    <w:uiPriority w:val="99"/>
    <w:semiHidden/>
    <w:rsid w:val="005A0219"/>
    <w:rPr>
      <w:rFonts w:eastAsia="Times New Roman" w:cs="Arial Unicode MS"/>
      <w:sz w:val="24"/>
      <w:szCs w:val="24"/>
      <w:shd w:val="pct20" w:color="auto" w:fill="auto"/>
    </w:rPr>
  </w:style>
  <w:style w:type="paragraph" w:customStyle="1" w:styleId="Non-numberedHeading1">
    <w:name w:val="Non-numbered Heading 1"/>
    <w:basedOn w:val="prastasis"/>
    <w:next w:val="Pagrindinistekstas"/>
    <w:qFormat/>
    <w:rsid w:val="005A0219"/>
    <w:pPr>
      <w:keepNext/>
      <w:pageBreakBefore/>
      <w:spacing w:after="480" w:line="240" w:lineRule="auto"/>
      <w:outlineLvl w:val="0"/>
    </w:pPr>
    <w:rPr>
      <w:rFonts w:ascii="Georgia" w:eastAsia="Times New Roman" w:hAnsi="Georgia" w:cs="Arial Unicode MS"/>
      <w:b/>
      <w:i/>
      <w:color w:val="000000"/>
      <w:sz w:val="48"/>
      <w:szCs w:val="32"/>
    </w:rPr>
  </w:style>
  <w:style w:type="paragraph" w:customStyle="1" w:styleId="Non-numberedHeading2">
    <w:name w:val="Non-numbered Heading 2"/>
    <w:basedOn w:val="Non-numberedHeading1"/>
    <w:next w:val="Pagrindinistekstas"/>
    <w:qFormat/>
    <w:rsid w:val="005A0219"/>
    <w:pPr>
      <w:pageBreakBefore w:val="0"/>
      <w:spacing w:after="160"/>
      <w:outlineLvl w:val="1"/>
    </w:pPr>
    <w:rPr>
      <w:color w:val="821A1A"/>
      <w:sz w:val="32"/>
    </w:rPr>
  </w:style>
  <w:style w:type="paragraph" w:customStyle="1" w:styleId="Non-numberedHeading3">
    <w:name w:val="Non-numbered Heading 3"/>
    <w:basedOn w:val="Non-numberedHeading2"/>
    <w:next w:val="Pagrindinistekstas"/>
    <w:qFormat/>
    <w:rsid w:val="005A0219"/>
    <w:pPr>
      <w:outlineLvl w:val="2"/>
    </w:pPr>
    <w:rPr>
      <w:sz w:val="28"/>
    </w:rPr>
  </w:style>
  <w:style w:type="paragraph" w:customStyle="1" w:styleId="Non-numberedHeading4">
    <w:name w:val="Non-numbered Heading 4"/>
    <w:basedOn w:val="Non-numberedHeading3"/>
    <w:next w:val="Pagrindinistekstas"/>
    <w:qFormat/>
    <w:rsid w:val="005A0219"/>
    <w:pPr>
      <w:outlineLvl w:val="3"/>
    </w:pPr>
    <w:rPr>
      <w:b w:val="0"/>
    </w:rPr>
  </w:style>
  <w:style w:type="paragraph" w:customStyle="1" w:styleId="Non-numberedHeading5">
    <w:name w:val="Non-numbered Heading 5"/>
    <w:basedOn w:val="Non-numberedHeading4"/>
    <w:next w:val="Pagrindinistekstas"/>
    <w:rsid w:val="005A0219"/>
    <w:pPr>
      <w:outlineLvl w:val="4"/>
    </w:pPr>
    <w:rPr>
      <w:sz w:val="24"/>
    </w:rPr>
  </w:style>
  <w:style w:type="paragraph" w:customStyle="1" w:styleId="PwCAddress">
    <w:name w:val="PwC Address"/>
    <w:basedOn w:val="Pagrindinistekstas"/>
    <w:qFormat/>
    <w:rsid w:val="005A0219"/>
    <w:pPr>
      <w:spacing w:after="0" w:line="200" w:lineRule="atLeast"/>
    </w:pPr>
    <w:rPr>
      <w:rFonts w:eastAsia="Georgia" w:cs="Arial Unicode MS"/>
      <w:i/>
      <w:sz w:val="18"/>
      <w:lang w:val="en-US"/>
    </w:rPr>
  </w:style>
  <w:style w:type="paragraph" w:customStyle="1" w:styleId="Quote1">
    <w:name w:val="Quote1"/>
    <w:basedOn w:val="prastasis"/>
    <w:next w:val="prastasis"/>
    <w:uiPriority w:val="29"/>
    <w:rsid w:val="005A0219"/>
    <w:pPr>
      <w:spacing w:after="160"/>
      <w:jc w:val="center"/>
    </w:pPr>
    <w:rPr>
      <w:i/>
      <w:iCs/>
      <w:color w:val="404040"/>
      <w:sz w:val="20"/>
      <w:szCs w:val="20"/>
    </w:rPr>
  </w:style>
  <w:style w:type="character" w:customStyle="1" w:styleId="CitataDiagrama">
    <w:name w:val="Citata Diagrama"/>
    <w:basedOn w:val="Numatytasispastraiposriftas"/>
    <w:link w:val="Citata"/>
    <w:uiPriority w:val="29"/>
    <w:rsid w:val="005A0219"/>
    <w:rPr>
      <w:i/>
      <w:iCs/>
      <w:color w:val="404040"/>
    </w:rPr>
  </w:style>
  <w:style w:type="paragraph" w:customStyle="1" w:styleId="Subtitle1">
    <w:name w:val="Subtitle1"/>
    <w:basedOn w:val="prastasis"/>
    <w:next w:val="prastasis"/>
    <w:uiPriority w:val="11"/>
    <w:rsid w:val="005A0219"/>
    <w:pPr>
      <w:numPr>
        <w:ilvl w:val="1"/>
      </w:numPr>
      <w:spacing w:after="1200" w:line="240" w:lineRule="auto"/>
      <w:ind w:left="2376"/>
    </w:pPr>
    <w:rPr>
      <w:rFonts w:ascii="Georgia" w:eastAsia="Times New Roman" w:hAnsi="Georgia"/>
      <w:spacing w:val="15"/>
      <w:sz w:val="64"/>
      <w:szCs w:val="20"/>
    </w:rPr>
  </w:style>
  <w:style w:type="character" w:customStyle="1" w:styleId="AntrinispavadinimasDiagrama">
    <w:name w:val="Antrinis pavadinimas Diagrama"/>
    <w:aliases w:val="lentelės Diagrama"/>
    <w:basedOn w:val="Numatytasispastraiposriftas"/>
    <w:link w:val="Antrinispavadinimas"/>
    <w:uiPriority w:val="11"/>
    <w:rsid w:val="005A0219"/>
    <w:rPr>
      <w:rFonts w:ascii="Georgia" w:eastAsia="Times New Roman" w:hAnsi="Georgia"/>
      <w:spacing w:val="15"/>
      <w:sz w:val="64"/>
    </w:rPr>
  </w:style>
  <w:style w:type="character" w:customStyle="1" w:styleId="SubtleEmphasis1">
    <w:name w:val="Subtle Emphasis1"/>
    <w:basedOn w:val="Numatytasispastraiposriftas"/>
    <w:uiPriority w:val="19"/>
    <w:rsid w:val="005A0219"/>
    <w:rPr>
      <w:i/>
      <w:iCs/>
      <w:color w:val="7F7F7F"/>
    </w:rPr>
  </w:style>
  <w:style w:type="paragraph" w:customStyle="1" w:styleId="Title1">
    <w:name w:val="Title1"/>
    <w:basedOn w:val="prastasis"/>
    <w:next w:val="prastasis"/>
    <w:uiPriority w:val="10"/>
    <w:rsid w:val="005A0219"/>
    <w:pPr>
      <w:spacing w:after="0" w:line="240" w:lineRule="auto"/>
      <w:ind w:left="2376"/>
      <w:contextualSpacing/>
    </w:pPr>
    <w:rPr>
      <w:rFonts w:ascii="Georgia" w:eastAsia="Times New Roman" w:hAnsi="Georgia" w:cs="Arial Unicode MS"/>
      <w:b/>
      <w:i/>
      <w:spacing w:val="-10"/>
      <w:kern w:val="28"/>
      <w:sz w:val="64"/>
      <w:szCs w:val="56"/>
    </w:rPr>
  </w:style>
  <w:style w:type="character" w:customStyle="1" w:styleId="PavadinimasDiagrama">
    <w:name w:val="Pavadinimas Diagrama"/>
    <w:basedOn w:val="Numatytasispastraiposriftas"/>
    <w:link w:val="Pavadinimas"/>
    <w:uiPriority w:val="10"/>
    <w:rsid w:val="005A0219"/>
    <w:rPr>
      <w:rFonts w:ascii="Georgia" w:eastAsia="Times New Roman" w:hAnsi="Georgia" w:cs="Arial Unicode MS"/>
      <w:b/>
      <w:i/>
      <w:spacing w:val="-10"/>
      <w:kern w:val="28"/>
      <w:sz w:val="64"/>
      <w:szCs w:val="56"/>
    </w:rPr>
  </w:style>
  <w:style w:type="paragraph" w:customStyle="1" w:styleId="ListRoman">
    <w:name w:val="List Roman"/>
    <w:basedOn w:val="Pagrindinistekstas"/>
    <w:qFormat/>
    <w:rsid w:val="005A0219"/>
    <w:pPr>
      <w:numPr>
        <w:numId w:val="68"/>
      </w:numPr>
      <w:spacing w:after="120" w:line="240" w:lineRule="auto"/>
    </w:pPr>
    <w:rPr>
      <w:rFonts w:eastAsia="Georgia" w:cs="Arial Unicode MS"/>
      <w:lang w:val="en-US"/>
    </w:rPr>
  </w:style>
  <w:style w:type="paragraph" w:customStyle="1" w:styleId="ListRoman2">
    <w:name w:val="List Roman 2"/>
    <w:basedOn w:val="ListRoman"/>
    <w:qFormat/>
    <w:rsid w:val="005A0219"/>
    <w:pPr>
      <w:numPr>
        <w:ilvl w:val="1"/>
      </w:numPr>
      <w:tabs>
        <w:tab w:val="left" w:pos="792"/>
      </w:tabs>
    </w:pPr>
  </w:style>
  <w:style w:type="paragraph" w:customStyle="1" w:styleId="ListRoman3">
    <w:name w:val="List Roman 3"/>
    <w:basedOn w:val="ListRoman2"/>
    <w:qFormat/>
    <w:rsid w:val="005A0219"/>
    <w:pPr>
      <w:numPr>
        <w:ilvl w:val="2"/>
      </w:numPr>
      <w:tabs>
        <w:tab w:val="clear" w:pos="792"/>
        <w:tab w:val="left" w:pos="1195"/>
      </w:tabs>
    </w:pPr>
  </w:style>
  <w:style w:type="paragraph" w:customStyle="1" w:styleId="ListRoman4">
    <w:name w:val="List Roman 4"/>
    <w:basedOn w:val="ListRoman3"/>
    <w:qFormat/>
    <w:rsid w:val="005A0219"/>
    <w:pPr>
      <w:numPr>
        <w:ilvl w:val="3"/>
      </w:numPr>
      <w:tabs>
        <w:tab w:val="clear" w:pos="1195"/>
        <w:tab w:val="left" w:pos="1584"/>
      </w:tabs>
    </w:pPr>
  </w:style>
  <w:style w:type="paragraph" w:customStyle="1" w:styleId="ListRoman5">
    <w:name w:val="List Roman 5"/>
    <w:basedOn w:val="ListRoman4"/>
    <w:rsid w:val="005A0219"/>
    <w:pPr>
      <w:numPr>
        <w:ilvl w:val="4"/>
      </w:numPr>
      <w:tabs>
        <w:tab w:val="clear" w:pos="1584"/>
        <w:tab w:val="clear" w:pos="1728"/>
        <w:tab w:val="left" w:pos="1987"/>
      </w:tabs>
      <w:ind w:left="3600" w:hanging="360"/>
    </w:pPr>
  </w:style>
  <w:style w:type="table" w:customStyle="1" w:styleId="SmartTextTable1">
    <w:name w:val="Smart Text Table1"/>
    <w:basedOn w:val="prastojilentel"/>
    <w:next w:val="Lentelstinklelis"/>
    <w:uiPriority w:val="59"/>
    <w:rsid w:val="005A021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basedOn w:val="Numatytasispastraiposriftas"/>
    <w:uiPriority w:val="99"/>
    <w:semiHidden/>
    <w:rsid w:val="005A0219"/>
    <w:rPr>
      <w:color w:val="808080"/>
    </w:rPr>
  </w:style>
  <w:style w:type="table" w:customStyle="1" w:styleId="PwCTableText">
    <w:name w:val="PwC Table Text"/>
    <w:basedOn w:val="prastojilentel"/>
    <w:uiPriority w:val="99"/>
    <w:rsid w:val="005A0219"/>
    <w:pPr>
      <w:spacing w:before="100" w:beforeAutospacing="1" w:after="100" w:afterAutospacing="1" w:line="240" w:lineRule="auto"/>
    </w:pPr>
    <w:rPr>
      <w:rFonts w:ascii="Georgia" w:hAnsi="Georgia"/>
      <w:sz w:val="18"/>
      <w:szCs w:val="20"/>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
    <w:name w:val="PwC Table of Figures"/>
    <w:basedOn w:val="PwCTableText"/>
    <w:uiPriority w:val="99"/>
    <w:rsid w:val="005A0219"/>
    <w:pPr>
      <w:spacing w:after="0"/>
      <w:jc w:val="right"/>
    </w:pPr>
    <w:rPr>
      <w:rFonts w:ascii="Arial" w:hAnsi="Arial"/>
    </w:rPr>
    <w:tblPr/>
    <w:tblStylePr w:type="firstRow">
      <w:pPr>
        <w:jc w:val="righ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tyle1">
    <w:name w:val="Style1"/>
    <w:basedOn w:val="PwCTableText"/>
    <w:uiPriority w:val="99"/>
    <w:rsid w:val="005A0219"/>
    <w:pPr>
      <w:spacing w:after="0"/>
    </w:pPr>
    <w:tblPr>
      <w:tblBorders>
        <w:top w:val="single" w:sz="4" w:space="0" w:color="821A1A"/>
        <w:left w:val="single" w:sz="4" w:space="0" w:color="821A1A"/>
        <w:bottom w:val="single" w:sz="4" w:space="0" w:color="821A1A"/>
        <w:right w:val="single" w:sz="4" w:space="0" w:color="821A1A"/>
        <w:insideH w:val="single" w:sz="4" w:space="0" w:color="821A1A"/>
        <w:insideV w:val="single" w:sz="4" w:space="0" w:color="821A1A"/>
      </w:tblBorders>
    </w:tblPr>
    <w:tblStylePr w:type="firstRow">
      <w:pPr>
        <w:jc w:val="left"/>
      </w:pPr>
      <w:rPr>
        <w:rFonts w:ascii="@Malgun Gothic Semilight" w:hAnsi="@Malgun Gothic Semilight"/>
        <w:b/>
        <w:color w:val="821A1A"/>
        <w:sz w:val="18"/>
      </w:rPr>
      <w:tblPr/>
      <w:tcPr>
        <w:tcBorders>
          <w:top w:val="single" w:sz="4" w:space="0" w:color="821A1A"/>
          <w:left w:val="single" w:sz="4" w:space="0" w:color="821A1A"/>
          <w:bottom w:val="single" w:sz="4" w:space="0" w:color="821A1A"/>
          <w:right w:val="single" w:sz="4" w:space="0" w:color="821A1A"/>
          <w:insideH w:val="nil"/>
          <w:insideV w:val="single" w:sz="4" w:space="0" w:color="821A1A"/>
          <w:tl2br w:val="nil"/>
          <w:tr2bl w:val="nil"/>
        </w:tcBorders>
      </w:tcPr>
    </w:tblStylePr>
  </w:style>
  <w:style w:type="table" w:customStyle="1" w:styleId="SmartTextListTable">
    <w:name w:val="Smart Text List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
    <w:name w:val="Smart Basic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Pagrindiniotekstotrauka">
    <w:name w:val="Body Text Indent"/>
    <w:basedOn w:val="prastasis"/>
    <w:link w:val="PagrindiniotekstotraukaDiagrama"/>
    <w:uiPriority w:val="99"/>
    <w:semiHidden/>
    <w:unhideWhenUsed/>
    <w:rsid w:val="005A0219"/>
    <w:pPr>
      <w:spacing w:after="120" w:line="240" w:lineRule="auto"/>
      <w:ind w:left="360"/>
    </w:pPr>
    <w:rPr>
      <w:sz w:val="20"/>
      <w:szCs w:val="20"/>
    </w:rPr>
  </w:style>
  <w:style w:type="character" w:customStyle="1" w:styleId="PagrindiniotekstotraukaDiagrama">
    <w:name w:val="Pagrindinio teksto įtrauka Diagrama"/>
    <w:basedOn w:val="Numatytasispastraiposriftas"/>
    <w:link w:val="Pagrindiniotekstotrauka"/>
    <w:uiPriority w:val="99"/>
    <w:semiHidden/>
    <w:rsid w:val="005A0219"/>
    <w:rPr>
      <w:sz w:val="20"/>
      <w:szCs w:val="20"/>
    </w:rPr>
  </w:style>
  <w:style w:type="character" w:styleId="Knygospavadinimas">
    <w:name w:val="Book Title"/>
    <w:basedOn w:val="Numatytasispastraiposriftas"/>
    <w:uiPriority w:val="33"/>
    <w:rsid w:val="005A0219"/>
    <w:rPr>
      <w:b/>
      <w:bCs/>
      <w:i/>
      <w:iCs/>
      <w:spacing w:val="5"/>
    </w:rPr>
  </w:style>
  <w:style w:type="character" w:styleId="Grietas">
    <w:name w:val="Strong"/>
    <w:basedOn w:val="Numatytasispastraiposriftas"/>
    <w:uiPriority w:val="22"/>
    <w:rsid w:val="005A0219"/>
    <w:rPr>
      <w:b/>
      <w:bCs/>
    </w:rPr>
  </w:style>
  <w:style w:type="character" w:customStyle="1" w:styleId="SubtleReference1">
    <w:name w:val="Subtle Reference1"/>
    <w:basedOn w:val="Numatytasispastraiposriftas"/>
    <w:uiPriority w:val="31"/>
    <w:rsid w:val="005A0219"/>
    <w:rPr>
      <w:smallCaps/>
      <w:color w:val="5A5A5A"/>
    </w:rPr>
  </w:style>
  <w:style w:type="paragraph" w:customStyle="1" w:styleId="AppendixHeading1">
    <w:name w:val="Appendix Heading 1"/>
    <w:basedOn w:val="Antrat1"/>
    <w:next w:val="AppendixHeading2"/>
    <w:rsid w:val="005A0219"/>
    <w:pPr>
      <w:keepLines w:val="0"/>
      <w:pageBreakBefore/>
      <w:numPr>
        <w:numId w:val="63"/>
      </w:numPr>
      <w:spacing w:before="0" w:after="480" w:line="0" w:lineRule="atLeast"/>
    </w:pPr>
    <w:rPr>
      <w:bCs w:val="0"/>
      <w:i/>
      <w:color w:val="000000"/>
      <w:sz w:val="48"/>
      <w:szCs w:val="32"/>
    </w:rPr>
  </w:style>
  <w:style w:type="paragraph" w:customStyle="1" w:styleId="AppendixHeading2">
    <w:name w:val="Appendix Heading 2"/>
    <w:basedOn w:val="AppendixHeading1"/>
    <w:next w:val="Pagrindinistekstas"/>
    <w:rsid w:val="005A0219"/>
    <w:pPr>
      <w:pageBreakBefore w:val="0"/>
      <w:numPr>
        <w:ilvl w:val="1"/>
      </w:numPr>
      <w:spacing w:after="160"/>
      <w:outlineLvl w:val="1"/>
    </w:pPr>
    <w:rPr>
      <w:color w:val="821A1A"/>
      <w:sz w:val="32"/>
    </w:rPr>
  </w:style>
  <w:style w:type="paragraph" w:customStyle="1" w:styleId="AppendixHeading3">
    <w:name w:val="Appendix Heading 3"/>
    <w:basedOn w:val="AppendixHeading2"/>
    <w:next w:val="Pagrindinistekstas"/>
    <w:rsid w:val="005A0219"/>
    <w:pPr>
      <w:numPr>
        <w:ilvl w:val="2"/>
      </w:numPr>
      <w:outlineLvl w:val="2"/>
    </w:pPr>
    <w:rPr>
      <w:sz w:val="28"/>
    </w:rPr>
  </w:style>
  <w:style w:type="paragraph" w:customStyle="1" w:styleId="AppendixHeading4">
    <w:name w:val="Appendix Heading 4"/>
    <w:basedOn w:val="AppendixHeading3"/>
    <w:next w:val="Pagrindinistekstas"/>
    <w:rsid w:val="005A0219"/>
    <w:pPr>
      <w:numPr>
        <w:ilvl w:val="3"/>
      </w:numPr>
      <w:outlineLvl w:val="3"/>
    </w:pPr>
    <w:rPr>
      <w:b w:val="0"/>
    </w:rPr>
  </w:style>
  <w:style w:type="paragraph" w:customStyle="1" w:styleId="AppendixHeading5">
    <w:name w:val="Appendix Heading 5"/>
    <w:basedOn w:val="AppendixHeading4"/>
    <w:next w:val="Pagrindinistekstas"/>
    <w:rsid w:val="005A0219"/>
    <w:pPr>
      <w:numPr>
        <w:ilvl w:val="4"/>
      </w:numPr>
      <w:ind w:left="1800" w:hanging="1440"/>
      <w:outlineLvl w:val="4"/>
    </w:pPr>
    <w:rPr>
      <w:sz w:val="24"/>
    </w:rPr>
  </w:style>
  <w:style w:type="character" w:customStyle="1" w:styleId="AddressChar">
    <w:name w:val="Address Char"/>
    <w:basedOn w:val="Numatytasispastraiposriftas"/>
    <w:link w:val="Address"/>
    <w:locked/>
    <w:rsid w:val="005A0219"/>
    <w:rPr>
      <w:i/>
      <w:sz w:val="18"/>
      <w:szCs w:val="20"/>
    </w:rPr>
  </w:style>
  <w:style w:type="character" w:customStyle="1" w:styleId="DisclaimerChar">
    <w:name w:val="Disclaimer Char"/>
    <w:basedOn w:val="Numatytasispastraiposriftas"/>
    <w:link w:val="Disclaimer"/>
    <w:locked/>
    <w:rsid w:val="005A0219"/>
    <w:rPr>
      <w:rFonts w:ascii="Georgia" w:eastAsia="Georgia" w:hAnsi="Georgia" w:cs="Arial Unicode MS"/>
      <w:sz w:val="16"/>
      <w:szCs w:val="20"/>
    </w:rPr>
  </w:style>
  <w:style w:type="paragraph" w:customStyle="1" w:styleId="TOAHeading1">
    <w:name w:val="TOA Heading1"/>
    <w:basedOn w:val="prastasis"/>
    <w:next w:val="prastasis"/>
    <w:uiPriority w:val="99"/>
    <w:unhideWhenUsed/>
    <w:rsid w:val="005A0219"/>
    <w:pPr>
      <w:spacing w:before="120" w:after="160" w:line="240" w:lineRule="auto"/>
    </w:pPr>
    <w:rPr>
      <w:rFonts w:ascii="Georgia" w:eastAsia="Times New Roman" w:hAnsi="Georgia" w:cs="Arial Unicode MS"/>
      <w:b/>
      <w:bCs/>
      <w:sz w:val="24"/>
      <w:szCs w:val="24"/>
    </w:rPr>
  </w:style>
  <w:style w:type="paragraph" w:customStyle="1" w:styleId="AppendixHeading1wSubheading">
    <w:name w:val="Appendix Heading 1 w/Subheading"/>
    <w:basedOn w:val="AppendixHeading1"/>
    <w:next w:val="Subheading"/>
    <w:rsid w:val="005A0219"/>
    <w:pPr>
      <w:spacing w:after="0"/>
      <w:ind w:left="0" w:firstLine="0"/>
    </w:pPr>
  </w:style>
  <w:style w:type="paragraph" w:customStyle="1" w:styleId="BlockText3">
    <w:name w:val="Block Text 3"/>
    <w:basedOn w:val="Pagrindinistekstas"/>
    <w:rsid w:val="005A0219"/>
    <w:pPr>
      <w:pBdr>
        <w:top w:val="single" w:sz="8" w:space="10" w:color="821A1A"/>
        <w:left w:val="single" w:sz="8" w:space="10" w:color="821A1A"/>
        <w:bottom w:val="single" w:sz="8" w:space="10" w:color="821A1A"/>
        <w:right w:val="single" w:sz="8" w:space="10" w:color="821A1A"/>
      </w:pBdr>
      <w:shd w:val="clear" w:color="auto" w:fill="821A1A"/>
      <w:spacing w:after="160" w:line="240" w:lineRule="auto"/>
      <w:ind w:left="230" w:right="230"/>
    </w:pPr>
    <w:rPr>
      <w:rFonts w:eastAsia="Georgia" w:cs="Arial Unicode MS"/>
      <w:b/>
      <w:i/>
      <w:color w:val="FFFFFF"/>
      <w:sz w:val="22"/>
      <w:lang w:val="en-US"/>
    </w:rPr>
  </w:style>
  <w:style w:type="paragraph" w:customStyle="1" w:styleId="ExhibitHeading1wSubheading">
    <w:name w:val="Exhibit Heading 1 w/Subheading"/>
    <w:basedOn w:val="ExhibitHeading1"/>
    <w:next w:val="Subheading"/>
    <w:rsid w:val="005A0219"/>
    <w:pPr>
      <w:spacing w:after="0"/>
      <w:ind w:left="0" w:firstLine="0"/>
    </w:pPr>
  </w:style>
  <w:style w:type="paragraph" w:customStyle="1" w:styleId="Heading1wSubheading">
    <w:name w:val="Heading 1 w/Subheading"/>
    <w:basedOn w:val="Antrat1"/>
    <w:next w:val="Subheading"/>
    <w:rsid w:val="005A0219"/>
    <w:pPr>
      <w:keepLines w:val="0"/>
      <w:pageBreakBefore/>
      <w:spacing w:before="0" w:line="0" w:lineRule="atLeast"/>
    </w:pPr>
    <w:rPr>
      <w:bCs w:val="0"/>
      <w:i/>
      <w:color w:val="000000"/>
      <w:sz w:val="48"/>
      <w:szCs w:val="32"/>
    </w:rPr>
  </w:style>
  <w:style w:type="paragraph" w:customStyle="1" w:styleId="Non-numberedHeading1wSubheading">
    <w:name w:val="Non-numbered Heading 1 w/Subheading"/>
    <w:basedOn w:val="Non-numberedHeading1"/>
    <w:next w:val="Subheading"/>
    <w:rsid w:val="005A0219"/>
    <w:pPr>
      <w:spacing w:after="0"/>
    </w:pPr>
  </w:style>
  <w:style w:type="paragraph" w:customStyle="1" w:styleId="Subheading">
    <w:name w:val="Subheading"/>
    <w:basedOn w:val="Heading1wSubheading"/>
    <w:rsid w:val="005A0219"/>
    <w:pPr>
      <w:pageBreakBefore w:val="0"/>
      <w:numPr>
        <w:numId w:val="0"/>
      </w:numPr>
      <w:spacing w:after="480"/>
    </w:pPr>
    <w:rPr>
      <w:b w:val="0"/>
      <w:i w:val="0"/>
      <w:sz w:val="44"/>
    </w:rPr>
  </w:style>
  <w:style w:type="character" w:customStyle="1" w:styleId="GuidanceChar">
    <w:name w:val="Guidance Char"/>
    <w:basedOn w:val="Numatytasispastraiposriftas"/>
    <w:link w:val="Guidance"/>
    <w:uiPriority w:val="99"/>
    <w:rsid w:val="005A0219"/>
    <w:rPr>
      <w:rFonts w:ascii="Arial" w:hAnsi="Arial"/>
      <w:color w:val="00A5FF"/>
      <w:sz w:val="16"/>
      <w:szCs w:val="20"/>
    </w:rPr>
  </w:style>
  <w:style w:type="table" w:customStyle="1" w:styleId="LightList-Accent21">
    <w:name w:val="Light List - Accent 21"/>
    <w:basedOn w:val="prastojilentel"/>
    <w:next w:val="viesussraas2parykinimas"/>
    <w:uiPriority w:val="61"/>
    <w:rsid w:val="005A0219"/>
    <w:pPr>
      <w:spacing w:after="0" w:line="240" w:lineRule="auto"/>
    </w:pPr>
    <w:rPr>
      <w:lang w:val="lt-LT"/>
    </w:r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
    <w:name w:val="Medium Shading 1 - Accent 21"/>
    <w:basedOn w:val="prastojilentel"/>
    <w:next w:val="1vidutinisspalvinimas2parykinimas"/>
    <w:uiPriority w:val="63"/>
    <w:rsid w:val="005A0219"/>
    <w:pPr>
      <w:spacing w:after="0" w:line="240" w:lineRule="auto"/>
    </w:p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character" w:customStyle="1" w:styleId="Heading5Char1">
    <w:name w:val="Heading 5 Char1"/>
    <w:basedOn w:val="Numatytasispastraiposriftas"/>
    <w:uiPriority w:val="9"/>
    <w:semiHidden/>
    <w:rsid w:val="005A0219"/>
    <w:rPr>
      <w:rFonts w:asciiTheme="majorHAnsi" w:eastAsiaTheme="majorEastAsia" w:hAnsiTheme="majorHAnsi" w:cstheme="majorBidi"/>
      <w:color w:val="365F91" w:themeColor="accent1" w:themeShade="BF"/>
    </w:rPr>
  </w:style>
  <w:style w:type="character" w:customStyle="1" w:styleId="Heading6Char1">
    <w:name w:val="Heading 6 Char1"/>
    <w:basedOn w:val="Numatytasispastraiposriftas"/>
    <w:uiPriority w:val="9"/>
    <w:semiHidden/>
    <w:rsid w:val="005A0219"/>
    <w:rPr>
      <w:rFonts w:asciiTheme="majorHAnsi" w:eastAsiaTheme="majorEastAsia" w:hAnsiTheme="majorHAnsi" w:cstheme="majorBidi"/>
      <w:color w:val="243F60" w:themeColor="accent1" w:themeShade="7F"/>
    </w:rPr>
  </w:style>
  <w:style w:type="character" w:customStyle="1" w:styleId="Heading7Char1">
    <w:name w:val="Heading 7 Char1"/>
    <w:basedOn w:val="Numatytasispastraiposriftas"/>
    <w:uiPriority w:val="9"/>
    <w:semiHidden/>
    <w:rsid w:val="005A0219"/>
    <w:rPr>
      <w:rFonts w:asciiTheme="majorHAnsi" w:eastAsiaTheme="majorEastAsia" w:hAnsiTheme="majorHAnsi" w:cstheme="majorBidi"/>
      <w:i/>
      <w:iCs/>
      <w:color w:val="243F60" w:themeColor="accent1" w:themeShade="7F"/>
    </w:rPr>
  </w:style>
  <w:style w:type="character" w:customStyle="1" w:styleId="Heading8Char1">
    <w:name w:val="Heading 8 Char1"/>
    <w:basedOn w:val="Numatytasispastraiposriftas"/>
    <w:uiPriority w:val="9"/>
    <w:semiHidden/>
    <w:rsid w:val="005A021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Numatytasispastraiposriftas"/>
    <w:uiPriority w:val="9"/>
    <w:semiHidden/>
    <w:rsid w:val="005A0219"/>
    <w:rPr>
      <w:rFonts w:asciiTheme="majorHAnsi" w:eastAsiaTheme="majorEastAsia" w:hAnsiTheme="majorHAnsi" w:cstheme="majorBidi"/>
      <w:i/>
      <w:iCs/>
      <w:color w:val="272727" w:themeColor="text1" w:themeTint="D8"/>
      <w:sz w:val="21"/>
      <w:szCs w:val="21"/>
    </w:rPr>
  </w:style>
  <w:style w:type="paragraph" w:styleId="Tekstoblokas">
    <w:name w:val="Block Text"/>
    <w:basedOn w:val="prastasis"/>
    <w:uiPriority w:val="99"/>
    <w:semiHidden/>
    <w:unhideWhenUsed/>
    <w:rsid w:val="005A021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character" w:styleId="HTMLakronimas">
    <w:name w:val="HTML Acronym"/>
    <w:basedOn w:val="Numatytasispastraiposriftas"/>
    <w:uiPriority w:val="99"/>
    <w:semiHidden/>
    <w:unhideWhenUsed/>
    <w:rsid w:val="005A0219"/>
  </w:style>
  <w:style w:type="character" w:styleId="Rykuspabraukimas">
    <w:name w:val="Intense Emphasis"/>
    <w:basedOn w:val="Numatytasispastraiposriftas"/>
    <w:uiPriority w:val="21"/>
    <w:qFormat/>
    <w:rsid w:val="005A0219"/>
    <w:rPr>
      <w:i/>
      <w:iCs/>
      <w:color w:val="4F81BD" w:themeColor="accent1"/>
    </w:rPr>
  </w:style>
  <w:style w:type="character" w:styleId="Rykinuoroda">
    <w:name w:val="Intense Reference"/>
    <w:basedOn w:val="Numatytasispastraiposriftas"/>
    <w:uiPriority w:val="32"/>
    <w:qFormat/>
    <w:rsid w:val="005A0219"/>
    <w:rPr>
      <w:b/>
      <w:bCs/>
      <w:smallCaps/>
      <w:color w:val="4F81BD" w:themeColor="accent1"/>
      <w:spacing w:val="5"/>
    </w:rPr>
  </w:style>
  <w:style w:type="paragraph" w:styleId="Iskirtacitata">
    <w:name w:val="Intense Quote"/>
    <w:basedOn w:val="prastasis"/>
    <w:next w:val="prastasis"/>
    <w:link w:val="IskirtacitataDiagrama"/>
    <w:uiPriority w:val="30"/>
    <w:qFormat/>
    <w:rsid w:val="005A0219"/>
    <w:pPr>
      <w:pBdr>
        <w:top w:val="single" w:sz="4" w:space="10" w:color="4F81BD" w:themeColor="accent1"/>
        <w:bottom w:val="single" w:sz="4" w:space="10" w:color="4F81BD" w:themeColor="accent1"/>
      </w:pBdr>
      <w:spacing w:before="360" w:after="360"/>
      <w:ind w:left="864" w:right="864"/>
      <w:jc w:val="center"/>
    </w:pPr>
    <w:rPr>
      <w:b/>
      <w:i/>
      <w:iCs/>
      <w:color w:val="821A1A"/>
    </w:rPr>
  </w:style>
  <w:style w:type="character" w:customStyle="1" w:styleId="IntenseQuoteChar1">
    <w:name w:val="Intense Quote Char1"/>
    <w:basedOn w:val="Numatytasispastraiposriftas"/>
    <w:uiPriority w:val="30"/>
    <w:rsid w:val="005A0219"/>
    <w:rPr>
      <w:i/>
      <w:iCs/>
      <w:color w:val="4F81BD" w:themeColor="accent1"/>
    </w:rPr>
  </w:style>
  <w:style w:type="paragraph" w:styleId="inutsantrat">
    <w:name w:val="Message Header"/>
    <w:basedOn w:val="prastasis"/>
    <w:link w:val="inutsantratDiagrama"/>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utsantratDiagrama">
    <w:name w:val="Žinutės antraštė Diagrama"/>
    <w:basedOn w:val="Numatytasispastraiposriftas"/>
    <w:link w:val="inutsantrat"/>
    <w:uiPriority w:val="99"/>
    <w:semiHidden/>
    <w:rsid w:val="005A0219"/>
    <w:rPr>
      <w:rFonts w:asciiTheme="majorHAnsi" w:eastAsiaTheme="majorEastAsia" w:hAnsiTheme="majorHAnsi" w:cstheme="majorBidi"/>
      <w:sz w:val="24"/>
      <w:szCs w:val="24"/>
      <w:shd w:val="pct20" w:color="auto" w:fill="auto"/>
    </w:rPr>
  </w:style>
  <w:style w:type="paragraph" w:styleId="Citata">
    <w:name w:val="Quote"/>
    <w:basedOn w:val="prastasis"/>
    <w:next w:val="prastasis"/>
    <w:link w:val="CitataDiagrama"/>
    <w:uiPriority w:val="29"/>
    <w:qFormat/>
    <w:rsid w:val="005A0219"/>
    <w:pPr>
      <w:spacing w:before="200" w:after="160"/>
      <w:ind w:left="864" w:right="864"/>
      <w:jc w:val="center"/>
    </w:pPr>
    <w:rPr>
      <w:i/>
      <w:iCs/>
      <w:color w:val="404040"/>
    </w:rPr>
  </w:style>
  <w:style w:type="character" w:customStyle="1" w:styleId="QuoteChar1">
    <w:name w:val="Quote Char1"/>
    <w:basedOn w:val="Numatytasispastraiposriftas"/>
    <w:uiPriority w:val="29"/>
    <w:rsid w:val="005A0219"/>
    <w:rPr>
      <w:i/>
      <w:iCs/>
      <w:color w:val="404040" w:themeColor="text1" w:themeTint="BF"/>
    </w:rPr>
  </w:style>
  <w:style w:type="paragraph" w:styleId="Antrinispavadinimas">
    <w:name w:val="Subtitle"/>
    <w:aliases w:val="lentelės"/>
    <w:basedOn w:val="prastasis"/>
    <w:next w:val="prastasis"/>
    <w:link w:val="AntrinispavadinimasDiagrama"/>
    <w:uiPriority w:val="11"/>
    <w:qFormat/>
    <w:rsid w:val="005A0219"/>
    <w:pPr>
      <w:numPr>
        <w:ilvl w:val="1"/>
      </w:numPr>
      <w:spacing w:after="160"/>
    </w:pPr>
    <w:rPr>
      <w:rFonts w:ascii="Georgia" w:eastAsia="Times New Roman" w:hAnsi="Georgia"/>
      <w:spacing w:val="15"/>
      <w:sz w:val="64"/>
    </w:rPr>
  </w:style>
  <w:style w:type="character" w:customStyle="1" w:styleId="SubtitleChar1">
    <w:name w:val="Subtitle Char1"/>
    <w:basedOn w:val="Numatytasispastraiposriftas"/>
    <w:uiPriority w:val="11"/>
    <w:rsid w:val="005A0219"/>
    <w:rPr>
      <w:rFonts w:eastAsiaTheme="minorEastAsia"/>
      <w:color w:val="5A5A5A" w:themeColor="text1" w:themeTint="A5"/>
      <w:spacing w:val="15"/>
    </w:rPr>
  </w:style>
  <w:style w:type="character" w:styleId="Nerykuspabraukimas">
    <w:name w:val="Subtle Emphasis"/>
    <w:basedOn w:val="Numatytasispastraiposriftas"/>
    <w:uiPriority w:val="19"/>
    <w:qFormat/>
    <w:rsid w:val="005A0219"/>
    <w:rPr>
      <w:i/>
      <w:iCs/>
      <w:color w:val="404040" w:themeColor="text1" w:themeTint="BF"/>
    </w:rPr>
  </w:style>
  <w:style w:type="paragraph" w:styleId="Pavadinimas">
    <w:name w:val="Title"/>
    <w:basedOn w:val="prastasis"/>
    <w:next w:val="prastasis"/>
    <w:link w:val="PavadinimasDiagrama"/>
    <w:uiPriority w:val="10"/>
    <w:qFormat/>
    <w:rsid w:val="005A0219"/>
    <w:pPr>
      <w:spacing w:after="0" w:line="240" w:lineRule="auto"/>
      <w:contextualSpacing/>
    </w:pPr>
    <w:rPr>
      <w:rFonts w:ascii="Georgia" w:eastAsia="Times New Roman" w:hAnsi="Georgia" w:cs="Arial Unicode MS"/>
      <w:b/>
      <w:i/>
      <w:spacing w:val="-10"/>
      <w:kern w:val="28"/>
      <w:sz w:val="64"/>
      <w:szCs w:val="56"/>
    </w:rPr>
  </w:style>
  <w:style w:type="character" w:customStyle="1" w:styleId="TitleChar1">
    <w:name w:val="Title Char1"/>
    <w:basedOn w:val="Numatytasispastraiposriftas"/>
    <w:uiPriority w:val="10"/>
    <w:rsid w:val="005A0219"/>
    <w:rPr>
      <w:rFonts w:asciiTheme="majorHAnsi" w:eastAsiaTheme="majorEastAsia" w:hAnsiTheme="majorHAnsi" w:cstheme="majorBidi"/>
      <w:spacing w:val="-10"/>
      <w:kern w:val="28"/>
      <w:sz w:val="56"/>
      <w:szCs w:val="56"/>
    </w:rPr>
  </w:style>
  <w:style w:type="character" w:styleId="Nerykinuoroda">
    <w:name w:val="Subtle Reference"/>
    <w:basedOn w:val="Numatytasispastraiposriftas"/>
    <w:uiPriority w:val="31"/>
    <w:qFormat/>
    <w:rsid w:val="005A0219"/>
    <w:rPr>
      <w:smallCaps/>
      <w:color w:val="5A5A5A" w:themeColor="text1" w:themeTint="A5"/>
    </w:rPr>
  </w:style>
  <w:style w:type="table" w:customStyle="1" w:styleId="ListTable4-Accent61">
    <w:name w:val="List Table 4 - Accent 61"/>
    <w:basedOn w:val="prastojilentel"/>
    <w:uiPriority w:val="49"/>
    <w:rsid w:val="00F57EC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MediumGrid3-Accent21">
    <w:name w:val="Medium Grid 3 - Accent 21"/>
    <w:basedOn w:val="prastojilentel"/>
    <w:next w:val="3vidutinistinklelis2parykinimas"/>
    <w:uiPriority w:val="69"/>
    <w:rsid w:val="002D46E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
    <w:name w:val="Grid Table 5 Dark - Accent 111"/>
    <w:basedOn w:val="prastojilentel"/>
    <w:next w:val="GridTable5Dark-Accent112"/>
    <w:uiPriority w:val="50"/>
    <w:rsid w:val="00CB4D9D"/>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
    <w:name w:val="List Table 4 - Accent 62"/>
    <w:basedOn w:val="prastojilentel"/>
    <w:uiPriority w:val="49"/>
    <w:rsid w:val="00CB4D9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prastojilentel"/>
    <w:uiPriority w:val="48"/>
    <w:rsid w:val="0057103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3-Accent21">
    <w:name w:val="List Table 3 - Accent 21"/>
    <w:basedOn w:val="prastojilentel"/>
    <w:uiPriority w:val="48"/>
    <w:rsid w:val="00D82904"/>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UnresolvedMention">
    <w:name w:val="Unresolved Mention"/>
    <w:basedOn w:val="Numatytasispastraiposriftas"/>
    <w:uiPriority w:val="99"/>
    <w:semiHidden/>
    <w:unhideWhenUsed/>
    <w:rsid w:val="00160027"/>
    <w:rPr>
      <w:color w:val="605E5C"/>
      <w:shd w:val="clear" w:color="auto" w:fill="E1DFDD"/>
    </w:rPr>
  </w:style>
  <w:style w:type="table" w:customStyle="1" w:styleId="TableGrid11">
    <w:name w:val="Table Grid11"/>
    <w:basedOn w:val="prastojilentel"/>
    <w:next w:val="Lentelstinklelis"/>
    <w:uiPriority w:val="39"/>
    <w:rsid w:val="00D13E15"/>
    <w:pPr>
      <w:spacing w:after="0" w:line="240" w:lineRule="auto"/>
      <w:jc w:val="both"/>
    </w:pPr>
    <w:rPr>
      <w:rFonts w:ascii="Arial" w:hAnsi="Arial"/>
      <w:color w:val="000000"/>
      <w:sz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954C5A"/>
    <w:pPr>
      <w:keepNext/>
      <w:keepLines/>
      <w:numPr>
        <w:numId w:val="74"/>
      </w:numPr>
      <w:spacing w:before="480" w:after="0"/>
      <w:outlineLvl w:val="0"/>
    </w:pPr>
    <w:rPr>
      <w:rFonts w:ascii="Georgia" w:eastAsiaTheme="majorEastAsia" w:hAnsi="Georgia" w:cstheme="majorBidi"/>
      <w:b/>
      <w:bCs/>
      <w:color w:val="821A1A"/>
      <w:sz w:val="40"/>
      <w:szCs w:val="28"/>
    </w:rPr>
  </w:style>
  <w:style w:type="paragraph" w:styleId="Antrat2">
    <w:name w:val="heading 2"/>
    <w:basedOn w:val="prastasis"/>
    <w:next w:val="prastasis"/>
    <w:link w:val="Antrat2Diagrama"/>
    <w:uiPriority w:val="9"/>
    <w:unhideWhenUsed/>
    <w:qFormat/>
    <w:rsid w:val="005A0219"/>
    <w:pPr>
      <w:keepNext/>
      <w:keepLines/>
      <w:spacing w:before="200" w:after="0"/>
      <w:outlineLvl w:val="1"/>
    </w:pPr>
    <w:rPr>
      <w:rFonts w:asciiTheme="majorHAnsi" w:eastAsiaTheme="majorEastAsia" w:hAnsiTheme="majorHAnsi" w:cstheme="majorBidi"/>
      <w:b/>
      <w:bCs/>
      <w:color w:val="821A1A"/>
      <w:sz w:val="32"/>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5A0219"/>
    <w:pPr>
      <w:keepNext/>
      <w:keepLines/>
      <w:spacing w:before="40" w:after="0"/>
      <w:outlineLvl w:val="4"/>
    </w:pPr>
    <w:rPr>
      <w:rFonts w:ascii="Georgia" w:eastAsia="Times New Roman" w:hAnsi="Georgia" w:cs="Arial Unicode MS"/>
      <w:i/>
      <w:color w:val="821A1A"/>
      <w:sz w:val="24"/>
    </w:rPr>
  </w:style>
  <w:style w:type="paragraph" w:styleId="Antrat6">
    <w:name w:val="heading 6"/>
    <w:basedOn w:val="prastasis"/>
    <w:next w:val="prastasis"/>
    <w:link w:val="Antrat6Diagrama"/>
    <w:uiPriority w:val="9"/>
    <w:semiHidden/>
    <w:unhideWhenUsed/>
    <w:qFormat/>
    <w:rsid w:val="005A0219"/>
    <w:pPr>
      <w:keepNext/>
      <w:keepLines/>
      <w:spacing w:before="40" w:after="0"/>
      <w:outlineLvl w:val="5"/>
    </w:pPr>
    <w:rPr>
      <w:rFonts w:ascii="Georgia" w:eastAsia="Times New Roman" w:hAnsi="Georgia" w:cs="Arial Unicode MS"/>
      <w:color w:val="821A1A"/>
      <w:sz w:val="24"/>
    </w:rPr>
  </w:style>
  <w:style w:type="paragraph" w:styleId="Antrat7">
    <w:name w:val="heading 7"/>
    <w:basedOn w:val="prastasis"/>
    <w:next w:val="prastasis"/>
    <w:link w:val="Antrat7Diagrama"/>
    <w:uiPriority w:val="9"/>
    <w:semiHidden/>
    <w:unhideWhenUsed/>
    <w:qFormat/>
    <w:rsid w:val="005A0219"/>
    <w:pPr>
      <w:keepNext/>
      <w:keepLines/>
      <w:spacing w:before="40" w:after="0"/>
      <w:outlineLvl w:val="6"/>
    </w:pPr>
    <w:rPr>
      <w:rFonts w:ascii="Georgia" w:eastAsia="Times New Roman" w:hAnsi="Georgia" w:cs="Arial Unicode MS"/>
      <w:i/>
      <w:iCs/>
      <w:color w:val="400D0D"/>
    </w:rPr>
  </w:style>
  <w:style w:type="paragraph" w:styleId="Antrat8">
    <w:name w:val="heading 8"/>
    <w:basedOn w:val="prastasis"/>
    <w:next w:val="prastasis"/>
    <w:link w:val="Antrat8Diagrama"/>
    <w:uiPriority w:val="9"/>
    <w:semiHidden/>
    <w:unhideWhenUsed/>
    <w:qFormat/>
    <w:rsid w:val="005A0219"/>
    <w:pPr>
      <w:keepNext/>
      <w:keepLines/>
      <w:spacing w:before="40" w:after="0"/>
      <w:outlineLvl w:val="7"/>
    </w:pPr>
    <w:rPr>
      <w:rFonts w:ascii="Georgia" w:eastAsia="Times New Roman" w:hAnsi="Georgia" w:cs="Arial Unicode MS"/>
      <w:color w:val="272727"/>
      <w:sz w:val="21"/>
      <w:szCs w:val="21"/>
    </w:rPr>
  </w:style>
  <w:style w:type="paragraph" w:styleId="Antrat9">
    <w:name w:val="heading 9"/>
    <w:basedOn w:val="prastasis"/>
    <w:next w:val="prastasis"/>
    <w:link w:val="Antrat9Diagrama"/>
    <w:uiPriority w:val="9"/>
    <w:semiHidden/>
    <w:unhideWhenUsed/>
    <w:qFormat/>
    <w:rsid w:val="005A0219"/>
    <w:pPr>
      <w:keepNext/>
      <w:keepLines/>
      <w:spacing w:before="40" w:after="0"/>
      <w:outlineLvl w:val="8"/>
    </w:pPr>
    <w:rPr>
      <w:rFonts w:ascii="Georgia" w:eastAsia="Times New Roman" w:hAnsi="Georgia" w:cs="Arial Unicode MS"/>
      <w:i/>
      <w:iCs/>
      <w:color w:val="272727"/>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54C5A"/>
    <w:rPr>
      <w:rFonts w:ascii="Georgia" w:eastAsiaTheme="majorEastAsia" w:hAnsi="Georgia" w:cstheme="majorBidi"/>
      <w:b/>
      <w:bCs/>
      <w:color w:val="821A1A"/>
      <w:sz w:val="40"/>
      <w:szCs w:val="28"/>
    </w:rPr>
  </w:style>
  <w:style w:type="character" w:customStyle="1" w:styleId="Antrat2Diagrama">
    <w:name w:val="Antraštė 2 Diagrama"/>
    <w:basedOn w:val="Numatytasispastraiposriftas"/>
    <w:link w:val="Antrat2"/>
    <w:uiPriority w:val="9"/>
    <w:rsid w:val="005A0219"/>
    <w:rPr>
      <w:rFonts w:asciiTheme="majorHAnsi" w:eastAsiaTheme="majorEastAsia" w:hAnsiTheme="majorHAnsi" w:cstheme="majorBidi"/>
      <w:b/>
      <w:bCs/>
      <w:color w:val="821A1A"/>
      <w:sz w:val="32"/>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aliases w:val="lentelių turinys"/>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1">
    <w:name w:val="Grid Table 5 Dark - Accent 1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1">
    <w:name w:val="Table Grid Light1"/>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1">
    <w:name w:val="Grid Table 4 - Accent 1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aliases w:val="|| 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aliases w:val="|| Footer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esussraas3parykinimas">
    <w:name w:val="Light List Accent 3"/>
    <w:basedOn w:val="prastojilentel"/>
    <w:uiPriority w:val="61"/>
    <w:rsid w:val="002A576D"/>
    <w:pPr>
      <w:spacing w:after="0" w:line="240" w:lineRule="auto"/>
    </w:pPr>
    <w:rPr>
      <w:lang w:val="lt-LT"/>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vidutinisspalvinimas1parykinimas">
    <w:name w:val="Medium Shading 1 Accent 1"/>
    <w:basedOn w:val="prastojilentel"/>
    <w:uiPriority w:val="63"/>
    <w:rsid w:val="006A520B"/>
    <w:pPr>
      <w:spacing w:after="0" w:line="240" w:lineRule="auto"/>
    </w:pPr>
    <w:rPr>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kumentoinaostekstas">
    <w:name w:val="endnote text"/>
    <w:basedOn w:val="prastasis"/>
    <w:link w:val="DokumentoinaostekstasDiagrama"/>
    <w:uiPriority w:val="99"/>
    <w:semiHidden/>
    <w:unhideWhenUsed/>
    <w:rsid w:val="006A520B"/>
    <w:pPr>
      <w:spacing w:after="0" w:line="240" w:lineRule="auto"/>
    </w:pPr>
    <w:rPr>
      <w:sz w:val="20"/>
      <w:szCs w:val="20"/>
      <w:lang w:val="lt-LT"/>
    </w:rPr>
  </w:style>
  <w:style w:type="character" w:customStyle="1" w:styleId="DokumentoinaostekstasDiagrama">
    <w:name w:val="Dokumento išnašos tekstas Diagrama"/>
    <w:basedOn w:val="Numatytasispastraiposriftas"/>
    <w:link w:val="Dokumentoinaostekstas"/>
    <w:uiPriority w:val="99"/>
    <w:semiHidden/>
    <w:rsid w:val="006A520B"/>
    <w:rPr>
      <w:sz w:val="20"/>
      <w:szCs w:val="20"/>
      <w:lang w:val="lt-LT"/>
    </w:rPr>
  </w:style>
  <w:style w:type="character" w:styleId="Dokumentoinaosnumeris">
    <w:name w:val="endnote reference"/>
    <w:basedOn w:val="Numatytasispastraiposriftas"/>
    <w:uiPriority w:val="99"/>
    <w:semiHidden/>
    <w:unhideWhenUsed/>
    <w:rsid w:val="006A520B"/>
    <w:rPr>
      <w:vertAlign w:val="superscript"/>
    </w:rPr>
  </w:style>
  <w:style w:type="paragraph" w:customStyle="1" w:styleId="Heading51">
    <w:name w:val="Heading 51"/>
    <w:basedOn w:val="prastasis"/>
    <w:next w:val="Pagrindinistekstas"/>
    <w:uiPriority w:val="9"/>
    <w:unhideWhenUsed/>
    <w:rsid w:val="005A0219"/>
    <w:pPr>
      <w:keepNext/>
      <w:spacing w:after="160" w:line="0" w:lineRule="atLeast"/>
      <w:ind w:left="3600" w:hanging="360"/>
      <w:outlineLvl w:val="4"/>
    </w:pPr>
    <w:rPr>
      <w:rFonts w:ascii="Georgia" w:eastAsia="Times New Roman" w:hAnsi="Georgia" w:cs="Arial Unicode MS"/>
      <w:i/>
      <w:color w:val="821A1A"/>
      <w:sz w:val="24"/>
      <w:szCs w:val="20"/>
    </w:rPr>
  </w:style>
  <w:style w:type="paragraph" w:customStyle="1" w:styleId="Heading61">
    <w:name w:val="Heading 61"/>
    <w:basedOn w:val="prastasis"/>
    <w:next w:val="prastasis"/>
    <w:uiPriority w:val="9"/>
    <w:semiHidden/>
    <w:unhideWhenUsed/>
    <w:rsid w:val="005A0219"/>
    <w:pPr>
      <w:keepNext/>
      <w:spacing w:after="160" w:line="0" w:lineRule="atLeast"/>
      <w:outlineLvl w:val="5"/>
    </w:pPr>
    <w:rPr>
      <w:rFonts w:ascii="Georgia" w:eastAsia="Times New Roman" w:hAnsi="Georgia" w:cs="Arial Unicode MS"/>
      <w:color w:val="821A1A"/>
      <w:sz w:val="24"/>
      <w:szCs w:val="20"/>
    </w:rPr>
  </w:style>
  <w:style w:type="paragraph" w:customStyle="1" w:styleId="Heading71">
    <w:name w:val="Heading 71"/>
    <w:basedOn w:val="prastasis"/>
    <w:next w:val="prastasis"/>
    <w:uiPriority w:val="9"/>
    <w:semiHidden/>
    <w:unhideWhenUsed/>
    <w:rsid w:val="005A0219"/>
    <w:pPr>
      <w:keepNext/>
      <w:spacing w:before="40" w:after="0" w:line="240" w:lineRule="auto"/>
      <w:outlineLvl w:val="6"/>
    </w:pPr>
    <w:rPr>
      <w:rFonts w:ascii="Georgia" w:eastAsia="Times New Roman" w:hAnsi="Georgia" w:cs="Arial Unicode MS"/>
      <w:i/>
      <w:iCs/>
      <w:color w:val="400D0D"/>
      <w:sz w:val="20"/>
      <w:szCs w:val="20"/>
    </w:rPr>
  </w:style>
  <w:style w:type="paragraph" w:customStyle="1" w:styleId="Heading81">
    <w:name w:val="Heading 81"/>
    <w:basedOn w:val="prastasis"/>
    <w:next w:val="Pagrindinistekstas"/>
    <w:uiPriority w:val="9"/>
    <w:semiHidden/>
    <w:unhideWhenUsed/>
    <w:rsid w:val="005A0219"/>
    <w:pPr>
      <w:keepNext/>
      <w:spacing w:after="240" w:line="240" w:lineRule="auto"/>
      <w:outlineLvl w:val="7"/>
    </w:pPr>
    <w:rPr>
      <w:rFonts w:ascii="Georgia" w:eastAsia="Times New Roman" w:hAnsi="Georgia" w:cs="Arial Unicode MS"/>
      <w:color w:val="272727"/>
      <w:sz w:val="21"/>
      <w:szCs w:val="21"/>
    </w:rPr>
  </w:style>
  <w:style w:type="paragraph" w:customStyle="1" w:styleId="Heading91">
    <w:name w:val="Heading 91"/>
    <w:basedOn w:val="prastasis"/>
    <w:next w:val="Pagrindinistekstas"/>
    <w:uiPriority w:val="9"/>
    <w:semiHidden/>
    <w:unhideWhenUsed/>
    <w:rsid w:val="005A0219"/>
    <w:pPr>
      <w:keepNext/>
      <w:spacing w:after="240" w:line="240" w:lineRule="auto"/>
      <w:outlineLvl w:val="8"/>
    </w:pPr>
    <w:rPr>
      <w:rFonts w:ascii="Georgia" w:eastAsia="Times New Roman" w:hAnsi="Georgia" w:cs="Arial Unicode MS"/>
      <w:i/>
      <w:iCs/>
      <w:color w:val="272727"/>
      <w:sz w:val="20"/>
      <w:szCs w:val="21"/>
    </w:rPr>
  </w:style>
  <w:style w:type="numbering" w:customStyle="1" w:styleId="NoList1">
    <w:name w:val="No List1"/>
    <w:next w:val="Sraonra"/>
    <w:uiPriority w:val="99"/>
    <w:semiHidden/>
    <w:unhideWhenUsed/>
    <w:rsid w:val="005A0219"/>
  </w:style>
  <w:style w:type="paragraph" w:customStyle="1" w:styleId="Address">
    <w:name w:val="Address"/>
    <w:basedOn w:val="prastasis"/>
    <w:link w:val="AddressChar"/>
    <w:qFormat/>
    <w:rsid w:val="005A0219"/>
    <w:pPr>
      <w:spacing w:after="0" w:line="200" w:lineRule="atLeast"/>
    </w:pPr>
    <w:rPr>
      <w:i/>
      <w:sz w:val="18"/>
      <w:szCs w:val="20"/>
    </w:rPr>
  </w:style>
  <w:style w:type="character" w:customStyle="1" w:styleId="Antrat5Diagrama">
    <w:name w:val="Antraštė 5 Diagrama"/>
    <w:basedOn w:val="Numatytasispastraiposriftas"/>
    <w:link w:val="Antrat5"/>
    <w:uiPriority w:val="9"/>
    <w:rsid w:val="005A0219"/>
    <w:rPr>
      <w:rFonts w:ascii="Georgia" w:eastAsia="Times New Roman" w:hAnsi="Georgia" w:cs="Arial Unicode MS"/>
      <w:i/>
      <w:color w:val="821A1A"/>
      <w:sz w:val="24"/>
    </w:rPr>
  </w:style>
  <w:style w:type="character" w:customStyle="1" w:styleId="Antrat6Diagrama">
    <w:name w:val="Antraštė 6 Diagrama"/>
    <w:basedOn w:val="Numatytasispastraiposriftas"/>
    <w:link w:val="Antrat6"/>
    <w:uiPriority w:val="9"/>
    <w:semiHidden/>
    <w:rsid w:val="005A0219"/>
    <w:rPr>
      <w:rFonts w:ascii="Georgia" w:eastAsia="Times New Roman" w:hAnsi="Georgia" w:cs="Arial Unicode MS"/>
      <w:color w:val="821A1A"/>
      <w:sz w:val="24"/>
    </w:rPr>
  </w:style>
  <w:style w:type="character" w:customStyle="1" w:styleId="Antrat7Diagrama">
    <w:name w:val="Antraštė 7 Diagrama"/>
    <w:basedOn w:val="Numatytasispastraiposriftas"/>
    <w:link w:val="Antrat7"/>
    <w:uiPriority w:val="9"/>
    <w:semiHidden/>
    <w:rsid w:val="005A0219"/>
    <w:rPr>
      <w:rFonts w:ascii="Georgia" w:eastAsia="Times New Roman" w:hAnsi="Georgia" w:cs="Arial Unicode MS"/>
      <w:i/>
      <w:iCs/>
      <w:color w:val="400D0D"/>
    </w:rPr>
  </w:style>
  <w:style w:type="character" w:customStyle="1" w:styleId="Antrat8Diagrama">
    <w:name w:val="Antraštė 8 Diagrama"/>
    <w:basedOn w:val="Numatytasispastraiposriftas"/>
    <w:link w:val="Antrat8"/>
    <w:uiPriority w:val="9"/>
    <w:semiHidden/>
    <w:rsid w:val="005A0219"/>
    <w:rPr>
      <w:rFonts w:ascii="Georgia" w:eastAsia="Times New Roman" w:hAnsi="Georgia" w:cs="Arial Unicode MS"/>
      <w:color w:val="272727"/>
      <w:sz w:val="21"/>
      <w:szCs w:val="21"/>
    </w:rPr>
  </w:style>
  <w:style w:type="character" w:customStyle="1" w:styleId="Antrat9Diagrama">
    <w:name w:val="Antraštė 9 Diagrama"/>
    <w:basedOn w:val="Numatytasispastraiposriftas"/>
    <w:link w:val="Antrat9"/>
    <w:uiPriority w:val="9"/>
    <w:semiHidden/>
    <w:rsid w:val="005A0219"/>
    <w:rPr>
      <w:rFonts w:ascii="Georgia" w:eastAsia="Times New Roman" w:hAnsi="Georgia" w:cs="Arial Unicode MS"/>
      <w:i/>
      <w:iCs/>
      <w:color w:val="272727"/>
      <w:szCs w:val="21"/>
    </w:rPr>
  </w:style>
  <w:style w:type="paragraph" w:customStyle="1" w:styleId="BlockText1">
    <w:name w:val="Block Text1"/>
    <w:basedOn w:val="Pagrindinistekstas"/>
    <w:next w:val="Tekstoblokas"/>
    <w:uiPriority w:val="99"/>
    <w:unhideWhenUsed/>
    <w:rsid w:val="005A0219"/>
    <w:pPr>
      <w:pBdr>
        <w:top w:val="single" w:sz="2" w:space="10" w:color="821A1A" w:shadow="1"/>
        <w:left w:val="single" w:sz="2" w:space="10" w:color="821A1A" w:shadow="1"/>
        <w:bottom w:val="single" w:sz="2" w:space="10" w:color="821A1A" w:shadow="1"/>
        <w:right w:val="single" w:sz="2" w:space="10" w:color="821A1A" w:shadow="1"/>
      </w:pBdr>
      <w:spacing w:after="160" w:line="240" w:lineRule="auto"/>
      <w:ind w:left="230" w:right="230"/>
    </w:pPr>
    <w:rPr>
      <w:rFonts w:eastAsia="Times New Roman" w:cs="Arial Unicode MS"/>
      <w:i/>
      <w:iCs/>
      <w:color w:val="821A1A"/>
      <w:sz w:val="22"/>
      <w:lang w:val="en-US"/>
    </w:rPr>
  </w:style>
  <w:style w:type="paragraph" w:customStyle="1" w:styleId="BlockText2">
    <w:name w:val="Block Text 2"/>
    <w:basedOn w:val="Tekstoblokas"/>
    <w:rsid w:val="005A0219"/>
    <w:pPr>
      <w:pBdr>
        <w:top w:val="single" w:sz="8" w:space="10" w:color="F2F2F2"/>
        <w:left w:val="single" w:sz="8" w:space="10" w:color="F2F2F2"/>
        <w:bottom w:val="single" w:sz="8" w:space="10" w:color="F2F2F2"/>
        <w:right w:val="single" w:sz="8" w:space="10" w:color="F2F2F2"/>
      </w:pBdr>
      <w:shd w:val="clear" w:color="auto" w:fill="D9D9D9"/>
      <w:spacing w:after="160" w:line="240" w:lineRule="auto"/>
      <w:ind w:left="230" w:right="230"/>
    </w:pPr>
    <w:rPr>
      <w:szCs w:val="20"/>
    </w:rPr>
  </w:style>
  <w:style w:type="paragraph" w:customStyle="1" w:styleId="Callout">
    <w:name w:val="Callout"/>
    <w:basedOn w:val="Pagrindinistekstas"/>
    <w:next w:val="Pagrindinistekstas"/>
    <w:rsid w:val="005A0219"/>
    <w:pPr>
      <w:framePr w:w="2102" w:hSpace="230" w:wrap="around" w:vAnchor="text" w:hAnchor="page" w:x="1023" w:y="203"/>
      <w:spacing w:after="160" w:line="240" w:lineRule="auto"/>
    </w:pPr>
    <w:rPr>
      <w:rFonts w:eastAsia="Georgia" w:cs="Arial Unicode MS"/>
      <w:i/>
      <w:color w:val="821A1A"/>
      <w:sz w:val="16"/>
      <w:lang w:val="en-US"/>
    </w:rPr>
  </w:style>
  <w:style w:type="paragraph" w:styleId="Data">
    <w:name w:val="Date"/>
    <w:basedOn w:val="prastasis"/>
    <w:next w:val="Pagrindinistekstas"/>
    <w:link w:val="DataDiagrama"/>
    <w:uiPriority w:val="99"/>
    <w:unhideWhenUsed/>
    <w:rsid w:val="005A0219"/>
    <w:pPr>
      <w:spacing w:after="160"/>
      <w:ind w:left="2376"/>
    </w:pPr>
    <w:rPr>
      <w:sz w:val="28"/>
      <w:szCs w:val="20"/>
    </w:rPr>
  </w:style>
  <w:style w:type="character" w:customStyle="1" w:styleId="DataDiagrama">
    <w:name w:val="Data Diagrama"/>
    <w:basedOn w:val="Numatytasispastraiposriftas"/>
    <w:link w:val="Data"/>
    <w:uiPriority w:val="99"/>
    <w:rsid w:val="005A0219"/>
    <w:rPr>
      <w:sz w:val="28"/>
      <w:szCs w:val="20"/>
    </w:rPr>
  </w:style>
  <w:style w:type="paragraph" w:customStyle="1" w:styleId="Disclaimer">
    <w:name w:val="Disclaimer"/>
    <w:basedOn w:val="Pagrindinistekstas"/>
    <w:link w:val="DisclaimerChar"/>
    <w:qFormat/>
    <w:rsid w:val="005A0219"/>
    <w:pPr>
      <w:spacing w:after="0" w:line="140" w:lineRule="atLeast"/>
    </w:pPr>
    <w:rPr>
      <w:rFonts w:eastAsia="Georgia" w:cs="Arial Unicode MS"/>
      <w:sz w:val="16"/>
      <w:lang w:val="en-US"/>
    </w:rPr>
  </w:style>
  <w:style w:type="paragraph" w:customStyle="1" w:styleId="DividerHeader">
    <w:name w:val="Divider Header"/>
    <w:rsid w:val="005A0219"/>
    <w:pPr>
      <w:spacing w:after="240" w:line="240" w:lineRule="atLeast"/>
    </w:pPr>
    <w:rPr>
      <w:rFonts w:ascii="Georgia" w:hAnsi="Georgia"/>
      <w:i/>
      <w:color w:val="000000"/>
      <w:sz w:val="64"/>
      <w:szCs w:val="20"/>
    </w:rPr>
  </w:style>
  <w:style w:type="paragraph" w:customStyle="1" w:styleId="ExhibitHeading1">
    <w:name w:val="Exhibit Heading 1"/>
    <w:basedOn w:val="Pagrindinistekstas"/>
    <w:next w:val="Pagrindinistekstas"/>
    <w:rsid w:val="005A0219"/>
    <w:pPr>
      <w:keepNext/>
      <w:pageBreakBefore/>
      <w:numPr>
        <w:numId w:val="64"/>
      </w:numPr>
      <w:spacing w:after="480" w:line="0" w:lineRule="atLeast"/>
      <w:outlineLvl w:val="0"/>
    </w:pPr>
    <w:rPr>
      <w:rFonts w:eastAsia="Georgia" w:cs="Arial Unicode MS"/>
      <w:b/>
      <w:i/>
      <w:sz w:val="48"/>
      <w:lang w:val="en-US"/>
    </w:rPr>
  </w:style>
  <w:style w:type="paragraph" w:customStyle="1" w:styleId="ExhibitHeading2">
    <w:name w:val="Exhibit Heading 2"/>
    <w:basedOn w:val="ExhibitHeading1"/>
    <w:next w:val="Pagrindinistekstas"/>
    <w:rsid w:val="005A0219"/>
    <w:pPr>
      <w:pageBreakBefore w:val="0"/>
      <w:numPr>
        <w:ilvl w:val="1"/>
      </w:numPr>
      <w:spacing w:after="160"/>
      <w:outlineLvl w:val="1"/>
    </w:pPr>
    <w:rPr>
      <w:color w:val="821A1A"/>
      <w:sz w:val="32"/>
    </w:rPr>
  </w:style>
  <w:style w:type="paragraph" w:customStyle="1" w:styleId="ExhibitHeading3">
    <w:name w:val="Exhibit Heading 3"/>
    <w:basedOn w:val="ExhibitHeading2"/>
    <w:next w:val="Pagrindinistekstas"/>
    <w:rsid w:val="005A0219"/>
    <w:pPr>
      <w:numPr>
        <w:ilvl w:val="2"/>
      </w:numPr>
      <w:outlineLvl w:val="2"/>
    </w:pPr>
    <w:rPr>
      <w:sz w:val="28"/>
    </w:rPr>
  </w:style>
  <w:style w:type="paragraph" w:customStyle="1" w:styleId="ExhibitHeading4">
    <w:name w:val="Exhibit Heading 4"/>
    <w:basedOn w:val="ExhibitHeading3"/>
    <w:next w:val="Pagrindinistekstas"/>
    <w:rsid w:val="005A0219"/>
    <w:pPr>
      <w:numPr>
        <w:ilvl w:val="3"/>
      </w:numPr>
      <w:outlineLvl w:val="3"/>
    </w:pPr>
    <w:rPr>
      <w:b w:val="0"/>
    </w:rPr>
  </w:style>
  <w:style w:type="paragraph" w:customStyle="1" w:styleId="ExhibitHeading5">
    <w:name w:val="Exhibit Heading 5"/>
    <w:basedOn w:val="ExhibitHeading4"/>
    <w:next w:val="Pagrindinistekstas"/>
    <w:rsid w:val="005A0219"/>
    <w:pPr>
      <w:numPr>
        <w:ilvl w:val="4"/>
      </w:numPr>
      <w:ind w:left="1800" w:hanging="1440"/>
      <w:outlineLvl w:val="4"/>
    </w:pPr>
    <w:rPr>
      <w:sz w:val="24"/>
    </w:rPr>
  </w:style>
  <w:style w:type="paragraph" w:customStyle="1" w:styleId="Guidance">
    <w:name w:val="Guidance"/>
    <w:basedOn w:val="prastasis"/>
    <w:link w:val="GuidanceChar"/>
    <w:uiPriority w:val="99"/>
    <w:qFormat/>
    <w:rsid w:val="005A0219"/>
    <w:pPr>
      <w:spacing w:after="100" w:afterAutospacing="1"/>
    </w:pPr>
    <w:rPr>
      <w:rFonts w:ascii="Arial" w:hAnsi="Arial"/>
      <w:color w:val="00A5FF"/>
      <w:sz w:val="16"/>
      <w:szCs w:val="20"/>
    </w:rPr>
  </w:style>
  <w:style w:type="character" w:customStyle="1" w:styleId="HTMLAcronym1">
    <w:name w:val="HTML Acronym1"/>
    <w:basedOn w:val="Numatytasispastraiposriftas"/>
    <w:uiPriority w:val="99"/>
    <w:semiHidden/>
    <w:unhideWhenUsed/>
    <w:rsid w:val="005A0219"/>
    <w:rPr>
      <w:color w:val="000000"/>
    </w:rPr>
  </w:style>
  <w:style w:type="paragraph" w:styleId="Indeksas1">
    <w:name w:val="index 1"/>
    <w:basedOn w:val="prastasis"/>
    <w:next w:val="prastasis"/>
    <w:autoRedefine/>
    <w:uiPriority w:val="99"/>
    <w:unhideWhenUsed/>
    <w:rsid w:val="005A0219"/>
    <w:pPr>
      <w:spacing w:after="120" w:line="240" w:lineRule="auto"/>
      <w:ind w:left="202" w:hanging="202"/>
    </w:pPr>
    <w:rPr>
      <w:sz w:val="20"/>
      <w:szCs w:val="20"/>
    </w:rPr>
  </w:style>
  <w:style w:type="paragraph" w:styleId="Indeksas2">
    <w:name w:val="index 2"/>
    <w:basedOn w:val="prastasis"/>
    <w:next w:val="prastasis"/>
    <w:autoRedefine/>
    <w:uiPriority w:val="99"/>
    <w:unhideWhenUsed/>
    <w:rsid w:val="005A0219"/>
    <w:pPr>
      <w:spacing w:after="120" w:line="240" w:lineRule="auto"/>
      <w:ind w:left="404" w:hanging="202"/>
    </w:pPr>
    <w:rPr>
      <w:sz w:val="20"/>
      <w:szCs w:val="20"/>
    </w:rPr>
  </w:style>
  <w:style w:type="paragraph" w:styleId="Indeksas3">
    <w:name w:val="index 3"/>
    <w:basedOn w:val="prastasis"/>
    <w:next w:val="prastasis"/>
    <w:autoRedefine/>
    <w:uiPriority w:val="99"/>
    <w:unhideWhenUsed/>
    <w:rsid w:val="005A0219"/>
    <w:pPr>
      <w:spacing w:after="120" w:line="240" w:lineRule="auto"/>
      <w:ind w:left="605" w:hanging="202"/>
    </w:pPr>
    <w:rPr>
      <w:sz w:val="20"/>
      <w:szCs w:val="20"/>
    </w:rPr>
  </w:style>
  <w:style w:type="paragraph" w:styleId="Indeksas4">
    <w:name w:val="index 4"/>
    <w:basedOn w:val="prastasis"/>
    <w:next w:val="prastasis"/>
    <w:autoRedefine/>
    <w:uiPriority w:val="99"/>
    <w:unhideWhenUsed/>
    <w:rsid w:val="005A0219"/>
    <w:pPr>
      <w:spacing w:after="0" w:line="240" w:lineRule="auto"/>
      <w:ind w:left="800" w:hanging="200"/>
    </w:pPr>
    <w:rPr>
      <w:sz w:val="20"/>
      <w:szCs w:val="20"/>
    </w:rPr>
  </w:style>
  <w:style w:type="paragraph" w:styleId="Indeksas5">
    <w:name w:val="index 5"/>
    <w:basedOn w:val="prastasis"/>
    <w:next w:val="prastasis"/>
    <w:autoRedefine/>
    <w:uiPriority w:val="99"/>
    <w:unhideWhenUsed/>
    <w:rsid w:val="005A0219"/>
    <w:pPr>
      <w:spacing w:after="120" w:line="240" w:lineRule="auto"/>
      <w:ind w:left="1008" w:hanging="202"/>
    </w:pPr>
    <w:rPr>
      <w:sz w:val="20"/>
      <w:szCs w:val="20"/>
    </w:rPr>
  </w:style>
  <w:style w:type="paragraph" w:styleId="Indeksas6">
    <w:name w:val="index 6"/>
    <w:basedOn w:val="prastasis"/>
    <w:next w:val="prastasis"/>
    <w:autoRedefine/>
    <w:uiPriority w:val="99"/>
    <w:unhideWhenUsed/>
    <w:rsid w:val="005A0219"/>
    <w:pPr>
      <w:spacing w:after="120" w:line="240" w:lineRule="auto"/>
      <w:ind w:left="1196" w:hanging="202"/>
    </w:pPr>
    <w:rPr>
      <w:sz w:val="20"/>
      <w:szCs w:val="20"/>
    </w:rPr>
  </w:style>
  <w:style w:type="paragraph" w:styleId="Indeksas7">
    <w:name w:val="index 7"/>
    <w:basedOn w:val="prastasis"/>
    <w:next w:val="prastasis"/>
    <w:autoRedefine/>
    <w:uiPriority w:val="99"/>
    <w:unhideWhenUsed/>
    <w:rsid w:val="005A0219"/>
    <w:pPr>
      <w:spacing w:after="120" w:line="240" w:lineRule="auto"/>
      <w:ind w:left="1397" w:hanging="202"/>
    </w:pPr>
    <w:rPr>
      <w:sz w:val="20"/>
      <w:szCs w:val="20"/>
    </w:rPr>
  </w:style>
  <w:style w:type="paragraph" w:styleId="Indeksas8">
    <w:name w:val="index 8"/>
    <w:basedOn w:val="prastasis"/>
    <w:next w:val="prastasis"/>
    <w:autoRedefine/>
    <w:uiPriority w:val="99"/>
    <w:unhideWhenUsed/>
    <w:rsid w:val="005A0219"/>
    <w:pPr>
      <w:spacing w:after="120" w:line="240" w:lineRule="auto"/>
      <w:ind w:left="1599" w:hanging="202"/>
    </w:pPr>
    <w:rPr>
      <w:sz w:val="20"/>
      <w:szCs w:val="20"/>
    </w:rPr>
  </w:style>
  <w:style w:type="paragraph" w:styleId="Indeksas9">
    <w:name w:val="index 9"/>
    <w:basedOn w:val="prastasis"/>
    <w:next w:val="prastasis"/>
    <w:autoRedefine/>
    <w:uiPriority w:val="99"/>
    <w:unhideWhenUsed/>
    <w:rsid w:val="005A0219"/>
    <w:pPr>
      <w:spacing w:after="120" w:line="240" w:lineRule="auto"/>
      <w:ind w:left="1800" w:hanging="202"/>
    </w:pPr>
    <w:rPr>
      <w:sz w:val="20"/>
      <w:szCs w:val="20"/>
    </w:rPr>
  </w:style>
  <w:style w:type="paragraph" w:customStyle="1" w:styleId="IndexHeading1">
    <w:name w:val="Index Heading1"/>
    <w:basedOn w:val="prastasis"/>
    <w:next w:val="Indeksas1"/>
    <w:uiPriority w:val="99"/>
    <w:unhideWhenUsed/>
    <w:rsid w:val="005A0219"/>
    <w:pPr>
      <w:spacing w:after="160" w:line="240" w:lineRule="auto"/>
    </w:pPr>
    <w:rPr>
      <w:rFonts w:ascii="Georgia" w:eastAsia="Times New Roman" w:hAnsi="Georgia" w:cs="Arial Unicode MS"/>
      <w:b/>
      <w:bCs/>
      <w:sz w:val="20"/>
      <w:szCs w:val="20"/>
    </w:rPr>
  </w:style>
  <w:style w:type="character" w:customStyle="1" w:styleId="IntenseEmphasis1">
    <w:name w:val="Intense Emphasis1"/>
    <w:basedOn w:val="Numatytasispastraiposriftas"/>
    <w:uiPriority w:val="21"/>
    <w:rsid w:val="005A0219"/>
    <w:rPr>
      <w:i/>
      <w:iCs/>
      <w:color w:val="821A1A"/>
    </w:rPr>
  </w:style>
  <w:style w:type="paragraph" w:customStyle="1" w:styleId="HeadingText">
    <w:name w:val="Heading Text"/>
    <w:basedOn w:val="Pagrindinistekstas"/>
    <w:next w:val="Pagrindinistekstas"/>
    <w:qFormat/>
    <w:rsid w:val="005A0219"/>
    <w:pPr>
      <w:spacing w:after="80" w:line="240" w:lineRule="auto"/>
    </w:pPr>
    <w:rPr>
      <w:rFonts w:eastAsia="Georgia" w:cs="Arial Unicode MS"/>
      <w:b/>
      <w:color w:val="821A1A"/>
      <w:lang w:val="en-US"/>
    </w:rPr>
  </w:style>
  <w:style w:type="character" w:customStyle="1" w:styleId="IntenseReference1">
    <w:name w:val="Intense Reference1"/>
    <w:basedOn w:val="Numatytasispastraiposriftas"/>
    <w:uiPriority w:val="32"/>
    <w:rsid w:val="005A0219"/>
    <w:rPr>
      <w:b/>
      <w:bCs/>
      <w:smallCaps/>
      <w:color w:val="821A1A"/>
      <w:spacing w:val="5"/>
    </w:rPr>
  </w:style>
  <w:style w:type="paragraph" w:customStyle="1" w:styleId="IntenseQuote1">
    <w:name w:val="Intense Quote1"/>
    <w:basedOn w:val="prastasis"/>
    <w:next w:val="prastasis"/>
    <w:uiPriority w:val="30"/>
    <w:rsid w:val="005A0219"/>
    <w:pPr>
      <w:pBdr>
        <w:bottom w:val="single" w:sz="4" w:space="10" w:color="821A1A"/>
      </w:pBdr>
      <w:spacing w:before="200" w:after="280"/>
      <w:ind w:left="936" w:right="936"/>
    </w:pPr>
    <w:rPr>
      <w:b/>
      <w:i/>
      <w:iCs/>
      <w:color w:val="821A1A"/>
      <w:sz w:val="20"/>
      <w:szCs w:val="20"/>
    </w:rPr>
  </w:style>
  <w:style w:type="character" w:customStyle="1" w:styleId="IskirtacitataDiagrama">
    <w:name w:val="Išskirta citata Diagrama"/>
    <w:basedOn w:val="Numatytasispastraiposriftas"/>
    <w:link w:val="Iskirtacitata"/>
    <w:uiPriority w:val="30"/>
    <w:rsid w:val="005A0219"/>
    <w:rPr>
      <w:b/>
      <w:i/>
      <w:iCs/>
      <w:color w:val="821A1A"/>
    </w:rPr>
  </w:style>
  <w:style w:type="character" w:styleId="Eilutsnumeris">
    <w:name w:val="line number"/>
    <w:basedOn w:val="Numatytasispastraiposriftas"/>
    <w:uiPriority w:val="99"/>
    <w:unhideWhenUsed/>
    <w:rsid w:val="005A0219"/>
  </w:style>
  <w:style w:type="paragraph" w:styleId="Sraas">
    <w:name w:val="List"/>
    <w:basedOn w:val="prastasis"/>
    <w:uiPriority w:val="99"/>
    <w:unhideWhenUsed/>
    <w:rsid w:val="005A0219"/>
    <w:pPr>
      <w:spacing w:after="120" w:line="240" w:lineRule="auto"/>
      <w:ind w:left="346"/>
    </w:pPr>
    <w:rPr>
      <w:sz w:val="20"/>
      <w:szCs w:val="20"/>
    </w:rPr>
  </w:style>
  <w:style w:type="paragraph" w:styleId="Sraas2">
    <w:name w:val="List 2"/>
    <w:basedOn w:val="Sraas"/>
    <w:uiPriority w:val="99"/>
    <w:unhideWhenUsed/>
    <w:rsid w:val="005A0219"/>
    <w:pPr>
      <w:ind w:left="691"/>
    </w:pPr>
  </w:style>
  <w:style w:type="paragraph" w:styleId="Sraas4">
    <w:name w:val="List 4"/>
    <w:basedOn w:val="Sraas3"/>
    <w:uiPriority w:val="99"/>
    <w:unhideWhenUsed/>
    <w:rsid w:val="005A0219"/>
    <w:pPr>
      <w:ind w:left="1382" w:firstLine="0"/>
    </w:pPr>
  </w:style>
  <w:style w:type="paragraph" w:styleId="Sraas3">
    <w:name w:val="List 3"/>
    <w:basedOn w:val="Sraas2"/>
    <w:uiPriority w:val="99"/>
    <w:unhideWhenUsed/>
    <w:rsid w:val="005A0219"/>
    <w:pPr>
      <w:ind w:left="2232" w:hanging="1195"/>
    </w:pPr>
  </w:style>
  <w:style w:type="paragraph" w:styleId="Sraas5">
    <w:name w:val="List 5"/>
    <w:basedOn w:val="prastasis"/>
    <w:uiPriority w:val="99"/>
    <w:unhideWhenUsed/>
    <w:rsid w:val="005A0219"/>
    <w:pPr>
      <w:spacing w:after="120" w:line="240" w:lineRule="auto"/>
      <w:ind w:left="1728"/>
    </w:pPr>
    <w:rPr>
      <w:sz w:val="20"/>
      <w:szCs w:val="20"/>
    </w:rPr>
  </w:style>
  <w:style w:type="paragraph" w:customStyle="1" w:styleId="ListAlpha">
    <w:name w:val="List Alpha"/>
    <w:basedOn w:val="prastasis"/>
    <w:qFormat/>
    <w:rsid w:val="005A0219"/>
    <w:pPr>
      <w:numPr>
        <w:numId w:val="65"/>
      </w:numPr>
      <w:spacing w:after="120" w:line="240" w:lineRule="auto"/>
    </w:pPr>
    <w:rPr>
      <w:sz w:val="20"/>
      <w:szCs w:val="20"/>
    </w:rPr>
  </w:style>
  <w:style w:type="paragraph" w:customStyle="1" w:styleId="ListAlpha2">
    <w:name w:val="List Alpha 2"/>
    <w:basedOn w:val="ListAlpha"/>
    <w:qFormat/>
    <w:rsid w:val="005A0219"/>
    <w:pPr>
      <w:numPr>
        <w:ilvl w:val="1"/>
      </w:numPr>
      <w:tabs>
        <w:tab w:val="clear" w:pos="691"/>
      </w:tabs>
      <w:ind w:left="1440" w:hanging="360"/>
    </w:pPr>
  </w:style>
  <w:style w:type="paragraph" w:customStyle="1" w:styleId="ListAlpha3">
    <w:name w:val="List Alpha 3"/>
    <w:basedOn w:val="ListAlpha"/>
    <w:qFormat/>
    <w:rsid w:val="005A0219"/>
    <w:pPr>
      <w:numPr>
        <w:ilvl w:val="2"/>
      </w:numPr>
    </w:pPr>
  </w:style>
  <w:style w:type="paragraph" w:customStyle="1" w:styleId="ListAlpha4">
    <w:name w:val="List Alpha 4"/>
    <w:basedOn w:val="ListAlpha3"/>
    <w:qFormat/>
    <w:rsid w:val="005A0219"/>
    <w:pPr>
      <w:numPr>
        <w:ilvl w:val="3"/>
      </w:numPr>
      <w:tabs>
        <w:tab w:val="clear" w:pos="1382"/>
        <w:tab w:val="num" w:pos="1037"/>
      </w:tabs>
      <w:ind w:left="1037" w:hanging="346"/>
    </w:pPr>
  </w:style>
  <w:style w:type="paragraph" w:customStyle="1" w:styleId="ListAlpha5">
    <w:name w:val="List Alpha 5"/>
    <w:basedOn w:val="ListAlpha4"/>
    <w:rsid w:val="005A0219"/>
    <w:pPr>
      <w:numPr>
        <w:ilvl w:val="4"/>
      </w:numPr>
      <w:tabs>
        <w:tab w:val="clear" w:pos="1728"/>
        <w:tab w:val="num" w:pos="1037"/>
      </w:tabs>
      <w:ind w:left="1037"/>
    </w:pPr>
  </w:style>
  <w:style w:type="paragraph" w:styleId="Sraassuenkleliais">
    <w:name w:val="List Bullet"/>
    <w:basedOn w:val="prastasis"/>
    <w:uiPriority w:val="99"/>
    <w:unhideWhenUsed/>
    <w:qFormat/>
    <w:rsid w:val="005A0219"/>
    <w:pPr>
      <w:numPr>
        <w:numId w:val="66"/>
      </w:numPr>
      <w:tabs>
        <w:tab w:val="clear" w:pos="346"/>
      </w:tabs>
      <w:spacing w:after="120" w:line="240" w:lineRule="auto"/>
      <w:ind w:left="720" w:hanging="360"/>
    </w:pPr>
    <w:rPr>
      <w:sz w:val="20"/>
      <w:szCs w:val="20"/>
    </w:rPr>
  </w:style>
  <w:style w:type="paragraph" w:styleId="Sraassuenkleliais2">
    <w:name w:val="List Bullet 2"/>
    <w:basedOn w:val="prastasis"/>
    <w:uiPriority w:val="99"/>
    <w:unhideWhenUsed/>
    <w:qFormat/>
    <w:rsid w:val="005A0219"/>
    <w:pPr>
      <w:numPr>
        <w:ilvl w:val="1"/>
        <w:numId w:val="66"/>
      </w:numPr>
      <w:tabs>
        <w:tab w:val="clear" w:pos="691"/>
      </w:tabs>
      <w:spacing w:after="120" w:line="240" w:lineRule="auto"/>
      <w:ind w:left="1440" w:hanging="360"/>
    </w:pPr>
    <w:rPr>
      <w:sz w:val="20"/>
      <w:szCs w:val="20"/>
    </w:rPr>
  </w:style>
  <w:style w:type="paragraph" w:styleId="Sraassuenkleliais3">
    <w:name w:val="List Bullet 3"/>
    <w:basedOn w:val="prastasis"/>
    <w:uiPriority w:val="99"/>
    <w:unhideWhenUsed/>
    <w:qFormat/>
    <w:rsid w:val="005A0219"/>
    <w:pPr>
      <w:numPr>
        <w:ilvl w:val="2"/>
        <w:numId w:val="66"/>
      </w:numPr>
      <w:tabs>
        <w:tab w:val="clear" w:pos="1037"/>
      </w:tabs>
      <w:spacing w:after="120" w:line="240" w:lineRule="auto"/>
      <w:ind w:left="2160" w:hanging="360"/>
    </w:pPr>
    <w:rPr>
      <w:sz w:val="20"/>
      <w:szCs w:val="20"/>
    </w:rPr>
  </w:style>
  <w:style w:type="paragraph" w:styleId="Sraassuenkleliais4">
    <w:name w:val="List Bullet 4"/>
    <w:basedOn w:val="prastasis"/>
    <w:uiPriority w:val="99"/>
    <w:unhideWhenUsed/>
    <w:qFormat/>
    <w:rsid w:val="005A0219"/>
    <w:pPr>
      <w:numPr>
        <w:ilvl w:val="3"/>
        <w:numId w:val="66"/>
      </w:numPr>
      <w:tabs>
        <w:tab w:val="clear" w:pos="1382"/>
      </w:tabs>
      <w:spacing w:after="120" w:line="240" w:lineRule="auto"/>
      <w:ind w:left="2880" w:hanging="360"/>
    </w:pPr>
    <w:rPr>
      <w:sz w:val="20"/>
      <w:szCs w:val="20"/>
    </w:rPr>
  </w:style>
  <w:style w:type="paragraph" w:styleId="Sraassuenkleliais5">
    <w:name w:val="List Bullet 5"/>
    <w:basedOn w:val="prastasis"/>
    <w:uiPriority w:val="99"/>
    <w:unhideWhenUsed/>
    <w:rsid w:val="005A0219"/>
    <w:pPr>
      <w:numPr>
        <w:ilvl w:val="4"/>
        <w:numId w:val="66"/>
      </w:numPr>
      <w:spacing w:after="120" w:line="240" w:lineRule="auto"/>
    </w:pPr>
    <w:rPr>
      <w:sz w:val="20"/>
      <w:szCs w:val="20"/>
    </w:rPr>
  </w:style>
  <w:style w:type="paragraph" w:customStyle="1" w:styleId="ListBullet6">
    <w:name w:val="List Bullet 6"/>
    <w:basedOn w:val="Sraassuenkleliais5"/>
    <w:rsid w:val="005A0219"/>
    <w:pPr>
      <w:numPr>
        <w:ilvl w:val="5"/>
      </w:numPr>
    </w:pPr>
  </w:style>
  <w:style w:type="paragraph" w:customStyle="1" w:styleId="ListBullet7">
    <w:name w:val="List Bullet 7"/>
    <w:basedOn w:val="ListBullet6"/>
    <w:rsid w:val="005A0219"/>
    <w:pPr>
      <w:numPr>
        <w:ilvl w:val="6"/>
      </w:numPr>
      <w:tabs>
        <w:tab w:val="clear" w:pos="2419"/>
        <w:tab w:val="num" w:pos="2074"/>
      </w:tabs>
      <w:ind w:left="2074" w:hanging="346"/>
    </w:pPr>
  </w:style>
  <w:style w:type="paragraph" w:customStyle="1" w:styleId="ListBullet8">
    <w:name w:val="List Bullet 8"/>
    <w:basedOn w:val="ListBullet7"/>
    <w:rsid w:val="005A0219"/>
    <w:pPr>
      <w:numPr>
        <w:ilvl w:val="7"/>
      </w:numPr>
      <w:tabs>
        <w:tab w:val="clear" w:pos="2765"/>
        <w:tab w:val="num" w:pos="2074"/>
      </w:tabs>
      <w:ind w:left="2074"/>
    </w:pPr>
  </w:style>
  <w:style w:type="paragraph" w:customStyle="1" w:styleId="ListBullet9">
    <w:name w:val="List Bullet 9"/>
    <w:basedOn w:val="ListBullet8"/>
    <w:rsid w:val="005A0219"/>
    <w:pPr>
      <w:numPr>
        <w:ilvl w:val="8"/>
      </w:numPr>
      <w:tabs>
        <w:tab w:val="clear" w:pos="3110"/>
        <w:tab w:val="num" w:pos="2074"/>
      </w:tabs>
      <w:ind w:left="2074" w:hanging="346"/>
    </w:pPr>
  </w:style>
  <w:style w:type="paragraph" w:styleId="Sraassunumeriais">
    <w:name w:val="List Number"/>
    <w:basedOn w:val="prastasis"/>
    <w:uiPriority w:val="99"/>
    <w:unhideWhenUsed/>
    <w:qFormat/>
    <w:rsid w:val="005A0219"/>
    <w:pPr>
      <w:numPr>
        <w:numId w:val="67"/>
      </w:numPr>
      <w:spacing w:after="120" w:line="240" w:lineRule="auto"/>
    </w:pPr>
    <w:rPr>
      <w:sz w:val="20"/>
      <w:szCs w:val="20"/>
    </w:rPr>
  </w:style>
  <w:style w:type="paragraph" w:styleId="Sraassunumeriais2">
    <w:name w:val="List Number 2"/>
    <w:basedOn w:val="Sraassunumeriais"/>
    <w:uiPriority w:val="99"/>
    <w:unhideWhenUsed/>
    <w:qFormat/>
    <w:rsid w:val="005A0219"/>
    <w:pPr>
      <w:numPr>
        <w:ilvl w:val="1"/>
      </w:numPr>
      <w:tabs>
        <w:tab w:val="left" w:pos="792"/>
      </w:tabs>
    </w:pPr>
  </w:style>
  <w:style w:type="paragraph" w:styleId="Sraassunumeriais3">
    <w:name w:val="List Number 3"/>
    <w:basedOn w:val="Sraassunumeriais2"/>
    <w:uiPriority w:val="99"/>
    <w:unhideWhenUsed/>
    <w:qFormat/>
    <w:rsid w:val="005A0219"/>
    <w:pPr>
      <w:numPr>
        <w:ilvl w:val="2"/>
      </w:numPr>
      <w:tabs>
        <w:tab w:val="clear" w:pos="792"/>
        <w:tab w:val="left" w:pos="1195"/>
      </w:tabs>
    </w:pPr>
  </w:style>
  <w:style w:type="paragraph" w:styleId="Sraassunumeriais4">
    <w:name w:val="List Number 4"/>
    <w:basedOn w:val="Sraassunumeriais3"/>
    <w:uiPriority w:val="99"/>
    <w:unhideWhenUsed/>
    <w:qFormat/>
    <w:rsid w:val="005A0219"/>
    <w:pPr>
      <w:numPr>
        <w:ilvl w:val="3"/>
      </w:numPr>
      <w:tabs>
        <w:tab w:val="clear" w:pos="1195"/>
        <w:tab w:val="left" w:pos="1642"/>
      </w:tabs>
    </w:pPr>
  </w:style>
  <w:style w:type="paragraph" w:styleId="Sraassunumeriais5">
    <w:name w:val="List Number 5"/>
    <w:basedOn w:val="Sraassunumeriais4"/>
    <w:uiPriority w:val="99"/>
    <w:unhideWhenUsed/>
    <w:rsid w:val="005A0219"/>
    <w:pPr>
      <w:numPr>
        <w:ilvl w:val="4"/>
      </w:numPr>
      <w:tabs>
        <w:tab w:val="clear" w:pos="1642"/>
        <w:tab w:val="clear" w:pos="1728"/>
        <w:tab w:val="left" w:pos="1987"/>
      </w:tabs>
      <w:ind w:left="3600" w:hanging="360"/>
    </w:pPr>
  </w:style>
  <w:style w:type="paragraph" w:styleId="Sraotsinys">
    <w:name w:val="List Continue"/>
    <w:basedOn w:val="prastasis"/>
    <w:uiPriority w:val="99"/>
    <w:unhideWhenUsed/>
    <w:qFormat/>
    <w:rsid w:val="005A0219"/>
    <w:pPr>
      <w:spacing w:after="120" w:line="240" w:lineRule="auto"/>
      <w:ind w:left="346"/>
    </w:pPr>
    <w:rPr>
      <w:sz w:val="20"/>
      <w:szCs w:val="20"/>
    </w:rPr>
  </w:style>
  <w:style w:type="paragraph" w:styleId="Sraotsinys2">
    <w:name w:val="List Continue 2"/>
    <w:basedOn w:val="Sraotsinys"/>
    <w:uiPriority w:val="99"/>
    <w:unhideWhenUsed/>
    <w:qFormat/>
    <w:rsid w:val="005A0219"/>
    <w:pPr>
      <w:ind w:left="691"/>
    </w:pPr>
  </w:style>
  <w:style w:type="paragraph" w:styleId="Sraotsinys3">
    <w:name w:val="List Continue 3"/>
    <w:basedOn w:val="Sraassunumeriais2"/>
    <w:uiPriority w:val="99"/>
    <w:unhideWhenUsed/>
    <w:qFormat/>
    <w:rsid w:val="005A0219"/>
    <w:pPr>
      <w:numPr>
        <w:ilvl w:val="0"/>
        <w:numId w:val="0"/>
      </w:numPr>
      <w:ind w:left="1037"/>
    </w:pPr>
  </w:style>
  <w:style w:type="paragraph" w:styleId="Sraotsinys4">
    <w:name w:val="List Continue 4"/>
    <w:basedOn w:val="Sraotsinys3"/>
    <w:uiPriority w:val="99"/>
    <w:unhideWhenUsed/>
    <w:qFormat/>
    <w:rsid w:val="005A0219"/>
    <w:pPr>
      <w:ind w:left="1382"/>
    </w:pPr>
  </w:style>
  <w:style w:type="paragraph" w:styleId="Sraotsinys5">
    <w:name w:val="List Continue 5"/>
    <w:basedOn w:val="Sraotsinys4"/>
    <w:uiPriority w:val="99"/>
    <w:unhideWhenUsed/>
    <w:rsid w:val="005A0219"/>
    <w:pPr>
      <w:ind w:left="1728"/>
    </w:pPr>
  </w:style>
  <w:style w:type="paragraph" w:styleId="Makrokomandostekstas">
    <w:name w:val="macro"/>
    <w:link w:val="MakrokomandostekstasDiagrama"/>
    <w:uiPriority w:val="99"/>
    <w:unhideWhenUsed/>
    <w:rsid w:val="005A0219"/>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hAnsi="Consolas"/>
      <w:sz w:val="20"/>
      <w:szCs w:val="20"/>
    </w:rPr>
  </w:style>
  <w:style w:type="character" w:customStyle="1" w:styleId="MakrokomandostekstasDiagrama">
    <w:name w:val="Makrokomandos tekstas Diagrama"/>
    <w:basedOn w:val="Numatytasispastraiposriftas"/>
    <w:link w:val="Makrokomandostekstas"/>
    <w:uiPriority w:val="99"/>
    <w:rsid w:val="005A0219"/>
    <w:rPr>
      <w:rFonts w:ascii="Consolas" w:hAnsi="Consolas"/>
      <w:sz w:val="20"/>
      <w:szCs w:val="20"/>
    </w:rPr>
  </w:style>
  <w:style w:type="paragraph" w:customStyle="1" w:styleId="MessageHeader1">
    <w:name w:val="Message Header1"/>
    <w:basedOn w:val="prastasis"/>
    <w:next w:val="inutsantrat"/>
    <w:link w:val="MessageHeaderChar"/>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Arial Unicode MS"/>
      <w:sz w:val="24"/>
      <w:szCs w:val="24"/>
    </w:rPr>
  </w:style>
  <w:style w:type="character" w:customStyle="1" w:styleId="MessageHeaderChar">
    <w:name w:val="Message Header Char"/>
    <w:basedOn w:val="Numatytasispastraiposriftas"/>
    <w:link w:val="MessageHeader1"/>
    <w:uiPriority w:val="99"/>
    <w:semiHidden/>
    <w:rsid w:val="005A0219"/>
    <w:rPr>
      <w:rFonts w:eastAsia="Times New Roman" w:cs="Arial Unicode MS"/>
      <w:sz w:val="24"/>
      <w:szCs w:val="24"/>
      <w:shd w:val="pct20" w:color="auto" w:fill="auto"/>
    </w:rPr>
  </w:style>
  <w:style w:type="paragraph" w:customStyle="1" w:styleId="Non-numberedHeading1">
    <w:name w:val="Non-numbered Heading 1"/>
    <w:basedOn w:val="prastasis"/>
    <w:next w:val="Pagrindinistekstas"/>
    <w:qFormat/>
    <w:rsid w:val="005A0219"/>
    <w:pPr>
      <w:keepNext/>
      <w:pageBreakBefore/>
      <w:spacing w:after="480" w:line="240" w:lineRule="auto"/>
      <w:outlineLvl w:val="0"/>
    </w:pPr>
    <w:rPr>
      <w:rFonts w:ascii="Georgia" w:eastAsia="Times New Roman" w:hAnsi="Georgia" w:cs="Arial Unicode MS"/>
      <w:b/>
      <w:i/>
      <w:color w:val="000000"/>
      <w:sz w:val="48"/>
      <w:szCs w:val="32"/>
    </w:rPr>
  </w:style>
  <w:style w:type="paragraph" w:customStyle="1" w:styleId="Non-numberedHeading2">
    <w:name w:val="Non-numbered Heading 2"/>
    <w:basedOn w:val="Non-numberedHeading1"/>
    <w:next w:val="Pagrindinistekstas"/>
    <w:qFormat/>
    <w:rsid w:val="005A0219"/>
    <w:pPr>
      <w:pageBreakBefore w:val="0"/>
      <w:spacing w:after="160"/>
      <w:outlineLvl w:val="1"/>
    </w:pPr>
    <w:rPr>
      <w:color w:val="821A1A"/>
      <w:sz w:val="32"/>
    </w:rPr>
  </w:style>
  <w:style w:type="paragraph" w:customStyle="1" w:styleId="Non-numberedHeading3">
    <w:name w:val="Non-numbered Heading 3"/>
    <w:basedOn w:val="Non-numberedHeading2"/>
    <w:next w:val="Pagrindinistekstas"/>
    <w:qFormat/>
    <w:rsid w:val="005A0219"/>
    <w:pPr>
      <w:outlineLvl w:val="2"/>
    </w:pPr>
    <w:rPr>
      <w:sz w:val="28"/>
    </w:rPr>
  </w:style>
  <w:style w:type="paragraph" w:customStyle="1" w:styleId="Non-numberedHeading4">
    <w:name w:val="Non-numbered Heading 4"/>
    <w:basedOn w:val="Non-numberedHeading3"/>
    <w:next w:val="Pagrindinistekstas"/>
    <w:qFormat/>
    <w:rsid w:val="005A0219"/>
    <w:pPr>
      <w:outlineLvl w:val="3"/>
    </w:pPr>
    <w:rPr>
      <w:b w:val="0"/>
    </w:rPr>
  </w:style>
  <w:style w:type="paragraph" w:customStyle="1" w:styleId="Non-numberedHeading5">
    <w:name w:val="Non-numbered Heading 5"/>
    <w:basedOn w:val="Non-numberedHeading4"/>
    <w:next w:val="Pagrindinistekstas"/>
    <w:rsid w:val="005A0219"/>
    <w:pPr>
      <w:outlineLvl w:val="4"/>
    </w:pPr>
    <w:rPr>
      <w:sz w:val="24"/>
    </w:rPr>
  </w:style>
  <w:style w:type="paragraph" w:customStyle="1" w:styleId="PwCAddress">
    <w:name w:val="PwC Address"/>
    <w:basedOn w:val="Pagrindinistekstas"/>
    <w:qFormat/>
    <w:rsid w:val="005A0219"/>
    <w:pPr>
      <w:spacing w:after="0" w:line="200" w:lineRule="atLeast"/>
    </w:pPr>
    <w:rPr>
      <w:rFonts w:eastAsia="Georgia" w:cs="Arial Unicode MS"/>
      <w:i/>
      <w:sz w:val="18"/>
      <w:lang w:val="en-US"/>
    </w:rPr>
  </w:style>
  <w:style w:type="paragraph" w:customStyle="1" w:styleId="Quote1">
    <w:name w:val="Quote1"/>
    <w:basedOn w:val="prastasis"/>
    <w:next w:val="prastasis"/>
    <w:uiPriority w:val="29"/>
    <w:rsid w:val="005A0219"/>
    <w:pPr>
      <w:spacing w:after="160"/>
      <w:jc w:val="center"/>
    </w:pPr>
    <w:rPr>
      <w:i/>
      <w:iCs/>
      <w:color w:val="404040"/>
      <w:sz w:val="20"/>
      <w:szCs w:val="20"/>
    </w:rPr>
  </w:style>
  <w:style w:type="character" w:customStyle="1" w:styleId="CitataDiagrama">
    <w:name w:val="Citata Diagrama"/>
    <w:basedOn w:val="Numatytasispastraiposriftas"/>
    <w:link w:val="Citata"/>
    <w:uiPriority w:val="29"/>
    <w:rsid w:val="005A0219"/>
    <w:rPr>
      <w:i/>
      <w:iCs/>
      <w:color w:val="404040"/>
    </w:rPr>
  </w:style>
  <w:style w:type="paragraph" w:customStyle="1" w:styleId="Subtitle1">
    <w:name w:val="Subtitle1"/>
    <w:basedOn w:val="prastasis"/>
    <w:next w:val="prastasis"/>
    <w:uiPriority w:val="11"/>
    <w:rsid w:val="005A0219"/>
    <w:pPr>
      <w:numPr>
        <w:ilvl w:val="1"/>
      </w:numPr>
      <w:spacing w:after="1200" w:line="240" w:lineRule="auto"/>
      <w:ind w:left="2376"/>
    </w:pPr>
    <w:rPr>
      <w:rFonts w:ascii="Georgia" w:eastAsia="Times New Roman" w:hAnsi="Georgia"/>
      <w:spacing w:val="15"/>
      <w:sz w:val="64"/>
      <w:szCs w:val="20"/>
    </w:rPr>
  </w:style>
  <w:style w:type="character" w:customStyle="1" w:styleId="AntrinispavadinimasDiagrama">
    <w:name w:val="Antrinis pavadinimas Diagrama"/>
    <w:aliases w:val="lentelės Diagrama"/>
    <w:basedOn w:val="Numatytasispastraiposriftas"/>
    <w:link w:val="Antrinispavadinimas"/>
    <w:uiPriority w:val="11"/>
    <w:rsid w:val="005A0219"/>
    <w:rPr>
      <w:rFonts w:ascii="Georgia" w:eastAsia="Times New Roman" w:hAnsi="Georgia"/>
      <w:spacing w:val="15"/>
      <w:sz w:val="64"/>
    </w:rPr>
  </w:style>
  <w:style w:type="character" w:customStyle="1" w:styleId="SubtleEmphasis1">
    <w:name w:val="Subtle Emphasis1"/>
    <w:basedOn w:val="Numatytasispastraiposriftas"/>
    <w:uiPriority w:val="19"/>
    <w:rsid w:val="005A0219"/>
    <w:rPr>
      <w:i/>
      <w:iCs/>
      <w:color w:val="7F7F7F"/>
    </w:rPr>
  </w:style>
  <w:style w:type="paragraph" w:customStyle="1" w:styleId="Title1">
    <w:name w:val="Title1"/>
    <w:basedOn w:val="prastasis"/>
    <w:next w:val="prastasis"/>
    <w:uiPriority w:val="10"/>
    <w:rsid w:val="005A0219"/>
    <w:pPr>
      <w:spacing w:after="0" w:line="240" w:lineRule="auto"/>
      <w:ind w:left="2376"/>
      <w:contextualSpacing/>
    </w:pPr>
    <w:rPr>
      <w:rFonts w:ascii="Georgia" w:eastAsia="Times New Roman" w:hAnsi="Georgia" w:cs="Arial Unicode MS"/>
      <w:b/>
      <w:i/>
      <w:spacing w:val="-10"/>
      <w:kern w:val="28"/>
      <w:sz w:val="64"/>
      <w:szCs w:val="56"/>
    </w:rPr>
  </w:style>
  <w:style w:type="character" w:customStyle="1" w:styleId="PavadinimasDiagrama">
    <w:name w:val="Pavadinimas Diagrama"/>
    <w:basedOn w:val="Numatytasispastraiposriftas"/>
    <w:link w:val="Pavadinimas"/>
    <w:uiPriority w:val="10"/>
    <w:rsid w:val="005A0219"/>
    <w:rPr>
      <w:rFonts w:ascii="Georgia" w:eastAsia="Times New Roman" w:hAnsi="Georgia" w:cs="Arial Unicode MS"/>
      <w:b/>
      <w:i/>
      <w:spacing w:val="-10"/>
      <w:kern w:val="28"/>
      <w:sz w:val="64"/>
      <w:szCs w:val="56"/>
    </w:rPr>
  </w:style>
  <w:style w:type="paragraph" w:customStyle="1" w:styleId="ListRoman">
    <w:name w:val="List Roman"/>
    <w:basedOn w:val="Pagrindinistekstas"/>
    <w:qFormat/>
    <w:rsid w:val="005A0219"/>
    <w:pPr>
      <w:numPr>
        <w:numId w:val="68"/>
      </w:numPr>
      <w:spacing w:after="120" w:line="240" w:lineRule="auto"/>
    </w:pPr>
    <w:rPr>
      <w:rFonts w:eastAsia="Georgia" w:cs="Arial Unicode MS"/>
      <w:lang w:val="en-US"/>
    </w:rPr>
  </w:style>
  <w:style w:type="paragraph" w:customStyle="1" w:styleId="ListRoman2">
    <w:name w:val="List Roman 2"/>
    <w:basedOn w:val="ListRoman"/>
    <w:qFormat/>
    <w:rsid w:val="005A0219"/>
    <w:pPr>
      <w:numPr>
        <w:ilvl w:val="1"/>
      </w:numPr>
      <w:tabs>
        <w:tab w:val="left" w:pos="792"/>
      </w:tabs>
    </w:pPr>
  </w:style>
  <w:style w:type="paragraph" w:customStyle="1" w:styleId="ListRoman3">
    <w:name w:val="List Roman 3"/>
    <w:basedOn w:val="ListRoman2"/>
    <w:qFormat/>
    <w:rsid w:val="005A0219"/>
    <w:pPr>
      <w:numPr>
        <w:ilvl w:val="2"/>
      </w:numPr>
      <w:tabs>
        <w:tab w:val="clear" w:pos="792"/>
        <w:tab w:val="left" w:pos="1195"/>
      </w:tabs>
    </w:pPr>
  </w:style>
  <w:style w:type="paragraph" w:customStyle="1" w:styleId="ListRoman4">
    <w:name w:val="List Roman 4"/>
    <w:basedOn w:val="ListRoman3"/>
    <w:qFormat/>
    <w:rsid w:val="005A0219"/>
    <w:pPr>
      <w:numPr>
        <w:ilvl w:val="3"/>
      </w:numPr>
      <w:tabs>
        <w:tab w:val="clear" w:pos="1195"/>
        <w:tab w:val="left" w:pos="1584"/>
      </w:tabs>
    </w:pPr>
  </w:style>
  <w:style w:type="paragraph" w:customStyle="1" w:styleId="ListRoman5">
    <w:name w:val="List Roman 5"/>
    <w:basedOn w:val="ListRoman4"/>
    <w:rsid w:val="005A0219"/>
    <w:pPr>
      <w:numPr>
        <w:ilvl w:val="4"/>
      </w:numPr>
      <w:tabs>
        <w:tab w:val="clear" w:pos="1584"/>
        <w:tab w:val="clear" w:pos="1728"/>
        <w:tab w:val="left" w:pos="1987"/>
      </w:tabs>
      <w:ind w:left="3600" w:hanging="360"/>
    </w:pPr>
  </w:style>
  <w:style w:type="table" w:customStyle="1" w:styleId="SmartTextTable1">
    <w:name w:val="Smart Text Table1"/>
    <w:basedOn w:val="prastojilentel"/>
    <w:next w:val="Lentelstinklelis"/>
    <w:uiPriority w:val="59"/>
    <w:rsid w:val="005A021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basedOn w:val="Numatytasispastraiposriftas"/>
    <w:uiPriority w:val="99"/>
    <w:semiHidden/>
    <w:rsid w:val="005A0219"/>
    <w:rPr>
      <w:color w:val="808080"/>
    </w:rPr>
  </w:style>
  <w:style w:type="table" w:customStyle="1" w:styleId="PwCTableText">
    <w:name w:val="PwC Table Text"/>
    <w:basedOn w:val="prastojilentel"/>
    <w:uiPriority w:val="99"/>
    <w:rsid w:val="005A0219"/>
    <w:pPr>
      <w:spacing w:before="100" w:beforeAutospacing="1" w:after="100" w:afterAutospacing="1" w:line="240" w:lineRule="auto"/>
    </w:pPr>
    <w:rPr>
      <w:rFonts w:ascii="Georgia" w:hAnsi="Georgia"/>
      <w:sz w:val="18"/>
      <w:szCs w:val="20"/>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
    <w:name w:val="PwC Table of Figures"/>
    <w:basedOn w:val="PwCTableText"/>
    <w:uiPriority w:val="99"/>
    <w:rsid w:val="005A0219"/>
    <w:pPr>
      <w:spacing w:after="0"/>
      <w:jc w:val="right"/>
    </w:pPr>
    <w:rPr>
      <w:rFonts w:ascii="Arial" w:hAnsi="Arial"/>
    </w:rPr>
    <w:tblPr/>
    <w:tblStylePr w:type="firstRow">
      <w:pPr>
        <w:jc w:val="righ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tyle1">
    <w:name w:val="Style1"/>
    <w:basedOn w:val="PwCTableText"/>
    <w:uiPriority w:val="99"/>
    <w:rsid w:val="005A0219"/>
    <w:pPr>
      <w:spacing w:after="0"/>
    </w:pPr>
    <w:tblPr>
      <w:tblBorders>
        <w:top w:val="single" w:sz="4" w:space="0" w:color="821A1A"/>
        <w:left w:val="single" w:sz="4" w:space="0" w:color="821A1A"/>
        <w:bottom w:val="single" w:sz="4" w:space="0" w:color="821A1A"/>
        <w:right w:val="single" w:sz="4" w:space="0" w:color="821A1A"/>
        <w:insideH w:val="single" w:sz="4" w:space="0" w:color="821A1A"/>
        <w:insideV w:val="single" w:sz="4" w:space="0" w:color="821A1A"/>
      </w:tblBorders>
    </w:tblPr>
    <w:tblStylePr w:type="firstRow">
      <w:pPr>
        <w:jc w:val="left"/>
      </w:pPr>
      <w:rPr>
        <w:rFonts w:ascii="@Malgun Gothic Semilight" w:hAnsi="@Malgun Gothic Semilight"/>
        <w:b/>
        <w:color w:val="821A1A"/>
        <w:sz w:val="18"/>
      </w:rPr>
      <w:tblPr/>
      <w:tcPr>
        <w:tcBorders>
          <w:top w:val="single" w:sz="4" w:space="0" w:color="821A1A"/>
          <w:left w:val="single" w:sz="4" w:space="0" w:color="821A1A"/>
          <w:bottom w:val="single" w:sz="4" w:space="0" w:color="821A1A"/>
          <w:right w:val="single" w:sz="4" w:space="0" w:color="821A1A"/>
          <w:insideH w:val="nil"/>
          <w:insideV w:val="single" w:sz="4" w:space="0" w:color="821A1A"/>
          <w:tl2br w:val="nil"/>
          <w:tr2bl w:val="nil"/>
        </w:tcBorders>
      </w:tcPr>
    </w:tblStylePr>
  </w:style>
  <w:style w:type="table" w:customStyle="1" w:styleId="SmartTextListTable">
    <w:name w:val="Smart Text List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
    <w:name w:val="Smart Basic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Pagrindiniotekstotrauka">
    <w:name w:val="Body Text Indent"/>
    <w:basedOn w:val="prastasis"/>
    <w:link w:val="PagrindiniotekstotraukaDiagrama"/>
    <w:uiPriority w:val="99"/>
    <w:semiHidden/>
    <w:unhideWhenUsed/>
    <w:rsid w:val="005A0219"/>
    <w:pPr>
      <w:spacing w:after="120" w:line="240" w:lineRule="auto"/>
      <w:ind w:left="360"/>
    </w:pPr>
    <w:rPr>
      <w:sz w:val="20"/>
      <w:szCs w:val="20"/>
    </w:rPr>
  </w:style>
  <w:style w:type="character" w:customStyle="1" w:styleId="PagrindiniotekstotraukaDiagrama">
    <w:name w:val="Pagrindinio teksto įtrauka Diagrama"/>
    <w:basedOn w:val="Numatytasispastraiposriftas"/>
    <w:link w:val="Pagrindiniotekstotrauka"/>
    <w:uiPriority w:val="99"/>
    <w:semiHidden/>
    <w:rsid w:val="005A0219"/>
    <w:rPr>
      <w:sz w:val="20"/>
      <w:szCs w:val="20"/>
    </w:rPr>
  </w:style>
  <w:style w:type="character" w:styleId="Knygospavadinimas">
    <w:name w:val="Book Title"/>
    <w:basedOn w:val="Numatytasispastraiposriftas"/>
    <w:uiPriority w:val="33"/>
    <w:rsid w:val="005A0219"/>
    <w:rPr>
      <w:b/>
      <w:bCs/>
      <w:i/>
      <w:iCs/>
      <w:spacing w:val="5"/>
    </w:rPr>
  </w:style>
  <w:style w:type="character" w:styleId="Grietas">
    <w:name w:val="Strong"/>
    <w:basedOn w:val="Numatytasispastraiposriftas"/>
    <w:uiPriority w:val="22"/>
    <w:rsid w:val="005A0219"/>
    <w:rPr>
      <w:b/>
      <w:bCs/>
    </w:rPr>
  </w:style>
  <w:style w:type="character" w:customStyle="1" w:styleId="SubtleReference1">
    <w:name w:val="Subtle Reference1"/>
    <w:basedOn w:val="Numatytasispastraiposriftas"/>
    <w:uiPriority w:val="31"/>
    <w:rsid w:val="005A0219"/>
    <w:rPr>
      <w:smallCaps/>
      <w:color w:val="5A5A5A"/>
    </w:rPr>
  </w:style>
  <w:style w:type="paragraph" w:customStyle="1" w:styleId="AppendixHeading1">
    <w:name w:val="Appendix Heading 1"/>
    <w:basedOn w:val="Antrat1"/>
    <w:next w:val="AppendixHeading2"/>
    <w:rsid w:val="005A0219"/>
    <w:pPr>
      <w:keepLines w:val="0"/>
      <w:pageBreakBefore/>
      <w:numPr>
        <w:numId w:val="63"/>
      </w:numPr>
      <w:spacing w:before="0" w:after="480" w:line="0" w:lineRule="atLeast"/>
    </w:pPr>
    <w:rPr>
      <w:bCs w:val="0"/>
      <w:i/>
      <w:color w:val="000000"/>
      <w:sz w:val="48"/>
      <w:szCs w:val="32"/>
    </w:rPr>
  </w:style>
  <w:style w:type="paragraph" w:customStyle="1" w:styleId="AppendixHeading2">
    <w:name w:val="Appendix Heading 2"/>
    <w:basedOn w:val="AppendixHeading1"/>
    <w:next w:val="Pagrindinistekstas"/>
    <w:rsid w:val="005A0219"/>
    <w:pPr>
      <w:pageBreakBefore w:val="0"/>
      <w:numPr>
        <w:ilvl w:val="1"/>
      </w:numPr>
      <w:spacing w:after="160"/>
      <w:outlineLvl w:val="1"/>
    </w:pPr>
    <w:rPr>
      <w:color w:val="821A1A"/>
      <w:sz w:val="32"/>
    </w:rPr>
  </w:style>
  <w:style w:type="paragraph" w:customStyle="1" w:styleId="AppendixHeading3">
    <w:name w:val="Appendix Heading 3"/>
    <w:basedOn w:val="AppendixHeading2"/>
    <w:next w:val="Pagrindinistekstas"/>
    <w:rsid w:val="005A0219"/>
    <w:pPr>
      <w:numPr>
        <w:ilvl w:val="2"/>
      </w:numPr>
      <w:outlineLvl w:val="2"/>
    </w:pPr>
    <w:rPr>
      <w:sz w:val="28"/>
    </w:rPr>
  </w:style>
  <w:style w:type="paragraph" w:customStyle="1" w:styleId="AppendixHeading4">
    <w:name w:val="Appendix Heading 4"/>
    <w:basedOn w:val="AppendixHeading3"/>
    <w:next w:val="Pagrindinistekstas"/>
    <w:rsid w:val="005A0219"/>
    <w:pPr>
      <w:numPr>
        <w:ilvl w:val="3"/>
      </w:numPr>
      <w:outlineLvl w:val="3"/>
    </w:pPr>
    <w:rPr>
      <w:b w:val="0"/>
    </w:rPr>
  </w:style>
  <w:style w:type="paragraph" w:customStyle="1" w:styleId="AppendixHeading5">
    <w:name w:val="Appendix Heading 5"/>
    <w:basedOn w:val="AppendixHeading4"/>
    <w:next w:val="Pagrindinistekstas"/>
    <w:rsid w:val="005A0219"/>
    <w:pPr>
      <w:numPr>
        <w:ilvl w:val="4"/>
      </w:numPr>
      <w:ind w:left="1800" w:hanging="1440"/>
      <w:outlineLvl w:val="4"/>
    </w:pPr>
    <w:rPr>
      <w:sz w:val="24"/>
    </w:rPr>
  </w:style>
  <w:style w:type="character" w:customStyle="1" w:styleId="AddressChar">
    <w:name w:val="Address Char"/>
    <w:basedOn w:val="Numatytasispastraiposriftas"/>
    <w:link w:val="Address"/>
    <w:locked/>
    <w:rsid w:val="005A0219"/>
    <w:rPr>
      <w:i/>
      <w:sz w:val="18"/>
      <w:szCs w:val="20"/>
    </w:rPr>
  </w:style>
  <w:style w:type="character" w:customStyle="1" w:styleId="DisclaimerChar">
    <w:name w:val="Disclaimer Char"/>
    <w:basedOn w:val="Numatytasispastraiposriftas"/>
    <w:link w:val="Disclaimer"/>
    <w:locked/>
    <w:rsid w:val="005A0219"/>
    <w:rPr>
      <w:rFonts w:ascii="Georgia" w:eastAsia="Georgia" w:hAnsi="Georgia" w:cs="Arial Unicode MS"/>
      <w:sz w:val="16"/>
      <w:szCs w:val="20"/>
    </w:rPr>
  </w:style>
  <w:style w:type="paragraph" w:customStyle="1" w:styleId="TOAHeading1">
    <w:name w:val="TOA Heading1"/>
    <w:basedOn w:val="prastasis"/>
    <w:next w:val="prastasis"/>
    <w:uiPriority w:val="99"/>
    <w:unhideWhenUsed/>
    <w:rsid w:val="005A0219"/>
    <w:pPr>
      <w:spacing w:before="120" w:after="160" w:line="240" w:lineRule="auto"/>
    </w:pPr>
    <w:rPr>
      <w:rFonts w:ascii="Georgia" w:eastAsia="Times New Roman" w:hAnsi="Georgia" w:cs="Arial Unicode MS"/>
      <w:b/>
      <w:bCs/>
      <w:sz w:val="24"/>
      <w:szCs w:val="24"/>
    </w:rPr>
  </w:style>
  <w:style w:type="paragraph" w:customStyle="1" w:styleId="AppendixHeading1wSubheading">
    <w:name w:val="Appendix Heading 1 w/Subheading"/>
    <w:basedOn w:val="AppendixHeading1"/>
    <w:next w:val="Subheading"/>
    <w:rsid w:val="005A0219"/>
    <w:pPr>
      <w:spacing w:after="0"/>
      <w:ind w:left="0" w:firstLine="0"/>
    </w:pPr>
  </w:style>
  <w:style w:type="paragraph" w:customStyle="1" w:styleId="BlockText3">
    <w:name w:val="Block Text 3"/>
    <w:basedOn w:val="Pagrindinistekstas"/>
    <w:rsid w:val="005A0219"/>
    <w:pPr>
      <w:pBdr>
        <w:top w:val="single" w:sz="8" w:space="10" w:color="821A1A"/>
        <w:left w:val="single" w:sz="8" w:space="10" w:color="821A1A"/>
        <w:bottom w:val="single" w:sz="8" w:space="10" w:color="821A1A"/>
        <w:right w:val="single" w:sz="8" w:space="10" w:color="821A1A"/>
      </w:pBdr>
      <w:shd w:val="clear" w:color="auto" w:fill="821A1A"/>
      <w:spacing w:after="160" w:line="240" w:lineRule="auto"/>
      <w:ind w:left="230" w:right="230"/>
    </w:pPr>
    <w:rPr>
      <w:rFonts w:eastAsia="Georgia" w:cs="Arial Unicode MS"/>
      <w:b/>
      <w:i/>
      <w:color w:val="FFFFFF"/>
      <w:sz w:val="22"/>
      <w:lang w:val="en-US"/>
    </w:rPr>
  </w:style>
  <w:style w:type="paragraph" w:customStyle="1" w:styleId="ExhibitHeading1wSubheading">
    <w:name w:val="Exhibit Heading 1 w/Subheading"/>
    <w:basedOn w:val="ExhibitHeading1"/>
    <w:next w:val="Subheading"/>
    <w:rsid w:val="005A0219"/>
    <w:pPr>
      <w:spacing w:after="0"/>
      <w:ind w:left="0" w:firstLine="0"/>
    </w:pPr>
  </w:style>
  <w:style w:type="paragraph" w:customStyle="1" w:styleId="Heading1wSubheading">
    <w:name w:val="Heading 1 w/Subheading"/>
    <w:basedOn w:val="Antrat1"/>
    <w:next w:val="Subheading"/>
    <w:rsid w:val="005A0219"/>
    <w:pPr>
      <w:keepLines w:val="0"/>
      <w:pageBreakBefore/>
      <w:spacing w:before="0" w:line="0" w:lineRule="atLeast"/>
    </w:pPr>
    <w:rPr>
      <w:bCs w:val="0"/>
      <w:i/>
      <w:color w:val="000000"/>
      <w:sz w:val="48"/>
      <w:szCs w:val="32"/>
    </w:rPr>
  </w:style>
  <w:style w:type="paragraph" w:customStyle="1" w:styleId="Non-numberedHeading1wSubheading">
    <w:name w:val="Non-numbered Heading 1 w/Subheading"/>
    <w:basedOn w:val="Non-numberedHeading1"/>
    <w:next w:val="Subheading"/>
    <w:rsid w:val="005A0219"/>
    <w:pPr>
      <w:spacing w:after="0"/>
    </w:pPr>
  </w:style>
  <w:style w:type="paragraph" w:customStyle="1" w:styleId="Subheading">
    <w:name w:val="Subheading"/>
    <w:basedOn w:val="Heading1wSubheading"/>
    <w:rsid w:val="005A0219"/>
    <w:pPr>
      <w:pageBreakBefore w:val="0"/>
      <w:numPr>
        <w:numId w:val="0"/>
      </w:numPr>
      <w:spacing w:after="480"/>
    </w:pPr>
    <w:rPr>
      <w:b w:val="0"/>
      <w:i w:val="0"/>
      <w:sz w:val="44"/>
    </w:rPr>
  </w:style>
  <w:style w:type="character" w:customStyle="1" w:styleId="GuidanceChar">
    <w:name w:val="Guidance Char"/>
    <w:basedOn w:val="Numatytasispastraiposriftas"/>
    <w:link w:val="Guidance"/>
    <w:uiPriority w:val="99"/>
    <w:rsid w:val="005A0219"/>
    <w:rPr>
      <w:rFonts w:ascii="Arial" w:hAnsi="Arial"/>
      <w:color w:val="00A5FF"/>
      <w:sz w:val="16"/>
      <w:szCs w:val="20"/>
    </w:rPr>
  </w:style>
  <w:style w:type="table" w:customStyle="1" w:styleId="LightList-Accent21">
    <w:name w:val="Light List - Accent 21"/>
    <w:basedOn w:val="prastojilentel"/>
    <w:next w:val="viesussraas2parykinimas"/>
    <w:uiPriority w:val="61"/>
    <w:rsid w:val="005A0219"/>
    <w:pPr>
      <w:spacing w:after="0" w:line="240" w:lineRule="auto"/>
    </w:pPr>
    <w:rPr>
      <w:lang w:val="lt-LT"/>
    </w:r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
    <w:name w:val="Medium Shading 1 - Accent 21"/>
    <w:basedOn w:val="prastojilentel"/>
    <w:next w:val="1vidutinisspalvinimas2parykinimas"/>
    <w:uiPriority w:val="63"/>
    <w:rsid w:val="005A0219"/>
    <w:pPr>
      <w:spacing w:after="0" w:line="240" w:lineRule="auto"/>
    </w:p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character" w:customStyle="1" w:styleId="Heading5Char1">
    <w:name w:val="Heading 5 Char1"/>
    <w:basedOn w:val="Numatytasispastraiposriftas"/>
    <w:uiPriority w:val="9"/>
    <w:semiHidden/>
    <w:rsid w:val="005A0219"/>
    <w:rPr>
      <w:rFonts w:asciiTheme="majorHAnsi" w:eastAsiaTheme="majorEastAsia" w:hAnsiTheme="majorHAnsi" w:cstheme="majorBidi"/>
      <w:color w:val="365F91" w:themeColor="accent1" w:themeShade="BF"/>
    </w:rPr>
  </w:style>
  <w:style w:type="character" w:customStyle="1" w:styleId="Heading6Char1">
    <w:name w:val="Heading 6 Char1"/>
    <w:basedOn w:val="Numatytasispastraiposriftas"/>
    <w:uiPriority w:val="9"/>
    <w:semiHidden/>
    <w:rsid w:val="005A0219"/>
    <w:rPr>
      <w:rFonts w:asciiTheme="majorHAnsi" w:eastAsiaTheme="majorEastAsia" w:hAnsiTheme="majorHAnsi" w:cstheme="majorBidi"/>
      <w:color w:val="243F60" w:themeColor="accent1" w:themeShade="7F"/>
    </w:rPr>
  </w:style>
  <w:style w:type="character" w:customStyle="1" w:styleId="Heading7Char1">
    <w:name w:val="Heading 7 Char1"/>
    <w:basedOn w:val="Numatytasispastraiposriftas"/>
    <w:uiPriority w:val="9"/>
    <w:semiHidden/>
    <w:rsid w:val="005A0219"/>
    <w:rPr>
      <w:rFonts w:asciiTheme="majorHAnsi" w:eastAsiaTheme="majorEastAsia" w:hAnsiTheme="majorHAnsi" w:cstheme="majorBidi"/>
      <w:i/>
      <w:iCs/>
      <w:color w:val="243F60" w:themeColor="accent1" w:themeShade="7F"/>
    </w:rPr>
  </w:style>
  <w:style w:type="character" w:customStyle="1" w:styleId="Heading8Char1">
    <w:name w:val="Heading 8 Char1"/>
    <w:basedOn w:val="Numatytasispastraiposriftas"/>
    <w:uiPriority w:val="9"/>
    <w:semiHidden/>
    <w:rsid w:val="005A021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Numatytasispastraiposriftas"/>
    <w:uiPriority w:val="9"/>
    <w:semiHidden/>
    <w:rsid w:val="005A0219"/>
    <w:rPr>
      <w:rFonts w:asciiTheme="majorHAnsi" w:eastAsiaTheme="majorEastAsia" w:hAnsiTheme="majorHAnsi" w:cstheme="majorBidi"/>
      <w:i/>
      <w:iCs/>
      <w:color w:val="272727" w:themeColor="text1" w:themeTint="D8"/>
      <w:sz w:val="21"/>
      <w:szCs w:val="21"/>
    </w:rPr>
  </w:style>
  <w:style w:type="paragraph" w:styleId="Tekstoblokas">
    <w:name w:val="Block Text"/>
    <w:basedOn w:val="prastasis"/>
    <w:uiPriority w:val="99"/>
    <w:semiHidden/>
    <w:unhideWhenUsed/>
    <w:rsid w:val="005A021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character" w:styleId="HTMLakronimas">
    <w:name w:val="HTML Acronym"/>
    <w:basedOn w:val="Numatytasispastraiposriftas"/>
    <w:uiPriority w:val="99"/>
    <w:semiHidden/>
    <w:unhideWhenUsed/>
    <w:rsid w:val="005A0219"/>
  </w:style>
  <w:style w:type="character" w:styleId="Rykuspabraukimas">
    <w:name w:val="Intense Emphasis"/>
    <w:basedOn w:val="Numatytasispastraiposriftas"/>
    <w:uiPriority w:val="21"/>
    <w:qFormat/>
    <w:rsid w:val="005A0219"/>
    <w:rPr>
      <w:i/>
      <w:iCs/>
      <w:color w:val="4F81BD" w:themeColor="accent1"/>
    </w:rPr>
  </w:style>
  <w:style w:type="character" w:styleId="Rykinuoroda">
    <w:name w:val="Intense Reference"/>
    <w:basedOn w:val="Numatytasispastraiposriftas"/>
    <w:uiPriority w:val="32"/>
    <w:qFormat/>
    <w:rsid w:val="005A0219"/>
    <w:rPr>
      <w:b/>
      <w:bCs/>
      <w:smallCaps/>
      <w:color w:val="4F81BD" w:themeColor="accent1"/>
      <w:spacing w:val="5"/>
    </w:rPr>
  </w:style>
  <w:style w:type="paragraph" w:styleId="Iskirtacitata">
    <w:name w:val="Intense Quote"/>
    <w:basedOn w:val="prastasis"/>
    <w:next w:val="prastasis"/>
    <w:link w:val="IskirtacitataDiagrama"/>
    <w:uiPriority w:val="30"/>
    <w:qFormat/>
    <w:rsid w:val="005A0219"/>
    <w:pPr>
      <w:pBdr>
        <w:top w:val="single" w:sz="4" w:space="10" w:color="4F81BD" w:themeColor="accent1"/>
        <w:bottom w:val="single" w:sz="4" w:space="10" w:color="4F81BD" w:themeColor="accent1"/>
      </w:pBdr>
      <w:spacing w:before="360" w:after="360"/>
      <w:ind w:left="864" w:right="864"/>
      <w:jc w:val="center"/>
    </w:pPr>
    <w:rPr>
      <w:b/>
      <w:i/>
      <w:iCs/>
      <w:color w:val="821A1A"/>
    </w:rPr>
  </w:style>
  <w:style w:type="character" w:customStyle="1" w:styleId="IntenseQuoteChar1">
    <w:name w:val="Intense Quote Char1"/>
    <w:basedOn w:val="Numatytasispastraiposriftas"/>
    <w:uiPriority w:val="30"/>
    <w:rsid w:val="005A0219"/>
    <w:rPr>
      <w:i/>
      <w:iCs/>
      <w:color w:val="4F81BD" w:themeColor="accent1"/>
    </w:rPr>
  </w:style>
  <w:style w:type="paragraph" w:styleId="inutsantrat">
    <w:name w:val="Message Header"/>
    <w:basedOn w:val="prastasis"/>
    <w:link w:val="inutsantratDiagrama"/>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utsantratDiagrama">
    <w:name w:val="Žinutės antraštė Diagrama"/>
    <w:basedOn w:val="Numatytasispastraiposriftas"/>
    <w:link w:val="inutsantrat"/>
    <w:uiPriority w:val="99"/>
    <w:semiHidden/>
    <w:rsid w:val="005A0219"/>
    <w:rPr>
      <w:rFonts w:asciiTheme="majorHAnsi" w:eastAsiaTheme="majorEastAsia" w:hAnsiTheme="majorHAnsi" w:cstheme="majorBidi"/>
      <w:sz w:val="24"/>
      <w:szCs w:val="24"/>
      <w:shd w:val="pct20" w:color="auto" w:fill="auto"/>
    </w:rPr>
  </w:style>
  <w:style w:type="paragraph" w:styleId="Citata">
    <w:name w:val="Quote"/>
    <w:basedOn w:val="prastasis"/>
    <w:next w:val="prastasis"/>
    <w:link w:val="CitataDiagrama"/>
    <w:uiPriority w:val="29"/>
    <w:qFormat/>
    <w:rsid w:val="005A0219"/>
    <w:pPr>
      <w:spacing w:before="200" w:after="160"/>
      <w:ind w:left="864" w:right="864"/>
      <w:jc w:val="center"/>
    </w:pPr>
    <w:rPr>
      <w:i/>
      <w:iCs/>
      <w:color w:val="404040"/>
    </w:rPr>
  </w:style>
  <w:style w:type="character" w:customStyle="1" w:styleId="QuoteChar1">
    <w:name w:val="Quote Char1"/>
    <w:basedOn w:val="Numatytasispastraiposriftas"/>
    <w:uiPriority w:val="29"/>
    <w:rsid w:val="005A0219"/>
    <w:rPr>
      <w:i/>
      <w:iCs/>
      <w:color w:val="404040" w:themeColor="text1" w:themeTint="BF"/>
    </w:rPr>
  </w:style>
  <w:style w:type="paragraph" w:styleId="Antrinispavadinimas">
    <w:name w:val="Subtitle"/>
    <w:aliases w:val="lentelės"/>
    <w:basedOn w:val="prastasis"/>
    <w:next w:val="prastasis"/>
    <w:link w:val="AntrinispavadinimasDiagrama"/>
    <w:uiPriority w:val="11"/>
    <w:qFormat/>
    <w:rsid w:val="005A0219"/>
    <w:pPr>
      <w:numPr>
        <w:ilvl w:val="1"/>
      </w:numPr>
      <w:spacing w:after="160"/>
    </w:pPr>
    <w:rPr>
      <w:rFonts w:ascii="Georgia" w:eastAsia="Times New Roman" w:hAnsi="Georgia"/>
      <w:spacing w:val="15"/>
      <w:sz w:val="64"/>
    </w:rPr>
  </w:style>
  <w:style w:type="character" w:customStyle="1" w:styleId="SubtitleChar1">
    <w:name w:val="Subtitle Char1"/>
    <w:basedOn w:val="Numatytasispastraiposriftas"/>
    <w:uiPriority w:val="11"/>
    <w:rsid w:val="005A0219"/>
    <w:rPr>
      <w:rFonts w:eastAsiaTheme="minorEastAsia"/>
      <w:color w:val="5A5A5A" w:themeColor="text1" w:themeTint="A5"/>
      <w:spacing w:val="15"/>
    </w:rPr>
  </w:style>
  <w:style w:type="character" w:styleId="Nerykuspabraukimas">
    <w:name w:val="Subtle Emphasis"/>
    <w:basedOn w:val="Numatytasispastraiposriftas"/>
    <w:uiPriority w:val="19"/>
    <w:qFormat/>
    <w:rsid w:val="005A0219"/>
    <w:rPr>
      <w:i/>
      <w:iCs/>
      <w:color w:val="404040" w:themeColor="text1" w:themeTint="BF"/>
    </w:rPr>
  </w:style>
  <w:style w:type="paragraph" w:styleId="Pavadinimas">
    <w:name w:val="Title"/>
    <w:basedOn w:val="prastasis"/>
    <w:next w:val="prastasis"/>
    <w:link w:val="PavadinimasDiagrama"/>
    <w:uiPriority w:val="10"/>
    <w:qFormat/>
    <w:rsid w:val="005A0219"/>
    <w:pPr>
      <w:spacing w:after="0" w:line="240" w:lineRule="auto"/>
      <w:contextualSpacing/>
    </w:pPr>
    <w:rPr>
      <w:rFonts w:ascii="Georgia" w:eastAsia="Times New Roman" w:hAnsi="Georgia" w:cs="Arial Unicode MS"/>
      <w:b/>
      <w:i/>
      <w:spacing w:val="-10"/>
      <w:kern w:val="28"/>
      <w:sz w:val="64"/>
      <w:szCs w:val="56"/>
    </w:rPr>
  </w:style>
  <w:style w:type="character" w:customStyle="1" w:styleId="TitleChar1">
    <w:name w:val="Title Char1"/>
    <w:basedOn w:val="Numatytasispastraiposriftas"/>
    <w:uiPriority w:val="10"/>
    <w:rsid w:val="005A0219"/>
    <w:rPr>
      <w:rFonts w:asciiTheme="majorHAnsi" w:eastAsiaTheme="majorEastAsia" w:hAnsiTheme="majorHAnsi" w:cstheme="majorBidi"/>
      <w:spacing w:val="-10"/>
      <w:kern w:val="28"/>
      <w:sz w:val="56"/>
      <w:szCs w:val="56"/>
    </w:rPr>
  </w:style>
  <w:style w:type="character" w:styleId="Nerykinuoroda">
    <w:name w:val="Subtle Reference"/>
    <w:basedOn w:val="Numatytasispastraiposriftas"/>
    <w:uiPriority w:val="31"/>
    <w:qFormat/>
    <w:rsid w:val="005A0219"/>
    <w:rPr>
      <w:smallCaps/>
      <w:color w:val="5A5A5A" w:themeColor="text1" w:themeTint="A5"/>
    </w:rPr>
  </w:style>
  <w:style w:type="table" w:customStyle="1" w:styleId="ListTable4-Accent61">
    <w:name w:val="List Table 4 - Accent 61"/>
    <w:basedOn w:val="prastojilentel"/>
    <w:uiPriority w:val="49"/>
    <w:rsid w:val="00F57EC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MediumGrid3-Accent21">
    <w:name w:val="Medium Grid 3 - Accent 21"/>
    <w:basedOn w:val="prastojilentel"/>
    <w:next w:val="3vidutinistinklelis2parykinimas"/>
    <w:uiPriority w:val="69"/>
    <w:rsid w:val="002D46E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
    <w:name w:val="Grid Table 5 Dark - Accent 111"/>
    <w:basedOn w:val="prastojilentel"/>
    <w:next w:val="GridTable5Dark-Accent112"/>
    <w:uiPriority w:val="50"/>
    <w:rsid w:val="00CB4D9D"/>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
    <w:name w:val="List Table 4 - Accent 62"/>
    <w:basedOn w:val="prastojilentel"/>
    <w:uiPriority w:val="49"/>
    <w:rsid w:val="00CB4D9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prastojilentel"/>
    <w:uiPriority w:val="48"/>
    <w:rsid w:val="0057103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3-Accent21">
    <w:name w:val="List Table 3 - Accent 21"/>
    <w:basedOn w:val="prastojilentel"/>
    <w:uiPriority w:val="48"/>
    <w:rsid w:val="00D82904"/>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UnresolvedMention">
    <w:name w:val="Unresolved Mention"/>
    <w:basedOn w:val="Numatytasispastraiposriftas"/>
    <w:uiPriority w:val="99"/>
    <w:semiHidden/>
    <w:unhideWhenUsed/>
    <w:rsid w:val="00160027"/>
    <w:rPr>
      <w:color w:val="605E5C"/>
      <w:shd w:val="clear" w:color="auto" w:fill="E1DFDD"/>
    </w:rPr>
  </w:style>
  <w:style w:type="table" w:customStyle="1" w:styleId="TableGrid11">
    <w:name w:val="Table Grid11"/>
    <w:basedOn w:val="prastojilentel"/>
    <w:next w:val="Lentelstinklelis"/>
    <w:uiPriority w:val="39"/>
    <w:rsid w:val="00D13E15"/>
    <w:pPr>
      <w:spacing w:after="0" w:line="240" w:lineRule="auto"/>
      <w:jc w:val="both"/>
    </w:pPr>
    <w:rPr>
      <w:rFonts w:ascii="Arial" w:hAnsi="Arial"/>
      <w:color w:val="000000"/>
      <w:sz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3070">
      <w:bodyDiv w:val="1"/>
      <w:marLeft w:val="0"/>
      <w:marRight w:val="0"/>
      <w:marTop w:val="0"/>
      <w:marBottom w:val="0"/>
      <w:divBdr>
        <w:top w:val="none" w:sz="0" w:space="0" w:color="auto"/>
        <w:left w:val="none" w:sz="0" w:space="0" w:color="auto"/>
        <w:bottom w:val="none" w:sz="0" w:space="0" w:color="auto"/>
        <w:right w:val="none" w:sz="0" w:space="0" w:color="auto"/>
      </w:divBdr>
    </w:div>
    <w:div w:id="30304538">
      <w:bodyDiv w:val="1"/>
      <w:marLeft w:val="0"/>
      <w:marRight w:val="0"/>
      <w:marTop w:val="0"/>
      <w:marBottom w:val="0"/>
      <w:divBdr>
        <w:top w:val="none" w:sz="0" w:space="0" w:color="auto"/>
        <w:left w:val="none" w:sz="0" w:space="0" w:color="auto"/>
        <w:bottom w:val="none" w:sz="0" w:space="0" w:color="auto"/>
        <w:right w:val="none" w:sz="0" w:space="0" w:color="auto"/>
      </w:divBdr>
    </w:div>
    <w:div w:id="44640824">
      <w:bodyDiv w:val="1"/>
      <w:marLeft w:val="0"/>
      <w:marRight w:val="0"/>
      <w:marTop w:val="0"/>
      <w:marBottom w:val="0"/>
      <w:divBdr>
        <w:top w:val="none" w:sz="0" w:space="0" w:color="auto"/>
        <w:left w:val="none" w:sz="0" w:space="0" w:color="auto"/>
        <w:bottom w:val="none" w:sz="0" w:space="0" w:color="auto"/>
        <w:right w:val="none" w:sz="0" w:space="0" w:color="auto"/>
      </w:divBdr>
    </w:div>
    <w:div w:id="62260904">
      <w:bodyDiv w:val="1"/>
      <w:marLeft w:val="0"/>
      <w:marRight w:val="0"/>
      <w:marTop w:val="0"/>
      <w:marBottom w:val="0"/>
      <w:divBdr>
        <w:top w:val="none" w:sz="0" w:space="0" w:color="auto"/>
        <w:left w:val="none" w:sz="0" w:space="0" w:color="auto"/>
        <w:bottom w:val="none" w:sz="0" w:space="0" w:color="auto"/>
        <w:right w:val="none" w:sz="0" w:space="0" w:color="auto"/>
      </w:divBdr>
    </w:div>
    <w:div w:id="83890990">
      <w:bodyDiv w:val="1"/>
      <w:marLeft w:val="0"/>
      <w:marRight w:val="0"/>
      <w:marTop w:val="0"/>
      <w:marBottom w:val="0"/>
      <w:divBdr>
        <w:top w:val="none" w:sz="0" w:space="0" w:color="auto"/>
        <w:left w:val="none" w:sz="0" w:space="0" w:color="auto"/>
        <w:bottom w:val="none" w:sz="0" w:space="0" w:color="auto"/>
        <w:right w:val="none" w:sz="0" w:space="0" w:color="auto"/>
      </w:divBdr>
    </w:div>
    <w:div w:id="101804532">
      <w:bodyDiv w:val="1"/>
      <w:marLeft w:val="0"/>
      <w:marRight w:val="0"/>
      <w:marTop w:val="0"/>
      <w:marBottom w:val="0"/>
      <w:divBdr>
        <w:top w:val="none" w:sz="0" w:space="0" w:color="auto"/>
        <w:left w:val="none" w:sz="0" w:space="0" w:color="auto"/>
        <w:bottom w:val="none" w:sz="0" w:space="0" w:color="auto"/>
        <w:right w:val="none" w:sz="0" w:space="0" w:color="auto"/>
      </w:divBdr>
    </w:div>
    <w:div w:id="101849349">
      <w:bodyDiv w:val="1"/>
      <w:marLeft w:val="0"/>
      <w:marRight w:val="0"/>
      <w:marTop w:val="0"/>
      <w:marBottom w:val="0"/>
      <w:divBdr>
        <w:top w:val="none" w:sz="0" w:space="0" w:color="auto"/>
        <w:left w:val="none" w:sz="0" w:space="0" w:color="auto"/>
        <w:bottom w:val="none" w:sz="0" w:space="0" w:color="auto"/>
        <w:right w:val="none" w:sz="0" w:space="0" w:color="auto"/>
      </w:divBdr>
    </w:div>
    <w:div w:id="105513503">
      <w:bodyDiv w:val="1"/>
      <w:marLeft w:val="0"/>
      <w:marRight w:val="0"/>
      <w:marTop w:val="0"/>
      <w:marBottom w:val="0"/>
      <w:divBdr>
        <w:top w:val="none" w:sz="0" w:space="0" w:color="auto"/>
        <w:left w:val="none" w:sz="0" w:space="0" w:color="auto"/>
        <w:bottom w:val="none" w:sz="0" w:space="0" w:color="auto"/>
        <w:right w:val="none" w:sz="0" w:space="0" w:color="auto"/>
      </w:divBdr>
    </w:div>
    <w:div w:id="123624146">
      <w:bodyDiv w:val="1"/>
      <w:marLeft w:val="0"/>
      <w:marRight w:val="0"/>
      <w:marTop w:val="0"/>
      <w:marBottom w:val="0"/>
      <w:divBdr>
        <w:top w:val="none" w:sz="0" w:space="0" w:color="auto"/>
        <w:left w:val="none" w:sz="0" w:space="0" w:color="auto"/>
        <w:bottom w:val="none" w:sz="0" w:space="0" w:color="auto"/>
        <w:right w:val="none" w:sz="0" w:space="0" w:color="auto"/>
      </w:divBdr>
    </w:div>
    <w:div w:id="128598577">
      <w:bodyDiv w:val="1"/>
      <w:marLeft w:val="0"/>
      <w:marRight w:val="0"/>
      <w:marTop w:val="0"/>
      <w:marBottom w:val="0"/>
      <w:divBdr>
        <w:top w:val="none" w:sz="0" w:space="0" w:color="auto"/>
        <w:left w:val="none" w:sz="0" w:space="0" w:color="auto"/>
        <w:bottom w:val="none" w:sz="0" w:space="0" w:color="auto"/>
        <w:right w:val="none" w:sz="0" w:space="0" w:color="auto"/>
      </w:divBdr>
    </w:div>
    <w:div w:id="180751233">
      <w:bodyDiv w:val="1"/>
      <w:marLeft w:val="0"/>
      <w:marRight w:val="0"/>
      <w:marTop w:val="0"/>
      <w:marBottom w:val="0"/>
      <w:divBdr>
        <w:top w:val="none" w:sz="0" w:space="0" w:color="auto"/>
        <w:left w:val="none" w:sz="0" w:space="0" w:color="auto"/>
        <w:bottom w:val="none" w:sz="0" w:space="0" w:color="auto"/>
        <w:right w:val="none" w:sz="0" w:space="0" w:color="auto"/>
      </w:divBdr>
    </w:div>
    <w:div w:id="181600602">
      <w:bodyDiv w:val="1"/>
      <w:marLeft w:val="0"/>
      <w:marRight w:val="0"/>
      <w:marTop w:val="0"/>
      <w:marBottom w:val="0"/>
      <w:divBdr>
        <w:top w:val="none" w:sz="0" w:space="0" w:color="auto"/>
        <w:left w:val="none" w:sz="0" w:space="0" w:color="auto"/>
        <w:bottom w:val="none" w:sz="0" w:space="0" w:color="auto"/>
        <w:right w:val="none" w:sz="0" w:space="0" w:color="auto"/>
      </w:divBdr>
    </w:div>
    <w:div w:id="223878127">
      <w:bodyDiv w:val="1"/>
      <w:marLeft w:val="0"/>
      <w:marRight w:val="0"/>
      <w:marTop w:val="0"/>
      <w:marBottom w:val="0"/>
      <w:divBdr>
        <w:top w:val="none" w:sz="0" w:space="0" w:color="auto"/>
        <w:left w:val="none" w:sz="0" w:space="0" w:color="auto"/>
        <w:bottom w:val="none" w:sz="0" w:space="0" w:color="auto"/>
        <w:right w:val="none" w:sz="0" w:space="0" w:color="auto"/>
      </w:divBdr>
    </w:div>
    <w:div w:id="231278343">
      <w:bodyDiv w:val="1"/>
      <w:marLeft w:val="0"/>
      <w:marRight w:val="0"/>
      <w:marTop w:val="0"/>
      <w:marBottom w:val="0"/>
      <w:divBdr>
        <w:top w:val="none" w:sz="0" w:space="0" w:color="auto"/>
        <w:left w:val="none" w:sz="0" w:space="0" w:color="auto"/>
        <w:bottom w:val="none" w:sz="0" w:space="0" w:color="auto"/>
        <w:right w:val="none" w:sz="0" w:space="0" w:color="auto"/>
      </w:divBdr>
    </w:div>
    <w:div w:id="275067621">
      <w:bodyDiv w:val="1"/>
      <w:marLeft w:val="0"/>
      <w:marRight w:val="0"/>
      <w:marTop w:val="0"/>
      <w:marBottom w:val="0"/>
      <w:divBdr>
        <w:top w:val="none" w:sz="0" w:space="0" w:color="auto"/>
        <w:left w:val="none" w:sz="0" w:space="0" w:color="auto"/>
        <w:bottom w:val="none" w:sz="0" w:space="0" w:color="auto"/>
        <w:right w:val="none" w:sz="0" w:space="0" w:color="auto"/>
      </w:divBdr>
    </w:div>
    <w:div w:id="305168331">
      <w:bodyDiv w:val="1"/>
      <w:marLeft w:val="0"/>
      <w:marRight w:val="0"/>
      <w:marTop w:val="0"/>
      <w:marBottom w:val="0"/>
      <w:divBdr>
        <w:top w:val="none" w:sz="0" w:space="0" w:color="auto"/>
        <w:left w:val="none" w:sz="0" w:space="0" w:color="auto"/>
        <w:bottom w:val="none" w:sz="0" w:space="0" w:color="auto"/>
        <w:right w:val="none" w:sz="0" w:space="0" w:color="auto"/>
      </w:divBdr>
    </w:div>
    <w:div w:id="314994216">
      <w:bodyDiv w:val="1"/>
      <w:marLeft w:val="0"/>
      <w:marRight w:val="0"/>
      <w:marTop w:val="0"/>
      <w:marBottom w:val="0"/>
      <w:divBdr>
        <w:top w:val="none" w:sz="0" w:space="0" w:color="auto"/>
        <w:left w:val="none" w:sz="0" w:space="0" w:color="auto"/>
        <w:bottom w:val="none" w:sz="0" w:space="0" w:color="auto"/>
        <w:right w:val="none" w:sz="0" w:space="0" w:color="auto"/>
      </w:divBdr>
    </w:div>
    <w:div w:id="320079912">
      <w:bodyDiv w:val="1"/>
      <w:marLeft w:val="0"/>
      <w:marRight w:val="0"/>
      <w:marTop w:val="0"/>
      <w:marBottom w:val="0"/>
      <w:divBdr>
        <w:top w:val="none" w:sz="0" w:space="0" w:color="auto"/>
        <w:left w:val="none" w:sz="0" w:space="0" w:color="auto"/>
        <w:bottom w:val="none" w:sz="0" w:space="0" w:color="auto"/>
        <w:right w:val="none" w:sz="0" w:space="0" w:color="auto"/>
      </w:divBdr>
    </w:div>
    <w:div w:id="331226552">
      <w:bodyDiv w:val="1"/>
      <w:marLeft w:val="0"/>
      <w:marRight w:val="0"/>
      <w:marTop w:val="0"/>
      <w:marBottom w:val="0"/>
      <w:divBdr>
        <w:top w:val="none" w:sz="0" w:space="0" w:color="auto"/>
        <w:left w:val="none" w:sz="0" w:space="0" w:color="auto"/>
        <w:bottom w:val="none" w:sz="0" w:space="0" w:color="auto"/>
        <w:right w:val="none" w:sz="0" w:space="0" w:color="auto"/>
      </w:divBdr>
    </w:div>
    <w:div w:id="351346109">
      <w:bodyDiv w:val="1"/>
      <w:marLeft w:val="0"/>
      <w:marRight w:val="0"/>
      <w:marTop w:val="0"/>
      <w:marBottom w:val="0"/>
      <w:divBdr>
        <w:top w:val="none" w:sz="0" w:space="0" w:color="auto"/>
        <w:left w:val="none" w:sz="0" w:space="0" w:color="auto"/>
        <w:bottom w:val="none" w:sz="0" w:space="0" w:color="auto"/>
        <w:right w:val="none" w:sz="0" w:space="0" w:color="auto"/>
      </w:divBdr>
    </w:div>
    <w:div w:id="380591490">
      <w:bodyDiv w:val="1"/>
      <w:marLeft w:val="0"/>
      <w:marRight w:val="0"/>
      <w:marTop w:val="0"/>
      <w:marBottom w:val="0"/>
      <w:divBdr>
        <w:top w:val="none" w:sz="0" w:space="0" w:color="auto"/>
        <w:left w:val="none" w:sz="0" w:space="0" w:color="auto"/>
        <w:bottom w:val="none" w:sz="0" w:space="0" w:color="auto"/>
        <w:right w:val="none" w:sz="0" w:space="0" w:color="auto"/>
      </w:divBdr>
    </w:div>
    <w:div w:id="383720375">
      <w:bodyDiv w:val="1"/>
      <w:marLeft w:val="0"/>
      <w:marRight w:val="0"/>
      <w:marTop w:val="0"/>
      <w:marBottom w:val="0"/>
      <w:divBdr>
        <w:top w:val="none" w:sz="0" w:space="0" w:color="auto"/>
        <w:left w:val="none" w:sz="0" w:space="0" w:color="auto"/>
        <w:bottom w:val="none" w:sz="0" w:space="0" w:color="auto"/>
        <w:right w:val="none" w:sz="0" w:space="0" w:color="auto"/>
      </w:divBdr>
    </w:div>
    <w:div w:id="399639021">
      <w:bodyDiv w:val="1"/>
      <w:marLeft w:val="0"/>
      <w:marRight w:val="0"/>
      <w:marTop w:val="0"/>
      <w:marBottom w:val="0"/>
      <w:divBdr>
        <w:top w:val="none" w:sz="0" w:space="0" w:color="auto"/>
        <w:left w:val="none" w:sz="0" w:space="0" w:color="auto"/>
        <w:bottom w:val="none" w:sz="0" w:space="0" w:color="auto"/>
        <w:right w:val="none" w:sz="0" w:space="0" w:color="auto"/>
      </w:divBdr>
    </w:div>
    <w:div w:id="402684667">
      <w:bodyDiv w:val="1"/>
      <w:marLeft w:val="0"/>
      <w:marRight w:val="0"/>
      <w:marTop w:val="0"/>
      <w:marBottom w:val="0"/>
      <w:divBdr>
        <w:top w:val="none" w:sz="0" w:space="0" w:color="auto"/>
        <w:left w:val="none" w:sz="0" w:space="0" w:color="auto"/>
        <w:bottom w:val="none" w:sz="0" w:space="0" w:color="auto"/>
        <w:right w:val="none" w:sz="0" w:space="0" w:color="auto"/>
      </w:divBdr>
    </w:div>
    <w:div w:id="410086216">
      <w:bodyDiv w:val="1"/>
      <w:marLeft w:val="0"/>
      <w:marRight w:val="0"/>
      <w:marTop w:val="0"/>
      <w:marBottom w:val="0"/>
      <w:divBdr>
        <w:top w:val="none" w:sz="0" w:space="0" w:color="auto"/>
        <w:left w:val="none" w:sz="0" w:space="0" w:color="auto"/>
        <w:bottom w:val="none" w:sz="0" w:space="0" w:color="auto"/>
        <w:right w:val="none" w:sz="0" w:space="0" w:color="auto"/>
      </w:divBdr>
    </w:div>
    <w:div w:id="427392589">
      <w:bodyDiv w:val="1"/>
      <w:marLeft w:val="0"/>
      <w:marRight w:val="0"/>
      <w:marTop w:val="0"/>
      <w:marBottom w:val="0"/>
      <w:divBdr>
        <w:top w:val="none" w:sz="0" w:space="0" w:color="auto"/>
        <w:left w:val="none" w:sz="0" w:space="0" w:color="auto"/>
        <w:bottom w:val="none" w:sz="0" w:space="0" w:color="auto"/>
        <w:right w:val="none" w:sz="0" w:space="0" w:color="auto"/>
      </w:divBdr>
    </w:div>
    <w:div w:id="429812319">
      <w:bodyDiv w:val="1"/>
      <w:marLeft w:val="0"/>
      <w:marRight w:val="0"/>
      <w:marTop w:val="0"/>
      <w:marBottom w:val="0"/>
      <w:divBdr>
        <w:top w:val="none" w:sz="0" w:space="0" w:color="auto"/>
        <w:left w:val="none" w:sz="0" w:space="0" w:color="auto"/>
        <w:bottom w:val="none" w:sz="0" w:space="0" w:color="auto"/>
        <w:right w:val="none" w:sz="0" w:space="0" w:color="auto"/>
      </w:divBdr>
    </w:div>
    <w:div w:id="434060618">
      <w:bodyDiv w:val="1"/>
      <w:marLeft w:val="0"/>
      <w:marRight w:val="0"/>
      <w:marTop w:val="0"/>
      <w:marBottom w:val="0"/>
      <w:divBdr>
        <w:top w:val="none" w:sz="0" w:space="0" w:color="auto"/>
        <w:left w:val="none" w:sz="0" w:space="0" w:color="auto"/>
        <w:bottom w:val="none" w:sz="0" w:space="0" w:color="auto"/>
        <w:right w:val="none" w:sz="0" w:space="0" w:color="auto"/>
      </w:divBdr>
    </w:div>
    <w:div w:id="444471520">
      <w:bodyDiv w:val="1"/>
      <w:marLeft w:val="0"/>
      <w:marRight w:val="0"/>
      <w:marTop w:val="0"/>
      <w:marBottom w:val="0"/>
      <w:divBdr>
        <w:top w:val="none" w:sz="0" w:space="0" w:color="auto"/>
        <w:left w:val="none" w:sz="0" w:space="0" w:color="auto"/>
        <w:bottom w:val="none" w:sz="0" w:space="0" w:color="auto"/>
        <w:right w:val="none" w:sz="0" w:space="0" w:color="auto"/>
      </w:divBdr>
    </w:div>
    <w:div w:id="479152288">
      <w:bodyDiv w:val="1"/>
      <w:marLeft w:val="0"/>
      <w:marRight w:val="0"/>
      <w:marTop w:val="0"/>
      <w:marBottom w:val="0"/>
      <w:divBdr>
        <w:top w:val="none" w:sz="0" w:space="0" w:color="auto"/>
        <w:left w:val="none" w:sz="0" w:space="0" w:color="auto"/>
        <w:bottom w:val="none" w:sz="0" w:space="0" w:color="auto"/>
        <w:right w:val="none" w:sz="0" w:space="0" w:color="auto"/>
      </w:divBdr>
    </w:div>
    <w:div w:id="479539510">
      <w:bodyDiv w:val="1"/>
      <w:marLeft w:val="0"/>
      <w:marRight w:val="0"/>
      <w:marTop w:val="0"/>
      <w:marBottom w:val="0"/>
      <w:divBdr>
        <w:top w:val="none" w:sz="0" w:space="0" w:color="auto"/>
        <w:left w:val="none" w:sz="0" w:space="0" w:color="auto"/>
        <w:bottom w:val="none" w:sz="0" w:space="0" w:color="auto"/>
        <w:right w:val="none" w:sz="0" w:space="0" w:color="auto"/>
      </w:divBdr>
    </w:div>
    <w:div w:id="483399798">
      <w:bodyDiv w:val="1"/>
      <w:marLeft w:val="0"/>
      <w:marRight w:val="0"/>
      <w:marTop w:val="0"/>
      <w:marBottom w:val="0"/>
      <w:divBdr>
        <w:top w:val="none" w:sz="0" w:space="0" w:color="auto"/>
        <w:left w:val="none" w:sz="0" w:space="0" w:color="auto"/>
        <w:bottom w:val="none" w:sz="0" w:space="0" w:color="auto"/>
        <w:right w:val="none" w:sz="0" w:space="0" w:color="auto"/>
      </w:divBdr>
    </w:div>
    <w:div w:id="483863681">
      <w:bodyDiv w:val="1"/>
      <w:marLeft w:val="0"/>
      <w:marRight w:val="0"/>
      <w:marTop w:val="0"/>
      <w:marBottom w:val="0"/>
      <w:divBdr>
        <w:top w:val="none" w:sz="0" w:space="0" w:color="auto"/>
        <w:left w:val="none" w:sz="0" w:space="0" w:color="auto"/>
        <w:bottom w:val="none" w:sz="0" w:space="0" w:color="auto"/>
        <w:right w:val="none" w:sz="0" w:space="0" w:color="auto"/>
      </w:divBdr>
    </w:div>
    <w:div w:id="490218479">
      <w:bodyDiv w:val="1"/>
      <w:marLeft w:val="0"/>
      <w:marRight w:val="0"/>
      <w:marTop w:val="0"/>
      <w:marBottom w:val="0"/>
      <w:divBdr>
        <w:top w:val="none" w:sz="0" w:space="0" w:color="auto"/>
        <w:left w:val="none" w:sz="0" w:space="0" w:color="auto"/>
        <w:bottom w:val="none" w:sz="0" w:space="0" w:color="auto"/>
        <w:right w:val="none" w:sz="0" w:space="0" w:color="auto"/>
      </w:divBdr>
    </w:div>
    <w:div w:id="498619942">
      <w:bodyDiv w:val="1"/>
      <w:marLeft w:val="0"/>
      <w:marRight w:val="0"/>
      <w:marTop w:val="0"/>
      <w:marBottom w:val="0"/>
      <w:divBdr>
        <w:top w:val="none" w:sz="0" w:space="0" w:color="auto"/>
        <w:left w:val="none" w:sz="0" w:space="0" w:color="auto"/>
        <w:bottom w:val="none" w:sz="0" w:space="0" w:color="auto"/>
        <w:right w:val="none" w:sz="0" w:space="0" w:color="auto"/>
      </w:divBdr>
    </w:div>
    <w:div w:id="527958685">
      <w:bodyDiv w:val="1"/>
      <w:marLeft w:val="0"/>
      <w:marRight w:val="0"/>
      <w:marTop w:val="0"/>
      <w:marBottom w:val="0"/>
      <w:divBdr>
        <w:top w:val="none" w:sz="0" w:space="0" w:color="auto"/>
        <w:left w:val="none" w:sz="0" w:space="0" w:color="auto"/>
        <w:bottom w:val="none" w:sz="0" w:space="0" w:color="auto"/>
        <w:right w:val="none" w:sz="0" w:space="0" w:color="auto"/>
      </w:divBdr>
    </w:div>
    <w:div w:id="539242814">
      <w:bodyDiv w:val="1"/>
      <w:marLeft w:val="0"/>
      <w:marRight w:val="0"/>
      <w:marTop w:val="0"/>
      <w:marBottom w:val="0"/>
      <w:divBdr>
        <w:top w:val="none" w:sz="0" w:space="0" w:color="auto"/>
        <w:left w:val="none" w:sz="0" w:space="0" w:color="auto"/>
        <w:bottom w:val="none" w:sz="0" w:space="0" w:color="auto"/>
        <w:right w:val="none" w:sz="0" w:space="0" w:color="auto"/>
      </w:divBdr>
    </w:div>
    <w:div w:id="566259501">
      <w:bodyDiv w:val="1"/>
      <w:marLeft w:val="0"/>
      <w:marRight w:val="0"/>
      <w:marTop w:val="0"/>
      <w:marBottom w:val="0"/>
      <w:divBdr>
        <w:top w:val="none" w:sz="0" w:space="0" w:color="auto"/>
        <w:left w:val="none" w:sz="0" w:space="0" w:color="auto"/>
        <w:bottom w:val="none" w:sz="0" w:space="0" w:color="auto"/>
        <w:right w:val="none" w:sz="0" w:space="0" w:color="auto"/>
      </w:divBdr>
    </w:div>
    <w:div w:id="573707133">
      <w:bodyDiv w:val="1"/>
      <w:marLeft w:val="0"/>
      <w:marRight w:val="0"/>
      <w:marTop w:val="0"/>
      <w:marBottom w:val="0"/>
      <w:divBdr>
        <w:top w:val="none" w:sz="0" w:space="0" w:color="auto"/>
        <w:left w:val="none" w:sz="0" w:space="0" w:color="auto"/>
        <w:bottom w:val="none" w:sz="0" w:space="0" w:color="auto"/>
        <w:right w:val="none" w:sz="0" w:space="0" w:color="auto"/>
      </w:divBdr>
    </w:div>
    <w:div w:id="596210696">
      <w:bodyDiv w:val="1"/>
      <w:marLeft w:val="0"/>
      <w:marRight w:val="0"/>
      <w:marTop w:val="0"/>
      <w:marBottom w:val="0"/>
      <w:divBdr>
        <w:top w:val="none" w:sz="0" w:space="0" w:color="auto"/>
        <w:left w:val="none" w:sz="0" w:space="0" w:color="auto"/>
        <w:bottom w:val="none" w:sz="0" w:space="0" w:color="auto"/>
        <w:right w:val="none" w:sz="0" w:space="0" w:color="auto"/>
      </w:divBdr>
    </w:div>
    <w:div w:id="599876478">
      <w:bodyDiv w:val="1"/>
      <w:marLeft w:val="0"/>
      <w:marRight w:val="0"/>
      <w:marTop w:val="0"/>
      <w:marBottom w:val="0"/>
      <w:divBdr>
        <w:top w:val="none" w:sz="0" w:space="0" w:color="auto"/>
        <w:left w:val="none" w:sz="0" w:space="0" w:color="auto"/>
        <w:bottom w:val="none" w:sz="0" w:space="0" w:color="auto"/>
        <w:right w:val="none" w:sz="0" w:space="0" w:color="auto"/>
      </w:divBdr>
    </w:div>
    <w:div w:id="599917824">
      <w:bodyDiv w:val="1"/>
      <w:marLeft w:val="0"/>
      <w:marRight w:val="0"/>
      <w:marTop w:val="0"/>
      <w:marBottom w:val="0"/>
      <w:divBdr>
        <w:top w:val="none" w:sz="0" w:space="0" w:color="auto"/>
        <w:left w:val="none" w:sz="0" w:space="0" w:color="auto"/>
        <w:bottom w:val="none" w:sz="0" w:space="0" w:color="auto"/>
        <w:right w:val="none" w:sz="0" w:space="0" w:color="auto"/>
      </w:divBdr>
    </w:div>
    <w:div w:id="601376683">
      <w:bodyDiv w:val="1"/>
      <w:marLeft w:val="0"/>
      <w:marRight w:val="0"/>
      <w:marTop w:val="0"/>
      <w:marBottom w:val="0"/>
      <w:divBdr>
        <w:top w:val="none" w:sz="0" w:space="0" w:color="auto"/>
        <w:left w:val="none" w:sz="0" w:space="0" w:color="auto"/>
        <w:bottom w:val="none" w:sz="0" w:space="0" w:color="auto"/>
        <w:right w:val="none" w:sz="0" w:space="0" w:color="auto"/>
      </w:divBdr>
    </w:div>
    <w:div w:id="638151703">
      <w:bodyDiv w:val="1"/>
      <w:marLeft w:val="0"/>
      <w:marRight w:val="0"/>
      <w:marTop w:val="0"/>
      <w:marBottom w:val="0"/>
      <w:divBdr>
        <w:top w:val="none" w:sz="0" w:space="0" w:color="auto"/>
        <w:left w:val="none" w:sz="0" w:space="0" w:color="auto"/>
        <w:bottom w:val="none" w:sz="0" w:space="0" w:color="auto"/>
        <w:right w:val="none" w:sz="0" w:space="0" w:color="auto"/>
      </w:divBdr>
    </w:div>
    <w:div w:id="667681009">
      <w:bodyDiv w:val="1"/>
      <w:marLeft w:val="0"/>
      <w:marRight w:val="0"/>
      <w:marTop w:val="0"/>
      <w:marBottom w:val="0"/>
      <w:divBdr>
        <w:top w:val="none" w:sz="0" w:space="0" w:color="auto"/>
        <w:left w:val="none" w:sz="0" w:space="0" w:color="auto"/>
        <w:bottom w:val="none" w:sz="0" w:space="0" w:color="auto"/>
        <w:right w:val="none" w:sz="0" w:space="0" w:color="auto"/>
      </w:divBdr>
    </w:div>
    <w:div w:id="675814221">
      <w:bodyDiv w:val="1"/>
      <w:marLeft w:val="0"/>
      <w:marRight w:val="0"/>
      <w:marTop w:val="0"/>
      <w:marBottom w:val="0"/>
      <w:divBdr>
        <w:top w:val="none" w:sz="0" w:space="0" w:color="auto"/>
        <w:left w:val="none" w:sz="0" w:space="0" w:color="auto"/>
        <w:bottom w:val="none" w:sz="0" w:space="0" w:color="auto"/>
        <w:right w:val="none" w:sz="0" w:space="0" w:color="auto"/>
      </w:divBdr>
    </w:div>
    <w:div w:id="676080419">
      <w:bodyDiv w:val="1"/>
      <w:marLeft w:val="0"/>
      <w:marRight w:val="0"/>
      <w:marTop w:val="0"/>
      <w:marBottom w:val="0"/>
      <w:divBdr>
        <w:top w:val="none" w:sz="0" w:space="0" w:color="auto"/>
        <w:left w:val="none" w:sz="0" w:space="0" w:color="auto"/>
        <w:bottom w:val="none" w:sz="0" w:space="0" w:color="auto"/>
        <w:right w:val="none" w:sz="0" w:space="0" w:color="auto"/>
      </w:divBdr>
    </w:div>
    <w:div w:id="680548129">
      <w:bodyDiv w:val="1"/>
      <w:marLeft w:val="0"/>
      <w:marRight w:val="0"/>
      <w:marTop w:val="0"/>
      <w:marBottom w:val="0"/>
      <w:divBdr>
        <w:top w:val="none" w:sz="0" w:space="0" w:color="auto"/>
        <w:left w:val="none" w:sz="0" w:space="0" w:color="auto"/>
        <w:bottom w:val="none" w:sz="0" w:space="0" w:color="auto"/>
        <w:right w:val="none" w:sz="0" w:space="0" w:color="auto"/>
      </w:divBdr>
    </w:div>
    <w:div w:id="691494952">
      <w:bodyDiv w:val="1"/>
      <w:marLeft w:val="0"/>
      <w:marRight w:val="0"/>
      <w:marTop w:val="0"/>
      <w:marBottom w:val="0"/>
      <w:divBdr>
        <w:top w:val="none" w:sz="0" w:space="0" w:color="auto"/>
        <w:left w:val="none" w:sz="0" w:space="0" w:color="auto"/>
        <w:bottom w:val="none" w:sz="0" w:space="0" w:color="auto"/>
        <w:right w:val="none" w:sz="0" w:space="0" w:color="auto"/>
      </w:divBdr>
    </w:div>
    <w:div w:id="706611757">
      <w:bodyDiv w:val="1"/>
      <w:marLeft w:val="0"/>
      <w:marRight w:val="0"/>
      <w:marTop w:val="0"/>
      <w:marBottom w:val="0"/>
      <w:divBdr>
        <w:top w:val="none" w:sz="0" w:space="0" w:color="auto"/>
        <w:left w:val="none" w:sz="0" w:space="0" w:color="auto"/>
        <w:bottom w:val="none" w:sz="0" w:space="0" w:color="auto"/>
        <w:right w:val="none" w:sz="0" w:space="0" w:color="auto"/>
      </w:divBdr>
    </w:div>
    <w:div w:id="739593165">
      <w:bodyDiv w:val="1"/>
      <w:marLeft w:val="0"/>
      <w:marRight w:val="0"/>
      <w:marTop w:val="0"/>
      <w:marBottom w:val="0"/>
      <w:divBdr>
        <w:top w:val="none" w:sz="0" w:space="0" w:color="auto"/>
        <w:left w:val="none" w:sz="0" w:space="0" w:color="auto"/>
        <w:bottom w:val="none" w:sz="0" w:space="0" w:color="auto"/>
        <w:right w:val="none" w:sz="0" w:space="0" w:color="auto"/>
      </w:divBdr>
    </w:div>
    <w:div w:id="749352713">
      <w:bodyDiv w:val="1"/>
      <w:marLeft w:val="0"/>
      <w:marRight w:val="0"/>
      <w:marTop w:val="0"/>
      <w:marBottom w:val="0"/>
      <w:divBdr>
        <w:top w:val="none" w:sz="0" w:space="0" w:color="auto"/>
        <w:left w:val="none" w:sz="0" w:space="0" w:color="auto"/>
        <w:bottom w:val="none" w:sz="0" w:space="0" w:color="auto"/>
        <w:right w:val="none" w:sz="0" w:space="0" w:color="auto"/>
      </w:divBdr>
    </w:div>
    <w:div w:id="781386187">
      <w:bodyDiv w:val="1"/>
      <w:marLeft w:val="0"/>
      <w:marRight w:val="0"/>
      <w:marTop w:val="0"/>
      <w:marBottom w:val="0"/>
      <w:divBdr>
        <w:top w:val="none" w:sz="0" w:space="0" w:color="auto"/>
        <w:left w:val="none" w:sz="0" w:space="0" w:color="auto"/>
        <w:bottom w:val="none" w:sz="0" w:space="0" w:color="auto"/>
        <w:right w:val="none" w:sz="0" w:space="0" w:color="auto"/>
      </w:divBdr>
    </w:div>
    <w:div w:id="782576698">
      <w:bodyDiv w:val="1"/>
      <w:marLeft w:val="0"/>
      <w:marRight w:val="0"/>
      <w:marTop w:val="0"/>
      <w:marBottom w:val="0"/>
      <w:divBdr>
        <w:top w:val="none" w:sz="0" w:space="0" w:color="auto"/>
        <w:left w:val="none" w:sz="0" w:space="0" w:color="auto"/>
        <w:bottom w:val="none" w:sz="0" w:space="0" w:color="auto"/>
        <w:right w:val="none" w:sz="0" w:space="0" w:color="auto"/>
      </w:divBdr>
    </w:div>
    <w:div w:id="798229612">
      <w:bodyDiv w:val="1"/>
      <w:marLeft w:val="0"/>
      <w:marRight w:val="0"/>
      <w:marTop w:val="0"/>
      <w:marBottom w:val="0"/>
      <w:divBdr>
        <w:top w:val="none" w:sz="0" w:space="0" w:color="auto"/>
        <w:left w:val="none" w:sz="0" w:space="0" w:color="auto"/>
        <w:bottom w:val="none" w:sz="0" w:space="0" w:color="auto"/>
        <w:right w:val="none" w:sz="0" w:space="0" w:color="auto"/>
      </w:divBdr>
    </w:div>
    <w:div w:id="800225148">
      <w:bodyDiv w:val="1"/>
      <w:marLeft w:val="0"/>
      <w:marRight w:val="0"/>
      <w:marTop w:val="0"/>
      <w:marBottom w:val="0"/>
      <w:divBdr>
        <w:top w:val="none" w:sz="0" w:space="0" w:color="auto"/>
        <w:left w:val="none" w:sz="0" w:space="0" w:color="auto"/>
        <w:bottom w:val="none" w:sz="0" w:space="0" w:color="auto"/>
        <w:right w:val="none" w:sz="0" w:space="0" w:color="auto"/>
      </w:divBdr>
    </w:div>
    <w:div w:id="821850043">
      <w:bodyDiv w:val="1"/>
      <w:marLeft w:val="0"/>
      <w:marRight w:val="0"/>
      <w:marTop w:val="0"/>
      <w:marBottom w:val="0"/>
      <w:divBdr>
        <w:top w:val="none" w:sz="0" w:space="0" w:color="auto"/>
        <w:left w:val="none" w:sz="0" w:space="0" w:color="auto"/>
        <w:bottom w:val="none" w:sz="0" w:space="0" w:color="auto"/>
        <w:right w:val="none" w:sz="0" w:space="0" w:color="auto"/>
      </w:divBdr>
    </w:div>
    <w:div w:id="849371615">
      <w:bodyDiv w:val="1"/>
      <w:marLeft w:val="0"/>
      <w:marRight w:val="0"/>
      <w:marTop w:val="0"/>
      <w:marBottom w:val="0"/>
      <w:divBdr>
        <w:top w:val="none" w:sz="0" w:space="0" w:color="auto"/>
        <w:left w:val="none" w:sz="0" w:space="0" w:color="auto"/>
        <w:bottom w:val="none" w:sz="0" w:space="0" w:color="auto"/>
        <w:right w:val="none" w:sz="0" w:space="0" w:color="auto"/>
      </w:divBdr>
    </w:div>
    <w:div w:id="852376838">
      <w:bodyDiv w:val="1"/>
      <w:marLeft w:val="0"/>
      <w:marRight w:val="0"/>
      <w:marTop w:val="0"/>
      <w:marBottom w:val="0"/>
      <w:divBdr>
        <w:top w:val="none" w:sz="0" w:space="0" w:color="auto"/>
        <w:left w:val="none" w:sz="0" w:space="0" w:color="auto"/>
        <w:bottom w:val="none" w:sz="0" w:space="0" w:color="auto"/>
        <w:right w:val="none" w:sz="0" w:space="0" w:color="auto"/>
      </w:divBdr>
    </w:div>
    <w:div w:id="861161874">
      <w:bodyDiv w:val="1"/>
      <w:marLeft w:val="0"/>
      <w:marRight w:val="0"/>
      <w:marTop w:val="0"/>
      <w:marBottom w:val="0"/>
      <w:divBdr>
        <w:top w:val="none" w:sz="0" w:space="0" w:color="auto"/>
        <w:left w:val="none" w:sz="0" w:space="0" w:color="auto"/>
        <w:bottom w:val="none" w:sz="0" w:space="0" w:color="auto"/>
        <w:right w:val="none" w:sz="0" w:space="0" w:color="auto"/>
      </w:divBdr>
    </w:div>
    <w:div w:id="868252934">
      <w:bodyDiv w:val="1"/>
      <w:marLeft w:val="0"/>
      <w:marRight w:val="0"/>
      <w:marTop w:val="0"/>
      <w:marBottom w:val="0"/>
      <w:divBdr>
        <w:top w:val="none" w:sz="0" w:space="0" w:color="auto"/>
        <w:left w:val="none" w:sz="0" w:space="0" w:color="auto"/>
        <w:bottom w:val="none" w:sz="0" w:space="0" w:color="auto"/>
        <w:right w:val="none" w:sz="0" w:space="0" w:color="auto"/>
      </w:divBdr>
    </w:div>
    <w:div w:id="883257028">
      <w:bodyDiv w:val="1"/>
      <w:marLeft w:val="0"/>
      <w:marRight w:val="0"/>
      <w:marTop w:val="0"/>
      <w:marBottom w:val="0"/>
      <w:divBdr>
        <w:top w:val="none" w:sz="0" w:space="0" w:color="auto"/>
        <w:left w:val="none" w:sz="0" w:space="0" w:color="auto"/>
        <w:bottom w:val="none" w:sz="0" w:space="0" w:color="auto"/>
        <w:right w:val="none" w:sz="0" w:space="0" w:color="auto"/>
      </w:divBdr>
    </w:div>
    <w:div w:id="924000966">
      <w:bodyDiv w:val="1"/>
      <w:marLeft w:val="0"/>
      <w:marRight w:val="0"/>
      <w:marTop w:val="0"/>
      <w:marBottom w:val="0"/>
      <w:divBdr>
        <w:top w:val="none" w:sz="0" w:space="0" w:color="auto"/>
        <w:left w:val="none" w:sz="0" w:space="0" w:color="auto"/>
        <w:bottom w:val="none" w:sz="0" w:space="0" w:color="auto"/>
        <w:right w:val="none" w:sz="0" w:space="0" w:color="auto"/>
      </w:divBdr>
    </w:div>
    <w:div w:id="972565626">
      <w:bodyDiv w:val="1"/>
      <w:marLeft w:val="0"/>
      <w:marRight w:val="0"/>
      <w:marTop w:val="0"/>
      <w:marBottom w:val="0"/>
      <w:divBdr>
        <w:top w:val="none" w:sz="0" w:space="0" w:color="auto"/>
        <w:left w:val="none" w:sz="0" w:space="0" w:color="auto"/>
        <w:bottom w:val="none" w:sz="0" w:space="0" w:color="auto"/>
        <w:right w:val="none" w:sz="0" w:space="0" w:color="auto"/>
      </w:divBdr>
    </w:div>
    <w:div w:id="1015113382">
      <w:bodyDiv w:val="1"/>
      <w:marLeft w:val="0"/>
      <w:marRight w:val="0"/>
      <w:marTop w:val="0"/>
      <w:marBottom w:val="0"/>
      <w:divBdr>
        <w:top w:val="none" w:sz="0" w:space="0" w:color="auto"/>
        <w:left w:val="none" w:sz="0" w:space="0" w:color="auto"/>
        <w:bottom w:val="none" w:sz="0" w:space="0" w:color="auto"/>
        <w:right w:val="none" w:sz="0" w:space="0" w:color="auto"/>
      </w:divBdr>
    </w:div>
    <w:div w:id="1029333830">
      <w:bodyDiv w:val="1"/>
      <w:marLeft w:val="0"/>
      <w:marRight w:val="0"/>
      <w:marTop w:val="0"/>
      <w:marBottom w:val="0"/>
      <w:divBdr>
        <w:top w:val="none" w:sz="0" w:space="0" w:color="auto"/>
        <w:left w:val="none" w:sz="0" w:space="0" w:color="auto"/>
        <w:bottom w:val="none" w:sz="0" w:space="0" w:color="auto"/>
        <w:right w:val="none" w:sz="0" w:space="0" w:color="auto"/>
      </w:divBdr>
    </w:div>
    <w:div w:id="1048533408">
      <w:bodyDiv w:val="1"/>
      <w:marLeft w:val="0"/>
      <w:marRight w:val="0"/>
      <w:marTop w:val="0"/>
      <w:marBottom w:val="0"/>
      <w:divBdr>
        <w:top w:val="none" w:sz="0" w:space="0" w:color="auto"/>
        <w:left w:val="none" w:sz="0" w:space="0" w:color="auto"/>
        <w:bottom w:val="none" w:sz="0" w:space="0" w:color="auto"/>
        <w:right w:val="none" w:sz="0" w:space="0" w:color="auto"/>
      </w:divBdr>
    </w:div>
    <w:div w:id="1057581883">
      <w:bodyDiv w:val="1"/>
      <w:marLeft w:val="0"/>
      <w:marRight w:val="0"/>
      <w:marTop w:val="0"/>
      <w:marBottom w:val="0"/>
      <w:divBdr>
        <w:top w:val="none" w:sz="0" w:space="0" w:color="auto"/>
        <w:left w:val="none" w:sz="0" w:space="0" w:color="auto"/>
        <w:bottom w:val="none" w:sz="0" w:space="0" w:color="auto"/>
        <w:right w:val="none" w:sz="0" w:space="0" w:color="auto"/>
      </w:divBdr>
    </w:div>
    <w:div w:id="1078403036">
      <w:bodyDiv w:val="1"/>
      <w:marLeft w:val="0"/>
      <w:marRight w:val="0"/>
      <w:marTop w:val="0"/>
      <w:marBottom w:val="0"/>
      <w:divBdr>
        <w:top w:val="none" w:sz="0" w:space="0" w:color="auto"/>
        <w:left w:val="none" w:sz="0" w:space="0" w:color="auto"/>
        <w:bottom w:val="none" w:sz="0" w:space="0" w:color="auto"/>
        <w:right w:val="none" w:sz="0" w:space="0" w:color="auto"/>
      </w:divBdr>
    </w:div>
    <w:div w:id="1107888647">
      <w:bodyDiv w:val="1"/>
      <w:marLeft w:val="0"/>
      <w:marRight w:val="0"/>
      <w:marTop w:val="0"/>
      <w:marBottom w:val="0"/>
      <w:divBdr>
        <w:top w:val="none" w:sz="0" w:space="0" w:color="auto"/>
        <w:left w:val="none" w:sz="0" w:space="0" w:color="auto"/>
        <w:bottom w:val="none" w:sz="0" w:space="0" w:color="auto"/>
        <w:right w:val="none" w:sz="0" w:space="0" w:color="auto"/>
      </w:divBdr>
    </w:div>
    <w:div w:id="1111822943">
      <w:bodyDiv w:val="1"/>
      <w:marLeft w:val="0"/>
      <w:marRight w:val="0"/>
      <w:marTop w:val="0"/>
      <w:marBottom w:val="0"/>
      <w:divBdr>
        <w:top w:val="none" w:sz="0" w:space="0" w:color="auto"/>
        <w:left w:val="none" w:sz="0" w:space="0" w:color="auto"/>
        <w:bottom w:val="none" w:sz="0" w:space="0" w:color="auto"/>
        <w:right w:val="none" w:sz="0" w:space="0" w:color="auto"/>
      </w:divBdr>
    </w:div>
    <w:div w:id="1127509421">
      <w:bodyDiv w:val="1"/>
      <w:marLeft w:val="0"/>
      <w:marRight w:val="0"/>
      <w:marTop w:val="0"/>
      <w:marBottom w:val="0"/>
      <w:divBdr>
        <w:top w:val="none" w:sz="0" w:space="0" w:color="auto"/>
        <w:left w:val="none" w:sz="0" w:space="0" w:color="auto"/>
        <w:bottom w:val="none" w:sz="0" w:space="0" w:color="auto"/>
        <w:right w:val="none" w:sz="0" w:space="0" w:color="auto"/>
      </w:divBdr>
    </w:div>
    <w:div w:id="1147278362">
      <w:bodyDiv w:val="1"/>
      <w:marLeft w:val="0"/>
      <w:marRight w:val="0"/>
      <w:marTop w:val="0"/>
      <w:marBottom w:val="0"/>
      <w:divBdr>
        <w:top w:val="none" w:sz="0" w:space="0" w:color="auto"/>
        <w:left w:val="none" w:sz="0" w:space="0" w:color="auto"/>
        <w:bottom w:val="none" w:sz="0" w:space="0" w:color="auto"/>
        <w:right w:val="none" w:sz="0" w:space="0" w:color="auto"/>
      </w:divBdr>
    </w:div>
    <w:div w:id="1196038335">
      <w:bodyDiv w:val="1"/>
      <w:marLeft w:val="0"/>
      <w:marRight w:val="0"/>
      <w:marTop w:val="0"/>
      <w:marBottom w:val="0"/>
      <w:divBdr>
        <w:top w:val="none" w:sz="0" w:space="0" w:color="auto"/>
        <w:left w:val="none" w:sz="0" w:space="0" w:color="auto"/>
        <w:bottom w:val="none" w:sz="0" w:space="0" w:color="auto"/>
        <w:right w:val="none" w:sz="0" w:space="0" w:color="auto"/>
      </w:divBdr>
    </w:div>
    <w:div w:id="1199124924">
      <w:bodyDiv w:val="1"/>
      <w:marLeft w:val="0"/>
      <w:marRight w:val="0"/>
      <w:marTop w:val="0"/>
      <w:marBottom w:val="0"/>
      <w:divBdr>
        <w:top w:val="none" w:sz="0" w:space="0" w:color="auto"/>
        <w:left w:val="none" w:sz="0" w:space="0" w:color="auto"/>
        <w:bottom w:val="none" w:sz="0" w:space="0" w:color="auto"/>
        <w:right w:val="none" w:sz="0" w:space="0" w:color="auto"/>
      </w:divBdr>
    </w:div>
    <w:div w:id="1201430885">
      <w:bodyDiv w:val="1"/>
      <w:marLeft w:val="0"/>
      <w:marRight w:val="0"/>
      <w:marTop w:val="0"/>
      <w:marBottom w:val="0"/>
      <w:divBdr>
        <w:top w:val="none" w:sz="0" w:space="0" w:color="auto"/>
        <w:left w:val="none" w:sz="0" w:space="0" w:color="auto"/>
        <w:bottom w:val="none" w:sz="0" w:space="0" w:color="auto"/>
        <w:right w:val="none" w:sz="0" w:space="0" w:color="auto"/>
      </w:divBdr>
    </w:div>
    <w:div w:id="1208760450">
      <w:bodyDiv w:val="1"/>
      <w:marLeft w:val="0"/>
      <w:marRight w:val="0"/>
      <w:marTop w:val="0"/>
      <w:marBottom w:val="0"/>
      <w:divBdr>
        <w:top w:val="none" w:sz="0" w:space="0" w:color="auto"/>
        <w:left w:val="none" w:sz="0" w:space="0" w:color="auto"/>
        <w:bottom w:val="none" w:sz="0" w:space="0" w:color="auto"/>
        <w:right w:val="none" w:sz="0" w:space="0" w:color="auto"/>
      </w:divBdr>
    </w:div>
    <w:div w:id="1217663908">
      <w:bodyDiv w:val="1"/>
      <w:marLeft w:val="0"/>
      <w:marRight w:val="0"/>
      <w:marTop w:val="0"/>
      <w:marBottom w:val="0"/>
      <w:divBdr>
        <w:top w:val="none" w:sz="0" w:space="0" w:color="auto"/>
        <w:left w:val="none" w:sz="0" w:space="0" w:color="auto"/>
        <w:bottom w:val="none" w:sz="0" w:space="0" w:color="auto"/>
        <w:right w:val="none" w:sz="0" w:space="0" w:color="auto"/>
      </w:divBdr>
    </w:div>
    <w:div w:id="1233808564">
      <w:bodyDiv w:val="1"/>
      <w:marLeft w:val="0"/>
      <w:marRight w:val="0"/>
      <w:marTop w:val="0"/>
      <w:marBottom w:val="0"/>
      <w:divBdr>
        <w:top w:val="none" w:sz="0" w:space="0" w:color="auto"/>
        <w:left w:val="none" w:sz="0" w:space="0" w:color="auto"/>
        <w:bottom w:val="none" w:sz="0" w:space="0" w:color="auto"/>
        <w:right w:val="none" w:sz="0" w:space="0" w:color="auto"/>
      </w:divBdr>
    </w:div>
    <w:div w:id="1287545879">
      <w:bodyDiv w:val="1"/>
      <w:marLeft w:val="0"/>
      <w:marRight w:val="0"/>
      <w:marTop w:val="0"/>
      <w:marBottom w:val="0"/>
      <w:divBdr>
        <w:top w:val="none" w:sz="0" w:space="0" w:color="auto"/>
        <w:left w:val="none" w:sz="0" w:space="0" w:color="auto"/>
        <w:bottom w:val="none" w:sz="0" w:space="0" w:color="auto"/>
        <w:right w:val="none" w:sz="0" w:space="0" w:color="auto"/>
      </w:divBdr>
    </w:div>
    <w:div w:id="1293026114">
      <w:bodyDiv w:val="1"/>
      <w:marLeft w:val="0"/>
      <w:marRight w:val="0"/>
      <w:marTop w:val="0"/>
      <w:marBottom w:val="0"/>
      <w:divBdr>
        <w:top w:val="none" w:sz="0" w:space="0" w:color="auto"/>
        <w:left w:val="none" w:sz="0" w:space="0" w:color="auto"/>
        <w:bottom w:val="none" w:sz="0" w:space="0" w:color="auto"/>
        <w:right w:val="none" w:sz="0" w:space="0" w:color="auto"/>
      </w:divBdr>
    </w:div>
    <w:div w:id="1341473485">
      <w:bodyDiv w:val="1"/>
      <w:marLeft w:val="0"/>
      <w:marRight w:val="0"/>
      <w:marTop w:val="0"/>
      <w:marBottom w:val="0"/>
      <w:divBdr>
        <w:top w:val="none" w:sz="0" w:space="0" w:color="auto"/>
        <w:left w:val="none" w:sz="0" w:space="0" w:color="auto"/>
        <w:bottom w:val="none" w:sz="0" w:space="0" w:color="auto"/>
        <w:right w:val="none" w:sz="0" w:space="0" w:color="auto"/>
      </w:divBdr>
    </w:div>
    <w:div w:id="1353074440">
      <w:bodyDiv w:val="1"/>
      <w:marLeft w:val="0"/>
      <w:marRight w:val="0"/>
      <w:marTop w:val="0"/>
      <w:marBottom w:val="0"/>
      <w:divBdr>
        <w:top w:val="none" w:sz="0" w:space="0" w:color="auto"/>
        <w:left w:val="none" w:sz="0" w:space="0" w:color="auto"/>
        <w:bottom w:val="none" w:sz="0" w:space="0" w:color="auto"/>
        <w:right w:val="none" w:sz="0" w:space="0" w:color="auto"/>
      </w:divBdr>
    </w:div>
    <w:div w:id="1382047992">
      <w:bodyDiv w:val="1"/>
      <w:marLeft w:val="0"/>
      <w:marRight w:val="0"/>
      <w:marTop w:val="0"/>
      <w:marBottom w:val="0"/>
      <w:divBdr>
        <w:top w:val="none" w:sz="0" w:space="0" w:color="auto"/>
        <w:left w:val="none" w:sz="0" w:space="0" w:color="auto"/>
        <w:bottom w:val="none" w:sz="0" w:space="0" w:color="auto"/>
        <w:right w:val="none" w:sz="0" w:space="0" w:color="auto"/>
      </w:divBdr>
    </w:div>
    <w:div w:id="1416587513">
      <w:bodyDiv w:val="1"/>
      <w:marLeft w:val="0"/>
      <w:marRight w:val="0"/>
      <w:marTop w:val="0"/>
      <w:marBottom w:val="0"/>
      <w:divBdr>
        <w:top w:val="none" w:sz="0" w:space="0" w:color="auto"/>
        <w:left w:val="none" w:sz="0" w:space="0" w:color="auto"/>
        <w:bottom w:val="none" w:sz="0" w:space="0" w:color="auto"/>
        <w:right w:val="none" w:sz="0" w:space="0" w:color="auto"/>
      </w:divBdr>
    </w:div>
    <w:div w:id="1447773140">
      <w:bodyDiv w:val="1"/>
      <w:marLeft w:val="0"/>
      <w:marRight w:val="0"/>
      <w:marTop w:val="0"/>
      <w:marBottom w:val="0"/>
      <w:divBdr>
        <w:top w:val="none" w:sz="0" w:space="0" w:color="auto"/>
        <w:left w:val="none" w:sz="0" w:space="0" w:color="auto"/>
        <w:bottom w:val="none" w:sz="0" w:space="0" w:color="auto"/>
        <w:right w:val="none" w:sz="0" w:space="0" w:color="auto"/>
      </w:divBdr>
    </w:div>
    <w:div w:id="1471367212">
      <w:bodyDiv w:val="1"/>
      <w:marLeft w:val="0"/>
      <w:marRight w:val="0"/>
      <w:marTop w:val="0"/>
      <w:marBottom w:val="0"/>
      <w:divBdr>
        <w:top w:val="none" w:sz="0" w:space="0" w:color="auto"/>
        <w:left w:val="none" w:sz="0" w:space="0" w:color="auto"/>
        <w:bottom w:val="none" w:sz="0" w:space="0" w:color="auto"/>
        <w:right w:val="none" w:sz="0" w:space="0" w:color="auto"/>
      </w:divBdr>
    </w:div>
    <w:div w:id="1482651061">
      <w:bodyDiv w:val="1"/>
      <w:marLeft w:val="0"/>
      <w:marRight w:val="0"/>
      <w:marTop w:val="0"/>
      <w:marBottom w:val="0"/>
      <w:divBdr>
        <w:top w:val="none" w:sz="0" w:space="0" w:color="auto"/>
        <w:left w:val="none" w:sz="0" w:space="0" w:color="auto"/>
        <w:bottom w:val="none" w:sz="0" w:space="0" w:color="auto"/>
        <w:right w:val="none" w:sz="0" w:space="0" w:color="auto"/>
      </w:divBdr>
    </w:div>
    <w:div w:id="1492136458">
      <w:bodyDiv w:val="1"/>
      <w:marLeft w:val="0"/>
      <w:marRight w:val="0"/>
      <w:marTop w:val="0"/>
      <w:marBottom w:val="0"/>
      <w:divBdr>
        <w:top w:val="none" w:sz="0" w:space="0" w:color="auto"/>
        <w:left w:val="none" w:sz="0" w:space="0" w:color="auto"/>
        <w:bottom w:val="none" w:sz="0" w:space="0" w:color="auto"/>
        <w:right w:val="none" w:sz="0" w:space="0" w:color="auto"/>
      </w:divBdr>
    </w:div>
    <w:div w:id="1495800518">
      <w:bodyDiv w:val="1"/>
      <w:marLeft w:val="0"/>
      <w:marRight w:val="0"/>
      <w:marTop w:val="0"/>
      <w:marBottom w:val="0"/>
      <w:divBdr>
        <w:top w:val="none" w:sz="0" w:space="0" w:color="auto"/>
        <w:left w:val="none" w:sz="0" w:space="0" w:color="auto"/>
        <w:bottom w:val="none" w:sz="0" w:space="0" w:color="auto"/>
        <w:right w:val="none" w:sz="0" w:space="0" w:color="auto"/>
      </w:divBdr>
    </w:div>
    <w:div w:id="1503348334">
      <w:bodyDiv w:val="1"/>
      <w:marLeft w:val="0"/>
      <w:marRight w:val="0"/>
      <w:marTop w:val="0"/>
      <w:marBottom w:val="0"/>
      <w:divBdr>
        <w:top w:val="none" w:sz="0" w:space="0" w:color="auto"/>
        <w:left w:val="none" w:sz="0" w:space="0" w:color="auto"/>
        <w:bottom w:val="none" w:sz="0" w:space="0" w:color="auto"/>
        <w:right w:val="none" w:sz="0" w:space="0" w:color="auto"/>
      </w:divBdr>
    </w:div>
    <w:div w:id="1513183104">
      <w:bodyDiv w:val="1"/>
      <w:marLeft w:val="0"/>
      <w:marRight w:val="0"/>
      <w:marTop w:val="0"/>
      <w:marBottom w:val="0"/>
      <w:divBdr>
        <w:top w:val="none" w:sz="0" w:space="0" w:color="auto"/>
        <w:left w:val="none" w:sz="0" w:space="0" w:color="auto"/>
        <w:bottom w:val="none" w:sz="0" w:space="0" w:color="auto"/>
        <w:right w:val="none" w:sz="0" w:space="0" w:color="auto"/>
      </w:divBdr>
    </w:div>
    <w:div w:id="1522431767">
      <w:bodyDiv w:val="1"/>
      <w:marLeft w:val="0"/>
      <w:marRight w:val="0"/>
      <w:marTop w:val="0"/>
      <w:marBottom w:val="0"/>
      <w:divBdr>
        <w:top w:val="none" w:sz="0" w:space="0" w:color="auto"/>
        <w:left w:val="none" w:sz="0" w:space="0" w:color="auto"/>
        <w:bottom w:val="none" w:sz="0" w:space="0" w:color="auto"/>
        <w:right w:val="none" w:sz="0" w:space="0" w:color="auto"/>
      </w:divBdr>
    </w:div>
    <w:div w:id="1524708670">
      <w:bodyDiv w:val="1"/>
      <w:marLeft w:val="0"/>
      <w:marRight w:val="0"/>
      <w:marTop w:val="0"/>
      <w:marBottom w:val="0"/>
      <w:divBdr>
        <w:top w:val="none" w:sz="0" w:space="0" w:color="auto"/>
        <w:left w:val="none" w:sz="0" w:space="0" w:color="auto"/>
        <w:bottom w:val="none" w:sz="0" w:space="0" w:color="auto"/>
        <w:right w:val="none" w:sz="0" w:space="0" w:color="auto"/>
      </w:divBdr>
    </w:div>
    <w:div w:id="1540194224">
      <w:bodyDiv w:val="1"/>
      <w:marLeft w:val="0"/>
      <w:marRight w:val="0"/>
      <w:marTop w:val="0"/>
      <w:marBottom w:val="0"/>
      <w:divBdr>
        <w:top w:val="none" w:sz="0" w:space="0" w:color="auto"/>
        <w:left w:val="none" w:sz="0" w:space="0" w:color="auto"/>
        <w:bottom w:val="none" w:sz="0" w:space="0" w:color="auto"/>
        <w:right w:val="none" w:sz="0" w:space="0" w:color="auto"/>
      </w:divBdr>
    </w:div>
    <w:div w:id="1568492944">
      <w:bodyDiv w:val="1"/>
      <w:marLeft w:val="0"/>
      <w:marRight w:val="0"/>
      <w:marTop w:val="0"/>
      <w:marBottom w:val="0"/>
      <w:divBdr>
        <w:top w:val="none" w:sz="0" w:space="0" w:color="auto"/>
        <w:left w:val="none" w:sz="0" w:space="0" w:color="auto"/>
        <w:bottom w:val="none" w:sz="0" w:space="0" w:color="auto"/>
        <w:right w:val="none" w:sz="0" w:space="0" w:color="auto"/>
      </w:divBdr>
    </w:div>
    <w:div w:id="1574777948">
      <w:bodyDiv w:val="1"/>
      <w:marLeft w:val="0"/>
      <w:marRight w:val="0"/>
      <w:marTop w:val="0"/>
      <w:marBottom w:val="0"/>
      <w:divBdr>
        <w:top w:val="none" w:sz="0" w:space="0" w:color="auto"/>
        <w:left w:val="none" w:sz="0" w:space="0" w:color="auto"/>
        <w:bottom w:val="none" w:sz="0" w:space="0" w:color="auto"/>
        <w:right w:val="none" w:sz="0" w:space="0" w:color="auto"/>
      </w:divBdr>
    </w:div>
    <w:div w:id="1584877911">
      <w:bodyDiv w:val="1"/>
      <w:marLeft w:val="0"/>
      <w:marRight w:val="0"/>
      <w:marTop w:val="0"/>
      <w:marBottom w:val="0"/>
      <w:divBdr>
        <w:top w:val="none" w:sz="0" w:space="0" w:color="auto"/>
        <w:left w:val="none" w:sz="0" w:space="0" w:color="auto"/>
        <w:bottom w:val="none" w:sz="0" w:space="0" w:color="auto"/>
        <w:right w:val="none" w:sz="0" w:space="0" w:color="auto"/>
      </w:divBdr>
    </w:div>
    <w:div w:id="1604605151">
      <w:bodyDiv w:val="1"/>
      <w:marLeft w:val="0"/>
      <w:marRight w:val="0"/>
      <w:marTop w:val="0"/>
      <w:marBottom w:val="0"/>
      <w:divBdr>
        <w:top w:val="none" w:sz="0" w:space="0" w:color="auto"/>
        <w:left w:val="none" w:sz="0" w:space="0" w:color="auto"/>
        <w:bottom w:val="none" w:sz="0" w:space="0" w:color="auto"/>
        <w:right w:val="none" w:sz="0" w:space="0" w:color="auto"/>
      </w:divBdr>
    </w:div>
    <w:div w:id="1618946545">
      <w:bodyDiv w:val="1"/>
      <w:marLeft w:val="0"/>
      <w:marRight w:val="0"/>
      <w:marTop w:val="0"/>
      <w:marBottom w:val="0"/>
      <w:divBdr>
        <w:top w:val="none" w:sz="0" w:space="0" w:color="auto"/>
        <w:left w:val="none" w:sz="0" w:space="0" w:color="auto"/>
        <w:bottom w:val="none" w:sz="0" w:space="0" w:color="auto"/>
        <w:right w:val="none" w:sz="0" w:space="0" w:color="auto"/>
      </w:divBdr>
    </w:div>
    <w:div w:id="1645621009">
      <w:bodyDiv w:val="1"/>
      <w:marLeft w:val="0"/>
      <w:marRight w:val="0"/>
      <w:marTop w:val="0"/>
      <w:marBottom w:val="0"/>
      <w:divBdr>
        <w:top w:val="none" w:sz="0" w:space="0" w:color="auto"/>
        <w:left w:val="none" w:sz="0" w:space="0" w:color="auto"/>
        <w:bottom w:val="none" w:sz="0" w:space="0" w:color="auto"/>
        <w:right w:val="none" w:sz="0" w:space="0" w:color="auto"/>
      </w:divBdr>
    </w:div>
    <w:div w:id="1679429522">
      <w:bodyDiv w:val="1"/>
      <w:marLeft w:val="0"/>
      <w:marRight w:val="0"/>
      <w:marTop w:val="0"/>
      <w:marBottom w:val="0"/>
      <w:divBdr>
        <w:top w:val="none" w:sz="0" w:space="0" w:color="auto"/>
        <w:left w:val="none" w:sz="0" w:space="0" w:color="auto"/>
        <w:bottom w:val="none" w:sz="0" w:space="0" w:color="auto"/>
        <w:right w:val="none" w:sz="0" w:space="0" w:color="auto"/>
      </w:divBdr>
    </w:div>
    <w:div w:id="1710379368">
      <w:bodyDiv w:val="1"/>
      <w:marLeft w:val="0"/>
      <w:marRight w:val="0"/>
      <w:marTop w:val="0"/>
      <w:marBottom w:val="0"/>
      <w:divBdr>
        <w:top w:val="none" w:sz="0" w:space="0" w:color="auto"/>
        <w:left w:val="none" w:sz="0" w:space="0" w:color="auto"/>
        <w:bottom w:val="none" w:sz="0" w:space="0" w:color="auto"/>
        <w:right w:val="none" w:sz="0" w:space="0" w:color="auto"/>
      </w:divBdr>
    </w:div>
    <w:div w:id="1715152382">
      <w:bodyDiv w:val="1"/>
      <w:marLeft w:val="0"/>
      <w:marRight w:val="0"/>
      <w:marTop w:val="0"/>
      <w:marBottom w:val="0"/>
      <w:divBdr>
        <w:top w:val="none" w:sz="0" w:space="0" w:color="auto"/>
        <w:left w:val="none" w:sz="0" w:space="0" w:color="auto"/>
        <w:bottom w:val="none" w:sz="0" w:space="0" w:color="auto"/>
        <w:right w:val="none" w:sz="0" w:space="0" w:color="auto"/>
      </w:divBdr>
    </w:div>
    <w:div w:id="1720471377">
      <w:bodyDiv w:val="1"/>
      <w:marLeft w:val="0"/>
      <w:marRight w:val="0"/>
      <w:marTop w:val="0"/>
      <w:marBottom w:val="0"/>
      <w:divBdr>
        <w:top w:val="none" w:sz="0" w:space="0" w:color="auto"/>
        <w:left w:val="none" w:sz="0" w:space="0" w:color="auto"/>
        <w:bottom w:val="none" w:sz="0" w:space="0" w:color="auto"/>
        <w:right w:val="none" w:sz="0" w:space="0" w:color="auto"/>
      </w:divBdr>
    </w:div>
    <w:div w:id="1728845132">
      <w:bodyDiv w:val="1"/>
      <w:marLeft w:val="0"/>
      <w:marRight w:val="0"/>
      <w:marTop w:val="0"/>
      <w:marBottom w:val="0"/>
      <w:divBdr>
        <w:top w:val="none" w:sz="0" w:space="0" w:color="auto"/>
        <w:left w:val="none" w:sz="0" w:space="0" w:color="auto"/>
        <w:bottom w:val="none" w:sz="0" w:space="0" w:color="auto"/>
        <w:right w:val="none" w:sz="0" w:space="0" w:color="auto"/>
      </w:divBdr>
    </w:div>
    <w:div w:id="1740248268">
      <w:bodyDiv w:val="1"/>
      <w:marLeft w:val="0"/>
      <w:marRight w:val="0"/>
      <w:marTop w:val="0"/>
      <w:marBottom w:val="0"/>
      <w:divBdr>
        <w:top w:val="none" w:sz="0" w:space="0" w:color="auto"/>
        <w:left w:val="none" w:sz="0" w:space="0" w:color="auto"/>
        <w:bottom w:val="none" w:sz="0" w:space="0" w:color="auto"/>
        <w:right w:val="none" w:sz="0" w:space="0" w:color="auto"/>
      </w:divBdr>
    </w:div>
    <w:div w:id="1757750630">
      <w:bodyDiv w:val="1"/>
      <w:marLeft w:val="0"/>
      <w:marRight w:val="0"/>
      <w:marTop w:val="0"/>
      <w:marBottom w:val="0"/>
      <w:divBdr>
        <w:top w:val="none" w:sz="0" w:space="0" w:color="auto"/>
        <w:left w:val="none" w:sz="0" w:space="0" w:color="auto"/>
        <w:bottom w:val="none" w:sz="0" w:space="0" w:color="auto"/>
        <w:right w:val="none" w:sz="0" w:space="0" w:color="auto"/>
      </w:divBdr>
    </w:div>
    <w:div w:id="1771702860">
      <w:bodyDiv w:val="1"/>
      <w:marLeft w:val="0"/>
      <w:marRight w:val="0"/>
      <w:marTop w:val="0"/>
      <w:marBottom w:val="0"/>
      <w:divBdr>
        <w:top w:val="none" w:sz="0" w:space="0" w:color="auto"/>
        <w:left w:val="none" w:sz="0" w:space="0" w:color="auto"/>
        <w:bottom w:val="none" w:sz="0" w:space="0" w:color="auto"/>
        <w:right w:val="none" w:sz="0" w:space="0" w:color="auto"/>
      </w:divBdr>
    </w:div>
    <w:div w:id="1827938095">
      <w:bodyDiv w:val="1"/>
      <w:marLeft w:val="0"/>
      <w:marRight w:val="0"/>
      <w:marTop w:val="0"/>
      <w:marBottom w:val="0"/>
      <w:divBdr>
        <w:top w:val="none" w:sz="0" w:space="0" w:color="auto"/>
        <w:left w:val="none" w:sz="0" w:space="0" w:color="auto"/>
        <w:bottom w:val="none" w:sz="0" w:space="0" w:color="auto"/>
        <w:right w:val="none" w:sz="0" w:space="0" w:color="auto"/>
      </w:divBdr>
    </w:div>
    <w:div w:id="1828009383">
      <w:bodyDiv w:val="1"/>
      <w:marLeft w:val="0"/>
      <w:marRight w:val="0"/>
      <w:marTop w:val="0"/>
      <w:marBottom w:val="0"/>
      <w:divBdr>
        <w:top w:val="none" w:sz="0" w:space="0" w:color="auto"/>
        <w:left w:val="none" w:sz="0" w:space="0" w:color="auto"/>
        <w:bottom w:val="none" w:sz="0" w:space="0" w:color="auto"/>
        <w:right w:val="none" w:sz="0" w:space="0" w:color="auto"/>
      </w:divBdr>
    </w:div>
    <w:div w:id="1831746899">
      <w:bodyDiv w:val="1"/>
      <w:marLeft w:val="0"/>
      <w:marRight w:val="0"/>
      <w:marTop w:val="0"/>
      <w:marBottom w:val="0"/>
      <w:divBdr>
        <w:top w:val="none" w:sz="0" w:space="0" w:color="auto"/>
        <w:left w:val="none" w:sz="0" w:space="0" w:color="auto"/>
        <w:bottom w:val="none" w:sz="0" w:space="0" w:color="auto"/>
        <w:right w:val="none" w:sz="0" w:space="0" w:color="auto"/>
      </w:divBdr>
    </w:div>
    <w:div w:id="1856066501">
      <w:bodyDiv w:val="1"/>
      <w:marLeft w:val="0"/>
      <w:marRight w:val="0"/>
      <w:marTop w:val="0"/>
      <w:marBottom w:val="0"/>
      <w:divBdr>
        <w:top w:val="none" w:sz="0" w:space="0" w:color="auto"/>
        <w:left w:val="none" w:sz="0" w:space="0" w:color="auto"/>
        <w:bottom w:val="none" w:sz="0" w:space="0" w:color="auto"/>
        <w:right w:val="none" w:sz="0" w:space="0" w:color="auto"/>
      </w:divBdr>
    </w:div>
    <w:div w:id="1856261169">
      <w:bodyDiv w:val="1"/>
      <w:marLeft w:val="0"/>
      <w:marRight w:val="0"/>
      <w:marTop w:val="0"/>
      <w:marBottom w:val="0"/>
      <w:divBdr>
        <w:top w:val="none" w:sz="0" w:space="0" w:color="auto"/>
        <w:left w:val="none" w:sz="0" w:space="0" w:color="auto"/>
        <w:bottom w:val="none" w:sz="0" w:space="0" w:color="auto"/>
        <w:right w:val="none" w:sz="0" w:space="0" w:color="auto"/>
      </w:divBdr>
    </w:div>
    <w:div w:id="1868443926">
      <w:bodyDiv w:val="1"/>
      <w:marLeft w:val="0"/>
      <w:marRight w:val="0"/>
      <w:marTop w:val="0"/>
      <w:marBottom w:val="0"/>
      <w:divBdr>
        <w:top w:val="none" w:sz="0" w:space="0" w:color="auto"/>
        <w:left w:val="none" w:sz="0" w:space="0" w:color="auto"/>
        <w:bottom w:val="none" w:sz="0" w:space="0" w:color="auto"/>
        <w:right w:val="none" w:sz="0" w:space="0" w:color="auto"/>
      </w:divBdr>
    </w:div>
    <w:div w:id="1894735418">
      <w:bodyDiv w:val="1"/>
      <w:marLeft w:val="0"/>
      <w:marRight w:val="0"/>
      <w:marTop w:val="0"/>
      <w:marBottom w:val="0"/>
      <w:divBdr>
        <w:top w:val="none" w:sz="0" w:space="0" w:color="auto"/>
        <w:left w:val="none" w:sz="0" w:space="0" w:color="auto"/>
        <w:bottom w:val="none" w:sz="0" w:space="0" w:color="auto"/>
        <w:right w:val="none" w:sz="0" w:space="0" w:color="auto"/>
      </w:divBdr>
    </w:div>
    <w:div w:id="1934439308">
      <w:bodyDiv w:val="1"/>
      <w:marLeft w:val="0"/>
      <w:marRight w:val="0"/>
      <w:marTop w:val="0"/>
      <w:marBottom w:val="0"/>
      <w:divBdr>
        <w:top w:val="none" w:sz="0" w:space="0" w:color="auto"/>
        <w:left w:val="none" w:sz="0" w:space="0" w:color="auto"/>
        <w:bottom w:val="none" w:sz="0" w:space="0" w:color="auto"/>
        <w:right w:val="none" w:sz="0" w:space="0" w:color="auto"/>
      </w:divBdr>
    </w:div>
    <w:div w:id="1965849027">
      <w:bodyDiv w:val="1"/>
      <w:marLeft w:val="0"/>
      <w:marRight w:val="0"/>
      <w:marTop w:val="0"/>
      <w:marBottom w:val="0"/>
      <w:divBdr>
        <w:top w:val="none" w:sz="0" w:space="0" w:color="auto"/>
        <w:left w:val="none" w:sz="0" w:space="0" w:color="auto"/>
        <w:bottom w:val="none" w:sz="0" w:space="0" w:color="auto"/>
        <w:right w:val="none" w:sz="0" w:space="0" w:color="auto"/>
      </w:divBdr>
    </w:div>
    <w:div w:id="1990862057">
      <w:bodyDiv w:val="1"/>
      <w:marLeft w:val="0"/>
      <w:marRight w:val="0"/>
      <w:marTop w:val="0"/>
      <w:marBottom w:val="0"/>
      <w:divBdr>
        <w:top w:val="none" w:sz="0" w:space="0" w:color="auto"/>
        <w:left w:val="none" w:sz="0" w:space="0" w:color="auto"/>
        <w:bottom w:val="none" w:sz="0" w:space="0" w:color="auto"/>
        <w:right w:val="none" w:sz="0" w:space="0" w:color="auto"/>
      </w:divBdr>
    </w:div>
    <w:div w:id="2027637600">
      <w:bodyDiv w:val="1"/>
      <w:marLeft w:val="0"/>
      <w:marRight w:val="0"/>
      <w:marTop w:val="0"/>
      <w:marBottom w:val="0"/>
      <w:divBdr>
        <w:top w:val="none" w:sz="0" w:space="0" w:color="auto"/>
        <w:left w:val="none" w:sz="0" w:space="0" w:color="auto"/>
        <w:bottom w:val="none" w:sz="0" w:space="0" w:color="auto"/>
        <w:right w:val="none" w:sz="0" w:space="0" w:color="auto"/>
      </w:divBdr>
    </w:div>
    <w:div w:id="2041128451">
      <w:bodyDiv w:val="1"/>
      <w:marLeft w:val="0"/>
      <w:marRight w:val="0"/>
      <w:marTop w:val="0"/>
      <w:marBottom w:val="0"/>
      <w:divBdr>
        <w:top w:val="none" w:sz="0" w:space="0" w:color="auto"/>
        <w:left w:val="none" w:sz="0" w:space="0" w:color="auto"/>
        <w:bottom w:val="none" w:sz="0" w:space="0" w:color="auto"/>
        <w:right w:val="none" w:sz="0" w:space="0" w:color="auto"/>
      </w:divBdr>
    </w:div>
    <w:div w:id="2072149714">
      <w:bodyDiv w:val="1"/>
      <w:marLeft w:val="0"/>
      <w:marRight w:val="0"/>
      <w:marTop w:val="0"/>
      <w:marBottom w:val="0"/>
      <w:divBdr>
        <w:top w:val="none" w:sz="0" w:space="0" w:color="auto"/>
        <w:left w:val="none" w:sz="0" w:space="0" w:color="auto"/>
        <w:bottom w:val="none" w:sz="0" w:space="0" w:color="auto"/>
        <w:right w:val="none" w:sz="0" w:space="0" w:color="auto"/>
      </w:divBdr>
    </w:div>
    <w:div w:id="2082749872">
      <w:bodyDiv w:val="1"/>
      <w:marLeft w:val="0"/>
      <w:marRight w:val="0"/>
      <w:marTop w:val="0"/>
      <w:marBottom w:val="0"/>
      <w:divBdr>
        <w:top w:val="none" w:sz="0" w:space="0" w:color="auto"/>
        <w:left w:val="none" w:sz="0" w:space="0" w:color="auto"/>
        <w:bottom w:val="none" w:sz="0" w:space="0" w:color="auto"/>
        <w:right w:val="none" w:sz="0" w:space="0" w:color="auto"/>
      </w:divBdr>
    </w:div>
    <w:div w:id="2094277511">
      <w:bodyDiv w:val="1"/>
      <w:marLeft w:val="0"/>
      <w:marRight w:val="0"/>
      <w:marTop w:val="0"/>
      <w:marBottom w:val="0"/>
      <w:divBdr>
        <w:top w:val="none" w:sz="0" w:space="0" w:color="auto"/>
        <w:left w:val="none" w:sz="0" w:space="0" w:color="auto"/>
        <w:bottom w:val="none" w:sz="0" w:space="0" w:color="auto"/>
        <w:right w:val="none" w:sz="0" w:space="0" w:color="auto"/>
      </w:divBdr>
    </w:div>
    <w:div w:id="2101481532">
      <w:bodyDiv w:val="1"/>
      <w:marLeft w:val="0"/>
      <w:marRight w:val="0"/>
      <w:marTop w:val="0"/>
      <w:marBottom w:val="0"/>
      <w:divBdr>
        <w:top w:val="none" w:sz="0" w:space="0" w:color="auto"/>
        <w:left w:val="none" w:sz="0" w:space="0" w:color="auto"/>
        <w:bottom w:val="none" w:sz="0" w:space="0" w:color="auto"/>
        <w:right w:val="none" w:sz="0" w:space="0" w:color="auto"/>
      </w:divBdr>
    </w:div>
    <w:div w:id="2107921718">
      <w:bodyDiv w:val="1"/>
      <w:marLeft w:val="0"/>
      <w:marRight w:val="0"/>
      <w:marTop w:val="0"/>
      <w:marBottom w:val="0"/>
      <w:divBdr>
        <w:top w:val="none" w:sz="0" w:space="0" w:color="auto"/>
        <w:left w:val="none" w:sz="0" w:space="0" w:color="auto"/>
        <w:bottom w:val="none" w:sz="0" w:space="0" w:color="auto"/>
        <w:right w:val="none" w:sz="0" w:space="0" w:color="auto"/>
      </w:divBdr>
    </w:div>
    <w:div w:id="2132674724">
      <w:bodyDiv w:val="1"/>
      <w:marLeft w:val="0"/>
      <w:marRight w:val="0"/>
      <w:marTop w:val="0"/>
      <w:marBottom w:val="0"/>
      <w:divBdr>
        <w:top w:val="none" w:sz="0" w:space="0" w:color="auto"/>
        <w:left w:val="none" w:sz="0" w:space="0" w:color="auto"/>
        <w:bottom w:val="none" w:sz="0" w:space="0" w:color="auto"/>
        <w:right w:val="none" w:sz="0" w:space="0" w:color="auto"/>
      </w:divBdr>
    </w:div>
    <w:div w:id="213556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sparama.lt" TargetMode="External"/><Relationship Id="rId26" Type="http://schemas.openxmlformats.org/officeDocument/2006/relationships/chart" Target="charts/chart5.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8.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3.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nmin.lt/lt/activity/veiklos_kryptys/strateginis_planavimas_ir_ES/ESCO_studija.pdf" TargetMode="External"/><Relationship Id="rId23" Type="http://schemas.openxmlformats.org/officeDocument/2006/relationships/image" Target="media/image7.png"/><Relationship Id="rId28" Type="http://schemas.openxmlformats.org/officeDocument/2006/relationships/chart" Target="charts/chart7.xml"/><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chart" Target="charts/chart6.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microsoft.com/office/2007/relationships/stylesWithEffects" Target="stylesWithEffect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nib.int/loans/loan_characteristics" TargetMode="External"/><Relationship Id="rId13" Type="http://schemas.openxmlformats.org/officeDocument/2006/relationships/hyperlink" Target="http://www.eib.org/products/index.htm" TargetMode="External"/><Relationship Id="rId18" Type="http://schemas.openxmlformats.org/officeDocument/2006/relationships/hyperlink" Target="http://curia.europa.eu/juris/document/document.jsf?text=&amp;docid=79387&amp;pageIndex=0&amp;doclang=EN&amp;mode=lst&amp;dir=&amp;occ=first&amp;part=1&amp;cid=212184" TargetMode="External"/><Relationship Id="rId26" Type="http://schemas.openxmlformats.org/officeDocument/2006/relationships/hyperlink" Target="http://ec.europa.eu/competition/state_aid/legislation/base_rates_eu28bis_en.pdf" TargetMode="External"/><Relationship Id="rId3" Type="http://schemas.openxmlformats.org/officeDocument/2006/relationships/hyperlink" Target="http://www.panevezys.lt/lt/veikla/planavimo-dokumentai.html-" TargetMode="External"/><Relationship Id="rId21" Type="http://schemas.openxmlformats.org/officeDocument/2006/relationships/hyperlink" Target="http://curia.europa.eu/juris/document/document.jsf?text=&amp;docid=126821&amp;pageIndex=0&amp;doclang=FR&amp;mode=lst&amp;dir=&amp;occ=first&amp;part=1&amp;cid=89019" TargetMode="External"/><Relationship Id="rId7" Type="http://schemas.openxmlformats.org/officeDocument/2006/relationships/hyperlink" Target="http://www.ppplietuva.lt" TargetMode="External"/><Relationship Id="rId12" Type="http://schemas.openxmlformats.org/officeDocument/2006/relationships/hyperlink" Target="http://www.eib.org/products/advising/elena/index.htm" TargetMode="External"/><Relationship Id="rId17" Type="http://schemas.openxmlformats.org/officeDocument/2006/relationships/hyperlink" Target="http://curia.europa.eu/juris/showPdf.jsf?text=&amp;docid=45608&amp;pageIndex=0&amp;doclang=EN&amp;mode=lst&amp;dir=&amp;occ=first&amp;part=1&amp;cid=210600" TargetMode="External"/><Relationship Id="rId25" Type="http://schemas.openxmlformats.org/officeDocument/2006/relationships/hyperlink" Target="http://ec.europa.eu/competition/state_aid/legislation/base_rates_eu28bis_en.pdf" TargetMode="External"/><Relationship Id="rId33" Type="http://schemas.openxmlformats.org/officeDocument/2006/relationships/hyperlink" Target="http://www.stadtentwicklung.berlin.de/umwelt/klimaschutz/" TargetMode="External"/><Relationship Id="rId2" Type="http://schemas.openxmlformats.org/officeDocument/2006/relationships/hyperlink" Target="http://www.am.lt" TargetMode="External"/><Relationship Id="rId16" Type="http://schemas.openxmlformats.org/officeDocument/2006/relationships/hyperlink" Target="http://curia.europa.eu/juris/showPdf.jsf?text=&amp;docid=55528&amp;pageIndex=0&amp;doclang=EN&amp;mode=lst&amp;dir=&amp;occ=first&amp;part=1&amp;cid=86389" TargetMode="External"/><Relationship Id="rId20" Type="http://schemas.openxmlformats.org/officeDocument/2006/relationships/hyperlink" Target="http://curia.europa.eu/juris/document/document.jsf?text=&amp;docid=114865&amp;pageIndex=0&amp;doclang=EN&amp;mode=lst&amp;dir=&amp;occ=first&amp;part=1&amp;cid=86822" TargetMode="External"/><Relationship Id="rId29" Type="http://schemas.openxmlformats.org/officeDocument/2006/relationships/hyperlink" Target="http://ec.europa.eu/regional_policy/sources/docoffic/official/communic/financial/financial_instruments_2012_en.pdf" TargetMode="External"/><Relationship Id="rId1" Type="http://schemas.openxmlformats.org/officeDocument/2006/relationships/hyperlink" Target="http://www.eib.org/attachments/documents/annex-to-supplementary-study-on-jessica-instrument-for-energy-efficiency-in-lithuania.pdf" TargetMode="External"/><Relationship Id="rId6" Type="http://schemas.openxmlformats.org/officeDocument/2006/relationships/hyperlink" Target="http://www.esparama.lt/priemone?priem_id=000bdd53800011a0" TargetMode="External"/><Relationship Id="rId11" Type="http://schemas.openxmlformats.org/officeDocument/2006/relationships/hyperlink" Target="http://www.eeef.eu/eligible-investments.html" TargetMode="External"/><Relationship Id="rId24" Type="http://schemas.openxmlformats.org/officeDocument/2006/relationships/hyperlink" Target="http://curia.europa.eu/juris/showPdf.jsf?text=&amp;docid=48533&amp;pageIndex=0&amp;doclang=EN&amp;mode=lst&amp;dir=&amp;occ=first&amp;part=1&amp;cid=96641" TargetMode="External"/><Relationship Id="rId32" Type="http://schemas.openxmlformats.org/officeDocument/2006/relationships/hyperlink" Target="http://www.eib.org/attachments/documents/jessica_housing_study_final_report_en.pdf" TargetMode="External"/><Relationship Id="rId5" Type="http://schemas.openxmlformats.org/officeDocument/2006/relationships/hyperlink" Target="http://www.esparama.lt/priemone?priem_id=000bdd538000119f" TargetMode="External"/><Relationship Id="rId15" Type="http://schemas.openxmlformats.org/officeDocument/2006/relationships/hyperlink" Target="http://curia.europa.eu/juris/showPdf.jsf?text=&amp;docid=47344&amp;pageIndex=0&amp;doclang=EN&amp;mode=lst&amp;dir=&amp;occ=first&amp;part=1&amp;cid=86024" TargetMode="External"/><Relationship Id="rId23" Type="http://schemas.openxmlformats.org/officeDocument/2006/relationships/hyperlink" Target="http://curia.europa.eu/juris/document/document.jsf?text=&amp;docid=109245&amp;pageIndex=0&amp;doclang=EN&amp;mode=lst&amp;dir=&amp;occ=first&amp;part=1&amp;cid=89019" TargetMode="External"/><Relationship Id="rId28" Type="http://schemas.openxmlformats.org/officeDocument/2006/relationships/hyperlink" Target="http://www.europarl.europa.eu/meetdocs/2009_2014/documents/cont/dv/ecasr22012_/ecasr22012_en.pdf" TargetMode="External"/><Relationship Id="rId10" Type="http://schemas.openxmlformats.org/officeDocument/2006/relationships/hyperlink" Target="http://www.eeef.eu/objective-of-the-fund.html" TargetMode="External"/><Relationship Id="rId19" Type="http://schemas.openxmlformats.org/officeDocument/2006/relationships/hyperlink" Target="http://curia.europa.eu/juris/showPdf.jsf?text=&amp;docid=98685&amp;pageIndex=0&amp;doclang=EN&amp;mode=lst&amp;dir=&amp;occ=first&amp;part=1&amp;cid=213139" TargetMode="External"/><Relationship Id="rId31" Type="http://schemas.openxmlformats.org/officeDocument/2006/relationships/hyperlink" Target="http://www.eib.org/attachments/documents/jessica_energy_focused_udf_final_report_en.pdf" TargetMode="External"/><Relationship Id="rId4" Type="http://schemas.openxmlformats.org/officeDocument/2006/relationships/hyperlink" Target="http://www.esparama.lt/priemone?priem_id=000bdd538000119e" TargetMode="External"/><Relationship Id="rId9" Type="http://schemas.openxmlformats.org/officeDocument/2006/relationships/hyperlink" Target="https://ec.europa.eu/energy/sites/ener/files/documents/4_berna_topaloglu_seif_prague_27-04-17.pdf" TargetMode="External"/><Relationship Id="rId14" Type="http://schemas.openxmlformats.org/officeDocument/2006/relationships/hyperlink" Target="http://curia.europa.eu/juris/document/document.jsf?text=&amp;docid=81510&amp;pageIndex=0&amp;doclang=EN&amp;mode=lst&amp;dir=&amp;occ=first&amp;part=1&amp;cid=210447" TargetMode="External"/><Relationship Id="rId22" Type="http://schemas.openxmlformats.org/officeDocument/2006/relationships/hyperlink" Target="http://curia.europa.eu/juris/document/document.jsf?text=&amp;docid=139759&amp;pageIndex=0&amp;doclang=EN&amp;mode=lst&amp;dir=&amp;occ=first&amp;part=1&amp;cid=89019" TargetMode="External"/><Relationship Id="rId27" Type="http://schemas.openxmlformats.org/officeDocument/2006/relationships/hyperlink" Target="http://ec.europa.eu/competition/state_aid/legislation/base_rates_eu28bis_en.pdf" TargetMode="External"/><Relationship Id="rId30" Type="http://schemas.openxmlformats.org/officeDocument/2006/relationships/hyperlink" Target="http://www.eib.org/attachments/documents/jessica_fg_final_report_en.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vciapas003\Downloads\t-paskolos-ne-finansu-bendrovems-pagal-ekonomines-veiklos-rusi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ciapas003\Downloads\t-pinigu-finansu-istaigu-paskolu-ir-indeliu-palukanu-normos-1%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'[t-paskolos-ne-finansu-bendrovems-pagal-ekonomines-veiklos-rusis.xlsx]Worksheet'!$A$14:$A$37</c:f>
              <c:strCache>
                <c:ptCount val="24"/>
                <c:pt idx="0">
                  <c:v>2011 - III ketv.</c:v>
                </c:pt>
                <c:pt idx="1">
                  <c:v>2011 - IV ketv.</c:v>
                </c:pt>
                <c:pt idx="2">
                  <c:v>2012 - I ketv.</c:v>
                </c:pt>
                <c:pt idx="3">
                  <c:v>2012 - II ketv.</c:v>
                </c:pt>
                <c:pt idx="4">
                  <c:v>2012 - III ketv.</c:v>
                </c:pt>
                <c:pt idx="5">
                  <c:v>2012 - IV ketv.</c:v>
                </c:pt>
                <c:pt idx="6">
                  <c:v>2013 - I ketv.</c:v>
                </c:pt>
                <c:pt idx="7">
                  <c:v>2013 - II ketv.</c:v>
                </c:pt>
                <c:pt idx="8">
                  <c:v>2013 - III ketv.</c:v>
                </c:pt>
                <c:pt idx="9">
                  <c:v>2013 - IV ketv.</c:v>
                </c:pt>
                <c:pt idx="10">
                  <c:v>2014 - I ketv.</c:v>
                </c:pt>
                <c:pt idx="11">
                  <c:v>2014 - II ketv.</c:v>
                </c:pt>
                <c:pt idx="12">
                  <c:v>2014 - III ketv.</c:v>
                </c:pt>
                <c:pt idx="13">
                  <c:v>2014 - IV ketv.</c:v>
                </c:pt>
                <c:pt idx="14">
                  <c:v>2015 - I ketv.</c:v>
                </c:pt>
                <c:pt idx="15">
                  <c:v>2015 - II ketv.</c:v>
                </c:pt>
                <c:pt idx="16">
                  <c:v>2015 - III ketv.</c:v>
                </c:pt>
                <c:pt idx="17">
                  <c:v>2015 - IV ketv.</c:v>
                </c:pt>
                <c:pt idx="18">
                  <c:v>2016 - I ketv.</c:v>
                </c:pt>
                <c:pt idx="19">
                  <c:v>2016 - II ketv.</c:v>
                </c:pt>
                <c:pt idx="20">
                  <c:v>2016 - III ketv.</c:v>
                </c:pt>
                <c:pt idx="21">
                  <c:v>2016 - IV ketv.</c:v>
                </c:pt>
                <c:pt idx="22">
                  <c:v>2017 - I ketv.</c:v>
                </c:pt>
                <c:pt idx="23">
                  <c:v>2017 - II ketv.</c:v>
                </c:pt>
              </c:strCache>
            </c:strRef>
          </c:cat>
          <c:val>
            <c:numRef>
              <c:f>'[t-paskolos-ne-finansu-bendrovems-pagal-ekonomines-veiklos-rusis.xlsx]Worksheet'!$B$14:$B$37</c:f>
              <c:numCache>
                <c:formatCode>General</c:formatCode>
                <c:ptCount val="24"/>
                <c:pt idx="0">
                  <c:v>8364100000</c:v>
                </c:pt>
                <c:pt idx="1">
                  <c:v>7814100000</c:v>
                </c:pt>
                <c:pt idx="2">
                  <c:v>7738500000</c:v>
                </c:pt>
                <c:pt idx="3">
                  <c:v>7874800000</c:v>
                </c:pt>
                <c:pt idx="4">
                  <c:v>7884800000</c:v>
                </c:pt>
                <c:pt idx="5">
                  <c:v>7839600000</c:v>
                </c:pt>
                <c:pt idx="6">
                  <c:v>7748300000</c:v>
                </c:pt>
                <c:pt idx="7">
                  <c:v>7317700000</c:v>
                </c:pt>
                <c:pt idx="8">
                  <c:v>7299500000</c:v>
                </c:pt>
                <c:pt idx="9">
                  <c:v>7526600000</c:v>
                </c:pt>
                <c:pt idx="10">
                  <c:v>7484700000</c:v>
                </c:pt>
                <c:pt idx="11">
                  <c:v>7579300000</c:v>
                </c:pt>
                <c:pt idx="12">
                  <c:v>7540700000</c:v>
                </c:pt>
                <c:pt idx="13">
                  <c:v>7389700000</c:v>
                </c:pt>
                <c:pt idx="14">
                  <c:v>7262000000</c:v>
                </c:pt>
                <c:pt idx="15">
                  <c:v>7463200000</c:v>
                </c:pt>
                <c:pt idx="16">
                  <c:v>7665700000</c:v>
                </c:pt>
                <c:pt idx="17">
                  <c:v>7624600000</c:v>
                </c:pt>
                <c:pt idx="18">
                  <c:v>7826000000</c:v>
                </c:pt>
                <c:pt idx="19">
                  <c:v>8130000000</c:v>
                </c:pt>
                <c:pt idx="20">
                  <c:v>8364900000</c:v>
                </c:pt>
                <c:pt idx="21">
                  <c:v>8222100000</c:v>
                </c:pt>
                <c:pt idx="22">
                  <c:v>8315900000</c:v>
                </c:pt>
                <c:pt idx="23">
                  <c:v>8345799999.999999</c:v>
                </c:pt>
              </c:numCache>
            </c:numRef>
          </c:val>
          <c:smooth val="0"/>
          <c:extLst xmlns:c16r2="http://schemas.microsoft.com/office/drawing/2015/06/chart">
            <c:ext xmlns:c16="http://schemas.microsoft.com/office/drawing/2014/chart" uri="{C3380CC4-5D6E-409C-BE32-E72D297353CC}">
              <c16:uniqueId val="{00000000-DFD8-4CCC-9D26-0A81AD15C5EF}"/>
            </c:ext>
          </c:extLst>
        </c:ser>
        <c:dLbls>
          <c:showLegendKey val="0"/>
          <c:showVal val="0"/>
          <c:showCatName val="0"/>
          <c:showSerName val="0"/>
          <c:showPercent val="0"/>
          <c:showBubbleSize val="0"/>
        </c:dLbls>
        <c:marker val="1"/>
        <c:smooth val="0"/>
        <c:axId val="113140096"/>
        <c:axId val="113141632"/>
      </c:lineChart>
      <c:catAx>
        <c:axId val="11314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3141632"/>
        <c:crosses val="autoZero"/>
        <c:auto val="1"/>
        <c:lblAlgn val="ctr"/>
        <c:lblOffset val="100"/>
        <c:tickLblSkip val="2"/>
        <c:noMultiLvlLbl val="0"/>
      </c:catAx>
      <c:valAx>
        <c:axId val="11314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3140096"/>
        <c:crosses val="autoZero"/>
        <c:crossBetween val="between"/>
        <c:dispUnits>
          <c:builtInUnit val="millions"/>
          <c:dispUnitsLbl>
            <c:layout>
              <c:manualLayout>
                <c:xMode val="edge"/>
                <c:yMode val="edge"/>
                <c:x val="2.2222222222222223E-2"/>
                <c:y val="0.27314814814814814"/>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mln. EUR</a:t>
                  </a:r>
                  <a:endParaRPr lang="lt-LT"/>
                </a:p>
              </c:rich>
            </c:tx>
            <c:spPr>
              <a:noFill/>
              <a:ln>
                <a:noFill/>
              </a:ln>
              <a:effectLst/>
            </c:sp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'[t-pinigu-finansu-istaigu-paskolu-ir-indeliu-palukanu-normos-1 (1).xlsx]Worksheet'!$A$16</c:f>
              <c:strCache>
                <c:ptCount val="1"/>
                <c:pt idx="0">
                  <c:v>Pinigų finansų įstaigų paskolos euro zonos ne finansų bendrovėms – naujų susitarimų palūkanų normos
PNS.M.A2Y.A.C.A.U2.240.200.N.LT.PC___.E.SR</c:v>
                </c:pt>
              </c:strCache>
            </c:strRef>
          </c:tx>
          <c:spPr>
            <a:ln w="28575" cap="rnd">
              <a:solidFill>
                <a:schemeClr val="accent1"/>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(1).xlsx]Worksheet'!$B$16:$AG$16</c:f>
            </c:numRef>
          </c:val>
          <c:smooth val="0"/>
          <c:extLst xmlns:c16r2="http://schemas.microsoft.com/office/drawing/2015/06/chart">
            <c:ext xmlns:c16="http://schemas.microsoft.com/office/drawing/2014/chart" uri="{C3380CC4-5D6E-409C-BE32-E72D297353CC}">
              <c16:uniqueId val="{00000000-C24C-4834-889F-18C599DFE291}"/>
            </c:ext>
          </c:extLst>
        </c:ser>
        <c:ser>
          <c:idx val="1"/>
          <c:order val="1"/>
          <c:tx>
            <c:strRef>
              <c:f>'[t-pinigu-finansu-istaigu-paskolu-ir-indeliu-palukanu-normos-1 (1).xlsx]Worksheet'!$A$17</c:f>
              <c:strCache>
                <c:ptCount val="1"/>
                <c:pt idx="0">
                  <c:v>Pinigų finansų įstaigų paskolos euro zonos ne finansų bendrovėms – naujų susitarimų sumos
PNS.M.A2Y.A.B.A.U2.240.200.N.LT.PC___.E.SR</c:v>
                </c:pt>
              </c:strCache>
            </c:strRef>
          </c:tx>
          <c:spPr>
            <a:ln w="28575" cap="rnd">
              <a:solidFill>
                <a:schemeClr val="accent2"/>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(1).xlsx]Worksheet'!$B$17:$AG$17</c:f>
            </c:numRef>
          </c:val>
          <c:smooth val="0"/>
          <c:extLst xmlns:c16r2="http://schemas.microsoft.com/office/drawing/2015/06/chart">
            <c:ext xmlns:c16="http://schemas.microsoft.com/office/drawing/2014/chart" uri="{C3380CC4-5D6E-409C-BE32-E72D297353CC}">
              <c16:uniqueId val="{00000001-C24C-4834-889F-18C599DFE291}"/>
            </c:ext>
          </c:extLst>
        </c:ser>
        <c:ser>
          <c:idx val="2"/>
          <c:order val="2"/>
          <c:tx>
            <c:strRef>
              <c:f>'[t-pinigu-finansu-istaigu-paskolu-ir-indeliu-palukanu-normos-1 (1).xlsx]Worksheet'!$A$18</c:f>
              <c:strCache>
                <c:ptCount val="1"/>
                <c:pt idx="0">
                  <c:v>Pinigų finansų įstaigų paskolos euro zonos ne finansų bendrovėms, pradinis palūkanų normos fiksavimo laikotarpis iki 1 metų – naujų susitarimų palūkanų normos
PNS.M.A2Y.B.C.A.U2.240.200.N.LT.PC___.E.SR</c:v>
                </c:pt>
              </c:strCache>
            </c:strRef>
          </c:tx>
          <c:spPr>
            <a:ln w="28575" cap="rnd">
              <a:solidFill>
                <a:schemeClr val="accent3"/>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(1).xlsx]Worksheet'!$B$18:$AG$18</c:f>
            </c:numRef>
          </c:val>
          <c:smooth val="0"/>
          <c:extLst xmlns:c16r2="http://schemas.microsoft.com/office/drawing/2015/06/chart">
            <c:ext xmlns:c16="http://schemas.microsoft.com/office/drawing/2014/chart" uri="{C3380CC4-5D6E-409C-BE32-E72D297353CC}">
              <c16:uniqueId val="{00000002-C24C-4834-889F-18C599DFE291}"/>
            </c:ext>
          </c:extLst>
        </c:ser>
        <c:ser>
          <c:idx val="3"/>
          <c:order val="3"/>
          <c:tx>
            <c:strRef>
              <c:f>'[t-pinigu-finansu-istaigu-paskolu-ir-indeliu-palukanu-normos-1 (1).xlsx]Worksheet'!$A$19</c:f>
              <c:strCache>
                <c:ptCount val="1"/>
                <c:pt idx="0">
                  <c:v>Pinigų finansų įstaigų paskolos euro zonos ne finansų bendrovėms, pradinis palūkanų normos fiksavimo laikotarpis iki 1 metų – naujų susitarimų sumos
PNS.M.A2Y.B.B.A.U2.240.200.N.LT.PC___.E.SR</c:v>
                </c:pt>
              </c:strCache>
            </c:strRef>
          </c:tx>
          <c:spPr>
            <a:ln w="28575" cap="rnd">
              <a:solidFill>
                <a:schemeClr val="accent4"/>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(1).xlsx]Worksheet'!$B$19:$AG$19</c:f>
            </c:numRef>
          </c:val>
          <c:smooth val="0"/>
          <c:extLst xmlns:c16r2="http://schemas.microsoft.com/office/drawing/2015/06/chart">
            <c:ext xmlns:c16="http://schemas.microsoft.com/office/drawing/2014/chart" uri="{C3380CC4-5D6E-409C-BE32-E72D297353CC}">
              <c16:uniqueId val="{00000003-C24C-4834-889F-18C599DFE291}"/>
            </c:ext>
          </c:extLst>
        </c:ser>
        <c:ser>
          <c:idx val="4"/>
          <c:order val="4"/>
          <c:tx>
            <c:strRef>
              <c:f>'[t-pinigu-finansu-istaigu-paskolu-ir-indeliu-palukanu-normos-1 (1).xlsx]Worksheet'!$A$20</c:f>
              <c:strCache>
                <c:ptCount val="1"/>
                <c:pt idx="0">
                  <c:v>Pinigų finansų įstaigų paskolos euro zonos ne finansų bendrovėms, pradinis palūkanų normos fiksavimo laikotarpis nuo 1 metų – naujų susitarimų palūkanų normos
PNS.M.A2Y.J.C.A.U2.240.200.N.LT.PC___.E.SR</c:v>
                </c:pt>
              </c:strCache>
            </c:strRef>
          </c:tx>
          <c:spPr>
            <a:ln w="28575" cap="rnd">
              <a:solidFill>
                <a:schemeClr val="accent5"/>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(1).xlsx]Worksheet'!$B$20:$AG$20</c:f>
            </c:numRef>
          </c:val>
          <c:smooth val="0"/>
          <c:extLst xmlns:c16r2="http://schemas.microsoft.com/office/drawing/2015/06/chart">
            <c:ext xmlns:c16="http://schemas.microsoft.com/office/drawing/2014/chart" uri="{C3380CC4-5D6E-409C-BE32-E72D297353CC}">
              <c16:uniqueId val="{00000004-C24C-4834-889F-18C599DFE291}"/>
            </c:ext>
          </c:extLst>
        </c:ser>
        <c:ser>
          <c:idx val="5"/>
          <c:order val="5"/>
          <c:tx>
            <c:strRef>
              <c:f>'[t-pinigu-finansu-istaigu-paskolu-ir-indeliu-palukanu-normos-1 (1).xlsx]Worksheet'!$A$21</c:f>
              <c:strCache>
                <c:ptCount val="1"/>
                <c:pt idx="0">
                  <c:v>Pinigų finansų įstaigų paskolos euro zonos ne finansų bendrovėms, pradinis palūkanų normos fiksavimo laikotarpis nuo 1 metų – naujų susitarimų sumos
PNS.M.A2Y.J.B.A.U2.240.200.N.LT.PC___.E.SR</c:v>
                </c:pt>
              </c:strCache>
            </c:strRef>
          </c:tx>
          <c:spPr>
            <a:ln w="28575" cap="rnd">
              <a:solidFill>
                <a:schemeClr val="accent6"/>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(1).xlsx]Worksheet'!$B$21:$AG$21</c:f>
            </c:numRef>
          </c:val>
          <c:smooth val="0"/>
          <c:extLst xmlns:c16r2="http://schemas.microsoft.com/office/drawing/2015/06/chart">
            <c:ext xmlns:c16="http://schemas.microsoft.com/office/drawing/2014/chart" uri="{C3380CC4-5D6E-409C-BE32-E72D297353CC}">
              <c16:uniqueId val="{00000005-C24C-4834-889F-18C599DFE291}"/>
            </c:ext>
          </c:extLst>
        </c:ser>
        <c:ser>
          <c:idx val="6"/>
          <c:order val="6"/>
          <c:tx>
            <c:strRef>
              <c:f>'[t-pinigu-finansu-istaigu-paskolu-ir-indeliu-palukanu-normos-1 (1).xlsx]Worksheet'!$A$22</c:f>
              <c:strCache>
                <c:ptCount val="1"/>
                <c:pt idx="0">
                  <c:v>Pinigų finansų įstaigų paskolos iki 1 mln. eurų euro zonos ne finansų bendrovėms – naujų susitarimų palūkanų normos
PNS.M.A2Y.A.C.0.U2.240.200.N.LT.PC___.E.SR</c:v>
                </c:pt>
              </c:strCache>
            </c:strRef>
          </c:tx>
          <c:spPr>
            <a:ln w="28575" cap="rnd">
              <a:solidFill>
                <a:schemeClr val="accent1">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(1).xlsx]Worksheet'!$B$22:$AG$22</c:f>
            </c:numRef>
          </c:val>
          <c:smooth val="0"/>
          <c:extLst xmlns:c16r2="http://schemas.microsoft.com/office/drawing/2015/06/chart">
            <c:ext xmlns:c16="http://schemas.microsoft.com/office/drawing/2014/chart" uri="{C3380CC4-5D6E-409C-BE32-E72D297353CC}">
              <c16:uniqueId val="{00000006-C24C-4834-889F-18C599DFE291}"/>
            </c:ext>
          </c:extLst>
        </c:ser>
        <c:ser>
          <c:idx val="7"/>
          <c:order val="7"/>
          <c:tx>
            <c:strRef>
              <c:f>'[t-pinigu-finansu-istaigu-paskolu-ir-indeliu-palukanu-normos-1 (1).xlsx]Worksheet'!$A$23</c:f>
              <c:strCache>
                <c:ptCount val="1"/>
                <c:pt idx="0">
                  <c:v>Pinigų finansų įstaigų paskolos iki 1 mln. eurų euro zonos ne finansų bendrovėms – naujų susitarimų sumos
PNS.M.A2Y.A.B.0.U2.240.200.N.LT.PC___.E.SR</c:v>
                </c:pt>
              </c:strCache>
            </c:strRef>
          </c:tx>
          <c:spPr>
            <a:ln w="28575" cap="rnd">
              <a:solidFill>
                <a:schemeClr val="accent2">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(1).xlsx]Worksheet'!$B$23:$AG$23</c:f>
            </c:numRef>
          </c:val>
          <c:smooth val="0"/>
          <c:extLst xmlns:c16r2="http://schemas.microsoft.com/office/drawing/2015/06/chart">
            <c:ext xmlns:c16="http://schemas.microsoft.com/office/drawing/2014/chart" uri="{C3380CC4-5D6E-409C-BE32-E72D297353CC}">
              <c16:uniqueId val="{00000007-C24C-4834-889F-18C599DFE291}"/>
            </c:ext>
          </c:extLst>
        </c:ser>
        <c:ser>
          <c:idx val="8"/>
          <c:order val="8"/>
          <c:tx>
            <c:strRef>
              <c:f>'[t-pinigu-finansu-istaigu-paskolu-ir-indeliu-palukanu-normos-1 (1).xlsx]Worksheet'!$A$24</c:f>
              <c:strCache>
                <c:ptCount val="1"/>
                <c:pt idx="0">
                  <c:v>Pinigų finansų įstaigų paskolos iki 1 mln. eurų euro zonos ne finansų bendrovėms, pradinis palūkanų normos fiksavimo laikotarpis iki 1 metų – naujų susitarimų palūkanų normos
PNS.M.A2Y.B.C.0.U2.240.200.N.LT.PC___.E.SR</c:v>
                </c:pt>
              </c:strCache>
            </c:strRef>
          </c:tx>
          <c:spPr>
            <a:ln w="28575" cap="rnd">
              <a:solidFill>
                <a:schemeClr val="accent3">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(1).xlsx]Worksheet'!$B$24:$AG$24</c:f>
            </c:numRef>
          </c:val>
          <c:smooth val="0"/>
          <c:extLst xmlns:c16r2="http://schemas.microsoft.com/office/drawing/2015/06/chart">
            <c:ext xmlns:c16="http://schemas.microsoft.com/office/drawing/2014/chart" uri="{C3380CC4-5D6E-409C-BE32-E72D297353CC}">
              <c16:uniqueId val="{00000008-C24C-4834-889F-18C599DFE291}"/>
            </c:ext>
          </c:extLst>
        </c:ser>
        <c:ser>
          <c:idx val="9"/>
          <c:order val="9"/>
          <c:tx>
            <c:strRef>
              <c:f>'[t-pinigu-finansu-istaigu-paskolu-ir-indeliu-palukanu-normos-1 (1).xlsx]Worksheet'!$A$25</c:f>
              <c:strCache>
                <c:ptCount val="1"/>
                <c:pt idx="0">
                  <c:v>Pinigų finansų įstaigų paskolos iki 1 mln. eurų euro zonos ne finansų bendrovėms, pradinis palūkanų normos fiksavimo laikotarpis iki 1 metų – naujų susitarimų sumos
PNS.M.A2Y.B.B.0.U2.240.200.N.LT.PC___.E.SR</c:v>
                </c:pt>
              </c:strCache>
            </c:strRef>
          </c:tx>
          <c:spPr>
            <a:ln w="28575" cap="rnd">
              <a:solidFill>
                <a:schemeClr val="accent4">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(1).xlsx]Worksheet'!$B$25:$AG$25</c:f>
            </c:numRef>
          </c:val>
          <c:smooth val="0"/>
          <c:extLst xmlns:c16r2="http://schemas.microsoft.com/office/drawing/2015/06/chart">
            <c:ext xmlns:c16="http://schemas.microsoft.com/office/drawing/2014/chart" uri="{C3380CC4-5D6E-409C-BE32-E72D297353CC}">
              <c16:uniqueId val="{00000009-C24C-4834-889F-18C599DFE291}"/>
            </c:ext>
          </c:extLst>
        </c:ser>
        <c:ser>
          <c:idx val="10"/>
          <c:order val="10"/>
          <c:tx>
            <c:strRef>
              <c:f>'[t-pinigu-finansu-istaigu-paskolu-ir-indeliu-palukanu-normos-1 (1).xlsx]Worksheet'!$A$26</c:f>
              <c:strCache>
                <c:ptCount val="1"/>
                <c:pt idx="0">
                  <c:v>Pinigų finansų įstaigų paskolos iki 1 mln. eurų euro zonos ne finansų bendrovėms, pradinis palūkanų normos fiksavimo laikotarpis nuo 1 metų – naujų susitarimų palūkanų normos
PNS.M.A2Y.J.C.0.U2.240.200.N.LT.PC___.E.SR</c:v>
                </c:pt>
              </c:strCache>
            </c:strRef>
          </c:tx>
          <c:spPr>
            <a:ln w="28575" cap="rnd">
              <a:solidFill>
                <a:schemeClr val="accent5">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(1).xlsx]Worksheet'!$B$26:$AG$26</c:f>
            </c:numRef>
          </c:val>
          <c:smooth val="0"/>
          <c:extLst xmlns:c16r2="http://schemas.microsoft.com/office/drawing/2015/06/chart">
            <c:ext xmlns:c16="http://schemas.microsoft.com/office/drawing/2014/chart" uri="{C3380CC4-5D6E-409C-BE32-E72D297353CC}">
              <c16:uniqueId val="{0000000A-C24C-4834-889F-18C599DFE291}"/>
            </c:ext>
          </c:extLst>
        </c:ser>
        <c:ser>
          <c:idx val="11"/>
          <c:order val="11"/>
          <c:tx>
            <c:strRef>
              <c:f>'[t-pinigu-finansu-istaigu-paskolu-ir-indeliu-palukanu-normos-1 (1).xlsx]Worksheet'!$A$27</c:f>
              <c:strCache>
                <c:ptCount val="1"/>
                <c:pt idx="0">
                  <c:v>Pinigų finansų įstaigų paskolos iki 1 mln. eurų euro zonos ne finansų bendrovėms, pradinis palūkanų normos fiksavimo laikotarpis nuo 1 metų – naujų susitarimų sumos
PNS.M.A2Y.J.B.0.U2.240.200.N.LT.PC___.E.SR</c:v>
                </c:pt>
              </c:strCache>
            </c:strRef>
          </c:tx>
          <c:spPr>
            <a:ln w="28575" cap="rnd">
              <a:solidFill>
                <a:schemeClr val="accent6">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(1).xlsx]Worksheet'!$B$27:$AG$27</c:f>
            </c:numRef>
          </c:val>
          <c:smooth val="0"/>
          <c:extLst xmlns:c16r2="http://schemas.microsoft.com/office/drawing/2015/06/chart">
            <c:ext xmlns:c16="http://schemas.microsoft.com/office/drawing/2014/chart" uri="{C3380CC4-5D6E-409C-BE32-E72D297353CC}">
              <c16:uniqueId val="{0000000B-C24C-4834-889F-18C599DFE291}"/>
            </c:ext>
          </c:extLst>
        </c:ser>
        <c:ser>
          <c:idx val="12"/>
          <c:order val="12"/>
          <c:tx>
            <c:strRef>
              <c:f>'[t-pinigu-finansu-istaigu-paskolu-ir-indeliu-palukanu-normos-1 (1).xlsx]Worksheet'!$A$28</c:f>
              <c:strCache>
                <c:ptCount val="1"/>
                <c:pt idx="0">
                  <c:v>Pinigų finansų įstaigų paskolos nuo 1 mln. eurų euro zonos ne finansų bendrovėms – naujų susitarimų palūkanų normos
PNS.M.A2Y.A.C.1.U2.240.200.N.LT.PC___.E.SR</c:v>
                </c:pt>
              </c:strCache>
            </c:strRef>
          </c:tx>
          <c:spPr>
            <a:ln w="28575" cap="rnd">
              <a:solidFill>
                <a:schemeClr val="accent1">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(1).xlsx]Worksheet'!$B$28:$AG$28</c:f>
            </c:numRef>
          </c:val>
          <c:smooth val="0"/>
          <c:extLst xmlns:c16r2="http://schemas.microsoft.com/office/drawing/2015/06/chart">
            <c:ext xmlns:c16="http://schemas.microsoft.com/office/drawing/2014/chart" uri="{C3380CC4-5D6E-409C-BE32-E72D297353CC}">
              <c16:uniqueId val="{0000000C-C24C-4834-889F-18C599DFE291}"/>
            </c:ext>
          </c:extLst>
        </c:ser>
        <c:ser>
          <c:idx val="13"/>
          <c:order val="13"/>
          <c:tx>
            <c:strRef>
              <c:f>'[t-pinigu-finansu-istaigu-paskolu-ir-indeliu-palukanu-normos-1 (1).xlsx]Worksheet'!$A$29</c:f>
              <c:strCache>
                <c:ptCount val="1"/>
                <c:pt idx="0">
                  <c:v>Pinigų finansų įstaigų paskolos nuo 1 mln. eurų euro zonos ne finansų bendrovėms – naujų susitarimų sumos
PNS.M.A2Y.A.B.1.U2.240.200.N.LT.PC___.E.SR</c:v>
                </c:pt>
              </c:strCache>
            </c:strRef>
          </c:tx>
          <c:spPr>
            <a:ln w="28575" cap="rnd">
              <a:solidFill>
                <a:schemeClr val="accent2">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(1).xlsx]Worksheet'!$B$29:$AG$29</c:f>
            </c:numRef>
          </c:val>
          <c:smooth val="0"/>
          <c:extLst xmlns:c16r2="http://schemas.microsoft.com/office/drawing/2015/06/chart">
            <c:ext xmlns:c16="http://schemas.microsoft.com/office/drawing/2014/chart" uri="{C3380CC4-5D6E-409C-BE32-E72D297353CC}">
              <c16:uniqueId val="{0000000D-C24C-4834-889F-18C599DFE291}"/>
            </c:ext>
          </c:extLst>
        </c:ser>
        <c:ser>
          <c:idx val="14"/>
          <c:order val="14"/>
          <c:tx>
            <c:strRef>
              <c:f>'[t-pinigu-finansu-istaigu-paskolu-ir-indeliu-palukanu-normos-1 (1).xlsx]Worksheet'!$A$30</c:f>
              <c:strCache>
                <c:ptCount val="1"/>
                <c:pt idx="0">
                  <c:v>Pinigų finansų įstaigų paskolos nuo 1 mln. eurų euro zonos ne finansų bendrovėms, pradinis palūkanų normos fiksavimo laikotarpis iki 1 metų – naujų susitarimų palūkanų normos
PNS.M.A2Y.B.C.1.U2.240.200.N.LT.PC___.E.SR</c:v>
                </c:pt>
              </c:strCache>
            </c:strRef>
          </c:tx>
          <c:spPr>
            <a:ln w="28575" cap="rnd">
              <a:solidFill>
                <a:schemeClr val="accent3">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(1).xlsx]Worksheet'!$B$30:$AG$30</c:f>
            </c:numRef>
          </c:val>
          <c:smooth val="0"/>
          <c:extLst xmlns:c16r2="http://schemas.microsoft.com/office/drawing/2015/06/chart">
            <c:ext xmlns:c16="http://schemas.microsoft.com/office/drawing/2014/chart" uri="{C3380CC4-5D6E-409C-BE32-E72D297353CC}">
              <c16:uniqueId val="{0000000E-C24C-4834-889F-18C599DFE291}"/>
            </c:ext>
          </c:extLst>
        </c:ser>
        <c:ser>
          <c:idx val="15"/>
          <c:order val="15"/>
          <c:tx>
            <c:strRef>
              <c:f>'[t-pinigu-finansu-istaigu-paskolu-ir-indeliu-palukanu-normos-1 (1).xlsx]Worksheet'!$A$31</c:f>
              <c:strCache>
                <c:ptCount val="1"/>
                <c:pt idx="0">
                  <c:v>Pinigų finansų įstaigų paskolos nuo 1 mln. eurų euro zonos ne finansų bendrovėms, pradinis palūkanų normos fiksavimo laikotarpis iki 1 metų – naujų susitarimų sumos
PNS.M.A2Y.B.B.1.U2.240.200.N.LT.PC___.E.SR</c:v>
                </c:pt>
              </c:strCache>
            </c:strRef>
          </c:tx>
          <c:spPr>
            <a:ln w="28575" cap="rnd">
              <a:solidFill>
                <a:schemeClr val="accent4">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(1).xlsx]Worksheet'!$B$31:$AG$31</c:f>
            </c:numRef>
          </c:val>
          <c:smooth val="0"/>
          <c:extLst xmlns:c16r2="http://schemas.microsoft.com/office/drawing/2015/06/chart">
            <c:ext xmlns:c16="http://schemas.microsoft.com/office/drawing/2014/chart" uri="{C3380CC4-5D6E-409C-BE32-E72D297353CC}">
              <c16:uniqueId val="{0000000F-C24C-4834-889F-18C599DFE291}"/>
            </c:ext>
          </c:extLst>
        </c:ser>
        <c:ser>
          <c:idx val="16"/>
          <c:order val="16"/>
          <c:tx>
            <c:strRef>
              <c:f>'[t-pinigu-finansu-istaigu-paskolu-ir-indeliu-palukanu-normos-1 (1).xlsx]Worksheet'!$A$32</c:f>
              <c:strCache>
                <c:ptCount val="1"/>
                <c:pt idx="0">
                  <c:v>Pinigų finansų įstaigų paskolos nuo 1 mln. eurų euro zonos ne finansų bendrovėms, pradinis palūkanų normos fiksavimo laikotarpis nuo 1 metų – naujų susitarimų palūkanų normos
PNS.M.A2Y.J.C.1.U2.240.200.N.LT.PC___.E.SR</c:v>
                </c:pt>
              </c:strCache>
            </c:strRef>
          </c:tx>
          <c:spPr>
            <a:ln w="28575" cap="rnd">
              <a:solidFill>
                <a:schemeClr val="accent5">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(1).xlsx]Worksheet'!$B$32:$AG$32</c:f>
            </c:numRef>
          </c:val>
          <c:smooth val="0"/>
          <c:extLst xmlns:c16r2="http://schemas.microsoft.com/office/drawing/2015/06/chart">
            <c:ext xmlns:c16="http://schemas.microsoft.com/office/drawing/2014/chart" uri="{C3380CC4-5D6E-409C-BE32-E72D297353CC}">
              <c16:uniqueId val="{00000010-C24C-4834-889F-18C599DFE291}"/>
            </c:ext>
          </c:extLst>
        </c:ser>
        <c:ser>
          <c:idx val="17"/>
          <c:order val="17"/>
          <c:tx>
            <c:strRef>
              <c:f>'[t-pinigu-finansu-istaigu-paskolu-ir-indeliu-palukanu-normos-1 (1).xlsx]Worksheet'!$A$33</c:f>
              <c:strCache>
                <c:ptCount val="1"/>
                <c:pt idx="0">
                  <c:v>Pinigų finansų įstaigų paskolos nuo 1 mln. eurų euro zonos ne finansų bendrovėms, pradinis palūkanų normos fiksavimo laikotarpis nuo 1 metų – naujų susitarimų sumos
PNS.M.A2Y.J.B.1.U2.240.200.N.LT.PC___.E.SR</c:v>
                </c:pt>
              </c:strCache>
            </c:strRef>
          </c:tx>
          <c:spPr>
            <a:ln w="28575" cap="rnd">
              <a:solidFill>
                <a:schemeClr val="accent6">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(1).xlsx]Worksheet'!$B$33:$AG$33</c:f>
            </c:numRef>
          </c:val>
          <c:smooth val="0"/>
          <c:extLst xmlns:c16r2="http://schemas.microsoft.com/office/drawing/2015/06/chart">
            <c:ext xmlns:c16="http://schemas.microsoft.com/office/drawing/2014/chart" uri="{C3380CC4-5D6E-409C-BE32-E72D297353CC}">
              <c16:uniqueId val="{00000011-C24C-4834-889F-18C599DFE291}"/>
            </c:ext>
          </c:extLst>
        </c:ser>
        <c:ser>
          <c:idx val="18"/>
          <c:order val="18"/>
          <c:tx>
            <c:strRef>
              <c:f>'[t-pinigu-finansu-istaigu-paskolu-ir-indeliu-palukanu-normos-1 (1).xlsx]Worksheet'!$A$34</c:f>
              <c:strCache>
                <c:ptCount val="1"/>
                <c:pt idx="0">
                  <c:v>Euro zonos ne finansų bendrovių sutarto termino indėliai pinigų finansų įstaigose – naujų susitarimų palūkanų normos
PNS.M.L22.A.C.A.U2.240.200.N.LT.PC___.E.SR</c:v>
                </c:pt>
              </c:strCache>
            </c:strRef>
          </c:tx>
          <c:spPr>
            <a:ln w="28575" cap="rnd">
              <a:solidFill>
                <a:schemeClr val="accent1">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(1).xlsx]Worksheet'!$B$34:$AG$34</c:f>
            </c:numRef>
          </c:val>
          <c:smooth val="0"/>
          <c:extLst xmlns:c16r2="http://schemas.microsoft.com/office/drawing/2015/06/chart">
            <c:ext xmlns:c16="http://schemas.microsoft.com/office/drawing/2014/chart" uri="{C3380CC4-5D6E-409C-BE32-E72D297353CC}">
              <c16:uniqueId val="{00000012-C24C-4834-889F-18C599DFE291}"/>
            </c:ext>
          </c:extLst>
        </c:ser>
        <c:ser>
          <c:idx val="19"/>
          <c:order val="19"/>
          <c:tx>
            <c:strRef>
              <c:f>'[t-pinigu-finansu-istaigu-paskolu-ir-indeliu-palukanu-normos-1 (1).xlsx]Worksheet'!$A$35</c:f>
              <c:strCache>
                <c:ptCount val="1"/>
                <c:pt idx="0">
                  <c:v>Euro zonos ne finansų bendrovių sutarto termino indėliai pinigų finansų įstaigose – naujų susitarimų sumos
PNS.M.L22.A.B.A.U2.240.200.N.LT.PC___.E.SR</c:v>
                </c:pt>
              </c:strCache>
            </c:strRef>
          </c:tx>
          <c:spPr>
            <a:ln w="28575" cap="rnd">
              <a:solidFill>
                <a:schemeClr val="accent2">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(1).xlsx]Worksheet'!$B$35:$AG$35</c:f>
            </c:numRef>
          </c:val>
          <c:smooth val="0"/>
          <c:extLst xmlns:c16r2="http://schemas.microsoft.com/office/drawing/2015/06/chart">
            <c:ext xmlns:c16="http://schemas.microsoft.com/office/drawing/2014/chart" uri="{C3380CC4-5D6E-409C-BE32-E72D297353CC}">
              <c16:uniqueId val="{00000013-C24C-4834-889F-18C599DFE291}"/>
            </c:ext>
          </c:extLst>
        </c:ser>
        <c:ser>
          <c:idx val="20"/>
          <c:order val="20"/>
          <c:tx>
            <c:strRef>
              <c:f>'[t-pinigu-finansu-istaigu-paskolu-ir-indeliu-palukanu-normos-1 (1).xlsx]Worksheet'!$A$36</c:f>
              <c:strCache>
                <c:ptCount val="1"/>
                <c:pt idx="0">
                  <c:v>Euro zonos ne finansų bendrovių sutarto termino indėliai iki 1 mėn. pinigų finansų įstaigose – naujų susitarimų palūkanų normos
PNS.M.L22.Q.C.A.U2.240.200.N.LT.PC___.E.SR</c:v>
                </c:pt>
              </c:strCache>
            </c:strRef>
          </c:tx>
          <c:spPr>
            <a:ln w="28575" cap="rnd">
              <a:solidFill>
                <a:schemeClr val="accent3">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(1).xlsx]Worksheet'!$B$36:$AG$36</c:f>
            </c:numRef>
          </c:val>
          <c:smooth val="0"/>
          <c:extLst xmlns:c16r2="http://schemas.microsoft.com/office/drawing/2015/06/chart">
            <c:ext xmlns:c16="http://schemas.microsoft.com/office/drawing/2014/chart" uri="{C3380CC4-5D6E-409C-BE32-E72D297353CC}">
              <c16:uniqueId val="{00000014-C24C-4834-889F-18C599DFE291}"/>
            </c:ext>
          </c:extLst>
        </c:ser>
        <c:ser>
          <c:idx val="21"/>
          <c:order val="21"/>
          <c:tx>
            <c:strRef>
              <c:f>'[t-pinigu-finansu-istaigu-paskolu-ir-indeliu-palukanu-normos-1 (1).xlsx]Worksheet'!$A$37</c:f>
              <c:strCache>
                <c:ptCount val="1"/>
                <c:pt idx="0">
                  <c:v>Euro zonos ne finansų bendrovių sutarto termino indėliai iki 1 mėn. pinigų finansų įstaigose – naujų susitarimų sumos
PNS.M.L22.Q.B.A.U2.240.200.N.LT.PC___.E.SR</c:v>
                </c:pt>
              </c:strCache>
            </c:strRef>
          </c:tx>
          <c:spPr>
            <a:ln w="28575" cap="rnd">
              <a:solidFill>
                <a:schemeClr val="accent4">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(1).xlsx]Worksheet'!$B$37:$AG$37</c:f>
            </c:numRef>
          </c:val>
          <c:smooth val="0"/>
          <c:extLst xmlns:c16r2="http://schemas.microsoft.com/office/drawing/2015/06/chart">
            <c:ext xmlns:c16="http://schemas.microsoft.com/office/drawing/2014/chart" uri="{C3380CC4-5D6E-409C-BE32-E72D297353CC}">
              <c16:uniqueId val="{00000015-C24C-4834-889F-18C599DFE291}"/>
            </c:ext>
          </c:extLst>
        </c:ser>
        <c:ser>
          <c:idx val="22"/>
          <c:order val="22"/>
          <c:tx>
            <c:strRef>
              <c:f>'[t-pinigu-finansu-istaigu-paskolu-ir-indeliu-palukanu-normos-1 (1).xlsx]Worksheet'!$A$38</c:f>
              <c:strCache>
                <c:ptCount val="1"/>
                <c:pt idx="0">
                  <c:v>Euro zonos ne finansų bendrovių sutarto termino indėliai nuo 1 iki 6 mėn. pinigų finansų įstaigose – naujų susitarimų palūkanų normos
PNS.M.L22.R.C.A.U2.240.200.N.LT.PC___.E.SR</c:v>
                </c:pt>
              </c:strCache>
            </c:strRef>
          </c:tx>
          <c:spPr>
            <a:ln w="28575" cap="rnd">
              <a:solidFill>
                <a:schemeClr val="accent5">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(1).xlsx]Worksheet'!$B$38:$AG$38</c:f>
            </c:numRef>
          </c:val>
          <c:smooth val="0"/>
          <c:extLst xmlns:c16r2="http://schemas.microsoft.com/office/drawing/2015/06/chart">
            <c:ext xmlns:c16="http://schemas.microsoft.com/office/drawing/2014/chart" uri="{C3380CC4-5D6E-409C-BE32-E72D297353CC}">
              <c16:uniqueId val="{00000016-C24C-4834-889F-18C599DFE291}"/>
            </c:ext>
          </c:extLst>
        </c:ser>
        <c:ser>
          <c:idx val="23"/>
          <c:order val="23"/>
          <c:tx>
            <c:strRef>
              <c:f>'[t-pinigu-finansu-istaigu-paskolu-ir-indeliu-palukanu-normos-1 (1).xlsx]Worksheet'!$A$39</c:f>
              <c:strCache>
                <c:ptCount val="1"/>
                <c:pt idx="0">
                  <c:v>Euro zonos ne finansų bendrovių sutarto termino indėliai nuo 1 iki 6 mėn. pinigų finansų įstaigose – naujų susitarimų sumos
PNS.M.L22.R.B.A.U2.240.200.N.LT.PC___.E.SR</c:v>
                </c:pt>
              </c:strCache>
            </c:strRef>
          </c:tx>
          <c:spPr>
            <a:ln w="28575" cap="rnd">
              <a:solidFill>
                <a:schemeClr val="accent6">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(1).xlsx]Worksheet'!$B$39:$AG$39</c:f>
            </c:numRef>
          </c:val>
          <c:smooth val="0"/>
          <c:extLst xmlns:c16r2="http://schemas.microsoft.com/office/drawing/2015/06/chart">
            <c:ext xmlns:c16="http://schemas.microsoft.com/office/drawing/2014/chart" uri="{C3380CC4-5D6E-409C-BE32-E72D297353CC}">
              <c16:uniqueId val="{00000017-C24C-4834-889F-18C599DFE291}"/>
            </c:ext>
          </c:extLst>
        </c:ser>
        <c:ser>
          <c:idx val="24"/>
          <c:order val="24"/>
          <c:tx>
            <c:strRef>
              <c:f>'[t-pinigu-finansu-istaigu-paskolu-ir-indeliu-palukanu-normos-1 (1).xlsx]Worksheet'!$A$40</c:f>
              <c:strCache>
                <c:ptCount val="1"/>
                <c:pt idx="0">
                  <c:v>Euro zonos ne finansų bendrovių sutarto termino indėliai nuo 6 mėn. iki 1 metų pinigų finansų įstaigose – naujų susitarimų palūkanų normos
PNS.M.L22.S.C.A.U2.240.200.N.LT.PC___.E.SR</c:v>
                </c:pt>
              </c:strCache>
            </c:strRef>
          </c:tx>
          <c:spPr>
            <a:ln w="28575" cap="rnd">
              <a:solidFill>
                <a:schemeClr val="accent1">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(1).xlsx]Worksheet'!$B$40:$AG$40</c:f>
            </c:numRef>
          </c:val>
          <c:smooth val="0"/>
          <c:extLst xmlns:c16r2="http://schemas.microsoft.com/office/drawing/2015/06/chart">
            <c:ext xmlns:c16="http://schemas.microsoft.com/office/drawing/2014/chart" uri="{C3380CC4-5D6E-409C-BE32-E72D297353CC}">
              <c16:uniqueId val="{00000018-C24C-4834-889F-18C599DFE291}"/>
            </c:ext>
          </c:extLst>
        </c:ser>
        <c:ser>
          <c:idx val="25"/>
          <c:order val="25"/>
          <c:tx>
            <c:strRef>
              <c:f>'[t-pinigu-finansu-istaigu-paskolu-ir-indeliu-palukanu-normos-1 (1).xlsx]Worksheet'!$A$41</c:f>
              <c:strCache>
                <c:ptCount val="1"/>
                <c:pt idx="0">
                  <c:v>Euro zonos ne finansų bendrovių sutarto termino indėliai nuo 6 mėn. iki 1 metų pinigų finansų įstaigose – naujų susitarimų sumos
PNS.M.L22.S.B.A.U2.240.200.N.LT.PC___.E.SR</c:v>
                </c:pt>
              </c:strCache>
            </c:strRef>
          </c:tx>
          <c:spPr>
            <a:ln w="28575" cap="rnd">
              <a:solidFill>
                <a:schemeClr val="accent2">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(1).xlsx]Worksheet'!$B$41:$AG$41</c:f>
            </c:numRef>
          </c:val>
          <c:smooth val="0"/>
          <c:extLst xmlns:c16r2="http://schemas.microsoft.com/office/drawing/2015/06/chart">
            <c:ext xmlns:c16="http://schemas.microsoft.com/office/drawing/2014/chart" uri="{C3380CC4-5D6E-409C-BE32-E72D297353CC}">
              <c16:uniqueId val="{00000019-C24C-4834-889F-18C599DFE291}"/>
            </c:ext>
          </c:extLst>
        </c:ser>
        <c:ser>
          <c:idx val="26"/>
          <c:order val="26"/>
          <c:tx>
            <c:strRef>
              <c:f>'[t-pinigu-finansu-istaigu-paskolu-ir-indeliu-palukanu-normos-1 (1).xlsx]Worksheet'!$A$42</c:f>
              <c:strCache>
                <c:ptCount val="1"/>
                <c:pt idx="0">
                  <c:v>Euro zonos ne finansų bendrovių sutarto termino indėliai nuo 1 iki 2 metų pinigų finansų įstaigose – naujų susitarimų palūkanų normos
PNS.M.L22.E.C.A.U2.240.200.N.LT.PC___.E.SR</c:v>
                </c:pt>
              </c:strCache>
            </c:strRef>
          </c:tx>
          <c:spPr>
            <a:ln w="28575" cap="rnd">
              <a:solidFill>
                <a:schemeClr val="accent3">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(1).xlsx]Worksheet'!$B$42:$AG$42</c:f>
            </c:numRef>
          </c:val>
          <c:smooth val="0"/>
          <c:extLst xmlns:c16r2="http://schemas.microsoft.com/office/drawing/2015/06/chart">
            <c:ext xmlns:c16="http://schemas.microsoft.com/office/drawing/2014/chart" uri="{C3380CC4-5D6E-409C-BE32-E72D297353CC}">
              <c16:uniqueId val="{0000001A-C24C-4834-889F-18C599DFE291}"/>
            </c:ext>
          </c:extLst>
        </c:ser>
        <c:ser>
          <c:idx val="27"/>
          <c:order val="27"/>
          <c:tx>
            <c:strRef>
              <c:f>'[t-pinigu-finansu-istaigu-paskolu-ir-indeliu-palukanu-normos-1 (1).xlsx]Worksheet'!$A$43</c:f>
              <c:strCache>
                <c:ptCount val="1"/>
                <c:pt idx="0">
                  <c:v>Euro zonos ne finansų bendrovių sutarto termino indėliai nuo 1 iki 2 metų pinigų finansų įstaigose – naujų susitarimų sumos
PNS.M.L22.E.B.A.U2.240.200.N.LT.PC___.E.SR</c:v>
                </c:pt>
              </c:strCache>
            </c:strRef>
          </c:tx>
          <c:spPr>
            <a:ln w="28575" cap="rnd">
              <a:solidFill>
                <a:schemeClr val="accent4">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(1).xlsx]Worksheet'!$B$43:$AG$43</c:f>
            </c:numRef>
          </c:val>
          <c:smooth val="0"/>
          <c:extLst xmlns:c16r2="http://schemas.microsoft.com/office/drawing/2015/06/chart">
            <c:ext xmlns:c16="http://schemas.microsoft.com/office/drawing/2014/chart" uri="{C3380CC4-5D6E-409C-BE32-E72D297353CC}">
              <c16:uniqueId val="{0000001B-C24C-4834-889F-18C599DFE291}"/>
            </c:ext>
          </c:extLst>
        </c:ser>
        <c:ser>
          <c:idx val="28"/>
          <c:order val="28"/>
          <c:tx>
            <c:strRef>
              <c:f>'[t-pinigu-finansu-istaigu-paskolu-ir-indeliu-palukanu-normos-1 (1).xlsx]Worksheet'!$A$44</c:f>
              <c:strCache>
                <c:ptCount val="1"/>
                <c:pt idx="0">
                  <c:v>Euro zonos ne finansų bendrovių sutarto termino indėliai nuo 2 metų pinigų finansų įstaigose – naujų susitarimų palūkanų normos
PNS.M.L22.F.C.A.U2.240.200.N.LT.PC___.E.SR</c:v>
                </c:pt>
              </c:strCache>
            </c:strRef>
          </c:tx>
          <c:spPr>
            <a:ln w="28575" cap="rnd">
              <a:solidFill>
                <a:schemeClr val="accent5">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(1).xlsx]Worksheet'!$B$44:$AG$44</c:f>
            </c:numRef>
          </c:val>
          <c:smooth val="0"/>
          <c:extLst xmlns:c16r2="http://schemas.microsoft.com/office/drawing/2015/06/chart">
            <c:ext xmlns:c16="http://schemas.microsoft.com/office/drawing/2014/chart" uri="{C3380CC4-5D6E-409C-BE32-E72D297353CC}">
              <c16:uniqueId val="{0000001C-C24C-4834-889F-18C599DFE291}"/>
            </c:ext>
          </c:extLst>
        </c:ser>
        <c:ser>
          <c:idx val="29"/>
          <c:order val="29"/>
          <c:tx>
            <c:strRef>
              <c:f>'[t-pinigu-finansu-istaigu-paskolu-ir-indeliu-palukanu-normos-1 (1).xlsx]Worksheet'!$A$45</c:f>
              <c:strCache>
                <c:ptCount val="1"/>
                <c:pt idx="0">
                  <c:v>Euro zonos ne finansų bendrovių sutarto termino indėliai nuo 2 metų pinigų finansų įstaigose – naujų susitarimų sumos
PNS.M.L22.F.B.A.U2.240.200.N.LT.PC___.E.SR</c:v>
                </c:pt>
              </c:strCache>
            </c:strRef>
          </c:tx>
          <c:spPr>
            <a:ln w="28575" cap="rnd">
              <a:solidFill>
                <a:schemeClr val="accent6">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(1).xlsx]Worksheet'!$B$45:$AG$45</c:f>
            </c:numRef>
          </c:val>
          <c:smooth val="0"/>
          <c:extLst xmlns:c16r2="http://schemas.microsoft.com/office/drawing/2015/06/chart">
            <c:ext xmlns:c16="http://schemas.microsoft.com/office/drawing/2014/chart" uri="{C3380CC4-5D6E-409C-BE32-E72D297353CC}">
              <c16:uniqueId val="{0000001D-C24C-4834-889F-18C599DFE291}"/>
            </c:ext>
          </c:extLst>
        </c:ser>
        <c:ser>
          <c:idx val="30"/>
          <c:order val="30"/>
          <c:tx>
            <c:strRef>
              <c:f>'[t-pinigu-finansu-istaigu-paskolu-ir-indeliu-palukanu-normos-1 (1).xlsx]Worksheet'!$A$46</c:f>
              <c:strCache>
                <c:ptCount val="1"/>
                <c:pt idx="0">
                  <c:v>Pinigų finansų įstaigų paskolos euro zonos ne finansų bendrovėms – likučių palūkanų normos
PNS.M.A20.A.C.A.U2.240.200.L.LT.PC___.E.SR</c:v>
                </c:pt>
              </c:strCache>
            </c:strRef>
          </c:tx>
          <c:spPr>
            <a:ln w="28575" cap="rnd">
              <a:solidFill>
                <a:schemeClr val="accent1">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(1).xlsx]Worksheet'!$B$46:$AG$46</c:f>
            </c:numRef>
          </c:val>
          <c:smooth val="0"/>
          <c:extLst xmlns:c16r2="http://schemas.microsoft.com/office/drawing/2015/06/chart">
            <c:ext xmlns:c16="http://schemas.microsoft.com/office/drawing/2014/chart" uri="{C3380CC4-5D6E-409C-BE32-E72D297353CC}">
              <c16:uniqueId val="{0000001E-C24C-4834-889F-18C599DFE291}"/>
            </c:ext>
          </c:extLst>
        </c:ser>
        <c:ser>
          <c:idx val="31"/>
          <c:order val="31"/>
          <c:tx>
            <c:strRef>
              <c:f>'[t-pinigu-finansu-istaigu-paskolu-ir-indeliu-palukanu-normos-1 (1).xlsx]Worksheet'!$A$47</c:f>
              <c:strCache>
                <c:ptCount val="1"/>
                <c:pt idx="0">
                  <c:v>Pinigų finansų įstaigų atnaujinamosios paskolos ir sąskaitų lėšų pereikvojimai, kredito kortelės kreditas euro zonos ne finansų bendrovėms – likučių palūkanų normos
PNS.M.A2Z.A.C.A.U2.240.200.L.LT.PC___.E.SR</c:v>
                </c:pt>
              </c:strCache>
            </c:strRef>
          </c:tx>
          <c:spPr>
            <a:ln w="28575" cap="rnd">
              <a:solidFill>
                <a:schemeClr val="accent2">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(1).xlsx]Worksheet'!$B$47:$AG$47</c:f>
            </c:numRef>
          </c:val>
          <c:smooth val="0"/>
          <c:extLst xmlns:c16r2="http://schemas.microsoft.com/office/drawing/2015/06/chart">
            <c:ext xmlns:c16="http://schemas.microsoft.com/office/drawing/2014/chart" uri="{C3380CC4-5D6E-409C-BE32-E72D297353CC}">
              <c16:uniqueId val="{0000001F-C24C-4834-889F-18C599DFE291}"/>
            </c:ext>
          </c:extLst>
        </c:ser>
        <c:ser>
          <c:idx val="32"/>
          <c:order val="32"/>
          <c:tx>
            <c:strRef>
              <c:f>'[t-pinigu-finansu-istaigu-paskolu-ir-indeliu-palukanu-normos-1 (1).xlsx]Worksheet'!$A$48</c:f>
              <c:strCache>
                <c:ptCount val="1"/>
                <c:pt idx="0">
                  <c:v>Pinigų finansų įstaigų paskolos euro zonos ne finansų bendrovėms, pradinis terminas iki 1 metų – likučių palūkanų normos
PNS.M.A20.B.C.A.U2.240.200.L.LT.PC___.E.SR</c:v>
                </c:pt>
              </c:strCache>
            </c:strRef>
          </c:tx>
          <c:spPr>
            <a:ln w="28575" cap="rnd">
              <a:solidFill>
                <a:schemeClr val="accent3">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(1).xlsx]Worksheet'!$B$48:$AG$48</c:f>
            </c:numRef>
          </c:val>
          <c:smooth val="0"/>
          <c:extLst xmlns:c16r2="http://schemas.microsoft.com/office/drawing/2015/06/chart">
            <c:ext xmlns:c16="http://schemas.microsoft.com/office/drawing/2014/chart" uri="{C3380CC4-5D6E-409C-BE32-E72D297353CC}">
              <c16:uniqueId val="{00000020-C24C-4834-889F-18C599DFE291}"/>
            </c:ext>
          </c:extLst>
        </c:ser>
        <c:ser>
          <c:idx val="33"/>
          <c:order val="33"/>
          <c:tx>
            <c:strRef>
              <c:f>'[t-pinigu-finansu-istaigu-paskolu-ir-indeliu-palukanu-normos-1 (1).xlsx]Worksheet'!$A$49</c:f>
              <c:strCache>
                <c:ptCount val="1"/>
                <c:pt idx="0">
                  <c:v>Pinigų finansų įstaigų paskolos euro zonos ne finansų bendrovėms, pradinis terminas nuo 1 iki 5 metų – likučių palūkanų normos
PNS.M.A20.C.C.A.U2.240.200.L.LT.PC___.E.SR</c:v>
                </c:pt>
              </c:strCache>
            </c:strRef>
          </c:tx>
          <c:spPr>
            <a:ln w="28575" cap="rnd">
              <a:solidFill>
                <a:schemeClr val="accent4">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(1).xlsx]Worksheet'!$B$49:$AG$49</c:f>
            </c:numRef>
          </c:val>
          <c:smooth val="0"/>
          <c:extLst xmlns:c16r2="http://schemas.microsoft.com/office/drawing/2015/06/chart">
            <c:ext xmlns:c16="http://schemas.microsoft.com/office/drawing/2014/chart" uri="{C3380CC4-5D6E-409C-BE32-E72D297353CC}">
              <c16:uniqueId val="{00000021-C24C-4834-889F-18C599DFE291}"/>
            </c:ext>
          </c:extLst>
        </c:ser>
        <c:ser>
          <c:idx val="34"/>
          <c:order val="34"/>
          <c:tx>
            <c:strRef>
              <c:f>'[t-pinigu-finansu-istaigu-paskolu-ir-indeliu-palukanu-normos-1 (1).xlsx]Worksheet'!$A$50</c:f>
              <c:strCache>
                <c:ptCount val="1"/>
                <c:pt idx="0">
                  <c:v>Pinigų finansų įstaigų paskolos euro zonos ne finansų bendrovėms, pradinis terminas nuo 5 metų – likučių palūkanų normos
</c:v>
                </c:pt>
              </c:strCache>
            </c:strRef>
          </c:tx>
          <c:spPr>
            <a:ln w="28575" cap="rnd">
              <a:solidFill>
                <a:schemeClr val="accent5">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(1).xlsx]Worksheet'!$B$50:$AG$50</c:f>
              <c:numCache>
                <c:formatCode>0.0%</c:formatCode>
                <c:ptCount val="32"/>
                <c:pt idx="0">
                  <c:v>2.4500000000000001E-2</c:v>
                </c:pt>
                <c:pt idx="1">
                  <c:v>2.4300000000000002E-2</c:v>
                </c:pt>
                <c:pt idx="2">
                  <c:v>2.3900000000000001E-2</c:v>
                </c:pt>
                <c:pt idx="3">
                  <c:v>2.3599999999999999E-2</c:v>
                </c:pt>
                <c:pt idx="4">
                  <c:v>2.3099999999999999E-2</c:v>
                </c:pt>
                <c:pt idx="5">
                  <c:v>2.2599999999999999E-2</c:v>
                </c:pt>
                <c:pt idx="6">
                  <c:v>2.2599999999999999E-2</c:v>
                </c:pt>
                <c:pt idx="7">
                  <c:v>2.2499999999999999E-2</c:v>
                </c:pt>
                <c:pt idx="8">
                  <c:v>2.2099999999999998E-2</c:v>
                </c:pt>
                <c:pt idx="9">
                  <c:v>2.2200000000000001E-2</c:v>
                </c:pt>
                <c:pt idx="10">
                  <c:v>2.2000000000000002E-2</c:v>
                </c:pt>
                <c:pt idx="11">
                  <c:v>2.1700000000000001E-2</c:v>
                </c:pt>
                <c:pt idx="12">
                  <c:v>2.1299999999999999E-2</c:v>
                </c:pt>
                <c:pt idx="13">
                  <c:v>2.0799999999999999E-2</c:v>
                </c:pt>
                <c:pt idx="14">
                  <c:v>2.07E-2</c:v>
                </c:pt>
                <c:pt idx="15">
                  <c:v>2.0299999999999999E-2</c:v>
                </c:pt>
                <c:pt idx="16">
                  <c:v>2.0499999999999997E-2</c:v>
                </c:pt>
                <c:pt idx="17">
                  <c:v>2.0299999999999999E-2</c:v>
                </c:pt>
                <c:pt idx="18">
                  <c:v>2.0099999999999996E-2</c:v>
                </c:pt>
                <c:pt idx="19">
                  <c:v>2.0099999999999996E-2</c:v>
                </c:pt>
                <c:pt idx="20">
                  <c:v>2.0199999999999999E-2</c:v>
                </c:pt>
                <c:pt idx="21">
                  <c:v>2.0199999999999999E-2</c:v>
                </c:pt>
                <c:pt idx="22">
                  <c:v>0.02</c:v>
                </c:pt>
                <c:pt idx="23">
                  <c:v>2.0299999999999999E-2</c:v>
                </c:pt>
                <c:pt idx="24">
                  <c:v>2.0299999999999999E-2</c:v>
                </c:pt>
                <c:pt idx="25">
                  <c:v>2.0299999999999999E-2</c:v>
                </c:pt>
                <c:pt idx="26">
                  <c:v>2.0400000000000001E-2</c:v>
                </c:pt>
                <c:pt idx="27">
                  <c:v>2.0400000000000001E-2</c:v>
                </c:pt>
                <c:pt idx="28">
                  <c:v>2.0099999999999996E-2</c:v>
                </c:pt>
                <c:pt idx="29">
                  <c:v>1.9900000000000001E-2</c:v>
                </c:pt>
                <c:pt idx="30">
                  <c:v>0.02</c:v>
                </c:pt>
                <c:pt idx="31">
                  <c:v>2.0099999999999996E-2</c:v>
                </c:pt>
              </c:numCache>
            </c:numRef>
          </c:val>
          <c:smooth val="0"/>
          <c:extLst xmlns:c16r2="http://schemas.microsoft.com/office/drawing/2015/06/chart">
            <c:ext xmlns:c16="http://schemas.microsoft.com/office/drawing/2014/chart" uri="{C3380CC4-5D6E-409C-BE32-E72D297353CC}">
              <c16:uniqueId val="{00000022-C24C-4834-889F-18C599DFE291}"/>
            </c:ext>
          </c:extLst>
        </c:ser>
        <c:dLbls>
          <c:showLegendKey val="0"/>
          <c:showVal val="0"/>
          <c:showCatName val="0"/>
          <c:showSerName val="0"/>
          <c:showPercent val="0"/>
          <c:showBubbleSize val="0"/>
        </c:dLbls>
        <c:marker val="1"/>
        <c:smooth val="0"/>
        <c:axId val="113452928"/>
        <c:axId val="113454464"/>
      </c:lineChart>
      <c:catAx>
        <c:axId val="1134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3454464"/>
        <c:crosses val="autoZero"/>
        <c:auto val="1"/>
        <c:lblAlgn val="ctr"/>
        <c:lblOffset val="100"/>
        <c:tickLblSkip val="1"/>
        <c:noMultiLvlLbl val="0"/>
      </c:catAx>
      <c:valAx>
        <c:axId val="113454464"/>
        <c:scaling>
          <c:orientation val="minMax"/>
          <c:min val="1.5000000000000003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345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'ERBD ir EIB'!$B$13</c:f>
              <c:strCache>
                <c:ptCount val="1"/>
                <c:pt idx="0">
                  <c:v>Įsipareigojimai metiniai (mln. eurų)</c:v>
                </c:pt>
              </c:strCache>
            </c:strRef>
          </c:tx>
          <c:invertIfNegative val="0"/>
          <c:dLbls>
            <c:spPr>
              <a:noFill/>
              <a:ln>
                <a:noFill/>
              </a:ln>
              <a:effectLst/>
            </c:spPr>
            <c:txPr>
              <a:bodyPr/>
              <a:lstStyle/>
              <a:p>
                <a:pPr>
                  <a:defRPr>
                    <a:solidFill>
                      <a:srgbClr val="000000"/>
                    </a:solidFill>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'ERBD ir EIB'!$C$12:$J$12</c:f>
              <c:numCache>
                <c:formatCode>0</c:formatCode>
                <c:ptCount val="8"/>
                <c:pt idx="0">
                  <c:v>2009</c:v>
                </c:pt>
                <c:pt idx="1">
                  <c:v>2010</c:v>
                </c:pt>
                <c:pt idx="2">
                  <c:v>2011</c:v>
                </c:pt>
                <c:pt idx="3">
                  <c:v>2012</c:v>
                </c:pt>
                <c:pt idx="4">
                  <c:v>2013</c:v>
                </c:pt>
                <c:pt idx="5">
                  <c:v>2014</c:v>
                </c:pt>
                <c:pt idx="6">
                  <c:v>2015</c:v>
                </c:pt>
                <c:pt idx="7">
                  <c:v>2016</c:v>
                </c:pt>
              </c:numCache>
            </c:numRef>
          </c:cat>
          <c:val>
            <c:numRef>
              <c:f>'ERBD ir EIB'!$C$13:$J$13</c:f>
              <c:numCache>
                <c:formatCode>_(* #,##0_);_(* \(#,##0\);_(* "-"_);@_)</c:formatCode>
                <c:ptCount val="8"/>
                <c:pt idx="0">
                  <c:v>29</c:v>
                </c:pt>
                <c:pt idx="1">
                  <c:v>99</c:v>
                </c:pt>
                <c:pt idx="2">
                  <c:v>2</c:v>
                </c:pt>
                <c:pt idx="3">
                  <c:v>36</c:v>
                </c:pt>
                <c:pt idx="4">
                  <c:v>32</c:v>
                </c:pt>
                <c:pt idx="5">
                  <c:v>32</c:v>
                </c:pt>
                <c:pt idx="6">
                  <c:v>8</c:v>
                </c:pt>
                <c:pt idx="7">
                  <c:v>2</c:v>
                </c:pt>
              </c:numCache>
            </c:numRef>
          </c:val>
          <c:extLst xmlns:c16r2="http://schemas.microsoft.com/office/drawing/2015/06/chart">
            <c:ext xmlns:c16="http://schemas.microsoft.com/office/drawing/2014/chart" uri="{C3380CC4-5D6E-409C-BE32-E72D297353CC}">
              <c16:uniqueId val="{00000000-4BC1-43C2-B264-9F85AEE56D10}"/>
            </c:ext>
          </c:extLst>
        </c:ser>
        <c:dLbls>
          <c:showLegendKey val="0"/>
          <c:showVal val="1"/>
          <c:showCatName val="0"/>
          <c:showSerName val="0"/>
          <c:showPercent val="0"/>
          <c:showBubbleSize val="0"/>
        </c:dLbls>
        <c:gapWidth val="150"/>
        <c:axId val="113325952"/>
        <c:axId val="113333376"/>
      </c:barChart>
      <c:lineChart>
        <c:grouping val="standard"/>
        <c:varyColors val="0"/>
        <c:ser>
          <c:idx val="1"/>
          <c:order val="1"/>
          <c:tx>
            <c:strRef>
              <c:f>'ERBD ir EIB'!$B$14</c:f>
              <c:strCache>
                <c:ptCount val="1"/>
                <c:pt idx="0">
                  <c:v>Vykdomų projektų skaičius</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'ERBD ir EIB'!$C$12:$J$12</c:f>
              <c:numCache>
                <c:formatCode>0</c:formatCode>
                <c:ptCount val="8"/>
                <c:pt idx="0">
                  <c:v>2009</c:v>
                </c:pt>
                <c:pt idx="1">
                  <c:v>2010</c:v>
                </c:pt>
                <c:pt idx="2">
                  <c:v>2011</c:v>
                </c:pt>
                <c:pt idx="3">
                  <c:v>2012</c:v>
                </c:pt>
                <c:pt idx="4">
                  <c:v>2013</c:v>
                </c:pt>
                <c:pt idx="5">
                  <c:v>2014</c:v>
                </c:pt>
                <c:pt idx="6">
                  <c:v>2015</c:v>
                </c:pt>
                <c:pt idx="7">
                  <c:v>2016</c:v>
                </c:pt>
              </c:numCache>
            </c:numRef>
          </c:cat>
          <c:val>
            <c:numRef>
              <c:f>'ERBD ir EIB'!$C$14:$J$14</c:f>
              <c:numCache>
                <c:formatCode>_(* #,##0_);_(* \(#,##0\);_(* "-"_);@_)</c:formatCode>
                <c:ptCount val="8"/>
                <c:pt idx="0">
                  <c:v>7</c:v>
                </c:pt>
                <c:pt idx="1">
                  <c:v>5</c:v>
                </c:pt>
                <c:pt idx="2">
                  <c:v>1</c:v>
                </c:pt>
                <c:pt idx="3">
                  <c:v>2</c:v>
                </c:pt>
                <c:pt idx="4">
                  <c:v>6</c:v>
                </c:pt>
                <c:pt idx="5">
                  <c:v>3</c:v>
                </c:pt>
                <c:pt idx="6">
                  <c:v>2</c:v>
                </c:pt>
                <c:pt idx="7">
                  <c:v>1</c:v>
                </c:pt>
              </c:numCache>
            </c:numRef>
          </c:val>
          <c:smooth val="0"/>
          <c:extLst xmlns:c16r2="http://schemas.microsoft.com/office/drawing/2015/06/chart">
            <c:ext xmlns:c16="http://schemas.microsoft.com/office/drawing/2014/chart" uri="{C3380CC4-5D6E-409C-BE32-E72D297353CC}">
              <c16:uniqueId val="{00000001-4BC1-43C2-B264-9F85AEE56D10}"/>
            </c:ext>
          </c:extLst>
        </c:ser>
        <c:dLbls>
          <c:showLegendKey val="0"/>
          <c:showVal val="0"/>
          <c:showCatName val="0"/>
          <c:showSerName val="0"/>
          <c:showPercent val="0"/>
          <c:showBubbleSize val="0"/>
        </c:dLbls>
        <c:marker val="1"/>
        <c:smooth val="0"/>
        <c:axId val="113376640"/>
        <c:axId val="113359488"/>
      </c:lineChart>
      <c:catAx>
        <c:axId val="113325952"/>
        <c:scaling>
          <c:orientation val="minMax"/>
        </c:scaling>
        <c:delete val="0"/>
        <c:axPos val="b"/>
        <c:numFmt formatCode="0" sourceLinked="1"/>
        <c:majorTickMark val="out"/>
        <c:minorTickMark val="none"/>
        <c:tickLblPos val="low"/>
        <c:crossAx val="113333376"/>
        <c:crosses val="autoZero"/>
        <c:auto val="1"/>
        <c:lblAlgn val="ctr"/>
        <c:lblOffset val="100"/>
        <c:noMultiLvlLbl val="0"/>
      </c:catAx>
      <c:valAx>
        <c:axId val="113333376"/>
        <c:scaling>
          <c:orientation val="minMax"/>
        </c:scaling>
        <c:delete val="0"/>
        <c:axPos val="l"/>
        <c:numFmt formatCode="_(* #,##0_);_(* \(#,##0\);_(* &quot;-&quot;_);@_)" sourceLinked="0"/>
        <c:majorTickMark val="none"/>
        <c:minorTickMark val="none"/>
        <c:tickLblPos val="low"/>
        <c:spPr>
          <a:noFill/>
          <a:ln>
            <a:noFill/>
          </a:ln>
        </c:spPr>
        <c:crossAx val="113325952"/>
        <c:crosses val="autoZero"/>
        <c:crossBetween val="between"/>
        <c:dispUnits>
          <c:custUnit val="1"/>
        </c:dispUnits>
      </c:valAx>
      <c:valAx>
        <c:axId val="113359488"/>
        <c:scaling>
          <c:orientation val="minMax"/>
        </c:scaling>
        <c:delete val="0"/>
        <c:axPos val="r"/>
        <c:numFmt formatCode="_(* #,##0_);_(* \(#,##0\);_(* &quot;-&quot;_);@_)" sourceLinked="1"/>
        <c:majorTickMark val="out"/>
        <c:minorTickMark val="none"/>
        <c:tickLblPos val="nextTo"/>
        <c:crossAx val="113376640"/>
        <c:crosses val="max"/>
        <c:crossBetween val="between"/>
      </c:valAx>
      <c:catAx>
        <c:axId val="113376640"/>
        <c:scaling>
          <c:orientation val="minMax"/>
        </c:scaling>
        <c:delete val="1"/>
        <c:axPos val="b"/>
        <c:numFmt formatCode="0" sourceLinked="1"/>
        <c:majorTickMark val="out"/>
        <c:minorTickMark val="none"/>
        <c:tickLblPos val="nextTo"/>
        <c:crossAx val="113359488"/>
        <c:crosses val="autoZero"/>
        <c:auto val="1"/>
        <c:lblAlgn val="ctr"/>
        <c:lblOffset val="100"/>
        <c:noMultiLvlLbl val="0"/>
      </c:catAx>
      <c:spPr>
        <a:noFill/>
        <a:ln w="25400">
          <a:noFill/>
        </a:ln>
      </c:spPr>
    </c:plotArea>
    <c:legend>
      <c:legendPos val="b"/>
      <c:overlay val="0"/>
    </c:legend>
    <c:plotVisOnly val="1"/>
    <c:dispBlanksAs val="gap"/>
    <c:showDLblsOverMax val="0"/>
  </c:chart>
  <c:spPr>
    <a:noFill/>
    <a:ln>
      <a:noFill/>
    </a:ln>
  </c:spPr>
  <c:txPr>
    <a:bodyPr/>
    <a:lstStyle/>
    <a:p>
      <a:pPr>
        <a:defRPr sz="800"/>
      </a:pPr>
      <a:endParaRPr lang="lt-LT"/>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 sourceLinked="0"/>
            <c:spPr>
              <a:noFill/>
              <a:ln>
                <a:noFill/>
              </a:ln>
              <a:effectLst/>
            </c:spPr>
            <c:dLblPos val="outEnd"/>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'ERBD ir EIB'!$B$3:$B$5</c:f>
              <c:strCache>
                <c:ptCount val="3"/>
                <c:pt idx="0">
                  <c:v>Finansų institucijos</c:v>
                </c:pt>
                <c:pt idx="1">
                  <c:v>Infrastruktūra</c:v>
                </c:pt>
                <c:pt idx="2">
                  <c:v>Bendrasis</c:v>
                </c:pt>
              </c:strCache>
            </c:strRef>
          </c:cat>
          <c:val>
            <c:numRef>
              <c:f>'ERBD ir EIB'!$C$3:$C$5</c:f>
              <c:numCache>
                <c:formatCode>0%</c:formatCode>
                <c:ptCount val="3"/>
                <c:pt idx="0">
                  <c:v>0.28999999999999998</c:v>
                </c:pt>
                <c:pt idx="1">
                  <c:v>0.4</c:v>
                </c:pt>
                <c:pt idx="2">
                  <c:v>0.32</c:v>
                </c:pt>
              </c:numCache>
            </c:numRef>
          </c:val>
          <c:extLst xmlns:c16r2="http://schemas.microsoft.com/office/drawing/2015/06/chart">
            <c:ext xmlns:c16="http://schemas.microsoft.com/office/drawing/2014/chart" uri="{C3380CC4-5D6E-409C-BE32-E72D297353CC}">
              <c16:uniqueId val="{00000002-CE45-46F7-A398-0CBE27855160}"/>
            </c:ext>
          </c:extLst>
        </c:ser>
        <c:dLbls>
          <c:showLegendKey val="0"/>
          <c:showVal val="0"/>
          <c:showCatName val="0"/>
          <c:showSerName val="0"/>
          <c:showPercent val="1"/>
          <c:showBubbleSize val="0"/>
          <c:showLeaderLines val="0"/>
        </c:dLbls>
        <c:firstSliceAng val="0"/>
      </c:pieChart>
      <c:spPr>
        <a:noFill/>
        <a:ln w="25400">
          <a:noFill/>
        </a:ln>
      </c:spPr>
    </c:plotArea>
    <c:legend>
      <c:legendPos val="b"/>
      <c:overlay val="0"/>
    </c:legend>
    <c:plotVisOnly val="1"/>
    <c:dispBlanksAs val="zero"/>
    <c:showDLblsOverMax val="0"/>
  </c:chart>
  <c:spPr>
    <a:noFill/>
    <a:ln>
      <a:noFill/>
    </a:ln>
  </c:spPr>
  <c:txPr>
    <a:bodyPr/>
    <a:lstStyle/>
    <a:p>
      <a:pPr>
        <a:defRPr sz="800"/>
      </a:pPr>
      <a:endParaRPr lang="lt-LT"/>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NIB!$B$8</c:f>
              <c:strCache>
                <c:ptCount val="1"/>
                <c:pt idx="0">
                  <c:v>Sutartos paskolos (mln. eurų)</c:v>
                </c:pt>
              </c:strCache>
            </c:strRef>
          </c:tx>
          <c:invertIfNegative val="0"/>
          <c:dLbls>
            <c:spPr>
              <a:noFill/>
              <a:ln>
                <a:noFill/>
              </a:ln>
              <a:effectLst/>
            </c:spPr>
            <c:txPr>
              <a:bodyPr/>
              <a:lstStyle/>
              <a:p>
                <a:pPr>
                  <a:defRPr>
                    <a:solidFill>
                      <a:srgbClr val="000000"/>
                    </a:solidFill>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NIB!$D$7:$N$7</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NIB!$D$8:$N$8</c:f>
              <c:numCache>
                <c:formatCode>_(* #,##0_);_(* \(#,##0\);_(* "-"_);@_)</c:formatCode>
                <c:ptCount val="11"/>
                <c:pt idx="0">
                  <c:v>5.5</c:v>
                </c:pt>
                <c:pt idx="1">
                  <c:v>25.3</c:v>
                </c:pt>
                <c:pt idx="2">
                  <c:v>135</c:v>
                </c:pt>
                <c:pt idx="3">
                  <c:v>19.899999999999999</c:v>
                </c:pt>
                <c:pt idx="4">
                  <c:v>9.6</c:v>
                </c:pt>
                <c:pt idx="5">
                  <c:v>42.5</c:v>
                </c:pt>
                <c:pt idx="6">
                  <c:v>180</c:v>
                </c:pt>
                <c:pt idx="7">
                  <c:v>155.30000000000001</c:v>
                </c:pt>
                <c:pt idx="8">
                  <c:v>182</c:v>
                </c:pt>
                <c:pt idx="9">
                  <c:v>0</c:v>
                </c:pt>
                <c:pt idx="10">
                  <c:v>50</c:v>
                </c:pt>
              </c:numCache>
            </c:numRef>
          </c:val>
          <c:extLst xmlns:c16r2="http://schemas.microsoft.com/office/drawing/2015/06/chart">
            <c:ext xmlns:c16="http://schemas.microsoft.com/office/drawing/2014/chart" uri="{C3380CC4-5D6E-409C-BE32-E72D297353CC}">
              <c16:uniqueId val="{00000000-BE78-4967-802D-CB22063B844C}"/>
            </c:ext>
          </c:extLst>
        </c:ser>
        <c:dLbls>
          <c:showLegendKey val="0"/>
          <c:showVal val="1"/>
          <c:showCatName val="0"/>
          <c:showSerName val="0"/>
          <c:showPercent val="0"/>
          <c:showBubbleSize val="0"/>
        </c:dLbls>
        <c:gapWidth val="150"/>
        <c:axId val="115728768"/>
        <c:axId val="115730304"/>
      </c:barChart>
      <c:lineChart>
        <c:grouping val="standard"/>
        <c:varyColors val="0"/>
        <c:ser>
          <c:idx val="1"/>
          <c:order val="1"/>
          <c:tx>
            <c:strRef>
              <c:f>NIB!$B$9</c:f>
              <c:strCache>
                <c:ptCount val="1"/>
                <c:pt idx="0">
                  <c:v>Vykdomų projektų skaičius</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NIB!$D$7:$N$7</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NIB!$D$9:$N$9</c:f>
              <c:numCache>
                <c:formatCode>_(* #,##0_);_(* \(#,##0\);_(* "-"_);@_)</c:formatCode>
                <c:ptCount val="11"/>
                <c:pt idx="0">
                  <c:v>1</c:v>
                </c:pt>
                <c:pt idx="1">
                  <c:v>2</c:v>
                </c:pt>
                <c:pt idx="2">
                  <c:v>3</c:v>
                </c:pt>
                <c:pt idx="3">
                  <c:v>1</c:v>
                </c:pt>
                <c:pt idx="4">
                  <c:v>1</c:v>
                </c:pt>
                <c:pt idx="5">
                  <c:v>2</c:v>
                </c:pt>
                <c:pt idx="6">
                  <c:v>3</c:v>
                </c:pt>
                <c:pt idx="7">
                  <c:v>4</c:v>
                </c:pt>
                <c:pt idx="8">
                  <c:v>3</c:v>
                </c:pt>
                <c:pt idx="9">
                  <c:v>0</c:v>
                </c:pt>
                <c:pt idx="10">
                  <c:v>2</c:v>
                </c:pt>
              </c:numCache>
            </c:numRef>
          </c:val>
          <c:smooth val="0"/>
          <c:extLst xmlns:c16r2="http://schemas.microsoft.com/office/drawing/2015/06/chart">
            <c:ext xmlns:c16="http://schemas.microsoft.com/office/drawing/2014/chart" uri="{C3380CC4-5D6E-409C-BE32-E72D297353CC}">
              <c16:uniqueId val="{00000001-BE78-4967-802D-CB22063B844C}"/>
            </c:ext>
          </c:extLst>
        </c:ser>
        <c:dLbls>
          <c:showLegendKey val="0"/>
          <c:showVal val="0"/>
          <c:showCatName val="0"/>
          <c:showSerName val="0"/>
          <c:showPercent val="0"/>
          <c:showBubbleSize val="0"/>
        </c:dLbls>
        <c:marker val="1"/>
        <c:smooth val="0"/>
        <c:axId val="115734016"/>
        <c:axId val="115732480"/>
      </c:lineChart>
      <c:catAx>
        <c:axId val="115728768"/>
        <c:scaling>
          <c:orientation val="minMax"/>
        </c:scaling>
        <c:delete val="0"/>
        <c:axPos val="b"/>
        <c:numFmt formatCode="0" sourceLinked="1"/>
        <c:majorTickMark val="out"/>
        <c:minorTickMark val="none"/>
        <c:tickLblPos val="low"/>
        <c:crossAx val="115730304"/>
        <c:crosses val="autoZero"/>
        <c:auto val="1"/>
        <c:lblAlgn val="ctr"/>
        <c:lblOffset val="100"/>
        <c:noMultiLvlLbl val="0"/>
      </c:catAx>
      <c:valAx>
        <c:axId val="115730304"/>
        <c:scaling>
          <c:orientation val="minMax"/>
        </c:scaling>
        <c:delete val="0"/>
        <c:axPos val="l"/>
        <c:numFmt formatCode="_(* #,##0_);_(* \(#,##0\);_(* &quot;-&quot;_);@_)" sourceLinked="0"/>
        <c:majorTickMark val="none"/>
        <c:minorTickMark val="none"/>
        <c:tickLblPos val="low"/>
        <c:spPr>
          <a:noFill/>
          <a:ln>
            <a:noFill/>
          </a:ln>
        </c:spPr>
        <c:crossAx val="115728768"/>
        <c:crosses val="autoZero"/>
        <c:crossBetween val="between"/>
        <c:dispUnits>
          <c:custUnit val="1"/>
        </c:dispUnits>
      </c:valAx>
      <c:valAx>
        <c:axId val="115732480"/>
        <c:scaling>
          <c:orientation val="minMax"/>
        </c:scaling>
        <c:delete val="0"/>
        <c:axPos val="r"/>
        <c:numFmt formatCode="_(* #,##0_);_(* \(#,##0\);_(* &quot;-&quot;_);@_)" sourceLinked="1"/>
        <c:majorTickMark val="out"/>
        <c:minorTickMark val="none"/>
        <c:tickLblPos val="nextTo"/>
        <c:crossAx val="115734016"/>
        <c:crosses val="max"/>
        <c:crossBetween val="between"/>
      </c:valAx>
      <c:catAx>
        <c:axId val="115734016"/>
        <c:scaling>
          <c:orientation val="minMax"/>
        </c:scaling>
        <c:delete val="1"/>
        <c:axPos val="b"/>
        <c:numFmt formatCode="0" sourceLinked="1"/>
        <c:majorTickMark val="out"/>
        <c:minorTickMark val="none"/>
        <c:tickLblPos val="nextTo"/>
        <c:crossAx val="115732480"/>
        <c:crosses val="autoZero"/>
        <c:auto val="1"/>
        <c:lblAlgn val="ctr"/>
        <c:lblOffset val="100"/>
        <c:noMultiLvlLbl val="0"/>
      </c:catAx>
      <c:spPr>
        <a:noFill/>
        <a:ln w="25400">
          <a:noFill/>
        </a:ln>
      </c:spPr>
    </c:plotArea>
    <c:legend>
      <c:legendPos val="b"/>
      <c:layout>
        <c:manualLayout>
          <c:xMode val="edge"/>
          <c:yMode val="edge"/>
          <c:x val="4.9999939570101702E-2"/>
          <c:y val="0.93478608627646143"/>
          <c:w val="0.89999987914020341"/>
          <c:h val="4.7155222978617517E-2"/>
        </c:manualLayout>
      </c:layout>
      <c:overlay val="0"/>
    </c:legend>
    <c:plotVisOnly val="1"/>
    <c:dispBlanksAs val="gap"/>
    <c:showDLblsOverMax val="0"/>
  </c:chart>
  <c:spPr>
    <a:noFill/>
    <a:ln>
      <a:noFill/>
    </a:ln>
  </c:spPr>
  <c:txPr>
    <a:bodyPr/>
    <a:lstStyle/>
    <a:p>
      <a:pPr>
        <a:defRPr sz="800"/>
      </a:pPr>
      <a:endParaRPr lang="lt-LT"/>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 sourceLinked="0"/>
            <c:spPr>
              <a:noFill/>
              <a:ln>
                <a:noFill/>
              </a:ln>
              <a:effectLst/>
            </c:spPr>
            <c:dLblPos val="outEnd"/>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NIB!$P$3:$P$5</c:f>
              <c:strCache>
                <c:ptCount val="3"/>
                <c:pt idx="0">
                  <c:v>Infrastruktūra, transportas ir telekomunikacija</c:v>
                </c:pt>
                <c:pt idx="1">
                  <c:v>Energetika ir aplinka</c:v>
                </c:pt>
                <c:pt idx="2">
                  <c:v>Finansų institucijos </c:v>
                </c:pt>
              </c:strCache>
            </c:strRef>
          </c:cat>
          <c:val>
            <c:numRef>
              <c:f>NIB!$Q$3:$Q$5</c:f>
              <c:numCache>
                <c:formatCode>0%</c:formatCode>
                <c:ptCount val="3"/>
                <c:pt idx="0">
                  <c:v>0.58430593493916061</c:v>
                </c:pt>
                <c:pt idx="1">
                  <c:v>0.40886516016886015</c:v>
                </c:pt>
                <c:pt idx="2">
                  <c:v>6.8289048919791401E-3</c:v>
                </c:pt>
              </c:numCache>
            </c:numRef>
          </c:val>
          <c:extLst xmlns:c16r2="http://schemas.microsoft.com/office/drawing/2015/06/chart">
            <c:ext xmlns:c16="http://schemas.microsoft.com/office/drawing/2014/chart" uri="{C3380CC4-5D6E-409C-BE32-E72D297353CC}">
              <c16:uniqueId val="{00000002-822A-46C5-B89A-5E12734BDCCB}"/>
            </c:ext>
          </c:extLst>
        </c:ser>
        <c:dLbls>
          <c:showLegendKey val="0"/>
          <c:showVal val="0"/>
          <c:showCatName val="0"/>
          <c:showSerName val="0"/>
          <c:showPercent val="1"/>
          <c:showBubbleSize val="0"/>
          <c:showLeaderLines val="0"/>
        </c:dLbls>
        <c:firstSliceAng val="0"/>
      </c:pieChart>
      <c:spPr>
        <a:noFill/>
        <a:ln w="25400">
          <a:noFill/>
        </a:ln>
      </c:spPr>
    </c:plotArea>
    <c:legend>
      <c:legendPos val="b"/>
      <c:layout/>
      <c:overlay val="0"/>
    </c:legend>
    <c:plotVisOnly val="1"/>
    <c:dispBlanksAs val="zero"/>
    <c:showDLblsOverMax val="0"/>
  </c:chart>
  <c:spPr>
    <a:noFill/>
    <a:ln>
      <a:noFill/>
    </a:ln>
  </c:spPr>
  <c:txPr>
    <a:bodyPr/>
    <a:lstStyle/>
    <a:p>
      <a:pPr>
        <a:defRPr sz="800"/>
      </a:pPr>
      <a:endParaRPr lang="lt-LT"/>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'ERBD ir EIB'!$L$15</c:f>
              <c:strCache>
                <c:ptCount val="1"/>
                <c:pt idx="0">
                  <c:v>Pasirašytos paskolos(mln. EUR)</c:v>
                </c:pt>
              </c:strCache>
            </c:strRef>
          </c:tx>
          <c:invertIfNegative val="0"/>
          <c:dLbls>
            <c:spPr>
              <a:noFill/>
              <a:ln>
                <a:noFill/>
              </a:ln>
              <a:effectLst/>
            </c:spPr>
            <c:txPr>
              <a:bodyPr/>
              <a:lstStyle/>
              <a:p>
                <a:pPr>
                  <a:defRPr>
                    <a:solidFill>
                      <a:srgbClr val="000000"/>
                    </a:solidFill>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'ERBD ir EIB'!$M$14:$T$14</c:f>
              <c:numCache>
                <c:formatCode>0</c:formatCode>
                <c:ptCount val="8"/>
                <c:pt idx="0">
                  <c:v>2009</c:v>
                </c:pt>
                <c:pt idx="1">
                  <c:v>2010</c:v>
                </c:pt>
                <c:pt idx="2">
                  <c:v>2011</c:v>
                </c:pt>
                <c:pt idx="3">
                  <c:v>2012</c:v>
                </c:pt>
                <c:pt idx="4">
                  <c:v>2013</c:v>
                </c:pt>
                <c:pt idx="5">
                  <c:v>2014</c:v>
                </c:pt>
                <c:pt idx="6">
                  <c:v>2015</c:v>
                </c:pt>
                <c:pt idx="7">
                  <c:v>2016</c:v>
                </c:pt>
              </c:numCache>
            </c:numRef>
          </c:cat>
          <c:val>
            <c:numRef>
              <c:f>'ERBD ir EIB'!$M$15:$T$15</c:f>
              <c:numCache>
                <c:formatCode>_(* #,##0_);_(* \(#,##0\);_(* "-"_);@_)</c:formatCode>
                <c:ptCount val="8"/>
                <c:pt idx="0">
                  <c:v>1169</c:v>
                </c:pt>
                <c:pt idx="1">
                  <c:v>83</c:v>
                </c:pt>
                <c:pt idx="2">
                  <c:v>10.5</c:v>
                </c:pt>
                <c:pt idx="3">
                  <c:v>3.2</c:v>
                </c:pt>
                <c:pt idx="4">
                  <c:v>264</c:v>
                </c:pt>
                <c:pt idx="5">
                  <c:v>80</c:v>
                </c:pt>
                <c:pt idx="6">
                  <c:v>474</c:v>
                </c:pt>
                <c:pt idx="7">
                  <c:v>255</c:v>
                </c:pt>
              </c:numCache>
            </c:numRef>
          </c:val>
          <c:extLst xmlns:c16r2="http://schemas.microsoft.com/office/drawing/2015/06/chart">
            <c:ext xmlns:c16="http://schemas.microsoft.com/office/drawing/2014/chart" uri="{C3380CC4-5D6E-409C-BE32-E72D297353CC}">
              <c16:uniqueId val="{00000000-6A40-4551-B59F-82E39EBF3166}"/>
            </c:ext>
          </c:extLst>
        </c:ser>
        <c:dLbls>
          <c:showLegendKey val="0"/>
          <c:showVal val="1"/>
          <c:showCatName val="0"/>
          <c:showSerName val="0"/>
          <c:showPercent val="0"/>
          <c:showBubbleSize val="0"/>
        </c:dLbls>
        <c:gapWidth val="150"/>
        <c:axId val="118235904"/>
        <c:axId val="118237440"/>
      </c:barChart>
      <c:lineChart>
        <c:grouping val="standard"/>
        <c:varyColors val="0"/>
        <c:ser>
          <c:idx val="1"/>
          <c:order val="1"/>
          <c:tx>
            <c:strRef>
              <c:f>'ERBD ir EIB'!$L$16</c:f>
              <c:strCache>
                <c:ptCount val="1"/>
                <c:pt idx="0">
                  <c:v>Paskolų skaičius</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'ERBD ir EIB'!$M$14:$T$14</c:f>
              <c:numCache>
                <c:formatCode>0</c:formatCode>
                <c:ptCount val="8"/>
                <c:pt idx="0">
                  <c:v>2009</c:v>
                </c:pt>
                <c:pt idx="1">
                  <c:v>2010</c:v>
                </c:pt>
                <c:pt idx="2">
                  <c:v>2011</c:v>
                </c:pt>
                <c:pt idx="3">
                  <c:v>2012</c:v>
                </c:pt>
                <c:pt idx="4">
                  <c:v>2013</c:v>
                </c:pt>
                <c:pt idx="5">
                  <c:v>2014</c:v>
                </c:pt>
                <c:pt idx="6">
                  <c:v>2015</c:v>
                </c:pt>
                <c:pt idx="7">
                  <c:v>2016</c:v>
                </c:pt>
              </c:numCache>
            </c:numRef>
          </c:cat>
          <c:val>
            <c:numRef>
              <c:f>'ERBD ir EIB'!$M$16:$T$16</c:f>
              <c:numCache>
                <c:formatCode>_(* #,##0_);_(* \(#,##0\);_(* "-"_);@_)</c:formatCode>
                <c:ptCount val="8"/>
                <c:pt idx="0">
                  <c:v>4</c:v>
                </c:pt>
                <c:pt idx="1">
                  <c:v>2</c:v>
                </c:pt>
                <c:pt idx="2">
                  <c:v>2</c:v>
                </c:pt>
                <c:pt idx="3">
                  <c:v>1</c:v>
                </c:pt>
                <c:pt idx="4">
                  <c:v>7</c:v>
                </c:pt>
                <c:pt idx="5">
                  <c:v>3</c:v>
                </c:pt>
                <c:pt idx="6">
                  <c:v>5</c:v>
                </c:pt>
                <c:pt idx="7">
                  <c:v>3</c:v>
                </c:pt>
              </c:numCache>
            </c:numRef>
          </c:val>
          <c:smooth val="0"/>
          <c:extLst xmlns:c16r2="http://schemas.microsoft.com/office/drawing/2015/06/chart">
            <c:ext xmlns:c16="http://schemas.microsoft.com/office/drawing/2014/chart" uri="{C3380CC4-5D6E-409C-BE32-E72D297353CC}">
              <c16:uniqueId val="{00000001-6A40-4551-B59F-82E39EBF3166}"/>
            </c:ext>
          </c:extLst>
        </c:ser>
        <c:dLbls>
          <c:showLegendKey val="0"/>
          <c:showVal val="0"/>
          <c:showCatName val="0"/>
          <c:showSerName val="0"/>
          <c:showPercent val="0"/>
          <c:showBubbleSize val="0"/>
        </c:dLbls>
        <c:marker val="1"/>
        <c:smooth val="0"/>
        <c:axId val="118245248"/>
        <c:axId val="118243712"/>
      </c:lineChart>
      <c:catAx>
        <c:axId val="118235904"/>
        <c:scaling>
          <c:orientation val="minMax"/>
        </c:scaling>
        <c:delete val="0"/>
        <c:axPos val="b"/>
        <c:numFmt formatCode="0" sourceLinked="1"/>
        <c:majorTickMark val="out"/>
        <c:minorTickMark val="none"/>
        <c:tickLblPos val="low"/>
        <c:crossAx val="118237440"/>
        <c:crosses val="autoZero"/>
        <c:auto val="1"/>
        <c:lblAlgn val="ctr"/>
        <c:lblOffset val="100"/>
        <c:noMultiLvlLbl val="0"/>
      </c:catAx>
      <c:valAx>
        <c:axId val="118237440"/>
        <c:scaling>
          <c:orientation val="minMax"/>
        </c:scaling>
        <c:delete val="0"/>
        <c:axPos val="l"/>
        <c:numFmt formatCode="_(* #,##0_);_(* \(#,##0\);_(* &quot;-&quot;_);@_)" sourceLinked="0"/>
        <c:majorTickMark val="none"/>
        <c:minorTickMark val="none"/>
        <c:tickLblPos val="low"/>
        <c:spPr>
          <a:noFill/>
          <a:ln>
            <a:noFill/>
          </a:ln>
        </c:spPr>
        <c:crossAx val="118235904"/>
        <c:crosses val="autoZero"/>
        <c:crossBetween val="between"/>
        <c:dispUnits>
          <c:custUnit val="1"/>
        </c:dispUnits>
      </c:valAx>
      <c:valAx>
        <c:axId val="118243712"/>
        <c:scaling>
          <c:orientation val="minMax"/>
        </c:scaling>
        <c:delete val="0"/>
        <c:axPos val="r"/>
        <c:numFmt formatCode="_(* #,##0_);_(* \(#,##0\);_(* &quot;-&quot;_);@_)" sourceLinked="1"/>
        <c:majorTickMark val="out"/>
        <c:minorTickMark val="none"/>
        <c:tickLblPos val="nextTo"/>
        <c:crossAx val="118245248"/>
        <c:crosses val="max"/>
        <c:crossBetween val="between"/>
      </c:valAx>
      <c:catAx>
        <c:axId val="118245248"/>
        <c:scaling>
          <c:orientation val="minMax"/>
        </c:scaling>
        <c:delete val="1"/>
        <c:axPos val="b"/>
        <c:numFmt formatCode="0" sourceLinked="1"/>
        <c:majorTickMark val="out"/>
        <c:minorTickMark val="none"/>
        <c:tickLblPos val="nextTo"/>
        <c:crossAx val="118243712"/>
        <c:crosses val="autoZero"/>
        <c:auto val="1"/>
        <c:lblAlgn val="ctr"/>
        <c:lblOffset val="100"/>
        <c:noMultiLvlLbl val="0"/>
      </c:catAx>
      <c:spPr>
        <a:noFill/>
        <a:ln w="25400">
          <a:noFill/>
        </a:ln>
      </c:spPr>
    </c:plotArea>
    <c:legend>
      <c:legendPos val="b"/>
      <c:layout/>
      <c:overlay val="0"/>
    </c:legend>
    <c:plotVisOnly val="1"/>
    <c:dispBlanksAs val="gap"/>
    <c:showDLblsOverMax val="0"/>
  </c:chart>
  <c:spPr>
    <a:noFill/>
    <a:ln>
      <a:noFill/>
    </a:ln>
  </c:spPr>
  <c:txPr>
    <a:bodyPr/>
    <a:lstStyle/>
    <a:p>
      <a:pPr>
        <a:defRPr sz="800"/>
      </a:pPr>
      <a:endParaRPr lang="lt-LT"/>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4"/>
            <c:bubble3D val="0"/>
            <c:spPr>
              <a:solidFill>
                <a:schemeClr val="accent5"/>
              </a:solidFill>
            </c:spPr>
            <c:extLst xmlns:c16r2="http://schemas.microsoft.com/office/drawing/2015/06/chart">
              <c:ext xmlns:c16="http://schemas.microsoft.com/office/drawing/2014/chart" uri="{C3380CC4-5D6E-409C-BE32-E72D297353CC}">
                <c16:uniqueId val="{00000001-9C22-4BC7-BE05-175E773424EF}"/>
              </c:ext>
            </c:extLst>
          </c:dPt>
          <c:dLbls>
            <c:numFmt formatCode="0%" sourceLinked="0"/>
            <c:spPr>
              <a:noFill/>
              <a:ln>
                <a:noFill/>
              </a:ln>
              <a:effectLst/>
            </c:spPr>
            <c:dLblPos val="outEnd"/>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'ERBD ir EIB'!$L$3:$L$8</c:f>
              <c:strCache>
                <c:ptCount val="6"/>
                <c:pt idx="0">
                  <c:v>Energetika</c:v>
                </c:pt>
                <c:pt idx="1">
                  <c:v>Transportas ir telekomunikacija</c:v>
                </c:pt>
                <c:pt idx="2">
                  <c:v>Vanduo, kanalizacija, kietosios atliekos,miesto plėtra</c:v>
                </c:pt>
                <c:pt idx="3">
                  <c:v>Pramonė, paslaugos, žemės ūkis</c:v>
                </c:pt>
                <c:pt idx="4">
                  <c:v>Švietimas, sveikata</c:v>
                </c:pt>
                <c:pt idx="5">
                  <c:v>Maži ir vidutiniai projektai</c:v>
                </c:pt>
              </c:strCache>
            </c:strRef>
          </c:cat>
          <c:val>
            <c:numRef>
              <c:f>'ERBD ir EIB'!$M$3:$M$8</c:f>
              <c:numCache>
                <c:formatCode>0%</c:formatCode>
                <c:ptCount val="6"/>
                <c:pt idx="0">
                  <c:v>0.28999999999999998</c:v>
                </c:pt>
                <c:pt idx="1">
                  <c:v>0.17</c:v>
                </c:pt>
                <c:pt idx="2">
                  <c:v>0.24</c:v>
                </c:pt>
                <c:pt idx="3">
                  <c:v>0.01</c:v>
                </c:pt>
                <c:pt idx="4">
                  <c:v>0.06</c:v>
                </c:pt>
                <c:pt idx="5">
                  <c:v>0.23</c:v>
                </c:pt>
              </c:numCache>
            </c:numRef>
          </c:val>
          <c:extLst xmlns:c16r2="http://schemas.microsoft.com/office/drawing/2015/06/chart">
            <c:ext xmlns:c16="http://schemas.microsoft.com/office/drawing/2014/chart" uri="{C3380CC4-5D6E-409C-BE32-E72D297353CC}">
              <c16:uniqueId val="{00000002-9C22-4BC7-BE05-175E773424EF}"/>
            </c:ext>
          </c:extLst>
        </c:ser>
        <c:dLbls>
          <c:showLegendKey val="0"/>
          <c:showVal val="0"/>
          <c:showCatName val="0"/>
          <c:showSerName val="0"/>
          <c:showPercent val="1"/>
          <c:showBubbleSize val="0"/>
          <c:showLeaderLines val="0"/>
        </c:dLbls>
        <c:firstSliceAng val="0"/>
      </c:pieChart>
      <c:spPr>
        <a:noFill/>
        <a:ln w="25400">
          <a:noFill/>
        </a:ln>
      </c:spPr>
    </c:plotArea>
    <c:legend>
      <c:legendPos val="l"/>
      <c:layout>
        <c:manualLayout>
          <c:xMode val="edge"/>
          <c:yMode val="edge"/>
          <c:x val="2.4169184290030211E-2"/>
          <c:y val="0.25932373087510407"/>
          <c:w val="0.37580575841917041"/>
          <c:h val="0.69598617246014982"/>
        </c:manualLayout>
      </c:layout>
      <c:overlay val="0"/>
    </c:legend>
    <c:plotVisOnly val="1"/>
    <c:dispBlanksAs val="zero"/>
    <c:showDLblsOverMax val="0"/>
  </c:chart>
  <c:spPr>
    <a:noFill/>
    <a:ln>
      <a:noFill/>
    </a:ln>
  </c:spPr>
  <c:txPr>
    <a:bodyPr/>
    <a:lstStyle/>
    <a:p>
      <a:pPr>
        <a:defRPr sz="800"/>
      </a:pPr>
      <a:endParaRPr lang="lt-LT"/>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3"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Column Regular</a:t>
          </a:r>
        </a:p>
      </cdr:txBody>
    </cdr:sp>
  </cdr:relSizeAnchor>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056a9b31ab4c459b8f5edb410c109ebc</a:t>
          </a:r>
        </a:p>
      </cdr:txBody>
    </cdr:sp>
  </cdr:relSizeAnchor>
</c:userShapes>
</file>

<file path=word/drawings/drawing2.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ccfbce00353c403db651c013773b43d4</a:t>
          </a:r>
        </a:p>
      </cdr:txBody>
    </cdr:sp>
  </cdr:relSizeAnchor>
  <cdr:relSizeAnchor xmlns:cdr="http://schemas.openxmlformats.org/drawingml/2006/chartDrawing">
    <cdr:from>
      <cdr:x>0.04011</cdr:x>
      <cdr:y>0.03978</cdr:y>
    </cdr:from>
    <cdr:to>
      <cdr:x>0.09742</cdr:x>
      <cdr:y>0.09662</cdr:y>
    </cdr:to>
    <cdr:sp macro="" textlink="">
      <cdr:nvSpPr>
        <cdr:cNvPr id="6"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88bab05a940247e88fe92af1b927d5b1</a:t>
          </a:r>
        </a:p>
      </cdr:txBody>
    </cdr:sp>
  </cdr:relSizeAnchor>
  <cdr:relSizeAnchor xmlns:cdr="http://schemas.openxmlformats.org/drawingml/2006/chartDrawing">
    <cdr:from>
      <cdr:x>0.04011</cdr:x>
      <cdr:y>0.03619</cdr:y>
    </cdr:from>
    <cdr:to>
      <cdr:x>0.09742</cdr:x>
      <cdr:y>0.0879</cdr:y>
    </cdr:to>
    <cdr:sp macro="" textlink="">
      <cdr:nvSpPr>
        <cdr:cNvPr id="9"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Pie</a:t>
          </a:r>
        </a:p>
      </cdr:txBody>
    </cdr:sp>
  </cdr:relSizeAnchor>
</c:userShapes>
</file>

<file path=word/drawings/drawing3.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3"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Column Regular</a:t>
          </a:r>
        </a:p>
      </cdr:txBody>
    </cdr:sp>
  </cdr:relSizeAnchor>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4360dfa6f92f4be2990e4e00ed0e3003</a:t>
          </a:r>
        </a:p>
      </cdr:txBody>
    </cdr:sp>
  </cdr:relSizeAnchor>
</c:userShapes>
</file>

<file path=word/drawings/drawing4.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2e63cf256ab64781ba332888d3df057e</a:t>
          </a:r>
        </a:p>
      </cdr:txBody>
    </cdr:sp>
  </cdr:relSizeAnchor>
  <cdr:relSizeAnchor xmlns:cdr="http://schemas.openxmlformats.org/drawingml/2006/chartDrawing">
    <cdr:from>
      <cdr:x>0.04011</cdr:x>
      <cdr:y>0.03978</cdr:y>
    </cdr:from>
    <cdr:to>
      <cdr:x>0.09742</cdr:x>
      <cdr:y>0.09662</cdr:y>
    </cdr:to>
    <cdr:sp macro="" textlink="">
      <cdr:nvSpPr>
        <cdr:cNvPr id="6"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88bab05a940247e88fe92af1b927d5b1</a:t>
          </a:r>
        </a:p>
      </cdr:txBody>
    </cdr:sp>
  </cdr:relSizeAnchor>
  <cdr:relSizeAnchor xmlns:cdr="http://schemas.openxmlformats.org/drawingml/2006/chartDrawing">
    <cdr:from>
      <cdr:x>0.04011</cdr:x>
      <cdr:y>0.03619</cdr:y>
    </cdr:from>
    <cdr:to>
      <cdr:x>0.09742</cdr:x>
      <cdr:y>0.0879</cdr:y>
    </cdr:to>
    <cdr:sp macro="" textlink="">
      <cdr:nvSpPr>
        <cdr:cNvPr id="9"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Pie</a:t>
          </a:r>
        </a:p>
      </cdr:txBody>
    </cdr:sp>
  </cdr:relSizeAnchor>
</c:userShapes>
</file>

<file path=word/drawings/drawing5.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3"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Column Regular</a:t>
          </a:r>
        </a:p>
      </cdr:txBody>
    </cdr:sp>
  </cdr:relSizeAnchor>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6d4d1aa1e1e74757912f83b014d0ea7d</a:t>
          </a:r>
        </a:p>
      </cdr:txBody>
    </cdr:sp>
  </cdr:relSizeAnchor>
</c:userShapes>
</file>

<file path=word/drawings/drawing6.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a8098dd729df489aad155e04ef483f2a</a:t>
          </a:r>
        </a:p>
      </cdr:txBody>
    </cdr:sp>
  </cdr:relSizeAnchor>
  <cdr:relSizeAnchor xmlns:cdr="http://schemas.openxmlformats.org/drawingml/2006/chartDrawing">
    <cdr:from>
      <cdr:x>0.04011</cdr:x>
      <cdr:y>0.03619</cdr:y>
    </cdr:from>
    <cdr:to>
      <cdr:x>0.09742</cdr:x>
      <cdr:y>0.0879</cdr:y>
    </cdr:to>
    <cdr:sp macro="" textlink="">
      <cdr:nvSpPr>
        <cdr:cNvPr id="6"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4a74746c57604f4c84fb9cf2b9817269</a:t>
          </a:r>
        </a:p>
      </cdr:txBody>
    </cdr:sp>
  </cdr:relSizeAnchor>
  <cdr:relSizeAnchor xmlns:cdr="http://schemas.openxmlformats.org/drawingml/2006/chartDrawing">
    <cdr:from>
      <cdr:x>0.05036</cdr:x>
      <cdr:y>0.06217</cdr:y>
    </cdr:from>
    <cdr:to>
      <cdr:x>0.1223</cdr:x>
      <cdr:y>0.15098</cdr:y>
    </cdr:to>
    <cdr:sp macro="" textlink="">
      <cdr:nvSpPr>
        <cdr:cNvPr id="7"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8a82713af5d84e3e81ca88c522b1b323</a:t>
          </a:r>
        </a:p>
      </cdr:txBody>
    </cdr:sp>
  </cdr:relSizeAnchor>
  <cdr:relSizeAnchor xmlns:cdr="http://schemas.openxmlformats.org/drawingml/2006/chartDrawing">
    <cdr:from>
      <cdr:x>0.04011</cdr:x>
      <cdr:y>0.03619</cdr:y>
    </cdr:from>
    <cdr:to>
      <cdr:x>0.09742</cdr:x>
      <cdr:y>0.0879</cdr:y>
    </cdr:to>
    <cdr:sp macro="" textlink="">
      <cdr:nvSpPr>
        <cdr:cNvPr id="9"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22228c26acf044aca9f757aeffba6e77</a:t>
          </a:r>
        </a:p>
      </cdr:txBody>
    </cdr:sp>
  </cdr:relSizeAnchor>
  <cdr:relSizeAnchor xmlns:cdr="http://schemas.openxmlformats.org/drawingml/2006/chartDrawing">
    <cdr:from>
      <cdr:x>0.04011</cdr:x>
      <cdr:y>0.03619</cdr:y>
    </cdr:from>
    <cdr:to>
      <cdr:x>0.09742</cdr:x>
      <cdr:y>0.0879</cdr:y>
    </cdr:to>
    <cdr:sp macro="" textlink="">
      <cdr:nvSpPr>
        <cdr:cNvPr id="11" name="ChartTitleCell"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Chart Title</a:t>
          </a:r>
        </a:p>
      </cdr:txBody>
    </cdr:sp>
  </cdr:relSizeAnchor>
  <cdr:relSizeAnchor xmlns:cdr="http://schemas.openxmlformats.org/drawingml/2006/chartDrawing">
    <cdr:from>
      <cdr:x>0.04011</cdr:x>
      <cdr:y>0.03978</cdr:y>
    </cdr:from>
    <cdr:to>
      <cdr:x>0.09742</cdr:x>
      <cdr:y>0.09662</cdr:y>
    </cdr:to>
    <cdr:sp macro="" textlink="">
      <cdr:nvSpPr>
        <cdr:cNvPr id="13"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88bab05a940247e88fe92af1b927d5b1</a:t>
          </a:r>
        </a:p>
      </cdr:txBody>
    </cdr:sp>
  </cdr:relSizeAnchor>
  <cdr:relSizeAnchor xmlns:cdr="http://schemas.openxmlformats.org/drawingml/2006/chartDrawing">
    <cdr:from>
      <cdr:x>0.04011</cdr:x>
      <cdr:y>0.03619</cdr:y>
    </cdr:from>
    <cdr:to>
      <cdr:x>0.09742</cdr:x>
      <cdr:y>0.0879</cdr:y>
    </cdr:to>
    <cdr:sp macro="" textlink="">
      <cdr:nvSpPr>
        <cdr:cNvPr id="15"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Pie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mart Report">
    <a:dk1>
      <a:srgbClr val="000000"/>
    </a:dk1>
    <a:lt1>
      <a:srgbClr val="FFFFFF"/>
    </a:lt1>
    <a:dk2>
      <a:srgbClr val="821A1A"/>
    </a:dk2>
    <a:lt2>
      <a:srgbClr val="FFFFFF"/>
    </a:lt2>
    <a:accent1>
      <a:srgbClr val="821A1A"/>
    </a:accent1>
    <a:accent2>
      <a:srgbClr val="D62E1C"/>
    </a:accent2>
    <a:accent3>
      <a:srgbClr val="FFCF48"/>
    </a:accent3>
    <a:accent4>
      <a:srgbClr val="E36A00"/>
    </a:accent4>
    <a:accent5>
      <a:srgbClr val="ABA591"/>
    </a:accent5>
    <a:accent6>
      <a:srgbClr val="877E62"/>
    </a:accent6>
    <a:hlink>
      <a:srgbClr val="821A1A"/>
    </a:hlink>
    <a:folHlink>
      <a:srgbClr val="821A1A"/>
    </a:folHlink>
  </a:clrScheme>
  <a:fontScheme name="PwC Word Font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mart Report">
    <a:dk1>
      <a:srgbClr val="000000"/>
    </a:dk1>
    <a:lt1>
      <a:srgbClr val="FFFFFF"/>
    </a:lt1>
    <a:dk2>
      <a:srgbClr val="821A1A"/>
    </a:dk2>
    <a:lt2>
      <a:srgbClr val="FFFFFF"/>
    </a:lt2>
    <a:accent1>
      <a:srgbClr val="821A1A"/>
    </a:accent1>
    <a:accent2>
      <a:srgbClr val="D62E1C"/>
    </a:accent2>
    <a:accent3>
      <a:srgbClr val="FFCF48"/>
    </a:accent3>
    <a:accent4>
      <a:srgbClr val="E36A00"/>
    </a:accent4>
    <a:accent5>
      <a:srgbClr val="ABA591"/>
    </a:accent5>
    <a:accent6>
      <a:srgbClr val="877E62"/>
    </a:accent6>
    <a:hlink>
      <a:srgbClr val="821A1A"/>
    </a:hlink>
    <a:folHlink>
      <a:srgbClr val="821A1A"/>
    </a:folHlink>
  </a:clrScheme>
  <a:fontScheme name="PwC Word Font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lientas xmlns="634cb8d8-9aa4-4c11-9793-69595509df13" xsi:nil="true"/>
    <TB_x0020_projektas xmlns="634cb8d8-9aa4-4c11-9793-69595509df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4946D741B52B4EBA8F99B7AF544DB3" ma:contentTypeVersion="12" ma:contentTypeDescription="Create a new document." ma:contentTypeScope="" ma:versionID="3c56dba3e6bc9db3e4a080ff6b1fec93">
  <xsd:schema xmlns:xsd="http://www.w3.org/2001/XMLSchema" xmlns:xs="http://www.w3.org/2001/XMLSchema" xmlns:p="http://schemas.microsoft.com/office/2006/metadata/properties" xmlns:ns2="634cb8d8-9aa4-4c11-9793-69595509df13" xmlns:ns3="f29d842e-060b-48cf-9d9e-3f29b8ac7f41" targetNamespace="http://schemas.microsoft.com/office/2006/metadata/properties" ma:root="true" ma:fieldsID="3e23acdd545376a063108fdf09dd438f" ns2:_="" ns3:_="">
    <xsd:import namespace="634cb8d8-9aa4-4c11-9793-69595509df13"/>
    <xsd:import namespace="f29d842e-060b-48cf-9d9e-3f29b8ac7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TB_x0020_projektas" minOccurs="0"/>
                <xsd:element ref="ns2:Klient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cb8d8-9aa4-4c11-9793-69595509d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TB_x0020_projektas" ma:index="18" nillable="true" ma:displayName="TB projektas" ma:internalName="TB_x0020_projektas">
      <xsd:simpleType>
        <xsd:restriction base="dms:Text">
          <xsd:maxLength value="255"/>
        </xsd:restriction>
      </xsd:simpleType>
    </xsd:element>
    <xsd:element name="Klientas" ma:index="19" nillable="true" ma:displayName="Klientas" ma:internalName="Klienta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9d842e-060b-48cf-9d9e-3f29b8ac7f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DFC03A-06A6-43E0-80E0-6FB9A0E06E09}">
  <ds:schemaRefs>
    <ds:schemaRef ds:uri="http://schemas.microsoft.com/sharepoint/v3/contenttype/forms"/>
  </ds:schemaRefs>
</ds:datastoreItem>
</file>

<file path=customXml/itemProps3.xml><?xml version="1.0" encoding="utf-8"?>
<ds:datastoreItem xmlns:ds="http://schemas.openxmlformats.org/officeDocument/2006/customXml" ds:itemID="{C1585454-9DA2-4494-8A74-F3962E2B3325}">
  <ds:schemaRefs>
    <ds:schemaRef ds:uri="http://schemas.microsoft.com/office/2006/documentManagement/types"/>
    <ds:schemaRef ds:uri="634cb8d8-9aa4-4c11-9793-69595509df13"/>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f29d842e-060b-48cf-9d9e-3f29b8ac7f41"/>
    <ds:schemaRef ds:uri="http://www.w3.org/XML/1998/namespace"/>
    <ds:schemaRef ds:uri="http://purl.org/dc/dcmitype/"/>
  </ds:schemaRefs>
</ds:datastoreItem>
</file>

<file path=customXml/itemProps4.xml><?xml version="1.0" encoding="utf-8"?>
<ds:datastoreItem xmlns:ds="http://schemas.openxmlformats.org/officeDocument/2006/customXml" ds:itemID="{11B018AE-2A2C-47C0-91E2-9A6C19B9A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cb8d8-9aa4-4c11-9793-69595509df13"/>
    <ds:schemaRef ds:uri="f29d842e-060b-48cf-9d9e-3f29b8ac7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F1F8BD-A1A7-404A-BEE8-0EBDCBF3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287264</Words>
  <Characters>163741</Characters>
  <Application>Microsoft Office Word</Application>
  <DocSecurity>0</DocSecurity>
  <Lines>1364</Lines>
  <Paragraphs>900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ENERGIJOS EFEKTYVUMO IŠANKSTINIO (EX-ANTE) VERTINIMO ATASKAITOS PAKEITIMAS   Daugiabučių namų modernizavimas</vt:lpstr>
      <vt:lpstr>ENERGIJOS EFEKTYVUMO IŠANKSTINIO (EX-ANTE) VERTINIMO ATASKAITOS PAKEITIMAS   Daugiabučių namų modernizavimas</vt:lpstr>
    </vt:vector>
  </TitlesOfParts>
  <LinksUpToDate>false</LinksUpToDate>
  <CharactersWithSpaces>450105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ENERGIJOS EFEKTYVUMO IŠANKSTINIO (EX-ANTE) VERTINIMO ATASKAITOS PAKEITIMAS   Daugiabučių namų modernizavimas</dc:title>
  <dc:creator/>
  <cp:lastModifiedBy/>
  <cp:revision>1</cp:revision>
  <dcterms:created xsi:type="dcterms:W3CDTF">2019-11-25T14:04:00Z</dcterms:created>
  <dcterms:modified xsi:type="dcterms:W3CDTF">2019-11-25T15:18:00Z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0x010100824946D741B52B4EBA8F99B7AF544DB3</vt:lpwstr>
  </property>
</Properties>
</file>