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F2013" w14:textId="5B8A32DA" w:rsidR="0036662A" w:rsidRDefault="0036662A" w:rsidP="0036662A">
      <w:pPr>
        <w:jc w:val="center"/>
        <w:rPr>
          <w:b/>
          <w:bCs/>
        </w:rPr>
      </w:pPr>
      <w:r>
        <w:rPr>
          <w:b/>
          <w:bCs/>
        </w:rPr>
        <w:t>LIET</w:t>
      </w:r>
      <w:r w:rsidR="00E14F1D">
        <w:rPr>
          <w:b/>
          <w:bCs/>
        </w:rPr>
        <w:t>UVOS RESPUBLIKOS EKONOMIKOS IR INOVACIJŲ</w:t>
      </w:r>
      <w:r>
        <w:rPr>
          <w:b/>
          <w:bCs/>
        </w:rPr>
        <w:t xml:space="preserve"> MINISTERIJA</w:t>
      </w:r>
    </w:p>
    <w:p w14:paraId="415F2014" w14:textId="77777777" w:rsidR="0036662A" w:rsidRDefault="0036662A" w:rsidP="0036662A">
      <w:pPr>
        <w:jc w:val="center"/>
        <w:rPr>
          <w:b/>
          <w:bCs/>
        </w:rPr>
      </w:pPr>
    </w:p>
    <w:p w14:paraId="415F2015" w14:textId="58A2DDF2" w:rsidR="0036662A" w:rsidRDefault="0036662A" w:rsidP="0036662A">
      <w:pPr>
        <w:jc w:val="center"/>
        <w:rPr>
          <w:b/>
          <w:bCs/>
        </w:rPr>
      </w:pPr>
      <w:r>
        <w:rPr>
          <w:b/>
          <w:bCs/>
        </w:rPr>
        <w:t>SOCIALINIŲ IR EKONOMINIŲ PARTNERIŲ PATEIKTŲ PASTABŲ IR PASIŪLYMŲ DĖL 2014–2020 METŲ EUROPOS SĄJUNGOS FONDŲ INVE</w:t>
      </w:r>
      <w:r w:rsidR="00E14F1D">
        <w:rPr>
          <w:b/>
          <w:bCs/>
        </w:rPr>
        <w:t>STICIJŲ VEIKSMŲ PROGRAMOS 3</w:t>
      </w:r>
      <w:r>
        <w:rPr>
          <w:b/>
          <w:bCs/>
        </w:rPr>
        <w:t xml:space="preserve"> PRIORITETO „</w:t>
      </w:r>
      <w:r w:rsidR="00E14F1D" w:rsidRPr="009A099F">
        <w:rPr>
          <w:b/>
          <w:bCs/>
        </w:rPr>
        <w:t>SMULKIOJO IR VIDUTINIO VERSLO KONKURENCINGUMO SKATINIMAS</w:t>
      </w:r>
      <w:r w:rsidR="00E14F1D">
        <w:rPr>
          <w:b/>
          <w:bCs/>
        </w:rPr>
        <w:t xml:space="preserve">“ PRIEMONĖS </w:t>
      </w:r>
      <w:r w:rsidR="00FF7F22">
        <w:rPr>
          <w:b/>
          <w:bCs/>
          <w:caps/>
          <w:szCs w:val="24"/>
        </w:rPr>
        <w:t xml:space="preserve">nr. 03.2.1-lvpa-k-801 </w:t>
      </w:r>
      <w:r w:rsidR="00FF7F22" w:rsidRPr="00D42A7B">
        <w:rPr>
          <w:b/>
          <w:bCs/>
          <w:caps/>
          <w:szCs w:val="24"/>
        </w:rPr>
        <w:t>„NAUJOS GALIMYBĖS lt“</w:t>
      </w:r>
      <w:r>
        <w:rPr>
          <w:b/>
          <w:bCs/>
        </w:rPr>
        <w:t xml:space="preserve"> </w:t>
      </w:r>
      <w:r w:rsidR="00492433">
        <w:rPr>
          <w:b/>
          <w:bCs/>
        </w:rPr>
        <w:t>PROJEKTŲ FINANSAVIMO SĄLYGŲ APRAŠO NR. 3 IR NR. 4 DERINIMAS</w:t>
      </w:r>
    </w:p>
    <w:p w14:paraId="415F2016" w14:textId="77777777" w:rsidR="0036662A" w:rsidRDefault="0036662A" w:rsidP="0036662A">
      <w:pPr>
        <w:rPr>
          <w:b/>
          <w:bCs/>
        </w:rPr>
      </w:pPr>
    </w:p>
    <w:tbl>
      <w:tblPr>
        <w:tblStyle w:val="TableGrid"/>
        <w:tblW w:w="14742" w:type="dxa"/>
        <w:tblInd w:w="108" w:type="dxa"/>
        <w:tblLook w:val="04A0" w:firstRow="1" w:lastRow="0" w:firstColumn="1" w:lastColumn="0" w:noHBand="0" w:noVBand="1"/>
      </w:tblPr>
      <w:tblGrid>
        <w:gridCol w:w="6804"/>
        <w:gridCol w:w="7938"/>
      </w:tblGrid>
      <w:tr w:rsidR="0036662A" w14:paraId="415F2019" w14:textId="77777777" w:rsidTr="009A099F">
        <w:tc>
          <w:tcPr>
            <w:tcW w:w="6804" w:type="dxa"/>
          </w:tcPr>
          <w:p w14:paraId="415F2017" w14:textId="77777777" w:rsidR="0036662A" w:rsidRPr="00DC6A9A" w:rsidRDefault="0036662A" w:rsidP="00335D39">
            <w:pPr>
              <w:rPr>
                <w:b/>
                <w:szCs w:val="24"/>
              </w:rPr>
            </w:pPr>
            <w:r w:rsidRPr="00DC6A9A">
              <w:rPr>
                <w:b/>
                <w:szCs w:val="24"/>
              </w:rPr>
              <w:t xml:space="preserve">Paskelbimo </w:t>
            </w:r>
            <w:r w:rsidRPr="00171818">
              <w:t>www.esinvesticijos.lt</w:t>
            </w:r>
            <w:r>
              <w:rPr>
                <w:b/>
                <w:szCs w:val="24"/>
              </w:rPr>
              <w:t xml:space="preserve"> </w:t>
            </w:r>
            <w:r w:rsidRPr="00DC6A9A">
              <w:rPr>
                <w:b/>
                <w:szCs w:val="24"/>
              </w:rPr>
              <w:t>data</w:t>
            </w:r>
          </w:p>
        </w:tc>
        <w:tc>
          <w:tcPr>
            <w:tcW w:w="7938" w:type="dxa"/>
            <w:tcBorders>
              <w:bottom w:val="single" w:sz="4" w:space="0" w:color="auto"/>
            </w:tcBorders>
          </w:tcPr>
          <w:p w14:paraId="415F2018" w14:textId="63F2FC36" w:rsidR="0036662A" w:rsidRDefault="00363CD0" w:rsidP="00335D39">
            <w:pPr>
              <w:rPr>
                <w:szCs w:val="24"/>
              </w:rPr>
            </w:pPr>
            <w:r>
              <w:rPr>
                <w:szCs w:val="24"/>
              </w:rPr>
              <w:t>2019-11-19</w:t>
            </w:r>
          </w:p>
        </w:tc>
      </w:tr>
      <w:tr w:rsidR="0036662A" w14:paraId="415F201D" w14:textId="77777777" w:rsidTr="009A099F">
        <w:tc>
          <w:tcPr>
            <w:tcW w:w="6804" w:type="dxa"/>
            <w:tcBorders>
              <w:right w:val="single" w:sz="4" w:space="0" w:color="auto"/>
            </w:tcBorders>
          </w:tcPr>
          <w:p w14:paraId="415F201A" w14:textId="77777777" w:rsidR="0036662A" w:rsidRDefault="0036662A" w:rsidP="00335D39">
            <w:pPr>
              <w:rPr>
                <w:b/>
                <w:szCs w:val="24"/>
              </w:rPr>
            </w:pPr>
            <w:r w:rsidRPr="00DC6A9A">
              <w:rPr>
                <w:b/>
                <w:szCs w:val="24"/>
              </w:rPr>
              <w:t>Ar gauta pastabų</w:t>
            </w:r>
            <w:r>
              <w:rPr>
                <w:b/>
                <w:szCs w:val="24"/>
              </w:rPr>
              <w:t xml:space="preserve"> ir (ar) pasiūlymų</w:t>
            </w:r>
            <w:r w:rsidRPr="00DC6A9A">
              <w:rPr>
                <w:b/>
                <w:szCs w:val="24"/>
              </w:rPr>
              <w:t>?</w:t>
            </w:r>
          </w:p>
          <w:p w14:paraId="415F201B" w14:textId="77777777" w:rsidR="0036662A" w:rsidRPr="0036662A" w:rsidRDefault="0036662A" w:rsidP="0036662A">
            <w:pPr>
              <w:rPr>
                <w:i/>
                <w:sz w:val="20"/>
              </w:rPr>
            </w:pPr>
            <w:r w:rsidRPr="0036662A">
              <w:rPr>
                <w:i/>
                <w:sz w:val="20"/>
              </w:rPr>
              <w:t xml:space="preserve">Jei pastabų ir pasiūlymų nebuvo gauta, </w:t>
            </w:r>
            <w:r>
              <w:rPr>
                <w:i/>
                <w:sz w:val="20"/>
              </w:rPr>
              <w:t>į kitą klausimą neatsakoma ir žemiau esanti lentelė nepildoma</w:t>
            </w:r>
          </w:p>
        </w:tc>
        <w:tc>
          <w:tcPr>
            <w:tcW w:w="7938" w:type="dxa"/>
            <w:tcBorders>
              <w:top w:val="single" w:sz="4" w:space="0" w:color="auto"/>
              <w:left w:val="single" w:sz="4" w:space="0" w:color="auto"/>
              <w:bottom w:val="single" w:sz="4" w:space="0" w:color="auto"/>
              <w:right w:val="single" w:sz="4" w:space="0" w:color="auto"/>
            </w:tcBorders>
          </w:tcPr>
          <w:p w14:paraId="415F201C" w14:textId="3F45CB40" w:rsidR="0036662A" w:rsidRPr="007070FE" w:rsidRDefault="005D77F6" w:rsidP="00FF7F22">
            <w:sdt>
              <w:sdtPr>
                <w:id w:val="1312749902"/>
              </w:sdtPr>
              <w:sdtEndPr/>
              <w:sdtContent>
                <w:bookmarkStart w:id="0" w:name="Check1"/>
                <w:sdt>
                  <w:sdtPr>
                    <w:rPr>
                      <w:szCs w:val="24"/>
                    </w:rPr>
                    <w:id w:val="164368749"/>
                  </w:sdtPr>
                  <w:sdtEndPr/>
                  <w:sdtContent>
                    <w:r w:rsidR="00FF7F22" w:rsidRPr="009A099F">
                      <w:rPr>
                        <w:b/>
                        <w:bCs/>
                        <w:highlight w:val="lightGray"/>
                        <w:bdr w:val="single" w:sz="4" w:space="0" w:color="auto"/>
                      </w:rPr>
                      <w:t>X</w:t>
                    </w:r>
                  </w:sdtContent>
                </w:sdt>
                <w:r w:rsidR="00FF7F22">
                  <w:t xml:space="preserve"> </w:t>
                </w:r>
                <w:bookmarkEnd w:id="0"/>
              </w:sdtContent>
            </w:sdt>
            <w:r w:rsidR="0036662A">
              <w:rPr>
                <w:szCs w:val="24"/>
              </w:rPr>
              <w:t xml:space="preserve">Taip </w:t>
            </w:r>
            <w:r w:rsidR="00FF7F22">
              <w:fldChar w:fldCharType="begin">
                <w:ffData>
                  <w:name w:val="Check1"/>
                  <w:enabled/>
                  <w:calcOnExit w:val="0"/>
                  <w:checkBox>
                    <w:sizeAuto/>
                    <w:default w:val="0"/>
                  </w:checkBox>
                </w:ffData>
              </w:fldChar>
            </w:r>
            <w:r w:rsidR="00FF7F22">
              <w:instrText xml:space="preserve"> FORMCHECKBOX </w:instrText>
            </w:r>
            <w:r>
              <w:fldChar w:fldCharType="separate"/>
            </w:r>
            <w:r w:rsidR="00FF7F22">
              <w:fldChar w:fldCharType="end"/>
            </w:r>
            <w:r w:rsidR="0036662A">
              <w:rPr>
                <w:szCs w:val="24"/>
              </w:rPr>
              <w:t xml:space="preserve"> Ne</w:t>
            </w:r>
            <w:r w:rsidR="0036662A">
              <w:rPr>
                <w:szCs w:val="24"/>
              </w:rPr>
              <w:fldChar w:fldCharType="begin"/>
            </w:r>
            <w:r w:rsidR="0036662A">
              <w:rPr>
                <w:szCs w:val="24"/>
              </w:rPr>
              <w:instrText xml:space="preserve"> FILLIN   \* MERGEFORMAT </w:instrText>
            </w:r>
            <w:r w:rsidR="0036662A">
              <w:rPr>
                <w:szCs w:val="24"/>
              </w:rPr>
              <w:fldChar w:fldCharType="end"/>
            </w:r>
          </w:p>
        </w:tc>
      </w:tr>
      <w:tr w:rsidR="0036662A" w14:paraId="415F2021" w14:textId="77777777" w:rsidTr="009A099F">
        <w:tc>
          <w:tcPr>
            <w:tcW w:w="6804" w:type="dxa"/>
          </w:tcPr>
          <w:p w14:paraId="415F201E" w14:textId="77777777" w:rsidR="0036662A" w:rsidRDefault="0036662A" w:rsidP="00335D39">
            <w:pPr>
              <w:rPr>
                <w:b/>
                <w:szCs w:val="24"/>
              </w:rPr>
            </w:pPr>
            <w:r w:rsidRPr="00DC6A9A">
              <w:rPr>
                <w:b/>
                <w:szCs w:val="24"/>
              </w:rPr>
              <w:t xml:space="preserve">Ar į visas pastabas </w:t>
            </w:r>
            <w:r>
              <w:rPr>
                <w:b/>
                <w:szCs w:val="24"/>
              </w:rPr>
              <w:t xml:space="preserve">ir (ar) pasiūlymus </w:t>
            </w:r>
            <w:r w:rsidRPr="00DC6A9A">
              <w:rPr>
                <w:b/>
                <w:szCs w:val="24"/>
              </w:rPr>
              <w:t>atsižvelgta?</w:t>
            </w:r>
          </w:p>
          <w:p w14:paraId="415F201F" w14:textId="77777777" w:rsidR="0036662A" w:rsidRPr="00E7584D" w:rsidRDefault="0036662A" w:rsidP="00335D39">
            <w:pPr>
              <w:rPr>
                <w:i/>
                <w:sz w:val="20"/>
              </w:rPr>
            </w:pPr>
            <w:r w:rsidRPr="00E7584D">
              <w:rPr>
                <w:i/>
                <w:sz w:val="20"/>
              </w:rPr>
              <w:t>Jei atsižvelgta į visas pastabas</w:t>
            </w:r>
            <w:r>
              <w:rPr>
                <w:i/>
                <w:sz w:val="20"/>
              </w:rPr>
              <w:t xml:space="preserve"> ir (ar) pasiūlymus,</w:t>
            </w:r>
            <w:r w:rsidRPr="00E7584D">
              <w:rPr>
                <w:i/>
                <w:sz w:val="20"/>
              </w:rPr>
              <w:t xml:space="preserve"> žemiau esanti lentelė nepildoma</w:t>
            </w:r>
          </w:p>
        </w:tc>
        <w:tc>
          <w:tcPr>
            <w:tcW w:w="7938" w:type="dxa"/>
            <w:tcBorders>
              <w:top w:val="single" w:sz="4" w:space="0" w:color="auto"/>
            </w:tcBorders>
          </w:tcPr>
          <w:p w14:paraId="415F2020" w14:textId="7328CA87" w:rsidR="0036662A" w:rsidRDefault="005D77F6" w:rsidP="00FF7F22">
            <w:pPr>
              <w:rPr>
                <w:szCs w:val="24"/>
              </w:rPr>
            </w:pPr>
            <w:sdt>
              <w:sdtPr>
                <w:id w:val="-1548671976"/>
              </w:sdtPr>
              <w:sdtEndPr/>
              <w:sdtContent>
                <w:r w:rsidR="0036662A">
                  <w:fldChar w:fldCharType="begin">
                    <w:ffData>
                      <w:name w:val="Check1"/>
                      <w:enabled/>
                      <w:calcOnExit w:val="0"/>
                      <w:checkBox>
                        <w:sizeAuto/>
                        <w:default w:val="0"/>
                      </w:checkBox>
                    </w:ffData>
                  </w:fldChar>
                </w:r>
                <w:r w:rsidR="0036662A">
                  <w:instrText xml:space="preserve"> FORMCHECKBOX </w:instrText>
                </w:r>
                <w:r>
                  <w:fldChar w:fldCharType="separate"/>
                </w:r>
                <w:r w:rsidR="0036662A">
                  <w:fldChar w:fldCharType="end"/>
                </w:r>
              </w:sdtContent>
            </w:sdt>
            <w:r w:rsidR="0036662A">
              <w:rPr>
                <w:szCs w:val="24"/>
              </w:rPr>
              <w:t xml:space="preserve"> Taip </w:t>
            </w:r>
            <w:sdt>
              <w:sdtPr>
                <w:id w:val="-338542889"/>
              </w:sdtPr>
              <w:sdtEndPr/>
              <w:sdtContent>
                <w:sdt>
                  <w:sdtPr>
                    <w:rPr>
                      <w:szCs w:val="24"/>
                    </w:rPr>
                    <w:id w:val="-1947230668"/>
                  </w:sdtPr>
                  <w:sdtEndPr/>
                  <w:sdtContent>
                    <w:r w:rsidR="00FF7F22" w:rsidRPr="009A099F">
                      <w:rPr>
                        <w:b/>
                        <w:bCs/>
                        <w:highlight w:val="lightGray"/>
                        <w:bdr w:val="single" w:sz="4" w:space="0" w:color="auto"/>
                      </w:rPr>
                      <w:t>X</w:t>
                    </w:r>
                  </w:sdtContent>
                </w:sdt>
              </w:sdtContent>
            </w:sdt>
            <w:r w:rsidR="0036662A">
              <w:rPr>
                <w:szCs w:val="24"/>
              </w:rPr>
              <w:t xml:space="preserve"> Ne </w:t>
            </w:r>
          </w:p>
        </w:tc>
      </w:tr>
    </w:tbl>
    <w:p w14:paraId="415F2022" w14:textId="77777777" w:rsidR="0036662A" w:rsidRPr="00781CA4" w:rsidRDefault="0036662A" w:rsidP="0036662A">
      <w:pPr>
        <w:rPr>
          <w:szCs w:val="24"/>
        </w:rPr>
      </w:pPr>
    </w:p>
    <w:tbl>
      <w:tblPr>
        <w:tblStyle w:val="TableGrid"/>
        <w:tblW w:w="14742" w:type="dxa"/>
        <w:tblInd w:w="108" w:type="dxa"/>
        <w:tblLayout w:type="fixed"/>
        <w:tblLook w:val="04A0" w:firstRow="1" w:lastRow="0" w:firstColumn="1" w:lastColumn="0" w:noHBand="0" w:noVBand="1"/>
      </w:tblPr>
      <w:tblGrid>
        <w:gridCol w:w="567"/>
        <w:gridCol w:w="1985"/>
        <w:gridCol w:w="5386"/>
        <w:gridCol w:w="6804"/>
      </w:tblGrid>
      <w:tr w:rsidR="0036662A" w:rsidRPr="00781CA4" w14:paraId="415F2027" w14:textId="77777777" w:rsidTr="00335D39">
        <w:tc>
          <w:tcPr>
            <w:tcW w:w="567" w:type="dxa"/>
          </w:tcPr>
          <w:p w14:paraId="415F2023" w14:textId="77777777" w:rsidR="0036662A" w:rsidRPr="00781CA4" w:rsidRDefault="0036662A" w:rsidP="00335D39">
            <w:pPr>
              <w:jc w:val="center"/>
              <w:rPr>
                <w:b/>
                <w:szCs w:val="24"/>
              </w:rPr>
            </w:pPr>
            <w:r w:rsidRPr="00781CA4">
              <w:rPr>
                <w:b/>
                <w:szCs w:val="24"/>
              </w:rPr>
              <w:t>Nr.</w:t>
            </w:r>
          </w:p>
        </w:tc>
        <w:tc>
          <w:tcPr>
            <w:tcW w:w="1985" w:type="dxa"/>
          </w:tcPr>
          <w:p w14:paraId="415F2024" w14:textId="77777777" w:rsidR="0036662A" w:rsidRPr="00781CA4" w:rsidRDefault="0036662A" w:rsidP="00335D39">
            <w:pPr>
              <w:jc w:val="center"/>
              <w:rPr>
                <w:b/>
                <w:szCs w:val="24"/>
              </w:rPr>
            </w:pPr>
            <w:r w:rsidRPr="00781CA4">
              <w:rPr>
                <w:b/>
                <w:szCs w:val="24"/>
              </w:rPr>
              <w:t>Institucija</w:t>
            </w:r>
          </w:p>
        </w:tc>
        <w:tc>
          <w:tcPr>
            <w:tcW w:w="5386" w:type="dxa"/>
          </w:tcPr>
          <w:p w14:paraId="415F2025" w14:textId="77777777" w:rsidR="0036662A" w:rsidRPr="00781CA4" w:rsidRDefault="0036662A" w:rsidP="00335D39">
            <w:pPr>
              <w:jc w:val="center"/>
              <w:rPr>
                <w:b/>
                <w:szCs w:val="24"/>
              </w:rPr>
            </w:pPr>
            <w:r>
              <w:rPr>
                <w:b/>
                <w:bCs/>
              </w:rPr>
              <w:t>Pastabos ir pasiūlymai</w:t>
            </w:r>
          </w:p>
        </w:tc>
        <w:tc>
          <w:tcPr>
            <w:tcW w:w="6804" w:type="dxa"/>
          </w:tcPr>
          <w:p w14:paraId="415F2026" w14:textId="77777777" w:rsidR="0036662A" w:rsidRPr="00781CA4" w:rsidRDefault="0036662A" w:rsidP="00335D39">
            <w:pPr>
              <w:jc w:val="center"/>
              <w:rPr>
                <w:b/>
                <w:szCs w:val="24"/>
              </w:rPr>
            </w:pPr>
            <w:r>
              <w:rPr>
                <w:b/>
                <w:bCs/>
              </w:rPr>
              <w:t>Pastabų ir pasiūlymų vertinimas ir (jei taikoma) argumentai, kodėl neatsižvelgta į pastabas ar pasiūlymus</w:t>
            </w:r>
          </w:p>
        </w:tc>
      </w:tr>
      <w:tr w:rsidR="0036662A" w:rsidRPr="00781CA4" w14:paraId="415F202C" w14:textId="77777777" w:rsidTr="00335D39">
        <w:tc>
          <w:tcPr>
            <w:tcW w:w="567" w:type="dxa"/>
          </w:tcPr>
          <w:p w14:paraId="415F2028" w14:textId="77777777" w:rsidR="0036662A" w:rsidRPr="0038099D" w:rsidRDefault="0036662A" w:rsidP="0036662A">
            <w:pPr>
              <w:pStyle w:val="ListParagraph"/>
              <w:numPr>
                <w:ilvl w:val="0"/>
                <w:numId w:val="1"/>
              </w:numPr>
              <w:jc w:val="both"/>
            </w:pPr>
          </w:p>
        </w:tc>
        <w:tc>
          <w:tcPr>
            <w:tcW w:w="1985" w:type="dxa"/>
          </w:tcPr>
          <w:p w14:paraId="415F2029" w14:textId="547C4E46" w:rsidR="0036662A" w:rsidRPr="0038099D" w:rsidRDefault="00E614B1" w:rsidP="00335D39">
            <w:r>
              <w:t>Lietuvos verslo konfederacija</w:t>
            </w:r>
          </w:p>
        </w:tc>
        <w:tc>
          <w:tcPr>
            <w:tcW w:w="5386" w:type="dxa"/>
          </w:tcPr>
          <w:p w14:paraId="564C291E" w14:textId="77777777" w:rsidR="006F0D9F" w:rsidRDefault="006F0D9F" w:rsidP="006F0D9F">
            <w:pPr>
              <w:jc w:val="both"/>
              <w:rPr>
                <w:lang w:eastAsia="en-US"/>
              </w:rPr>
            </w:pPr>
            <w:r>
              <w:t>Lietuvos verslo konfederacija (toliau – LVK) – didžiausia paslaugų, prekybos ir aukštųjų technologijų įmones vienijanti verslo organizacija Lietuvoje, susipažino su 2014–2020 metų Europos Sąjungos fondų investicijų veiksmų programos 3 prioriteto „Smulkiojo ir vidutinio verslo konkurencingumo skatinimas“ priemonės Nr. 03.2.1-LVPA-K-801 „Naujos galimybės LT“ projektų finansavimo sąlygų aprašų Nr. 3 ir Nr. 4  (toliau – Aprašai) keitimo projektais, ir teikia šias pastabas:</w:t>
            </w:r>
          </w:p>
          <w:p w14:paraId="42D24B73" w14:textId="077EC645" w:rsidR="006F0D9F" w:rsidRDefault="006F0D9F" w:rsidP="006F0D9F">
            <w:pPr>
              <w:pStyle w:val="ListParagraph"/>
              <w:numPr>
                <w:ilvl w:val="0"/>
                <w:numId w:val="2"/>
              </w:numPr>
              <w:tabs>
                <w:tab w:val="left" w:pos="507"/>
              </w:tabs>
              <w:ind w:left="0" w:firstLine="59"/>
              <w:jc w:val="both"/>
            </w:pPr>
            <w:r>
              <w:t xml:space="preserve">Minėtų Aprašų projektų 4-uose prieduose „Metodiniai nurodymai dėl fiksuotųjų įkainių taikymo“ panaikinami maksimalūs fiksuotieji įkainiai ir pateikiama nuoroda į Fiksuotųjų įkainių tyrimo ataskaitas. Tai suponuoja aplinkybę, jog projekto eigoje maksimalūs įkainiai gali kisti tiek į didesnę, tiek į mažesnę pusę, ko </w:t>
            </w:r>
            <w:proofErr w:type="spellStart"/>
            <w:r>
              <w:t>pasekoje</w:t>
            </w:r>
            <w:proofErr w:type="spellEnd"/>
            <w:r>
              <w:t xml:space="preserve"> projekto vykdytojas negalės planuoti ne tik projekto renginių (parodų / </w:t>
            </w:r>
            <w:r>
              <w:lastRenderedPageBreak/>
              <w:t>verslo misijų / mugių) dėl neaiškaus fiksuoto įkainio dydžio, bet ir racionaliai suplanuoti bendro projekto biudžeto, kadangi įkainiams sumažėjus liks dalis nepanaudotų lėšų (kurių nebūtinai užteks naujai grupinei iniciatyvai įgyvendinti), ko pirminėmis aplinkybėmis būtų buvę išvengta. Įkainiams padidėjus, kyla rizika, jog biudžete numatytos sumos neužteks planuojamiems renginiams.</w:t>
            </w:r>
          </w:p>
          <w:p w14:paraId="18A555AB" w14:textId="77DDF756" w:rsidR="006F0D9F" w:rsidRDefault="006F0D9F" w:rsidP="006F0D9F">
            <w:pPr>
              <w:pStyle w:val="ListParagraph"/>
              <w:numPr>
                <w:ilvl w:val="0"/>
                <w:numId w:val="2"/>
              </w:numPr>
              <w:tabs>
                <w:tab w:val="left" w:pos="343"/>
              </w:tabs>
              <w:ind w:left="0" w:hanging="82"/>
              <w:jc w:val="both"/>
            </w:pPr>
            <w:r>
              <w:t>Projekte renginiai planuojami likus ne mažiau nei 6 mėnesiams iki jų datos: parodų plotai pradedami pirkti likus 10-12 mėn. iki parodos, misijų atvejų – lėktuvo bilietai bei apgyvendinimas išperkami likus maždaug 6 mėnesiams iki renginio, taip stengiantis ne tik racionaliau naudoti projekto ir galutinių naudos gavėjų lėšas, bet ir sukurti didesnę pridėtinę vertę galutiniams naudos gavėjams, todėl manytina, kad nauji Aprašų pakeitimai ir nuorodos į Fiksuotųjų įkainių tyrimo ataskaitas būtų taikomos ne anksčiau nei po 6 mėnesių nuo jų priėmimo datos.</w:t>
            </w:r>
          </w:p>
          <w:p w14:paraId="19D44143" w14:textId="548E0BFC" w:rsidR="006F0D9F" w:rsidRDefault="006F0D9F" w:rsidP="00EA273E">
            <w:pPr>
              <w:pStyle w:val="ListParagraph"/>
              <w:numPr>
                <w:ilvl w:val="0"/>
                <w:numId w:val="2"/>
              </w:numPr>
              <w:tabs>
                <w:tab w:val="left" w:pos="413"/>
              </w:tabs>
              <w:ind w:left="0" w:firstLine="59"/>
              <w:jc w:val="both"/>
            </w:pPr>
            <w:r>
              <w:t xml:space="preserve">Vadovaujantis LR Teisingumo ministro 2013 m. gruodžio 23 d. įsakymu dėl teisės aktų projektų rengimo rekomendacijų patvirtinimo, </w:t>
            </w:r>
            <w:r w:rsidRPr="00EA273E">
              <w:rPr>
                <w:i/>
                <w:iCs/>
              </w:rPr>
              <w:t xml:space="preserve">teisės akte turėtų būti kuo mažiau nuorodų į kitus teisės aktus, </w:t>
            </w:r>
            <w:r>
              <w:t xml:space="preserve">bei </w:t>
            </w:r>
            <w:r w:rsidRPr="00EA273E">
              <w:rPr>
                <w:i/>
                <w:iCs/>
              </w:rPr>
              <w:t>aukštesnės teisinės galios teisės akte taip pat turėtų būti vengiama nuorodų į konkrečius žemesnės galios teisės aktus</w:t>
            </w:r>
            <w:r>
              <w:t>. Šiuo atveju Apraše bus numatyta nuoroda į Fiksuotųjų įkainių tyrimo ataskaitą, kuri gali kisti (vadovaujantis dabartine praktika, tai daroma maždaug kartą per metus) ir taip sugriauti bendrą projekto logiką.</w:t>
            </w:r>
          </w:p>
          <w:p w14:paraId="7ED86D65" w14:textId="0295CC3A" w:rsidR="006F0D9F" w:rsidRDefault="006F0D9F" w:rsidP="00EA273E">
            <w:pPr>
              <w:pStyle w:val="ListParagraph"/>
              <w:numPr>
                <w:ilvl w:val="0"/>
                <w:numId w:val="2"/>
              </w:numPr>
              <w:tabs>
                <w:tab w:val="left" w:pos="441"/>
              </w:tabs>
              <w:ind w:left="59" w:firstLine="0"/>
              <w:jc w:val="both"/>
            </w:pPr>
            <w:r>
              <w:t xml:space="preserve">Atsižvelgiant į tai, kad projektai pagal kvietimus Nr. 3 ir Nr. 4 jau beveik įgyvendinti ir renginiai suplanuoti iki projektų pabaigos, prašome pakeitimų </w:t>
            </w:r>
            <w:r>
              <w:lastRenderedPageBreak/>
              <w:t>taikymą atidėti bent 6 mėnesiams nuo priėmimo datos.</w:t>
            </w:r>
          </w:p>
          <w:p w14:paraId="415F202A" w14:textId="77777777" w:rsidR="0036662A" w:rsidRPr="00162697" w:rsidRDefault="0036662A" w:rsidP="00335D39">
            <w:pPr>
              <w:rPr>
                <w:sz w:val="2"/>
              </w:rPr>
            </w:pPr>
            <w:bookmarkStart w:id="1" w:name="_GoBack"/>
            <w:bookmarkEnd w:id="1"/>
          </w:p>
        </w:tc>
        <w:tc>
          <w:tcPr>
            <w:tcW w:w="6804" w:type="dxa"/>
          </w:tcPr>
          <w:p w14:paraId="50A08CE0" w14:textId="77777777" w:rsidR="0036662A" w:rsidRDefault="00EA273E" w:rsidP="00335D39">
            <w:r>
              <w:lastRenderedPageBreak/>
              <w:t>Neatsižvelgta.</w:t>
            </w:r>
          </w:p>
          <w:p w14:paraId="2E7870C9" w14:textId="069DDE3F" w:rsidR="00EA273E" w:rsidRPr="00EA273E" w:rsidRDefault="00EA273E" w:rsidP="00EA273E">
            <w:pPr>
              <w:jc w:val="both"/>
            </w:pPr>
            <w:r>
              <w:t>P</w:t>
            </w:r>
            <w:r w:rsidRPr="00EA273E">
              <w:t>riemonės “Naujos galimybės LT” projektų finansavimo sąlygų aprašai, skirti pavieniam ir grupiniam labai mažų, mažų ir vidutinių įmonių dalyvavimui tarptautinėse parodose, mugėse, verslo misijose, tikslinami</w:t>
            </w:r>
            <w:r w:rsidR="00ED07BD">
              <w:t>,</w:t>
            </w:r>
            <w:r w:rsidRPr="00EA273E">
              <w:t xml:space="preserve"> gavus Valstybės kontrolės pastabą – projektų finansavimo sąlygų aprašuose nenurodyti fiksuotųjų įkainių sumų, o pateikti tik nuorodas į Fiksuotųjų įkainių tyrimo ataskaitas. Atsižvelgiant į Valstybės kontrolės pastabą ir į tai, kad pasikeitus Fiksuotųjų įkainių tyrimo ataskaitose naudojamiems teisės aktams, kiekvieną kartą atnaujinamos Fiksuotųjų įkainių tyrimo ataskaitos ir perskaičiuojami fiksuotieji įkainiai, kas lemia, kad projektų finansavimo sąlygų aprašuose nurodyti fiksuotųjų įkainių dydžiai tampa neaktualūs, tikslinami priemonės ,,Naujos galimybės LT“ projektų finansavimo sąlygų aprašų Nr. 3 ir Nr. 4 priedai ,,Metodiniai nurodymai dėl fiksuotųjų įkainių taikymo“, pateikiant nuorodą į Fiksuotųjų įkainių tyrimo ataskaitas.</w:t>
            </w:r>
          </w:p>
          <w:p w14:paraId="4ECBF4C5" w14:textId="28572A81" w:rsidR="00EA273E" w:rsidRPr="00ED07BD" w:rsidRDefault="00ED07BD" w:rsidP="00ED07BD">
            <w:pPr>
              <w:jc w:val="both"/>
            </w:pPr>
            <w:r>
              <w:lastRenderedPageBreak/>
              <w:t>Pažymime</w:t>
            </w:r>
            <w:r w:rsidR="00EA273E" w:rsidRPr="00ED07BD">
              <w:t xml:space="preserve">, kad šiuo 2014-2020 metų programavimo laikotarpiu daugiau kvietimų pagal priemonę “Naujos galimybės LT” skelbti neplanuojama. </w:t>
            </w:r>
          </w:p>
          <w:p w14:paraId="415F202B" w14:textId="6C032B49" w:rsidR="00EA273E" w:rsidRPr="0038099D" w:rsidRDefault="00EA273E" w:rsidP="00335D39"/>
        </w:tc>
      </w:tr>
      <w:tr w:rsidR="0036662A" w:rsidRPr="00781CA4" w14:paraId="415F2031" w14:textId="77777777" w:rsidTr="00335D39">
        <w:tc>
          <w:tcPr>
            <w:tcW w:w="567" w:type="dxa"/>
          </w:tcPr>
          <w:p w14:paraId="415F202D" w14:textId="77777777" w:rsidR="0036662A" w:rsidRPr="0038099D" w:rsidRDefault="0036662A" w:rsidP="0036662A">
            <w:pPr>
              <w:pStyle w:val="ListParagraph"/>
              <w:numPr>
                <w:ilvl w:val="0"/>
                <w:numId w:val="1"/>
              </w:numPr>
              <w:jc w:val="both"/>
            </w:pPr>
          </w:p>
        </w:tc>
        <w:tc>
          <w:tcPr>
            <w:tcW w:w="1985" w:type="dxa"/>
          </w:tcPr>
          <w:p w14:paraId="0A9C53D0" w14:textId="26C66EB2" w:rsidR="000A16F8" w:rsidRDefault="000A16F8" w:rsidP="000A16F8">
            <w:r w:rsidRPr="000A16F8">
              <w:t>Lietuvos prekybos, pr</w:t>
            </w:r>
            <w:r>
              <w:t>amonės ir amatų rūmų asociacija</w:t>
            </w:r>
          </w:p>
          <w:p w14:paraId="415F202E" w14:textId="77777777" w:rsidR="0036662A" w:rsidRPr="0038099D" w:rsidRDefault="0036662A" w:rsidP="00335D39"/>
        </w:tc>
        <w:tc>
          <w:tcPr>
            <w:tcW w:w="5386" w:type="dxa"/>
          </w:tcPr>
          <w:p w14:paraId="07FC25D2" w14:textId="77777777" w:rsidR="000A16F8" w:rsidRPr="000A16F8" w:rsidRDefault="000A16F8" w:rsidP="000A16F8">
            <w:pPr>
              <w:jc w:val="both"/>
            </w:pPr>
            <w:r w:rsidRPr="000A16F8">
              <w:t>Pabrėžiama, kad Grupinio dalyvavimo tarptautinėse parodose ir mugėse iniciatyva vertinama dėl realios naudos įmonėms, ypač kuomet dalyvaujama tarptautinėse parodose grupiniame stende: palankesnės finansavimo sąlygos, didesnis matomumas – geriau reprezentuojama mūsų šalis.</w:t>
            </w:r>
          </w:p>
          <w:p w14:paraId="6F43A4EE" w14:textId="77777777" w:rsidR="000A16F8" w:rsidRPr="000A16F8" w:rsidRDefault="000A16F8" w:rsidP="000A16F8">
            <w:pPr>
              <w:jc w:val="both"/>
            </w:pPr>
            <w:r w:rsidRPr="000A16F8">
              <w:t>Atkreipiame dėmesį, kad grupinėse iniciatyvose gali prisijungti daugiau įmonių, nes ne visos įmonės turi patirties rengti paraišką, teikti ataskaitą, o grupinėse iniciatyvose tai atlieka pareiškėjas.</w:t>
            </w:r>
          </w:p>
          <w:p w14:paraId="415F202F" w14:textId="259173BD" w:rsidR="0036662A" w:rsidRPr="0038099D" w:rsidRDefault="000A16F8" w:rsidP="000A16F8">
            <w:pPr>
              <w:jc w:val="both"/>
            </w:pPr>
            <w:r w:rsidRPr="000A16F8">
              <w:t>Prašytume informuoti, ar toks kvietimas grupinėms iniciatyvoms yra planuojamas, jei šiuo  metu nėra planuojamas, siūlome įvertinus praeitų laikotarpių pasiekimus, svarstyti galimybę numatyti finansavimo galimybę ir grupinėms iniciatyvoms</w:t>
            </w:r>
            <w:r>
              <w:t>.</w:t>
            </w:r>
          </w:p>
        </w:tc>
        <w:tc>
          <w:tcPr>
            <w:tcW w:w="6804" w:type="dxa"/>
          </w:tcPr>
          <w:p w14:paraId="5EBA885E" w14:textId="77777777" w:rsidR="0036662A" w:rsidRDefault="000A16F8" w:rsidP="00335D39">
            <w:r>
              <w:t>Neatsižvelgta.</w:t>
            </w:r>
          </w:p>
          <w:p w14:paraId="350E7463" w14:textId="2AD2BD5A" w:rsidR="000A16F8" w:rsidRPr="00ED07BD" w:rsidRDefault="000A16F8" w:rsidP="000A16F8">
            <w:pPr>
              <w:jc w:val="both"/>
            </w:pPr>
            <w:r>
              <w:t>Pažymime</w:t>
            </w:r>
            <w:r w:rsidRPr="00ED07BD">
              <w:t xml:space="preserve">, kad </w:t>
            </w:r>
            <w:r w:rsidR="00B33CAF">
              <w:t xml:space="preserve">išnaudojus visas priemonei „Naujos galimybės LT“ skirtas Europos Sąjungos struktūrinių fondų lėšas, </w:t>
            </w:r>
            <w:r w:rsidRPr="00ED07BD">
              <w:t xml:space="preserve">šiuo 2014-2020 metų programavimo laikotarpiu daugiau kvietimų pagal priemonę “Naujos galimybės LT” skelbti neplanuojama. </w:t>
            </w:r>
          </w:p>
          <w:p w14:paraId="415F2030" w14:textId="626BDAEC" w:rsidR="000A16F8" w:rsidRPr="0038099D" w:rsidRDefault="000A16F8" w:rsidP="00335D39"/>
        </w:tc>
      </w:tr>
    </w:tbl>
    <w:p w14:paraId="415F2037" w14:textId="77777777" w:rsidR="005C5ECB" w:rsidRPr="0036662A" w:rsidRDefault="005C5ECB">
      <w:pPr>
        <w:rPr>
          <w:b/>
          <w:bCs/>
          <w:caps/>
          <w:szCs w:val="24"/>
        </w:rPr>
      </w:pPr>
    </w:p>
    <w:sectPr w:rsidR="005C5ECB" w:rsidRPr="0036662A" w:rsidSect="0036662A">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C4218"/>
    <w:multiLevelType w:val="hybridMultilevel"/>
    <w:tmpl w:val="225A5E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A632D0"/>
    <w:multiLevelType w:val="hybridMultilevel"/>
    <w:tmpl w:val="4908296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62A"/>
    <w:rsid w:val="0001428A"/>
    <w:rsid w:val="00016435"/>
    <w:rsid w:val="000240C4"/>
    <w:rsid w:val="00032985"/>
    <w:rsid w:val="00046DFE"/>
    <w:rsid w:val="00050427"/>
    <w:rsid w:val="00053D41"/>
    <w:rsid w:val="00070ED6"/>
    <w:rsid w:val="000A16F8"/>
    <w:rsid w:val="000A3FD2"/>
    <w:rsid w:val="000B1AF5"/>
    <w:rsid w:val="000B2D7C"/>
    <w:rsid w:val="000D3EFE"/>
    <w:rsid w:val="000E1F0C"/>
    <w:rsid w:val="000E275C"/>
    <w:rsid w:val="000E7A99"/>
    <w:rsid w:val="000F5CE6"/>
    <w:rsid w:val="00105F91"/>
    <w:rsid w:val="00115372"/>
    <w:rsid w:val="001577E4"/>
    <w:rsid w:val="00162697"/>
    <w:rsid w:val="0018373E"/>
    <w:rsid w:val="00184FC3"/>
    <w:rsid w:val="00194702"/>
    <w:rsid w:val="001A5935"/>
    <w:rsid w:val="001C2F60"/>
    <w:rsid w:val="001D6507"/>
    <w:rsid w:val="001E4CE7"/>
    <w:rsid w:val="001E6748"/>
    <w:rsid w:val="001E67A5"/>
    <w:rsid w:val="0020434A"/>
    <w:rsid w:val="00234AE2"/>
    <w:rsid w:val="00241C69"/>
    <w:rsid w:val="00247BB5"/>
    <w:rsid w:val="00270AE5"/>
    <w:rsid w:val="002923A6"/>
    <w:rsid w:val="002A27A2"/>
    <w:rsid w:val="002C79BA"/>
    <w:rsid w:val="002D4D56"/>
    <w:rsid w:val="002E1B28"/>
    <w:rsid w:val="00330EC9"/>
    <w:rsid w:val="003529B3"/>
    <w:rsid w:val="00363CD0"/>
    <w:rsid w:val="00366151"/>
    <w:rsid w:val="0036662A"/>
    <w:rsid w:val="003865B8"/>
    <w:rsid w:val="003A1AD9"/>
    <w:rsid w:val="003B2FAE"/>
    <w:rsid w:val="003E77A4"/>
    <w:rsid w:val="003F5676"/>
    <w:rsid w:val="004136A8"/>
    <w:rsid w:val="004378EE"/>
    <w:rsid w:val="00441C29"/>
    <w:rsid w:val="00452AAF"/>
    <w:rsid w:val="00475E13"/>
    <w:rsid w:val="00482B56"/>
    <w:rsid w:val="00492433"/>
    <w:rsid w:val="004A5F41"/>
    <w:rsid w:val="004C44BD"/>
    <w:rsid w:val="004D11D5"/>
    <w:rsid w:val="004E6B69"/>
    <w:rsid w:val="005004F3"/>
    <w:rsid w:val="0054453C"/>
    <w:rsid w:val="00547C74"/>
    <w:rsid w:val="005516A5"/>
    <w:rsid w:val="005533C2"/>
    <w:rsid w:val="00571253"/>
    <w:rsid w:val="00581B51"/>
    <w:rsid w:val="00593EE0"/>
    <w:rsid w:val="005B1293"/>
    <w:rsid w:val="005B79FB"/>
    <w:rsid w:val="005C5B4A"/>
    <w:rsid w:val="005C5ECB"/>
    <w:rsid w:val="005E0604"/>
    <w:rsid w:val="005F038F"/>
    <w:rsid w:val="005F0F88"/>
    <w:rsid w:val="006106A7"/>
    <w:rsid w:val="00665BE2"/>
    <w:rsid w:val="00677B1E"/>
    <w:rsid w:val="006824CC"/>
    <w:rsid w:val="006A1E78"/>
    <w:rsid w:val="006A22E2"/>
    <w:rsid w:val="006B0D85"/>
    <w:rsid w:val="006B526A"/>
    <w:rsid w:val="006B75D2"/>
    <w:rsid w:val="006C0163"/>
    <w:rsid w:val="006E16C9"/>
    <w:rsid w:val="006F0D9F"/>
    <w:rsid w:val="00707C95"/>
    <w:rsid w:val="0072623F"/>
    <w:rsid w:val="00741C32"/>
    <w:rsid w:val="00742585"/>
    <w:rsid w:val="00747BC9"/>
    <w:rsid w:val="007537EC"/>
    <w:rsid w:val="00761496"/>
    <w:rsid w:val="007769FC"/>
    <w:rsid w:val="007B3E81"/>
    <w:rsid w:val="007D3038"/>
    <w:rsid w:val="007F07D5"/>
    <w:rsid w:val="007F5F38"/>
    <w:rsid w:val="0080172F"/>
    <w:rsid w:val="008359DC"/>
    <w:rsid w:val="0085384B"/>
    <w:rsid w:val="00856EDA"/>
    <w:rsid w:val="008576A6"/>
    <w:rsid w:val="00865C80"/>
    <w:rsid w:val="008663E3"/>
    <w:rsid w:val="00885C3D"/>
    <w:rsid w:val="008A53CB"/>
    <w:rsid w:val="008C3DAE"/>
    <w:rsid w:val="008D5F38"/>
    <w:rsid w:val="008E3C68"/>
    <w:rsid w:val="008F38C3"/>
    <w:rsid w:val="00924552"/>
    <w:rsid w:val="00926630"/>
    <w:rsid w:val="00933886"/>
    <w:rsid w:val="00947C9D"/>
    <w:rsid w:val="00954EEB"/>
    <w:rsid w:val="00956C1E"/>
    <w:rsid w:val="0097341D"/>
    <w:rsid w:val="0099342A"/>
    <w:rsid w:val="009A099F"/>
    <w:rsid w:val="009A662F"/>
    <w:rsid w:val="009B3957"/>
    <w:rsid w:val="009B4714"/>
    <w:rsid w:val="009D3B8E"/>
    <w:rsid w:val="009D3BAD"/>
    <w:rsid w:val="009E1857"/>
    <w:rsid w:val="009E69E2"/>
    <w:rsid w:val="00A00DB1"/>
    <w:rsid w:val="00A24DB0"/>
    <w:rsid w:val="00A2721F"/>
    <w:rsid w:val="00A35603"/>
    <w:rsid w:val="00A4128B"/>
    <w:rsid w:val="00A47552"/>
    <w:rsid w:val="00A47E71"/>
    <w:rsid w:val="00A52C00"/>
    <w:rsid w:val="00A54BBD"/>
    <w:rsid w:val="00A6632E"/>
    <w:rsid w:val="00A80ADA"/>
    <w:rsid w:val="00A845D7"/>
    <w:rsid w:val="00A91F0C"/>
    <w:rsid w:val="00AC4B6C"/>
    <w:rsid w:val="00AD5789"/>
    <w:rsid w:val="00AF0A0D"/>
    <w:rsid w:val="00AF25D0"/>
    <w:rsid w:val="00AF2A89"/>
    <w:rsid w:val="00B0591B"/>
    <w:rsid w:val="00B06DF8"/>
    <w:rsid w:val="00B14AA0"/>
    <w:rsid w:val="00B26628"/>
    <w:rsid w:val="00B33CAF"/>
    <w:rsid w:val="00B46548"/>
    <w:rsid w:val="00B7378D"/>
    <w:rsid w:val="00B75709"/>
    <w:rsid w:val="00B9676C"/>
    <w:rsid w:val="00BA3F54"/>
    <w:rsid w:val="00BB138B"/>
    <w:rsid w:val="00BC5BDA"/>
    <w:rsid w:val="00BD17AE"/>
    <w:rsid w:val="00BE1E8F"/>
    <w:rsid w:val="00BE6468"/>
    <w:rsid w:val="00BE6CC1"/>
    <w:rsid w:val="00BF587A"/>
    <w:rsid w:val="00C25B44"/>
    <w:rsid w:val="00C3317D"/>
    <w:rsid w:val="00C33E49"/>
    <w:rsid w:val="00C35591"/>
    <w:rsid w:val="00C41BD5"/>
    <w:rsid w:val="00C41EDB"/>
    <w:rsid w:val="00C535B1"/>
    <w:rsid w:val="00C6260A"/>
    <w:rsid w:val="00C72556"/>
    <w:rsid w:val="00C916C8"/>
    <w:rsid w:val="00C94B40"/>
    <w:rsid w:val="00C97E60"/>
    <w:rsid w:val="00CA2E85"/>
    <w:rsid w:val="00CA6AE7"/>
    <w:rsid w:val="00CB2790"/>
    <w:rsid w:val="00CB505F"/>
    <w:rsid w:val="00CE53AB"/>
    <w:rsid w:val="00CF2C5D"/>
    <w:rsid w:val="00CF7C87"/>
    <w:rsid w:val="00D548C8"/>
    <w:rsid w:val="00D54ED4"/>
    <w:rsid w:val="00D66763"/>
    <w:rsid w:val="00DB3586"/>
    <w:rsid w:val="00DC5385"/>
    <w:rsid w:val="00DC7728"/>
    <w:rsid w:val="00DC7AB7"/>
    <w:rsid w:val="00DE1BD0"/>
    <w:rsid w:val="00DE693B"/>
    <w:rsid w:val="00E14F1D"/>
    <w:rsid w:val="00E307F8"/>
    <w:rsid w:val="00E314FC"/>
    <w:rsid w:val="00E4278F"/>
    <w:rsid w:val="00E47926"/>
    <w:rsid w:val="00E53DCA"/>
    <w:rsid w:val="00E614B1"/>
    <w:rsid w:val="00E6399A"/>
    <w:rsid w:val="00E95B1A"/>
    <w:rsid w:val="00EA273E"/>
    <w:rsid w:val="00EC036E"/>
    <w:rsid w:val="00EC0828"/>
    <w:rsid w:val="00EC6B07"/>
    <w:rsid w:val="00ED07BD"/>
    <w:rsid w:val="00EF0A83"/>
    <w:rsid w:val="00EF5D3D"/>
    <w:rsid w:val="00F16636"/>
    <w:rsid w:val="00F17A0F"/>
    <w:rsid w:val="00F43952"/>
    <w:rsid w:val="00F449CA"/>
    <w:rsid w:val="00F45F44"/>
    <w:rsid w:val="00F46B15"/>
    <w:rsid w:val="00F56078"/>
    <w:rsid w:val="00F74AD4"/>
    <w:rsid w:val="00F7759E"/>
    <w:rsid w:val="00F8394C"/>
    <w:rsid w:val="00FA1C73"/>
    <w:rsid w:val="00FA2FE9"/>
    <w:rsid w:val="00FD0EAB"/>
    <w:rsid w:val="00FE2A36"/>
    <w:rsid w:val="00FF7F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F2013"/>
  <w15:docId w15:val="{3B302E5F-30EE-48AB-BF2C-B2AA16B8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62A"/>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3068">
      <w:bodyDiv w:val="1"/>
      <w:marLeft w:val="0"/>
      <w:marRight w:val="0"/>
      <w:marTop w:val="0"/>
      <w:marBottom w:val="0"/>
      <w:divBdr>
        <w:top w:val="none" w:sz="0" w:space="0" w:color="auto"/>
        <w:left w:val="none" w:sz="0" w:space="0" w:color="auto"/>
        <w:bottom w:val="none" w:sz="0" w:space="0" w:color="auto"/>
        <w:right w:val="none" w:sz="0" w:space="0" w:color="auto"/>
      </w:divBdr>
    </w:div>
    <w:div w:id="1171992099">
      <w:bodyDiv w:val="1"/>
      <w:marLeft w:val="0"/>
      <w:marRight w:val="0"/>
      <w:marTop w:val="0"/>
      <w:marBottom w:val="0"/>
      <w:divBdr>
        <w:top w:val="none" w:sz="0" w:space="0" w:color="auto"/>
        <w:left w:val="none" w:sz="0" w:space="0" w:color="auto"/>
        <w:bottom w:val="none" w:sz="0" w:space="0" w:color="auto"/>
        <w:right w:val="none" w:sz="0" w:space="0" w:color="auto"/>
      </w:divBdr>
    </w:div>
    <w:div w:id="1412659020">
      <w:bodyDiv w:val="1"/>
      <w:marLeft w:val="0"/>
      <w:marRight w:val="0"/>
      <w:marTop w:val="0"/>
      <w:marBottom w:val="0"/>
      <w:divBdr>
        <w:top w:val="none" w:sz="0" w:space="0" w:color="auto"/>
        <w:left w:val="none" w:sz="0" w:space="0" w:color="auto"/>
        <w:bottom w:val="none" w:sz="0" w:space="0" w:color="auto"/>
        <w:right w:val="none" w:sz="0" w:space="0" w:color="auto"/>
      </w:divBdr>
    </w:div>
    <w:div w:id="181228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3598</Words>
  <Characters>2052</Characters>
  <Application>Microsoft Office Word</Application>
  <DocSecurity>0</DocSecurity>
  <Lines>17</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Viluniene Jurgita</cp:lastModifiedBy>
  <cp:revision>3</cp:revision>
  <dcterms:created xsi:type="dcterms:W3CDTF">2019-12-17T12:08:00Z</dcterms:created>
  <dcterms:modified xsi:type="dcterms:W3CDTF">2019-12-17T12:14:00Z</dcterms:modified>
</cp:coreProperties>
</file>