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A" w:rsidRDefault="0036662A" w:rsidP="0036662A">
      <w:pPr>
        <w:jc w:val="center"/>
        <w:rPr>
          <w:b/>
          <w:bCs/>
        </w:rPr>
      </w:pPr>
      <w:bookmarkStart w:id="0" w:name="_GoBack"/>
      <w:bookmarkEnd w:id="0"/>
      <w:r>
        <w:rPr>
          <w:b/>
          <w:bCs/>
        </w:rPr>
        <w:t>LIET</w:t>
      </w:r>
      <w:r w:rsidR="00BE2051">
        <w:rPr>
          <w:b/>
          <w:bCs/>
        </w:rPr>
        <w:t>UVOS RESPUBLIKOS ŠVIETIMO,</w:t>
      </w:r>
      <w:r w:rsidR="009E02DD">
        <w:rPr>
          <w:b/>
          <w:bCs/>
        </w:rPr>
        <w:t xml:space="preserve"> MOKSLO IR SPORTO</w:t>
      </w:r>
      <w:r>
        <w:rPr>
          <w:b/>
          <w:bCs/>
        </w:rPr>
        <w:t xml:space="preserve"> MINISTERIJA</w:t>
      </w:r>
    </w:p>
    <w:p w:rsidR="0036662A" w:rsidRDefault="0036662A" w:rsidP="0036662A">
      <w:pPr>
        <w:jc w:val="center"/>
        <w:rPr>
          <w:b/>
          <w:bCs/>
        </w:rPr>
      </w:pPr>
    </w:p>
    <w:p w:rsidR="0036662A" w:rsidRDefault="0036662A" w:rsidP="0036662A">
      <w:pPr>
        <w:jc w:val="center"/>
        <w:rPr>
          <w:b/>
          <w:bCs/>
        </w:rPr>
      </w:pPr>
      <w:r>
        <w:rPr>
          <w:b/>
          <w:bCs/>
        </w:rPr>
        <w:t>SOCIALINIŲ IR EKONOMINIŲ PARTNERIŲ PATEIKTŲ PASTABŲ IR PASIŪLYMŲ DĖL 2014–2020 METŲ EUROPOS SĄJUNGOS FONDŲ INVE</w:t>
      </w:r>
      <w:r w:rsidR="009E02DD">
        <w:rPr>
          <w:b/>
          <w:bCs/>
        </w:rPr>
        <w:t>STICIJŲ VEIKSMŲ PROGRAMOS 1</w:t>
      </w:r>
      <w:r>
        <w:rPr>
          <w:b/>
          <w:bCs/>
        </w:rPr>
        <w:t xml:space="preserve"> PRIORITETO „</w:t>
      </w:r>
      <w:r w:rsidR="009E02DD" w:rsidRPr="009E02DD">
        <w:rPr>
          <w:b/>
          <w:bCs/>
        </w:rPr>
        <w:t>MOKSLINIŲ TYRIMŲ, EKSPERIMENTINĖS PLĖTROS IR INOVACIJŲ SKATINIMAS</w:t>
      </w:r>
      <w:r>
        <w:rPr>
          <w:b/>
          <w:bCs/>
        </w:rPr>
        <w:t xml:space="preserve">“ PRIEMONĖS NR. </w:t>
      </w:r>
      <w:r w:rsidR="009E02DD" w:rsidRPr="009E02DD">
        <w:rPr>
          <w:b/>
          <w:bCs/>
        </w:rPr>
        <w:t>01.2.2-CPVA-K-703</w:t>
      </w:r>
      <w:r>
        <w:rPr>
          <w:b/>
          <w:bCs/>
        </w:rPr>
        <w:t xml:space="preserve"> „</w:t>
      </w:r>
      <w:r w:rsidR="009E02DD" w:rsidRPr="009E02DD">
        <w:rPr>
          <w:b/>
          <w:bCs/>
        </w:rPr>
        <w:t>KOMPETENCIJOS CENTRŲ IR INOVACIJŲ IR TECHNOLOGIJŲ PERDAVIMO CENTRŲ VEIKLOS SKATINIMAS</w:t>
      </w:r>
      <w:r w:rsidR="001647E3">
        <w:rPr>
          <w:b/>
          <w:bCs/>
        </w:rPr>
        <w:t>“ PROJEKTŲ ATRANKOS KRITERIJŲ</w:t>
      </w:r>
      <w:r>
        <w:rPr>
          <w:b/>
          <w:bCs/>
        </w:rPr>
        <w:t xml:space="preserve"> DERINIMAS</w:t>
      </w:r>
    </w:p>
    <w:p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Tr="00335D39">
        <w:tc>
          <w:tcPr>
            <w:tcW w:w="6804" w:type="dxa"/>
          </w:tcPr>
          <w:p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rsidR="0036662A" w:rsidRDefault="009E02DD" w:rsidP="00335D39">
            <w:pPr>
              <w:rPr>
                <w:szCs w:val="24"/>
              </w:rPr>
            </w:pPr>
            <w:r w:rsidRPr="009E02DD">
              <w:rPr>
                <w:szCs w:val="24"/>
              </w:rPr>
              <w:t>2019-11-25</w:t>
            </w:r>
          </w:p>
        </w:tc>
      </w:tr>
      <w:tr w:rsidR="0036662A" w:rsidTr="00335D39">
        <w:tc>
          <w:tcPr>
            <w:tcW w:w="6804" w:type="dxa"/>
          </w:tcPr>
          <w:p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rsidR="0036662A" w:rsidRPr="007070FE" w:rsidRDefault="00B13B89" w:rsidP="009E02DD">
            <w:sdt>
              <w:sdtPr>
                <w:id w:val="1312749902"/>
              </w:sdtPr>
              <w:sdtEndPr/>
              <w:sdtContent>
                <w:r w:rsidR="009E02DD">
                  <w:t>X</w:t>
                </w:r>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rsidTr="00335D39">
        <w:tc>
          <w:tcPr>
            <w:tcW w:w="6804" w:type="dxa"/>
          </w:tcPr>
          <w:p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rsidR="0036662A" w:rsidRDefault="00B13B89" w:rsidP="009E02DD">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9E02DD" w:rsidRPr="009E02DD">
                  <w:rPr>
                    <w:b/>
                  </w:rPr>
                  <w:t>X</w:t>
                </w:r>
              </w:sdtContent>
            </w:sdt>
            <w:r w:rsidR="0036662A">
              <w:rPr>
                <w:szCs w:val="24"/>
              </w:rPr>
              <w:t xml:space="preserve"> Ne </w:t>
            </w:r>
          </w:p>
        </w:tc>
      </w:tr>
    </w:tbl>
    <w:p w:rsidR="0036662A" w:rsidRDefault="0036662A" w:rsidP="0036662A">
      <w:pPr>
        <w:rPr>
          <w:szCs w:val="24"/>
        </w:rPr>
      </w:pPr>
    </w:p>
    <w:p w:rsidR="001647E3" w:rsidRPr="00781CA4" w:rsidRDefault="001647E3" w:rsidP="0036662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rsidTr="00335D39">
        <w:tc>
          <w:tcPr>
            <w:tcW w:w="567" w:type="dxa"/>
          </w:tcPr>
          <w:p w:rsidR="0036662A" w:rsidRPr="00781CA4" w:rsidRDefault="0036662A" w:rsidP="00335D39">
            <w:pPr>
              <w:jc w:val="center"/>
              <w:rPr>
                <w:b/>
                <w:szCs w:val="24"/>
              </w:rPr>
            </w:pPr>
            <w:r w:rsidRPr="00781CA4">
              <w:rPr>
                <w:b/>
                <w:szCs w:val="24"/>
              </w:rPr>
              <w:t>Nr.</w:t>
            </w:r>
          </w:p>
        </w:tc>
        <w:tc>
          <w:tcPr>
            <w:tcW w:w="1985" w:type="dxa"/>
          </w:tcPr>
          <w:p w:rsidR="0036662A" w:rsidRPr="00781CA4" w:rsidRDefault="0036662A" w:rsidP="00335D39">
            <w:pPr>
              <w:jc w:val="center"/>
              <w:rPr>
                <w:b/>
                <w:szCs w:val="24"/>
              </w:rPr>
            </w:pPr>
            <w:r w:rsidRPr="00781CA4">
              <w:rPr>
                <w:b/>
                <w:szCs w:val="24"/>
              </w:rPr>
              <w:t>Institucija</w:t>
            </w:r>
          </w:p>
        </w:tc>
        <w:tc>
          <w:tcPr>
            <w:tcW w:w="5386" w:type="dxa"/>
          </w:tcPr>
          <w:p w:rsidR="0036662A" w:rsidRPr="00781CA4" w:rsidRDefault="0036662A" w:rsidP="00335D39">
            <w:pPr>
              <w:jc w:val="center"/>
              <w:rPr>
                <w:b/>
                <w:szCs w:val="24"/>
              </w:rPr>
            </w:pPr>
            <w:r>
              <w:rPr>
                <w:b/>
                <w:bCs/>
              </w:rPr>
              <w:t>Pastabos ir pasiūlymai</w:t>
            </w:r>
          </w:p>
        </w:tc>
        <w:tc>
          <w:tcPr>
            <w:tcW w:w="6804" w:type="dxa"/>
          </w:tcPr>
          <w:p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9E02DD" w:rsidRPr="00781CA4" w:rsidTr="00335D39">
        <w:tc>
          <w:tcPr>
            <w:tcW w:w="567" w:type="dxa"/>
          </w:tcPr>
          <w:p w:rsidR="009E02DD" w:rsidRPr="0038099D" w:rsidRDefault="009E02DD" w:rsidP="0036662A">
            <w:pPr>
              <w:pStyle w:val="Sraopastraipa"/>
              <w:numPr>
                <w:ilvl w:val="0"/>
                <w:numId w:val="1"/>
              </w:numPr>
              <w:jc w:val="both"/>
            </w:pPr>
          </w:p>
        </w:tc>
        <w:tc>
          <w:tcPr>
            <w:tcW w:w="1985" w:type="dxa"/>
            <w:vMerge w:val="restart"/>
          </w:tcPr>
          <w:p w:rsidR="009E02DD" w:rsidRDefault="009E02DD" w:rsidP="00335D39">
            <w:r>
              <w:t>Vilniaus universitetas</w:t>
            </w:r>
          </w:p>
          <w:p w:rsidR="003902F7" w:rsidRDefault="003902F7" w:rsidP="00335D39">
            <w:r>
              <w:t>(pateikta</w:t>
            </w:r>
          </w:p>
          <w:p w:rsidR="003902F7" w:rsidRPr="0038099D" w:rsidRDefault="003902F7" w:rsidP="00335D39">
            <w:r>
              <w:t>2019-12-02)</w:t>
            </w:r>
          </w:p>
        </w:tc>
        <w:tc>
          <w:tcPr>
            <w:tcW w:w="5386" w:type="dxa"/>
          </w:tcPr>
          <w:p w:rsidR="009E02DD" w:rsidRPr="001647E3" w:rsidRDefault="00E0262A" w:rsidP="009E02DD">
            <w:pPr>
              <w:rPr>
                <w:b/>
              </w:rPr>
            </w:pPr>
            <w:r>
              <w:rPr>
                <w:b/>
              </w:rPr>
              <w:t>Dėl kriterijaus Nr. 9</w:t>
            </w:r>
          </w:p>
          <w:p w:rsidR="009E02DD" w:rsidRPr="0038099D" w:rsidRDefault="009E02DD" w:rsidP="009E02DD">
            <w:pPr>
              <w:jc w:val="both"/>
            </w:pPr>
            <w:r>
              <w:t>•</w:t>
            </w:r>
            <w:r>
              <w:tab/>
              <w:t>Rašoma apie „sutarčių su įmonėmis finansinę vertę“, bet ne per tam tikrą laikotarpį iš tų sutarčių gautas pajamas. Manome, kad tiksliau yra skaičiuoti per konkretų laikotarpį gautas pajamas, nes sutartyse gali būti tiksliai neapibrėžta, kada kiek pajamų bus pervedama, sutartys gali būti nutraukiamos, keičiamos ir pan.</w:t>
            </w:r>
          </w:p>
        </w:tc>
        <w:tc>
          <w:tcPr>
            <w:tcW w:w="6804" w:type="dxa"/>
          </w:tcPr>
          <w:p w:rsidR="009E02DD" w:rsidRPr="0038099D" w:rsidRDefault="001647E3" w:rsidP="001647E3">
            <w:pPr>
              <w:jc w:val="both"/>
            </w:pPr>
            <w:r>
              <w:t>Į pastabą neatsižvelgiama, nes kriterijus Nr. 9 buvo taikomas projektams, vertinamiems pagal priemonės N</w:t>
            </w:r>
            <w:r w:rsidRPr="001647E3">
              <w:t>R. 01.2.2-CPVA-K-703</w:t>
            </w:r>
            <w:r>
              <w:t xml:space="preserve"> projektų finansavimo sąlygų aprašą Nr. 1, pagal kurį buvo finansuoti inovacijų ir technologijų perdavimo centrų veiklos skatinimo projektai. Naujai veiklai taikomi prioritetiniai projektų atrankos kriterijai Nr. 10 – Nr. 15.</w:t>
            </w:r>
          </w:p>
        </w:tc>
      </w:tr>
      <w:tr w:rsidR="009E02DD" w:rsidRPr="00781CA4" w:rsidTr="00335D39">
        <w:tc>
          <w:tcPr>
            <w:tcW w:w="567" w:type="dxa"/>
          </w:tcPr>
          <w:p w:rsidR="009E02DD" w:rsidRPr="0038099D" w:rsidRDefault="009E02DD" w:rsidP="0036662A">
            <w:pPr>
              <w:pStyle w:val="Sraopastraipa"/>
              <w:numPr>
                <w:ilvl w:val="0"/>
                <w:numId w:val="1"/>
              </w:numPr>
              <w:jc w:val="both"/>
            </w:pPr>
          </w:p>
        </w:tc>
        <w:tc>
          <w:tcPr>
            <w:tcW w:w="1985" w:type="dxa"/>
            <w:vMerge/>
          </w:tcPr>
          <w:p w:rsidR="009E02DD" w:rsidRPr="0038099D" w:rsidRDefault="009E02DD" w:rsidP="00335D39"/>
        </w:tc>
        <w:tc>
          <w:tcPr>
            <w:tcW w:w="5386" w:type="dxa"/>
          </w:tcPr>
          <w:p w:rsidR="009E02DD" w:rsidRPr="001647E3" w:rsidRDefault="00E0262A" w:rsidP="009E02DD">
            <w:pPr>
              <w:rPr>
                <w:b/>
              </w:rPr>
            </w:pPr>
            <w:r>
              <w:rPr>
                <w:b/>
              </w:rPr>
              <w:t>Dėl kriterijaus Nr. 11</w:t>
            </w:r>
          </w:p>
          <w:p w:rsidR="009E02DD" w:rsidRPr="0038099D" w:rsidRDefault="009E02DD" w:rsidP="009E02DD">
            <w:pPr>
              <w:jc w:val="both"/>
            </w:pPr>
            <w:r>
              <w:t>•</w:t>
            </w:r>
            <w:r>
              <w:tab/>
              <w:t xml:space="preserve">Siūlome tikslinti personalo </w:t>
            </w:r>
            <w:proofErr w:type="spellStart"/>
            <w:r>
              <w:t>antreprenerystės</w:t>
            </w:r>
            <w:proofErr w:type="spellEnd"/>
            <w:r>
              <w:t xml:space="preserve"> veiklos pareiškėjo institucijoje laikotarpį ir nurodyti, kad </w:t>
            </w:r>
            <w:r w:rsidRPr="009F43EB">
              <w:t>darbo patirtis turėtų būti bent 6 mėn. iki projekto pateikimo dienos (pagrindžiama oficialiu institucijos raštu). „Dirbusio“ siūlome atsisakyti, nes gali būti,</w:t>
            </w:r>
            <w:r>
              <w:t xml:space="preserve"> kad tas asmuo nebedirba ir nebedirs pareiškėjo institucijoje, todėl jį/ją traukti į vertinimus būtų nekorektiška.</w:t>
            </w:r>
          </w:p>
        </w:tc>
        <w:tc>
          <w:tcPr>
            <w:tcW w:w="6804" w:type="dxa"/>
          </w:tcPr>
          <w:p w:rsidR="009E02DD" w:rsidRDefault="009F43EB" w:rsidP="009F43EB">
            <w:pPr>
              <w:jc w:val="both"/>
            </w:pPr>
            <w:r>
              <w:t>Apsižvelgta – kriterijaus vertinimo aspektai papildyti, nurodant: “</w:t>
            </w:r>
            <w:r w:rsidRPr="009F43EB">
              <w:t xml:space="preserve">Vertinant personalo patirtį, vertinama tik tų darbuotojų patirtis, kurie turi ne mažesnę kaip šešių mėnesių iki paraiškos pateikimo dienos </w:t>
            </w:r>
            <w:proofErr w:type="spellStart"/>
            <w:r w:rsidRPr="009F43EB">
              <w:t>antreprenerystės</w:t>
            </w:r>
            <w:proofErr w:type="spellEnd"/>
            <w:r w:rsidRPr="009F43EB">
              <w:t xml:space="preserve"> veiklos patirtį</w:t>
            </w:r>
            <w:r>
              <w:t>.“.</w:t>
            </w:r>
          </w:p>
          <w:p w:rsidR="009F43EB" w:rsidRPr="0038099D" w:rsidRDefault="009F43EB" w:rsidP="009F43EB">
            <w:pPr>
              <w:jc w:val="both"/>
            </w:pPr>
            <w:r>
              <w:t>Taip pat išbrauktas žodis „dirbusio, paliekant formuluotę: „</w:t>
            </w:r>
            <w:r w:rsidRPr="009F43EB">
              <w:t xml:space="preserve">Didesnis balų skaičius suteikiamas pareiškėjui, kurio projektą vykdantis personalas turi ilgesnę </w:t>
            </w:r>
            <w:proofErr w:type="spellStart"/>
            <w:r w:rsidRPr="009F43EB">
              <w:t>antreprenerystės</w:t>
            </w:r>
            <w:proofErr w:type="spellEnd"/>
            <w:r w:rsidRPr="009F43EB">
              <w:t xml:space="preserve"> veiklos pareiškėjo institucijoje patirtį ir kuris turi daug</w:t>
            </w:r>
            <w:r>
              <w:t>iau tokio personalo,</w:t>
            </w:r>
            <w:r w:rsidRPr="009F43EB">
              <w:t xml:space="preserve"> dirbančio ne mažiau kaip 0,5 etato</w:t>
            </w:r>
          </w:p>
        </w:tc>
      </w:tr>
      <w:tr w:rsidR="009E02DD" w:rsidRPr="00C70D14" w:rsidTr="00335D39">
        <w:tc>
          <w:tcPr>
            <w:tcW w:w="567" w:type="dxa"/>
          </w:tcPr>
          <w:p w:rsidR="009E02DD" w:rsidRPr="0038099D" w:rsidRDefault="009E02DD" w:rsidP="0036662A">
            <w:pPr>
              <w:pStyle w:val="Sraopastraipa"/>
              <w:numPr>
                <w:ilvl w:val="0"/>
                <w:numId w:val="1"/>
              </w:numPr>
              <w:jc w:val="both"/>
            </w:pPr>
          </w:p>
        </w:tc>
        <w:tc>
          <w:tcPr>
            <w:tcW w:w="1985" w:type="dxa"/>
            <w:vMerge/>
          </w:tcPr>
          <w:p w:rsidR="009E02DD" w:rsidRPr="00C70D14" w:rsidRDefault="009E02DD" w:rsidP="00335D39"/>
        </w:tc>
        <w:tc>
          <w:tcPr>
            <w:tcW w:w="5386" w:type="dxa"/>
          </w:tcPr>
          <w:p w:rsidR="009E02DD" w:rsidRPr="00CC78B0" w:rsidRDefault="00E0262A" w:rsidP="009E02DD">
            <w:pPr>
              <w:jc w:val="both"/>
              <w:rPr>
                <w:b/>
              </w:rPr>
            </w:pPr>
            <w:r>
              <w:rPr>
                <w:b/>
              </w:rPr>
              <w:t>Dėl kriterijaus Nr. 14</w:t>
            </w:r>
          </w:p>
          <w:p w:rsidR="009E02DD" w:rsidRPr="00CC78B0" w:rsidRDefault="009E02DD" w:rsidP="009E02DD">
            <w:pPr>
              <w:jc w:val="both"/>
            </w:pPr>
            <w:r w:rsidRPr="00CC78B0">
              <w:t>•</w:t>
            </w:r>
            <w:r w:rsidRPr="00CC78B0">
              <w:tab/>
              <w:t>Vertinti projektus pagal už MTEP užsakymus prognozuojamas gauti lėšas, tenkančias vienam tyrėjo visos darbo dienos ekvivalentui, būtų nekorektiška, nes tyrėjų visos darbo dienos ekvivalentas niekaip nebūtų susijęs su šiais projektais, nors ir turėtų stiprią įtaką matuojamam rodikliui. Pavyzdžiui, neaugant pajamoms iš MTEP užsakymų, o tyrėjų pilnos darbo dienos ekvivalento kiekiui mažėjant, matuojamas rodiklis išaugtų, nors šis augimas niekaip neatspindėtų pajamų pokyčio. Dėl šios priežasties, siūlome pagal šį kriterijų matuoti ne iš ūkio subjektų už MTEP ir meno užsakymus planuojamų gauti lėšų ir institucijos tyrėjų visos darbo dienos ekvivalentų santykį, o iš ūkio subjektų už MTEP ir meno užsakymus planuojamas gauti lėšas ar jų augimą.</w:t>
            </w:r>
          </w:p>
          <w:p w:rsidR="009E02DD" w:rsidRPr="00CC78B0" w:rsidRDefault="009E02DD" w:rsidP="009E02DD">
            <w:pPr>
              <w:jc w:val="both"/>
            </w:pPr>
            <w:r w:rsidRPr="00CC78B0">
              <w:t>•</w:t>
            </w:r>
            <w:r w:rsidRPr="00CC78B0">
              <w:tab/>
              <w:t xml:space="preserve">Atkreipiame dėmesį, kad galimai institucijų, turinčių daugiau tyrėjų, potencialas yra didesnis, bet norint tą potencialą panaudoti, reikia įdėti proporcingai daugiau darbo. Todėl čia svarbus ne tik tyrėjų skaičius, bet ir </w:t>
            </w:r>
            <w:proofErr w:type="spellStart"/>
            <w:r w:rsidRPr="00CC78B0">
              <w:t>komercializavimo</w:t>
            </w:r>
            <w:proofErr w:type="spellEnd"/>
            <w:r w:rsidRPr="00CC78B0">
              <w:t>/verslumo specialistų/vadybininkų skaičius, į kurį taip pat būtų prasminga atsižvelgti.</w:t>
            </w:r>
          </w:p>
        </w:tc>
        <w:tc>
          <w:tcPr>
            <w:tcW w:w="6804" w:type="dxa"/>
          </w:tcPr>
          <w:p w:rsidR="009E02DD" w:rsidRDefault="009F43EB" w:rsidP="00D05FBD">
            <w:pPr>
              <w:jc w:val="both"/>
            </w:pPr>
            <w:r>
              <w:t xml:space="preserve">Neatsižvelgta – kriterijus </w:t>
            </w:r>
            <w:r w:rsidR="00860D08">
              <w:t>suformuluotas</w:t>
            </w:r>
            <w:r>
              <w:t xml:space="preserve">, vadovaujantis </w:t>
            </w:r>
            <w:r w:rsidR="00D05FBD" w:rsidRPr="00D05FBD">
              <w:t>Kasmetinio universitetų ir mokslinių tyrimų institutų mokslinių tyrimų ir eksperimentinės plėtros ir m</w:t>
            </w:r>
            <w:r w:rsidR="00D05FBD">
              <w:t xml:space="preserve">eno veiklos vertinimo reglamentu, kuriame remiamasi </w:t>
            </w:r>
            <w:r w:rsidR="00296F21">
              <w:t>darbuotojų visos darbo dienos atitikmeniu</w:t>
            </w:r>
            <w:r w:rsidR="00D05FBD">
              <w:t>.</w:t>
            </w:r>
          </w:p>
          <w:p w:rsidR="00D05FBD" w:rsidRPr="00C70D14" w:rsidRDefault="008933F5" w:rsidP="00D05FBD">
            <w:pPr>
              <w:jc w:val="both"/>
            </w:pPr>
            <w:r>
              <w:t>Į paskutinį pasiūlymą</w:t>
            </w:r>
            <w:r w:rsidR="00D05FBD">
              <w:t xml:space="preserve"> – „</w:t>
            </w:r>
            <w:r w:rsidR="00D05FBD" w:rsidRPr="00D05FBD">
              <w:t xml:space="preserve">svarbus ne tik tyrėjų skaičius, bet ir </w:t>
            </w:r>
            <w:proofErr w:type="spellStart"/>
            <w:r w:rsidR="00D05FBD" w:rsidRPr="00D05FBD">
              <w:t>komercializavimo</w:t>
            </w:r>
            <w:proofErr w:type="spellEnd"/>
            <w:r w:rsidR="00D05FBD" w:rsidRPr="00D05FBD">
              <w:t>/verslumo specialistų/vadybininkų skaičius, į kurį taip</w:t>
            </w:r>
            <w:r w:rsidR="00D05FBD">
              <w:t xml:space="preserve"> pat būtų prasminga atsižvelgti, </w:t>
            </w:r>
            <w:r w:rsidRPr="008933F5">
              <w:t>–</w:t>
            </w:r>
            <w:r w:rsidR="00D05FBD">
              <w:t xml:space="preserve"> Ministerijos nuomone</w:t>
            </w:r>
            <w:r>
              <w:t>,</w:t>
            </w:r>
            <w:r w:rsidR="00D05FBD">
              <w:t xml:space="preserve"> yra </w:t>
            </w:r>
            <w:r>
              <w:t>atsižvelgiama, formuluojant projektų atrankos kriterijų Nr. 11, pagal kurį vertinama p</w:t>
            </w:r>
            <w:r w:rsidRPr="008933F5">
              <w:t xml:space="preserve">areiškėjo personalo patirtis </w:t>
            </w:r>
            <w:proofErr w:type="spellStart"/>
            <w:r w:rsidRPr="008933F5">
              <w:t>antreprenerystės</w:t>
            </w:r>
            <w:proofErr w:type="spellEnd"/>
            <w:r w:rsidRPr="008933F5">
              <w:t xml:space="preserve"> veikloje</w:t>
            </w:r>
            <w:r>
              <w:t>.</w:t>
            </w:r>
          </w:p>
        </w:tc>
      </w:tr>
      <w:tr w:rsidR="009E02DD" w:rsidRPr="00C70D14" w:rsidTr="00335D39">
        <w:tc>
          <w:tcPr>
            <w:tcW w:w="567" w:type="dxa"/>
          </w:tcPr>
          <w:p w:rsidR="009E02DD" w:rsidRPr="0038099D" w:rsidRDefault="009E02DD" w:rsidP="009E02DD">
            <w:pPr>
              <w:pStyle w:val="Sraopastraipa"/>
              <w:numPr>
                <w:ilvl w:val="0"/>
                <w:numId w:val="1"/>
              </w:numPr>
              <w:jc w:val="both"/>
            </w:pPr>
          </w:p>
        </w:tc>
        <w:tc>
          <w:tcPr>
            <w:tcW w:w="1985" w:type="dxa"/>
            <w:vMerge/>
          </w:tcPr>
          <w:p w:rsidR="009E02DD" w:rsidRPr="00C70D14" w:rsidRDefault="009E02DD" w:rsidP="009E02DD"/>
        </w:tc>
        <w:tc>
          <w:tcPr>
            <w:tcW w:w="5386" w:type="dxa"/>
          </w:tcPr>
          <w:p w:rsidR="009E02DD" w:rsidRPr="001647E3" w:rsidRDefault="009E02DD" w:rsidP="009E02DD">
            <w:pPr>
              <w:rPr>
                <w:b/>
              </w:rPr>
            </w:pPr>
            <w:r w:rsidRPr="001427D5">
              <w:rPr>
                <w:b/>
              </w:rPr>
              <w:t>Dėl kriterijaus Nr. 15</w:t>
            </w:r>
          </w:p>
          <w:p w:rsidR="009E02DD" w:rsidRDefault="009E02DD" w:rsidP="009E02DD">
            <w:pPr>
              <w:jc w:val="both"/>
            </w:pPr>
            <w:r>
              <w:t>•</w:t>
            </w:r>
            <w:r>
              <w:tab/>
              <w:t xml:space="preserve">Kriterijaus aprašyme trūksta „unikalaus užsakovo“ apibrėžimo. Dėl šio trūkumo, nėra aišku kokiais atvejais užsakovas laikomas unikaliu, ar yra taikomas senaties terminas, ar užsakovas tampa unikaliu, jei pasikeičia jo pavadinimas ar nuosavybės </w:t>
            </w:r>
            <w:r w:rsidRPr="00CC78B0">
              <w:t>struktūra, ir pan. Be to, užsakovo unikalumą įrodyti būtų pakankamai sudėtinga. Siūlytume arba tiksliau apibrėžti „unikalius užsakovus“ arba tiesiog skaičiuoti MTEP užsakymus iš išorės partnerių.</w:t>
            </w:r>
          </w:p>
          <w:p w:rsidR="009E02DD" w:rsidRPr="00CC78B0" w:rsidRDefault="009E02DD" w:rsidP="009E02DD">
            <w:pPr>
              <w:jc w:val="both"/>
            </w:pPr>
            <w:r>
              <w:lastRenderedPageBreak/>
              <w:t>•</w:t>
            </w:r>
            <w:r>
              <w:tab/>
              <w:t xml:space="preserve">Kriterijuje išskiriami užsienio užsakovai, tačiau vietiniai užsakovai kriterijuje nevertinami. Tokiu atveju, pagal šį kriterijų nublanksta ilgametė ir nauja partnerystė su užsakovais, su kuriais sudaryta daugiau negu viena (ir pirmoji) MTEP užsakymo sutartis. Tokios partnerystės stiprėjimas šiame rodiklyje niekaip neatsispindėtų, nepaisant to, kad tai gali būti </w:t>
            </w:r>
            <w:r w:rsidRPr="00CC78B0">
              <w:t xml:space="preserve">tiesioginis </w:t>
            </w:r>
            <w:proofErr w:type="spellStart"/>
            <w:r w:rsidRPr="00CC78B0">
              <w:t>antreprenerystės</w:t>
            </w:r>
            <w:proofErr w:type="spellEnd"/>
            <w:r w:rsidRPr="00CC78B0">
              <w:t xml:space="preserve"> skatinimo rezultatas. Siūlytume vertinti ir partnerystes su Lietuvoje veikiančiomis lietuviško kapitalo įmonėmis. </w:t>
            </w:r>
          </w:p>
          <w:p w:rsidR="009E02DD" w:rsidRPr="00C70D14" w:rsidRDefault="009E02DD" w:rsidP="009E02DD">
            <w:pPr>
              <w:jc w:val="both"/>
            </w:pPr>
            <w:r w:rsidRPr="00CC78B0">
              <w:t>•</w:t>
            </w:r>
            <w:r w:rsidRPr="00CC78B0">
              <w:tab/>
              <w:t>„Užsienio užsakovų“ atžvilgiu, nėra aišku, kaip būtų vertinamos užsienio kapitalo įmonės, įsteigusios Lietuvoje dukterines kompanijas (pavyzdžiui, UAB „</w:t>
            </w:r>
            <w:proofErr w:type="spellStart"/>
            <w:r w:rsidRPr="00CC78B0">
              <w:t>Thermo</w:t>
            </w:r>
            <w:proofErr w:type="spellEnd"/>
            <w:r w:rsidRPr="00CC78B0">
              <w:t xml:space="preserve"> </w:t>
            </w:r>
            <w:proofErr w:type="spellStart"/>
            <w:r w:rsidRPr="00CC78B0">
              <w:t>Fisher</w:t>
            </w:r>
            <w:proofErr w:type="spellEnd"/>
            <w:r w:rsidRPr="00CC78B0">
              <w:t xml:space="preserve"> </w:t>
            </w:r>
            <w:proofErr w:type="spellStart"/>
            <w:r w:rsidRPr="00CC78B0">
              <w:t>Scientific</w:t>
            </w:r>
            <w:proofErr w:type="spellEnd"/>
            <w:r w:rsidRPr="00CC78B0">
              <w:t xml:space="preserve"> </w:t>
            </w:r>
            <w:proofErr w:type="spellStart"/>
            <w:r w:rsidRPr="00CC78B0">
              <w:t>Baltics</w:t>
            </w:r>
            <w:proofErr w:type="spellEnd"/>
            <w:r w:rsidRPr="00CC78B0">
              <w:t xml:space="preserve">“, UAB „Continental </w:t>
            </w:r>
            <w:proofErr w:type="spellStart"/>
            <w:r w:rsidRPr="00CC78B0">
              <w:t>Automotive</w:t>
            </w:r>
            <w:proofErr w:type="spellEnd"/>
            <w:r w:rsidRPr="00CC78B0">
              <w:t xml:space="preserve"> Lithuania“ arba UAB „</w:t>
            </w:r>
            <w:proofErr w:type="spellStart"/>
            <w:r w:rsidRPr="00CC78B0">
              <w:t>Philip</w:t>
            </w:r>
            <w:proofErr w:type="spellEnd"/>
            <w:r w:rsidRPr="00CC78B0">
              <w:t xml:space="preserve"> </w:t>
            </w:r>
            <w:proofErr w:type="spellStart"/>
            <w:r w:rsidRPr="00CC78B0">
              <w:t>Morris</w:t>
            </w:r>
            <w:proofErr w:type="spellEnd"/>
            <w:r w:rsidRPr="00CC78B0">
              <w:t xml:space="preserve"> Lietuva“) – ar tokių įmonių užsakymai MTEP paslaugoms būtų traktuojamos kaip vietinių ar užsienio užsakovų. Tai svarbu, ypatingai jau kelerius metus vyraujančiai tendencijai pritraukti kuo daugiau užsienio investuotojų vykdyti veiklą Lietuvoje, kas sėkmingai vyksta. Tad siūlytume tikslinti 15 kriterijaus pavadinimą taip: „</w:t>
            </w:r>
            <w:r w:rsidRPr="00CC78B0">
              <w:rPr>
                <w:b/>
              </w:rPr>
              <w:t xml:space="preserve">15. Planuojamas unikalių </w:t>
            </w:r>
            <w:r w:rsidRPr="00CC78B0">
              <w:rPr>
                <w:b/>
                <w:strike/>
              </w:rPr>
              <w:t>išorės</w:t>
            </w:r>
            <w:r w:rsidRPr="00CC78B0">
              <w:rPr>
                <w:b/>
              </w:rPr>
              <w:t xml:space="preserve"> </w:t>
            </w:r>
            <w:r w:rsidRPr="00CC78B0">
              <w:rPr>
                <w:b/>
                <w:u w:val="single"/>
              </w:rPr>
              <w:t>užsienio ir lietuviško kapitalo užsakovų</w:t>
            </w:r>
            <w:r w:rsidRPr="00CC78B0">
              <w:rPr>
                <w:b/>
              </w:rPr>
              <w:t xml:space="preserve"> MTEP ir meno užsakymams skaičiaus padidėjimas įgyvendinus projektą.</w:t>
            </w:r>
            <w:r w:rsidRPr="00CC78B0">
              <w:t>“ atitinkamai tikslinant kriterijaus aprašymą.</w:t>
            </w:r>
          </w:p>
        </w:tc>
        <w:tc>
          <w:tcPr>
            <w:tcW w:w="6804" w:type="dxa"/>
          </w:tcPr>
          <w:p w:rsidR="009E02DD" w:rsidRDefault="00860D08" w:rsidP="00860D08">
            <w:pPr>
              <w:jc w:val="both"/>
            </w:pPr>
            <w:r>
              <w:lastRenderedPageBreak/>
              <w:t>Dėl unikalių u</w:t>
            </w:r>
            <w:r w:rsidR="00296F21">
              <w:t xml:space="preserve">žsienio užsakovų apibrėžimo – atsižvelgta </w:t>
            </w:r>
            <w:r w:rsidR="00296F21" w:rsidRPr="00296F21">
              <w:t>–</w:t>
            </w:r>
            <w:r>
              <w:t xml:space="preserve">atsižvelgiant į </w:t>
            </w:r>
            <w:r w:rsidRPr="00860D08">
              <w:t>Duomenų apie universitetų ir mokslinių tyrimų institutų mokslinių tyrimų ir eksperimentinės plėtro</w:t>
            </w:r>
            <w:r>
              <w:t xml:space="preserve">s ir meno veiklą pateikimo formą, </w:t>
            </w:r>
            <w:r w:rsidR="00296F21">
              <w:t xml:space="preserve">patikslintas </w:t>
            </w:r>
            <w:r w:rsidR="003226E0">
              <w:t xml:space="preserve">kriterijus </w:t>
            </w:r>
            <w:r w:rsidR="00296F21">
              <w:t>nurodant</w:t>
            </w:r>
            <w:r w:rsidR="003226E0">
              <w:t>,</w:t>
            </w:r>
            <w:r w:rsidR="00296F21">
              <w:t xml:space="preserve"> </w:t>
            </w:r>
            <w:r>
              <w:t xml:space="preserve">kurioje turi būti nurodomas </w:t>
            </w:r>
            <w:r w:rsidRPr="00860D08">
              <w:t xml:space="preserve">unikalių išorės </w:t>
            </w:r>
            <w:r w:rsidRPr="00CC78B0">
              <w:t>vartotojų</w:t>
            </w:r>
            <w:r w:rsidRPr="00860D08">
              <w:t xml:space="preserve"> (institucijų, viešojo ir privataus sektorių subjektų) skaičius</w:t>
            </w:r>
            <w:r w:rsidR="00CC78B0">
              <w:t>, patikslintas taip: „</w:t>
            </w:r>
            <w:r w:rsidR="00CC78B0" w:rsidRPr="00CC78B0">
              <w:t xml:space="preserve">Planuojamas </w:t>
            </w:r>
            <w:r w:rsidR="00CC78B0" w:rsidRPr="00CC78B0">
              <w:rPr>
                <w:b/>
              </w:rPr>
              <w:t>unikalių išorės vartotojų</w:t>
            </w:r>
            <w:r w:rsidR="00CC78B0" w:rsidRPr="00CC78B0">
              <w:t xml:space="preserve"> MTEP ir meno užsakymams skaičiaus padidėjimas (vnt.) įgyvendinus projektą</w:t>
            </w:r>
            <w:r w:rsidR="00CC78B0">
              <w:t>.“</w:t>
            </w:r>
            <w:r w:rsidR="00CC78B0" w:rsidRPr="00CC78B0">
              <w:t>.</w:t>
            </w:r>
          </w:p>
          <w:p w:rsidR="00A048F9" w:rsidRDefault="00A048F9" w:rsidP="009E02DD"/>
          <w:p w:rsidR="00860D08" w:rsidRDefault="00860D08" w:rsidP="00860D08">
            <w:pPr>
              <w:jc w:val="both"/>
            </w:pPr>
            <w:r>
              <w:lastRenderedPageBreak/>
              <w:t>Dėl partnerysčių</w:t>
            </w:r>
            <w:r w:rsidRPr="00860D08">
              <w:t xml:space="preserve"> su Lietuvoje veikiančiomis lietuviško kapitalo įmonėmis</w:t>
            </w:r>
            <w:r>
              <w:t xml:space="preserve"> – neatsižvelgta, nes pagal projektų atrankos vertinimo aspektus papildomi balai suteikiami ir už unikalius vietinius </w:t>
            </w:r>
            <w:r w:rsidR="003226E0">
              <w:t xml:space="preserve"> vartotojus MTEP ir meno užsakymams</w:t>
            </w:r>
            <w:r>
              <w:t xml:space="preserve">, numatant papildomų balų </w:t>
            </w:r>
            <w:r w:rsidR="003226E0">
              <w:t xml:space="preserve">pareiškėjui </w:t>
            </w:r>
            <w:r>
              <w:t xml:space="preserve">suteikti už tai, jei tarp šių </w:t>
            </w:r>
            <w:r w:rsidR="003226E0">
              <w:t xml:space="preserve">vartotojų bus </w:t>
            </w:r>
            <w:r>
              <w:t xml:space="preserve">ir </w:t>
            </w:r>
            <w:r w:rsidR="003226E0">
              <w:t xml:space="preserve">vartotojų </w:t>
            </w:r>
            <w:r>
              <w:t>iš užsienio.</w:t>
            </w:r>
          </w:p>
          <w:p w:rsidR="00A048F9" w:rsidRPr="00C70D14" w:rsidRDefault="00860D08" w:rsidP="003226E0">
            <w:pPr>
              <w:jc w:val="both"/>
            </w:pPr>
            <w:r>
              <w:t xml:space="preserve">Kadangi vertinami visi unikalūs </w:t>
            </w:r>
            <w:r w:rsidR="003226E0">
              <w:t>vartotojai MTEP ir meno užsakymams</w:t>
            </w:r>
            <w:r>
              <w:t>, papildomai išskiri lietuviško ir/ar užsienio</w:t>
            </w:r>
            <w:r w:rsidR="00302056">
              <w:t xml:space="preserve"> kapitalo įmonių netenka prasmės. Be to, šiuo kriterijumi siekiama paskatinti bendradarbiauti ne tik su įmonėmis, bet ir kitais aukščiau nurodytais subjektais.</w:t>
            </w:r>
          </w:p>
        </w:tc>
      </w:tr>
      <w:tr w:rsidR="009E02DD" w:rsidRPr="00C70D14" w:rsidTr="00335D39">
        <w:tc>
          <w:tcPr>
            <w:tcW w:w="567" w:type="dxa"/>
          </w:tcPr>
          <w:p w:rsidR="009E02DD" w:rsidRPr="0038099D" w:rsidRDefault="009E02DD" w:rsidP="009E02DD">
            <w:pPr>
              <w:pStyle w:val="Sraopastraipa"/>
              <w:numPr>
                <w:ilvl w:val="0"/>
                <w:numId w:val="1"/>
              </w:numPr>
              <w:jc w:val="both"/>
            </w:pPr>
          </w:p>
        </w:tc>
        <w:tc>
          <w:tcPr>
            <w:tcW w:w="1985" w:type="dxa"/>
            <w:vMerge/>
          </w:tcPr>
          <w:p w:rsidR="009E02DD" w:rsidRPr="00C70D14" w:rsidRDefault="009E02DD" w:rsidP="009E02DD"/>
        </w:tc>
        <w:tc>
          <w:tcPr>
            <w:tcW w:w="5386" w:type="dxa"/>
          </w:tcPr>
          <w:p w:rsidR="009E02DD" w:rsidRPr="001647E3" w:rsidRDefault="009E02DD" w:rsidP="009E02DD">
            <w:pPr>
              <w:rPr>
                <w:b/>
              </w:rPr>
            </w:pPr>
            <w:r w:rsidRPr="001647E3">
              <w:rPr>
                <w:b/>
              </w:rPr>
              <w:t>Kitos pastabos</w:t>
            </w:r>
          </w:p>
          <w:p w:rsidR="009E02DD" w:rsidRPr="00C70D14" w:rsidRDefault="009E02DD" w:rsidP="009E02DD">
            <w:pPr>
              <w:jc w:val="both"/>
            </w:pPr>
            <w:r>
              <w:t>•</w:t>
            </w:r>
            <w:r>
              <w:tab/>
            </w:r>
            <w:r w:rsidRPr="00A048F9">
              <w:t>Jei 14 p. nurodytas kriterijus nebus koreguojamas, tyrėjo rodiklį siūlytume keisti į mokslininko, n</w:t>
            </w:r>
            <w:r>
              <w:t xml:space="preserve">es tyrėjai be daktaro laipsnio dažnu atveju yra pagalbinis personalas, o būtent mokslininkai su daktaro laipsniu generuoja didžiąją </w:t>
            </w:r>
            <w:r>
              <w:lastRenderedPageBreak/>
              <w:t>veiklų dalį institucijoje. Todėl 14 kriterijaus atveju siūlome skaičiuoti ne tyrėjus, o mokslininkus.</w:t>
            </w:r>
          </w:p>
        </w:tc>
        <w:tc>
          <w:tcPr>
            <w:tcW w:w="6804" w:type="dxa"/>
          </w:tcPr>
          <w:p w:rsidR="009E02DD" w:rsidRPr="00C70D14" w:rsidRDefault="00A048F9" w:rsidP="00A048F9">
            <w:pPr>
              <w:jc w:val="both"/>
            </w:pPr>
            <w:r>
              <w:lastRenderedPageBreak/>
              <w:t>Atsižvelgta – kriterijus patikslintas, nurodant</w:t>
            </w:r>
            <w:r w:rsidR="003226E0">
              <w:t>, kad</w:t>
            </w:r>
            <w:r>
              <w:t>: „</w:t>
            </w:r>
            <w:r w:rsidRPr="00A048F9">
              <w:t>Analizuojami rodikliai paskaičiuoti institucijos mokslininko</w:t>
            </w:r>
            <w:r w:rsidR="00CC78B0">
              <w:t xml:space="preserve"> visos darbo dienos atitikmeniui</w:t>
            </w:r>
            <w:r w:rsidRPr="00A048F9">
              <w:t>.</w:t>
            </w:r>
            <w:r>
              <w:t>“.</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Default="00302056" w:rsidP="009E02DD">
            <w:r>
              <w:t>Vytauto Didžiojo universitetas</w:t>
            </w:r>
          </w:p>
          <w:p w:rsidR="003902F7" w:rsidRPr="00C70D14" w:rsidRDefault="003902F7" w:rsidP="009E02DD">
            <w:r>
              <w:t>(pateikta 2019-12-09, pas</w:t>
            </w:r>
            <w:r w:rsidR="0009628D">
              <w:t>i</w:t>
            </w:r>
            <w:r>
              <w:t>baigus pastabų teikimo laikui)</w:t>
            </w:r>
          </w:p>
        </w:tc>
        <w:tc>
          <w:tcPr>
            <w:tcW w:w="5386" w:type="dxa"/>
          </w:tcPr>
          <w:p w:rsidR="00302056" w:rsidRDefault="00302056" w:rsidP="009E02DD">
            <w:pPr>
              <w:rPr>
                <w:b/>
              </w:rPr>
            </w:pPr>
            <w:r>
              <w:rPr>
                <w:b/>
              </w:rPr>
              <w:t>Dėl kriterijaus Nr. 10</w:t>
            </w:r>
          </w:p>
          <w:p w:rsidR="003902F7" w:rsidRPr="003902F7" w:rsidRDefault="00CC78B0" w:rsidP="003902F7">
            <w:pPr>
              <w:jc w:val="both"/>
            </w:pPr>
            <w:r>
              <w:t>Siūlome šį</w:t>
            </w:r>
            <w:r w:rsidR="003902F7">
              <w:t xml:space="preserve"> punktą</w:t>
            </w:r>
            <w:r w:rsidR="003902F7" w:rsidRPr="003902F7">
              <w:t xml:space="preserve"> papildyti: „Prioritetas teik</w:t>
            </w:r>
            <w:r>
              <w:t>iamas projektams, kurių</w:t>
            </w:r>
            <w:r w:rsidR="003902F7">
              <w:t xml:space="preserve"> pareiškėjas yra įsteigę</w:t>
            </w:r>
            <w:r w:rsidR="003902F7" w:rsidRPr="003902F7">
              <w:t xml:space="preserve">s vidinius specializuotus </w:t>
            </w:r>
            <w:r w:rsidR="003902F7">
              <w:t>padalinius mokslo vadybos, žinių ir technol</w:t>
            </w:r>
            <w:r>
              <w:t>ogijų perdavimo ir MTEP paslaugų</w:t>
            </w:r>
            <w:r w:rsidR="003902F7">
              <w:t xml:space="preserve"> plė</w:t>
            </w:r>
            <w:r w:rsidR="003902F7" w:rsidRPr="003902F7">
              <w:t>tr</w:t>
            </w:r>
            <w:r w:rsidR="003902F7">
              <w:t>os funkcijoms vykdyti, bet ne vė</w:t>
            </w:r>
            <w:r w:rsidR="003902F7" w:rsidRPr="003902F7">
              <w:t>liau kaip 1 metai iki paraiškos teikimo datos</w:t>
            </w:r>
            <w:r w:rsidR="003902F7">
              <w:t>.</w:t>
            </w:r>
          </w:p>
        </w:tc>
        <w:tc>
          <w:tcPr>
            <w:tcW w:w="6804" w:type="dxa"/>
          </w:tcPr>
          <w:p w:rsidR="003226E0" w:rsidRDefault="00E4515A" w:rsidP="00A048F9">
            <w:pPr>
              <w:jc w:val="both"/>
            </w:pPr>
            <w:r>
              <w:t>Iš dalies atsižvelgta</w:t>
            </w:r>
            <w:r w:rsidR="003902F7" w:rsidRPr="003902F7">
              <w:t xml:space="preserve"> – kriterijaus </w:t>
            </w:r>
            <w:r w:rsidR="003902F7">
              <w:t xml:space="preserve">Nr. 11 </w:t>
            </w:r>
            <w:r w:rsidR="003902F7" w:rsidRPr="003902F7">
              <w:t xml:space="preserve">vertinimo aspektai papildyti, nurodant: “Vertinant personalo patirtį, vertinama tik tų darbuotojų patirtis, kurie turi ne mažesnę kaip šešių mėnesių iki paraiškos pateikimo dienos </w:t>
            </w:r>
            <w:proofErr w:type="spellStart"/>
            <w:r w:rsidR="003902F7" w:rsidRPr="003902F7">
              <w:t>antreprenerystės</w:t>
            </w:r>
            <w:proofErr w:type="spellEnd"/>
            <w:r w:rsidR="003902F7" w:rsidRPr="003902F7">
              <w:t xml:space="preserve"> veiklos patirtį.“.</w:t>
            </w:r>
            <w:r w:rsidR="003902F7">
              <w:t xml:space="preserve"> </w:t>
            </w:r>
          </w:p>
          <w:p w:rsidR="00302056" w:rsidRDefault="003902F7" w:rsidP="008425EB">
            <w:pPr>
              <w:jc w:val="both"/>
            </w:pPr>
            <w:r>
              <w:t xml:space="preserve">Kriterijus Nr. 10 pagal nurodytą pasiūlymą nėra tikslinamas, nes jis skirtas tik įvertinti, ar egzistuoja </w:t>
            </w:r>
            <w:r w:rsidRPr="003902F7">
              <w:t xml:space="preserve">MTEP rezultatų </w:t>
            </w:r>
            <w:proofErr w:type="spellStart"/>
            <w:r w:rsidRPr="003902F7">
              <w:t>komercinimo</w:t>
            </w:r>
            <w:proofErr w:type="spellEnd"/>
            <w:r w:rsidRPr="003902F7">
              <w:t xml:space="preserve"> ir (ar) žinių ir technologijų perdavimo organizacinę struktūrą</w:t>
            </w:r>
            <w:r>
              <w:t xml:space="preserve">, o jo </w:t>
            </w:r>
            <w:r w:rsidR="003226E0">
              <w:t>su</w:t>
            </w:r>
            <w:r>
              <w:t xml:space="preserve">siejimas su konkrečiu laikotarpiu tik padidintų administracinę vertinimo naštą. Ministerijos nuomone, konkretus laikotarpis yra svarbus vertinant ne visos struktūros, o projektą vykdysiančio personalo patirtį, kas ir nustatyta </w:t>
            </w:r>
            <w:r w:rsidR="008425EB">
              <w:t xml:space="preserve">kriterijui </w:t>
            </w:r>
            <w:r>
              <w:t>Nr. 11.</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Pr="00C70D14" w:rsidRDefault="00302056" w:rsidP="009E02DD"/>
        </w:tc>
        <w:tc>
          <w:tcPr>
            <w:tcW w:w="5386" w:type="dxa"/>
          </w:tcPr>
          <w:p w:rsidR="00302056" w:rsidRDefault="00302056" w:rsidP="009E02DD">
            <w:pPr>
              <w:rPr>
                <w:b/>
              </w:rPr>
            </w:pPr>
            <w:r>
              <w:rPr>
                <w:b/>
              </w:rPr>
              <w:t>Dėl kriterijaus Nr. 11</w:t>
            </w:r>
          </w:p>
          <w:p w:rsidR="003902F7" w:rsidRPr="003902F7" w:rsidRDefault="003902F7" w:rsidP="003902F7">
            <w:pPr>
              <w:jc w:val="both"/>
            </w:pPr>
            <w:r w:rsidRPr="003902F7">
              <w:t>Paaiškinime pateikta: „P</w:t>
            </w:r>
            <w:r>
              <w:t>atirtis vertinama pagal pareiškė</w:t>
            </w:r>
            <w:r w:rsidRPr="003902F7">
              <w:t>jo pateiktus MTEP rez</w:t>
            </w:r>
            <w:r>
              <w:t xml:space="preserve">ultatu </w:t>
            </w:r>
            <w:proofErr w:type="spellStart"/>
            <w:r>
              <w:t>komercinimo</w:t>
            </w:r>
            <w:proofErr w:type="spellEnd"/>
            <w:r>
              <w:t xml:space="preserve"> ir (ar) žinių ir technologijų perdavimo funkcijas atliekančių</w:t>
            </w:r>
            <w:r w:rsidRPr="003902F7">
              <w:t xml:space="preserve"> dar</w:t>
            </w:r>
            <w:r w:rsidR="00CC78B0">
              <w:t>buotojų patirtį</w:t>
            </w:r>
            <w:r>
              <w:t xml:space="preserve"> įrodanč</w:t>
            </w:r>
            <w:r w:rsidRPr="003902F7">
              <w:t>ius do</w:t>
            </w:r>
            <w:r>
              <w:t>kumentus (atstovaujamos pareiškė</w:t>
            </w:r>
            <w:r w:rsidRPr="003902F7">
              <w:t xml:space="preserve">jo institucijos darbuotoju CV, </w:t>
            </w:r>
            <w:r>
              <w:t>darbo sutartys arba atitinkami įdarbinimo dokumentai, pareigybės aprašymai, pritrūkus duomenų</w:t>
            </w:r>
            <w:r w:rsidRPr="003902F7">
              <w:t xml:space="preserve"> — kiti do</w:t>
            </w:r>
            <w:r>
              <w:t>kumentai, pagal kuriuos galima įvertinti darbuotojų patirtį</w:t>
            </w:r>
            <w:r w:rsidRPr="003902F7">
              <w:t xml:space="preserve"> i</w:t>
            </w:r>
            <w:r>
              <w:t>r jos trukmę, skirtą</w:t>
            </w:r>
            <w:r w:rsidRPr="003902F7">
              <w:t xml:space="preserve"> reprezentuoti, </w:t>
            </w:r>
            <w:proofErr w:type="spellStart"/>
            <w:r w:rsidRPr="003902F7">
              <w:t>komercinti</w:t>
            </w:r>
            <w:proofErr w:type="spellEnd"/>
            <w:r w:rsidRPr="003902F7">
              <w:t xml:space="preserve"> MTEP rezultatus)."</w:t>
            </w:r>
          </w:p>
          <w:p w:rsidR="003902F7" w:rsidRPr="001647E3" w:rsidRDefault="00E4515A" w:rsidP="003902F7">
            <w:pPr>
              <w:jc w:val="both"/>
              <w:rPr>
                <w:b/>
              </w:rPr>
            </w:pPr>
            <w:r>
              <w:t>Siūlome įtraukti galimybę vietoje darbo sutarčių</w:t>
            </w:r>
            <w:r w:rsidR="003902F7" w:rsidRPr="003902F7">
              <w:t xml:space="preserve"> pateikti darbdavio išduotas pažymas su atitinkama informacija.</w:t>
            </w:r>
          </w:p>
        </w:tc>
        <w:tc>
          <w:tcPr>
            <w:tcW w:w="6804" w:type="dxa"/>
          </w:tcPr>
          <w:p w:rsidR="00302056" w:rsidRDefault="00E4515A" w:rsidP="00A048F9">
            <w:pPr>
              <w:jc w:val="both"/>
            </w:pPr>
            <w:r>
              <w:t>Neatsižvel</w:t>
            </w:r>
            <w:r w:rsidR="00876DBD">
              <w:t xml:space="preserve">gta – Ministerijos nuomone, </w:t>
            </w:r>
            <w:r>
              <w:t>pakanka kriterijaus vertinimo aspektuose nurodytos nuostatos</w:t>
            </w:r>
            <w:r w:rsidR="008425EB">
              <w:t>:</w:t>
            </w:r>
            <w:r>
              <w:t xml:space="preserve"> „</w:t>
            </w:r>
            <w:r w:rsidRPr="00E4515A">
              <w:t xml:space="preserve">pritrūkus duomenų - kiti dokumentai, pagal kuriuos galima įvertinti darbuotojų patirtį ir jos trukmę, skirtą reprezentuoti, </w:t>
            </w:r>
            <w:proofErr w:type="spellStart"/>
            <w:r w:rsidRPr="00E4515A">
              <w:t>komercinti</w:t>
            </w:r>
            <w:proofErr w:type="spellEnd"/>
            <w:r w:rsidRPr="00E4515A">
              <w:t xml:space="preserve"> MTEP rezultatus</w:t>
            </w:r>
            <w:r>
              <w:t xml:space="preserve">“, </w:t>
            </w:r>
            <w:r w:rsidR="00876DBD">
              <w:t xml:space="preserve">pagal kurią ir galima būtų įvertinti </w:t>
            </w:r>
            <w:r w:rsidR="00876DBD" w:rsidRPr="00876DBD">
              <w:t>darbdavio išduotas pažymas</w:t>
            </w:r>
            <w:r w:rsidR="00876DBD">
              <w:t>, jei trūktų kituose dokumentuose nurodomų duomenų.</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Pr="00C70D14" w:rsidRDefault="00302056" w:rsidP="009E02DD"/>
        </w:tc>
        <w:tc>
          <w:tcPr>
            <w:tcW w:w="5386" w:type="dxa"/>
          </w:tcPr>
          <w:p w:rsidR="00302056" w:rsidRDefault="00302056" w:rsidP="009E02DD">
            <w:pPr>
              <w:rPr>
                <w:b/>
              </w:rPr>
            </w:pPr>
            <w:r>
              <w:rPr>
                <w:b/>
              </w:rPr>
              <w:t>Dėl kriterijaus Nr. 14</w:t>
            </w:r>
          </w:p>
          <w:p w:rsidR="00876DBD" w:rsidRPr="00876DBD" w:rsidRDefault="00876DBD" w:rsidP="00876DBD">
            <w:pPr>
              <w:jc w:val="both"/>
            </w:pPr>
            <w:r w:rsidRPr="00876DBD">
              <w:t>Paaiškinime nuro</w:t>
            </w:r>
            <w:r>
              <w:t>doma, jog bus vertinama pareiškėjo pateikta pagrista analizė dėl prognozuojamų ūkio subjektų užsakymų ir jų finansinės vertės treč</w:t>
            </w:r>
            <w:r w:rsidRPr="00876DBD">
              <w:t>iaisiais finansi</w:t>
            </w:r>
            <w:r>
              <w:t>niais metais po projekto veiklų į</w:t>
            </w:r>
            <w:r w:rsidRPr="00876DBD">
              <w:t xml:space="preserve">gyvendinimo pabaigos. Iš nurodyto paaiškinimo lieka neaišku, su </w:t>
            </w:r>
            <w:r w:rsidRPr="00876DBD">
              <w:lastRenderedPageBreak/>
              <w:t>kokio laikotarpio ir kokia finansine verte bus lyginami tretieji metai.</w:t>
            </w:r>
          </w:p>
        </w:tc>
        <w:tc>
          <w:tcPr>
            <w:tcW w:w="6804" w:type="dxa"/>
          </w:tcPr>
          <w:p w:rsidR="00302056" w:rsidRDefault="00755C21" w:rsidP="00A048F9">
            <w:pPr>
              <w:jc w:val="both"/>
            </w:pPr>
            <w:r>
              <w:lastRenderedPageBreak/>
              <w:t>Duomenys nebus lyginami, o bus vertinam</w:t>
            </w:r>
            <w:r w:rsidR="008425EB">
              <w:t>a</w:t>
            </w:r>
            <w:r>
              <w:t xml:space="preserve"> pareiškėjo pateikiama prognozė </w:t>
            </w:r>
            <w:r w:rsidRPr="00755C21">
              <w:t>trečiaisiais finansiniais metais po projekto veiklų įgyvendinimo pabaigos</w:t>
            </w:r>
            <w:r w:rsidR="00CC78B0">
              <w:t xml:space="preserve"> (nurodytų metų l</w:t>
            </w:r>
            <w:r w:rsidR="008425EB">
              <w:t>ė</w:t>
            </w:r>
            <w:r w:rsidR="00CC78B0">
              <w:t>šos</w:t>
            </w:r>
            <w:r w:rsidR="00397073">
              <w:t>)</w:t>
            </w:r>
            <w:r>
              <w:t>. Atkreipiame dėmesį, kad šio kriterijaus vertinimo aspekt</w:t>
            </w:r>
            <w:r w:rsidR="00CC78B0">
              <w:t>ai</w:t>
            </w:r>
            <w:r>
              <w:t xml:space="preserve"> </w:t>
            </w:r>
            <w:r w:rsidR="00397073">
              <w:t>patikslinti taip:</w:t>
            </w:r>
          </w:p>
          <w:p w:rsidR="00CC78B0" w:rsidRDefault="00CC78B0" w:rsidP="00CC78B0">
            <w:pPr>
              <w:jc w:val="both"/>
            </w:pPr>
            <w:r>
              <w:t>„Vertinama pareiškėjo pateikta pagrįsta analizė dėl prognozuojamų gauti lėšų iš ūkio subjektų užsakymų trečiaisiais finansiniais metais po projekto veiklų įgyvendinimo pabaigos.</w:t>
            </w:r>
          </w:p>
          <w:p w:rsidR="00CC78B0" w:rsidRDefault="00CC78B0" w:rsidP="00CC78B0">
            <w:pPr>
              <w:jc w:val="both"/>
            </w:pPr>
            <w:r>
              <w:lastRenderedPageBreak/>
              <w:t>Vadovaujantis Lietuvos Respublikos valstybės biudžeto lėšų moksliniams tyrimams, eksperimentinei plėtrai ir meno veiklai plėtoti skyrimo mokslo ir studijų institucijoms tvarkos aprašu, užsakymų lėšos apima pareiškėjo lėšas, planuojamas gauti:</w:t>
            </w:r>
          </w:p>
          <w:p w:rsidR="00CC78B0" w:rsidRDefault="00CC78B0" w:rsidP="00CC78B0">
            <w:pPr>
              <w:jc w:val="both"/>
            </w:pPr>
            <w:r>
              <w:t>1) per patentų (ar patentų paraiškų) licencines sutartis;</w:t>
            </w:r>
          </w:p>
          <w:p w:rsidR="00CC78B0" w:rsidRDefault="00CC78B0" w:rsidP="00CC78B0">
            <w:pPr>
              <w:jc w:val="both"/>
            </w:pPr>
            <w:r>
              <w:t>2) už ūkio subjektų meno užsakymų vykdymą;</w:t>
            </w:r>
          </w:p>
          <w:p w:rsidR="00CC78B0" w:rsidRDefault="00CC78B0" w:rsidP="00CC78B0">
            <w:pPr>
              <w:jc w:val="both"/>
            </w:pPr>
            <w:r>
              <w:t>3) už ūkio subjektų MTEP užsakymų vykdymą.</w:t>
            </w:r>
          </w:p>
          <w:p w:rsidR="00397073" w:rsidRDefault="00CC78B0" w:rsidP="00CC78B0">
            <w:pPr>
              <w:jc w:val="both"/>
            </w:pPr>
            <w:r>
              <w:t>Didesnis prioritetinis balas suteikiamas tiems projektams, kuriuose pareiškėjas, įgyvendinęs projekto veiklas, įsipareigoja užtikrinti didesnę lėšų, planuojamų gauti iš ūkio subjektų, apimtį. Analizuojami rodikliai paskaičiuoti institucijos mokslininko visos darbo dienos atitikmeniui.</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Pr="00C70D14" w:rsidRDefault="00302056" w:rsidP="009E02DD"/>
        </w:tc>
        <w:tc>
          <w:tcPr>
            <w:tcW w:w="5386" w:type="dxa"/>
          </w:tcPr>
          <w:p w:rsidR="00302056" w:rsidRDefault="00302056" w:rsidP="009E02DD">
            <w:pPr>
              <w:rPr>
                <w:b/>
              </w:rPr>
            </w:pPr>
            <w:r>
              <w:rPr>
                <w:b/>
              </w:rPr>
              <w:t>Dėl kriterijuje Nr. 12 ir Nr. 14 naudojamų sąvokų</w:t>
            </w:r>
          </w:p>
          <w:p w:rsidR="00CF105F" w:rsidRPr="00CF105F" w:rsidRDefault="00CF105F" w:rsidP="00CF105F">
            <w:pPr>
              <w:jc w:val="both"/>
            </w:pPr>
            <w:r>
              <w:t>Pastebėtina, jog 12 bei 14 punktuose sąvokos „mokslininkas" ir „tyrė</w:t>
            </w:r>
            <w:r w:rsidRPr="00CF105F">
              <w:t>jas" yra suvienodintos konteks</w:t>
            </w:r>
            <w:r>
              <w:t>te apie darbo vietos ekvivalentą. Pažymėtina, jog šios sąvokos nėra lygiavertės, todėl prašome patikslinti šių sąvokų vartojimą.</w:t>
            </w:r>
          </w:p>
        </w:tc>
        <w:tc>
          <w:tcPr>
            <w:tcW w:w="6804" w:type="dxa"/>
          </w:tcPr>
          <w:p w:rsidR="00302056" w:rsidRDefault="00CF105F" w:rsidP="00A048F9">
            <w:pPr>
              <w:jc w:val="both"/>
            </w:pPr>
            <w:r>
              <w:t>Atsižvelgta – kriterijai suvienodinti nurodant mokslininko sąvoką.</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Pr="00C70D14" w:rsidRDefault="00302056" w:rsidP="009E02DD"/>
        </w:tc>
        <w:tc>
          <w:tcPr>
            <w:tcW w:w="5386" w:type="dxa"/>
          </w:tcPr>
          <w:p w:rsidR="00302056" w:rsidRPr="00CD61F5" w:rsidRDefault="00CD61F5" w:rsidP="009E02DD">
            <w:pPr>
              <w:rPr>
                <w:b/>
                <w:lang w:val="en-GB"/>
              </w:rPr>
            </w:pPr>
            <w:r>
              <w:rPr>
                <w:b/>
              </w:rPr>
              <w:t xml:space="preserve">Dėl kriterijaus Nr. </w:t>
            </w:r>
            <w:r>
              <w:rPr>
                <w:b/>
                <w:lang w:val="en-GB"/>
              </w:rPr>
              <w:t>15</w:t>
            </w:r>
          </w:p>
          <w:p w:rsidR="00CF105F" w:rsidRPr="00CF105F" w:rsidRDefault="00CF105F" w:rsidP="00CF105F">
            <w:pPr>
              <w:jc w:val="both"/>
            </w:pPr>
            <w:r w:rsidRPr="00CF105F">
              <w:t xml:space="preserve">Paaiškinime nurodoma, jog bus </w:t>
            </w:r>
            <w:r>
              <w:t>vertinama pareiškėjo pateikta pagrista analizė dėl prognozuojamų unikalių išorė</w:t>
            </w:r>
            <w:r w:rsidRPr="00CF105F">
              <w:t>s užsako</w:t>
            </w:r>
            <w:r>
              <w:t>vų MTEP ir meno užsakymams skaičiaus padidėjimo treč</w:t>
            </w:r>
            <w:r w:rsidRPr="00CF105F">
              <w:t>iaisiais finansin</w:t>
            </w:r>
            <w:r>
              <w:t>iais metais po projekto veiklų į</w:t>
            </w:r>
            <w:r w:rsidRPr="00CF105F">
              <w:t>gyvendinimo pa</w:t>
            </w:r>
            <w:r>
              <w:t>baigos lyginant su 2019 metais.</w:t>
            </w:r>
            <w:r w:rsidRPr="00CF105F">
              <w:t xml:space="preserve"> Didesnis prioritetinis balas suteiki</w:t>
            </w:r>
            <w:r>
              <w:t>mas tiems projektams, po kurių įgyvendinimo pareiškėjas į</w:t>
            </w:r>
            <w:r w:rsidRPr="00CF105F">
              <w:t>sipareigoja:</w:t>
            </w:r>
          </w:p>
          <w:p w:rsidR="00CF105F" w:rsidRPr="00CF105F" w:rsidRDefault="00CF105F" w:rsidP="00CF105F">
            <w:pPr>
              <w:jc w:val="both"/>
            </w:pPr>
            <w:r w:rsidRPr="00CF105F">
              <w:t>- u</w:t>
            </w:r>
            <w:r>
              <w:t>žtikrinti didesnį unikalių išorės užsakovu skaičiaus augimą; pasiekti tam tikrą užsienio užsakovų skaičių</w:t>
            </w:r>
            <w:r w:rsidRPr="00CF105F">
              <w:t>.</w:t>
            </w:r>
          </w:p>
          <w:p w:rsidR="00CF105F" w:rsidRDefault="00CF105F" w:rsidP="00CF105F">
            <w:pPr>
              <w:jc w:val="both"/>
              <w:rPr>
                <w:b/>
              </w:rPr>
            </w:pPr>
            <w:r>
              <w:t>Pažymėtina, jog vertinant užsakymų absoliutų skaičių, o netaikant santykinio skaič</w:t>
            </w:r>
            <w:r w:rsidRPr="00CF105F">
              <w:t>iavimo metodo, galima diskri</w:t>
            </w:r>
            <w:r>
              <w:t>minacija mažai darbuotojų turinčios įmonė</w:t>
            </w:r>
            <w:r w:rsidRPr="00CF105F">
              <w:t>s atžvilgiu.</w:t>
            </w:r>
          </w:p>
        </w:tc>
        <w:tc>
          <w:tcPr>
            <w:tcW w:w="6804" w:type="dxa"/>
          </w:tcPr>
          <w:p w:rsidR="00D36CB5" w:rsidRDefault="00CF105F" w:rsidP="00A048F9">
            <w:pPr>
              <w:jc w:val="both"/>
            </w:pPr>
            <w:r>
              <w:t xml:space="preserve">Neatsižvelgta </w:t>
            </w:r>
            <w:r w:rsidR="00491290">
              <w:t>–</w:t>
            </w:r>
            <w:r>
              <w:t xml:space="preserve"> </w:t>
            </w:r>
            <w:r w:rsidR="00491290">
              <w:t xml:space="preserve">Ministerijos nuomone, siekiant </w:t>
            </w:r>
            <w:r w:rsidR="00491290" w:rsidRPr="00491290">
              <w:t>v</w:t>
            </w:r>
            <w:r w:rsidR="00491290">
              <w:t>eiksmų programos 1 prioriteto „M</w:t>
            </w:r>
            <w:r w:rsidR="00491290" w:rsidRPr="00491290">
              <w:t>okslinių tyrimų, eksperimentinės plėtros ir inovacijų skatinimas“</w:t>
            </w:r>
            <w:r w:rsidR="00491290">
              <w:t xml:space="preserve"> tikslų yra svarbus kuo didesnis unikalių išorės </w:t>
            </w:r>
            <w:r w:rsidR="00717B29" w:rsidRPr="001427D5">
              <w:t>vartotojų</w:t>
            </w:r>
            <w:r w:rsidR="00717B29">
              <w:t xml:space="preserve"> </w:t>
            </w:r>
            <w:r w:rsidR="00491290" w:rsidRPr="00717B29">
              <w:rPr>
                <w:strike/>
              </w:rPr>
              <w:t xml:space="preserve"> </w:t>
            </w:r>
            <w:r w:rsidR="00491290">
              <w:t xml:space="preserve">skaičius. </w:t>
            </w:r>
          </w:p>
          <w:p w:rsidR="00D36CB5" w:rsidRDefault="00D36CB5" w:rsidP="00A048F9">
            <w:pPr>
              <w:jc w:val="both"/>
            </w:pPr>
            <w:r>
              <w:t xml:space="preserve">Integravus </w:t>
            </w:r>
            <w:r w:rsidR="00E71627">
              <w:t>šį</w:t>
            </w:r>
            <w:r>
              <w:t xml:space="preserve"> kriterijų l</w:t>
            </w:r>
            <w:r w:rsidR="00785A98">
              <w:t xml:space="preserve">aukiama, kad </w:t>
            </w:r>
            <w:r>
              <w:t xml:space="preserve">pareiškėjai, numatydami projektų veiklas realiai įvertintų galimybes padidinti </w:t>
            </w:r>
            <w:r w:rsidR="00717B29">
              <w:t xml:space="preserve">rezultatyvaus </w:t>
            </w:r>
            <w:r>
              <w:t xml:space="preserve">bendradarbiavimo mastus. Kitaip tariant, </w:t>
            </w:r>
            <w:r w:rsidR="00E71627">
              <w:t xml:space="preserve">laukiama, kad </w:t>
            </w:r>
            <w:r w:rsidR="00785A98">
              <w:t xml:space="preserve">vykdant </w:t>
            </w:r>
            <w:proofErr w:type="spellStart"/>
            <w:r w:rsidR="00785A98">
              <w:t>antreprenerystės</w:t>
            </w:r>
            <w:proofErr w:type="spellEnd"/>
            <w:r w:rsidR="00785A98">
              <w:t xml:space="preserve"> veiklas </w:t>
            </w:r>
            <w:r>
              <w:t xml:space="preserve">būtų </w:t>
            </w:r>
            <w:r w:rsidR="00785A98">
              <w:t xml:space="preserve">siekiama plėsti institucijos MTEP rezultatų vartotojų skaičių. </w:t>
            </w:r>
          </w:p>
          <w:p w:rsidR="00E71627" w:rsidRDefault="00785A98" w:rsidP="00A048F9">
            <w:pPr>
              <w:jc w:val="both"/>
            </w:pPr>
            <w:r>
              <w:t xml:space="preserve">Santykinis skaičiavimas šiuo atveju neturėtų pridėtinės vertės ir net klaidintų. Pavyzdžiui, 2019 m. metais turint </w:t>
            </w:r>
            <w:r w:rsidR="00D36CB5">
              <w:t xml:space="preserve">tik </w:t>
            </w:r>
            <w:r>
              <w:t xml:space="preserve">2 </w:t>
            </w:r>
            <w:r w:rsidR="00210F85">
              <w:t>išorės vartotojus</w:t>
            </w:r>
            <w:r>
              <w:t xml:space="preserve"> ir įsipareigo</w:t>
            </w:r>
            <w:r w:rsidR="00210F85">
              <w:t>jus</w:t>
            </w:r>
            <w:r>
              <w:t xml:space="preserve"> pasiekti keturis, gautųsi net 100 proc</w:t>
            </w:r>
            <w:r w:rsidR="00210F85">
              <w:t>entų</w:t>
            </w:r>
            <w:r>
              <w:t xml:space="preserve"> augimas</w:t>
            </w:r>
            <w:r w:rsidR="00D36CB5">
              <w:t xml:space="preserve">; tuo tarpu </w:t>
            </w:r>
            <w:r w:rsidR="00210F85">
              <w:t>turint</w:t>
            </w:r>
            <w:r w:rsidR="00D36CB5">
              <w:t xml:space="preserve"> 100 vartotojų</w:t>
            </w:r>
            <w:r w:rsidR="00E71627">
              <w:t xml:space="preserve"> ir</w:t>
            </w:r>
            <w:r w:rsidR="00D36CB5">
              <w:t xml:space="preserve"> </w:t>
            </w:r>
            <w:r w:rsidR="00E71627">
              <w:t>įsipareigojus</w:t>
            </w:r>
            <w:r w:rsidR="00D36CB5">
              <w:t xml:space="preserve"> </w:t>
            </w:r>
            <w:r w:rsidR="00E71627">
              <w:t>pasiekti 1</w:t>
            </w:r>
            <w:r w:rsidR="00210F85">
              <w:t>20, procentas būtų tik 20</w:t>
            </w:r>
            <w:r>
              <w:t xml:space="preserve">. </w:t>
            </w:r>
          </w:p>
          <w:p w:rsidR="00210F85" w:rsidRDefault="00785A98" w:rsidP="00A048F9">
            <w:pPr>
              <w:jc w:val="both"/>
            </w:pPr>
            <w:r>
              <w:t xml:space="preserve">Manytina, kad nurodant konkretų planuojamą skaičių bus atsakingiau žvelgiama į konkrečiomis projekto veiklomis numatomą </w:t>
            </w:r>
            <w:r w:rsidR="00D36CB5">
              <w:t>rezultatą</w:t>
            </w:r>
            <w:r>
              <w:t xml:space="preserve">. </w:t>
            </w:r>
          </w:p>
          <w:p w:rsidR="00210F85" w:rsidRPr="00D36CB5" w:rsidRDefault="008425EB" w:rsidP="00210F85">
            <w:pPr>
              <w:jc w:val="both"/>
              <w:rPr>
                <w:strike/>
              </w:rPr>
            </w:pPr>
            <w:r>
              <w:lastRenderedPageBreak/>
              <w:t>Planuojama, kad š</w:t>
            </w:r>
            <w:r w:rsidR="00785A98">
              <w:t>is kriterijus neturė</w:t>
            </w:r>
            <w:r>
              <w:t>s</w:t>
            </w:r>
            <w:r w:rsidR="00210F85">
              <w:t xml:space="preserve"> </w:t>
            </w:r>
            <w:r w:rsidR="00785A98">
              <w:t xml:space="preserve">lemiamo svertinio poveikio, </w:t>
            </w:r>
            <w:r w:rsidR="00210F85">
              <w:t>o</w:t>
            </w:r>
            <w:r w:rsidR="00785A98">
              <w:t xml:space="preserve"> jo </w:t>
            </w:r>
            <w:r w:rsidR="00E642E4">
              <w:t>skaičiavimą numatoma detalizuoti Projektų finansavimo sąlygų apraše</w:t>
            </w:r>
            <w:r w:rsidR="00E642E4" w:rsidRPr="00717B29">
              <w:t>.</w:t>
            </w:r>
            <w:r w:rsidR="00210F85" w:rsidRPr="00717B29">
              <w:t xml:space="preserve"> Atkreiptinas dėmesys, </w:t>
            </w:r>
            <w:r>
              <w:t>kad m</w:t>
            </w:r>
            <w:r w:rsidR="00210F85">
              <w:t>okslo ir studijų institucijos, turinčios mažiau darbuotojų, galės gauti prioritetinius balus pagal kitus projektų atrankos kriterijus</w:t>
            </w:r>
            <w:r w:rsidR="001427D5">
              <w:rPr>
                <w:strike/>
              </w:rPr>
              <w:t>.</w:t>
            </w:r>
          </w:p>
          <w:p w:rsidR="00785A98" w:rsidRDefault="00785A98" w:rsidP="00A048F9">
            <w:pPr>
              <w:jc w:val="both"/>
            </w:pPr>
          </w:p>
          <w:p w:rsidR="00E642E4" w:rsidRDefault="00E642E4" w:rsidP="00A048F9">
            <w:pPr>
              <w:jc w:val="both"/>
            </w:pPr>
            <w:r>
              <w:t xml:space="preserve">Galiausiai </w:t>
            </w:r>
            <w:r w:rsidR="00717B29">
              <w:t>norime pastebėti</w:t>
            </w:r>
            <w:r>
              <w:t xml:space="preserve">, kad priemonės pareiškėjai galės būti tik </w:t>
            </w:r>
            <w:r w:rsidR="00D36CB5">
              <w:t>mokslo</w:t>
            </w:r>
            <w:r>
              <w:t xml:space="preserve"> ir studijų institucijos, bet ne įmonės. Todėl </w:t>
            </w:r>
            <w:r w:rsidR="00210F85">
              <w:t xml:space="preserve">nuoroda į </w:t>
            </w:r>
            <w:r>
              <w:t>diskriminacij</w:t>
            </w:r>
            <w:r w:rsidR="00210F85">
              <w:t>ą mažų ir vidutinių</w:t>
            </w:r>
            <w:r>
              <w:t xml:space="preserve"> įmonių atžvilgiu yra nesuprantama.</w:t>
            </w:r>
          </w:p>
          <w:p w:rsidR="00F85CC2" w:rsidRDefault="00F85CC2" w:rsidP="00A048F9">
            <w:pPr>
              <w:jc w:val="both"/>
            </w:pPr>
          </w:p>
          <w:p w:rsidR="00F85CC2" w:rsidRDefault="00E71627" w:rsidP="00F85CC2">
            <w:pPr>
              <w:jc w:val="both"/>
            </w:pPr>
            <w:r>
              <w:t>K</w:t>
            </w:r>
            <w:r w:rsidR="002E249F" w:rsidRPr="00E71627">
              <w:t>riterijaus</w:t>
            </w:r>
            <w:r w:rsidRPr="00E71627">
              <w:t xml:space="preserve"> aprašyme pakeistas žodis „užsakovai“ į „vartotojus“, kadangi </w:t>
            </w:r>
            <w:r w:rsidR="002E249F" w:rsidRPr="00E71627">
              <w:t xml:space="preserve">duomenų patikrai bus naudojami duomenys, skirti </w:t>
            </w:r>
            <w:r w:rsidR="00717B29">
              <w:t xml:space="preserve">mokslo ir studijų institucijų </w:t>
            </w:r>
            <w:r w:rsidR="002E249F" w:rsidRPr="00E71627">
              <w:rPr>
                <w:szCs w:val="24"/>
              </w:rPr>
              <w:t>mokslinių tyrimų ir eksperimentinės plėtros</w:t>
            </w:r>
            <w:r w:rsidR="00717B29">
              <w:rPr>
                <w:szCs w:val="24"/>
              </w:rPr>
              <w:t xml:space="preserve"> ir meno veiklos formaliajam</w:t>
            </w:r>
            <w:r w:rsidR="002E249F" w:rsidRPr="00E71627">
              <w:rPr>
                <w:szCs w:val="24"/>
              </w:rPr>
              <w:t xml:space="preserve"> vertinimui</w:t>
            </w:r>
            <w:r w:rsidRPr="00E71627">
              <w:rPr>
                <w:szCs w:val="24"/>
              </w:rPr>
              <w:t xml:space="preserve"> </w:t>
            </w:r>
            <w:r>
              <w:rPr>
                <w:szCs w:val="24"/>
              </w:rPr>
              <w:t xml:space="preserve">pagal </w:t>
            </w:r>
            <w:r>
              <w:rPr>
                <w:bCs/>
                <w:szCs w:val="24"/>
              </w:rPr>
              <w:t>d</w:t>
            </w:r>
            <w:r w:rsidRPr="00E71627">
              <w:rPr>
                <w:bCs/>
                <w:szCs w:val="24"/>
              </w:rPr>
              <w:t>uomenų pateikimo formo</w:t>
            </w:r>
            <w:r w:rsidR="00717B29">
              <w:rPr>
                <w:bCs/>
                <w:szCs w:val="24"/>
              </w:rPr>
              <w:t>je esančią</w:t>
            </w:r>
            <w:r w:rsidRPr="00E71627">
              <w:rPr>
                <w:bCs/>
                <w:szCs w:val="24"/>
              </w:rPr>
              <w:t xml:space="preserve"> terminiją.</w:t>
            </w:r>
          </w:p>
        </w:tc>
      </w:tr>
    </w:tbl>
    <w:p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9628D"/>
    <w:rsid w:val="000A3FD2"/>
    <w:rsid w:val="000B1AF5"/>
    <w:rsid w:val="000B2D7C"/>
    <w:rsid w:val="000D3EFE"/>
    <w:rsid w:val="000E1F0C"/>
    <w:rsid w:val="000E275C"/>
    <w:rsid w:val="000E7A99"/>
    <w:rsid w:val="000F5CE6"/>
    <w:rsid w:val="00105F91"/>
    <w:rsid w:val="00115372"/>
    <w:rsid w:val="001427D5"/>
    <w:rsid w:val="001577E4"/>
    <w:rsid w:val="001647E3"/>
    <w:rsid w:val="0018373E"/>
    <w:rsid w:val="00184FC3"/>
    <w:rsid w:val="00194702"/>
    <w:rsid w:val="001A5935"/>
    <w:rsid w:val="001C2F60"/>
    <w:rsid w:val="001D6507"/>
    <w:rsid w:val="001E4CE7"/>
    <w:rsid w:val="001E6748"/>
    <w:rsid w:val="001E67A5"/>
    <w:rsid w:val="0020434A"/>
    <w:rsid w:val="00210F85"/>
    <w:rsid w:val="00234AE2"/>
    <w:rsid w:val="00241C69"/>
    <w:rsid w:val="00247BB5"/>
    <w:rsid w:val="00270AE5"/>
    <w:rsid w:val="002923A6"/>
    <w:rsid w:val="00296F21"/>
    <w:rsid w:val="002A27A2"/>
    <w:rsid w:val="002A7760"/>
    <w:rsid w:val="002C79BA"/>
    <w:rsid w:val="002D4D56"/>
    <w:rsid w:val="002E1B28"/>
    <w:rsid w:val="002E249F"/>
    <w:rsid w:val="00302056"/>
    <w:rsid w:val="003226E0"/>
    <w:rsid w:val="00330EC9"/>
    <w:rsid w:val="003529B3"/>
    <w:rsid w:val="00366151"/>
    <w:rsid w:val="0036662A"/>
    <w:rsid w:val="003865B8"/>
    <w:rsid w:val="003902F7"/>
    <w:rsid w:val="00397073"/>
    <w:rsid w:val="003A1AD9"/>
    <w:rsid w:val="003B2FAE"/>
    <w:rsid w:val="003E77A4"/>
    <w:rsid w:val="003F5676"/>
    <w:rsid w:val="004117D8"/>
    <w:rsid w:val="004136A8"/>
    <w:rsid w:val="004378EE"/>
    <w:rsid w:val="00452AAF"/>
    <w:rsid w:val="00475E13"/>
    <w:rsid w:val="00482B56"/>
    <w:rsid w:val="00491290"/>
    <w:rsid w:val="004A5F41"/>
    <w:rsid w:val="004C44BD"/>
    <w:rsid w:val="004D11D5"/>
    <w:rsid w:val="004E6B69"/>
    <w:rsid w:val="005004F3"/>
    <w:rsid w:val="0054453C"/>
    <w:rsid w:val="00547C74"/>
    <w:rsid w:val="005516A5"/>
    <w:rsid w:val="005533C2"/>
    <w:rsid w:val="00571253"/>
    <w:rsid w:val="00581B51"/>
    <w:rsid w:val="00593EE0"/>
    <w:rsid w:val="005B1293"/>
    <w:rsid w:val="005B79FB"/>
    <w:rsid w:val="005C5B4A"/>
    <w:rsid w:val="005C5ECB"/>
    <w:rsid w:val="005E0604"/>
    <w:rsid w:val="005F038F"/>
    <w:rsid w:val="005F0F88"/>
    <w:rsid w:val="006106A7"/>
    <w:rsid w:val="00665BE2"/>
    <w:rsid w:val="00677B1E"/>
    <w:rsid w:val="006824CC"/>
    <w:rsid w:val="006A1E78"/>
    <w:rsid w:val="006A22E2"/>
    <w:rsid w:val="006B0D85"/>
    <w:rsid w:val="006B526A"/>
    <w:rsid w:val="006B75D2"/>
    <w:rsid w:val="006C0163"/>
    <w:rsid w:val="006E16C9"/>
    <w:rsid w:val="00707C95"/>
    <w:rsid w:val="00717B29"/>
    <w:rsid w:val="0072623F"/>
    <w:rsid w:val="00741C32"/>
    <w:rsid w:val="00742585"/>
    <w:rsid w:val="00747BC9"/>
    <w:rsid w:val="007537EC"/>
    <w:rsid w:val="00755C21"/>
    <w:rsid w:val="00761496"/>
    <w:rsid w:val="007769FC"/>
    <w:rsid w:val="00785A98"/>
    <w:rsid w:val="007B3E81"/>
    <w:rsid w:val="007D3038"/>
    <w:rsid w:val="007F5F38"/>
    <w:rsid w:val="0080172F"/>
    <w:rsid w:val="008359DC"/>
    <w:rsid w:val="008425EB"/>
    <w:rsid w:val="0085384B"/>
    <w:rsid w:val="00856EDA"/>
    <w:rsid w:val="008576A6"/>
    <w:rsid w:val="00860D08"/>
    <w:rsid w:val="00865C80"/>
    <w:rsid w:val="008663E3"/>
    <w:rsid w:val="0086799E"/>
    <w:rsid w:val="00876DBD"/>
    <w:rsid w:val="00885C3D"/>
    <w:rsid w:val="008933F5"/>
    <w:rsid w:val="008A53CB"/>
    <w:rsid w:val="008C3DAE"/>
    <w:rsid w:val="008D3690"/>
    <w:rsid w:val="008D5F38"/>
    <w:rsid w:val="008E3C68"/>
    <w:rsid w:val="008F38C3"/>
    <w:rsid w:val="00926630"/>
    <w:rsid w:val="00933886"/>
    <w:rsid w:val="00947C9D"/>
    <w:rsid w:val="00954EEB"/>
    <w:rsid w:val="00956C1E"/>
    <w:rsid w:val="0097341D"/>
    <w:rsid w:val="0099342A"/>
    <w:rsid w:val="009A662F"/>
    <w:rsid w:val="009B3957"/>
    <w:rsid w:val="009B4714"/>
    <w:rsid w:val="009D3B8E"/>
    <w:rsid w:val="009D3BAD"/>
    <w:rsid w:val="009E02DD"/>
    <w:rsid w:val="009E1857"/>
    <w:rsid w:val="009E69E2"/>
    <w:rsid w:val="009F43EB"/>
    <w:rsid w:val="00A00DB1"/>
    <w:rsid w:val="00A048F9"/>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3B89"/>
    <w:rsid w:val="00B14AA0"/>
    <w:rsid w:val="00B26628"/>
    <w:rsid w:val="00B46548"/>
    <w:rsid w:val="00B7378D"/>
    <w:rsid w:val="00B75709"/>
    <w:rsid w:val="00B9676C"/>
    <w:rsid w:val="00BA3F54"/>
    <w:rsid w:val="00BB138B"/>
    <w:rsid w:val="00BC5BDA"/>
    <w:rsid w:val="00BD17AE"/>
    <w:rsid w:val="00BE1E8F"/>
    <w:rsid w:val="00BE2051"/>
    <w:rsid w:val="00BE6468"/>
    <w:rsid w:val="00BE6CC1"/>
    <w:rsid w:val="00BF587A"/>
    <w:rsid w:val="00C25B44"/>
    <w:rsid w:val="00C3317D"/>
    <w:rsid w:val="00C33E49"/>
    <w:rsid w:val="00C35591"/>
    <w:rsid w:val="00C41BD5"/>
    <w:rsid w:val="00C41EDB"/>
    <w:rsid w:val="00C535B1"/>
    <w:rsid w:val="00C6260A"/>
    <w:rsid w:val="00C916C8"/>
    <w:rsid w:val="00C94B40"/>
    <w:rsid w:val="00C97E60"/>
    <w:rsid w:val="00CA2E85"/>
    <w:rsid w:val="00CA6AE7"/>
    <w:rsid w:val="00CB2790"/>
    <w:rsid w:val="00CB505F"/>
    <w:rsid w:val="00CC78B0"/>
    <w:rsid w:val="00CD61F5"/>
    <w:rsid w:val="00CE53AB"/>
    <w:rsid w:val="00CF105F"/>
    <w:rsid w:val="00CF2C5D"/>
    <w:rsid w:val="00CF7C87"/>
    <w:rsid w:val="00D05FBD"/>
    <w:rsid w:val="00D36CB5"/>
    <w:rsid w:val="00D548C8"/>
    <w:rsid w:val="00D54ED4"/>
    <w:rsid w:val="00D66763"/>
    <w:rsid w:val="00DB3586"/>
    <w:rsid w:val="00DC5385"/>
    <w:rsid w:val="00DC7728"/>
    <w:rsid w:val="00DC7AB7"/>
    <w:rsid w:val="00DE1BD0"/>
    <w:rsid w:val="00DE693B"/>
    <w:rsid w:val="00E0262A"/>
    <w:rsid w:val="00E307F8"/>
    <w:rsid w:val="00E314FC"/>
    <w:rsid w:val="00E4515A"/>
    <w:rsid w:val="00E47926"/>
    <w:rsid w:val="00E53DCA"/>
    <w:rsid w:val="00E6399A"/>
    <w:rsid w:val="00E642E4"/>
    <w:rsid w:val="00E71627"/>
    <w:rsid w:val="00E83C1C"/>
    <w:rsid w:val="00E95B1A"/>
    <w:rsid w:val="00EC036E"/>
    <w:rsid w:val="00EC0828"/>
    <w:rsid w:val="00EC6B07"/>
    <w:rsid w:val="00EF0A83"/>
    <w:rsid w:val="00EF5D3D"/>
    <w:rsid w:val="00F16636"/>
    <w:rsid w:val="00F17A0F"/>
    <w:rsid w:val="00F43952"/>
    <w:rsid w:val="00F449CA"/>
    <w:rsid w:val="00F45F44"/>
    <w:rsid w:val="00F46B15"/>
    <w:rsid w:val="00F56078"/>
    <w:rsid w:val="00F74AD4"/>
    <w:rsid w:val="00F7759E"/>
    <w:rsid w:val="00F8394C"/>
    <w:rsid w:val="00F85CC2"/>
    <w:rsid w:val="00FA1C73"/>
    <w:rsid w:val="00FA2FE9"/>
    <w:rsid w:val="00FB5749"/>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21DE0-12CE-47FE-9ED4-9E550B1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D05FBD"/>
    <w:rPr>
      <w:sz w:val="16"/>
      <w:szCs w:val="16"/>
    </w:rPr>
  </w:style>
  <w:style w:type="paragraph" w:styleId="Komentarotekstas">
    <w:name w:val="annotation text"/>
    <w:basedOn w:val="prastasis"/>
    <w:link w:val="KomentarotekstasDiagrama"/>
    <w:uiPriority w:val="99"/>
    <w:semiHidden/>
    <w:unhideWhenUsed/>
    <w:rsid w:val="00D05FBD"/>
    <w:rPr>
      <w:sz w:val="20"/>
    </w:rPr>
  </w:style>
  <w:style w:type="character" w:customStyle="1" w:styleId="KomentarotekstasDiagrama">
    <w:name w:val="Komentaro tekstas Diagrama"/>
    <w:basedOn w:val="Numatytasispastraiposriftas"/>
    <w:link w:val="Komentarotekstas"/>
    <w:uiPriority w:val="99"/>
    <w:semiHidden/>
    <w:rsid w:val="00D05FBD"/>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5FBD"/>
    <w:rPr>
      <w:b/>
      <w:bCs/>
    </w:rPr>
  </w:style>
  <w:style w:type="character" w:customStyle="1" w:styleId="KomentarotemaDiagrama">
    <w:name w:val="Komentaro tema Diagrama"/>
    <w:basedOn w:val="KomentarotekstasDiagrama"/>
    <w:link w:val="Komentarotema"/>
    <w:uiPriority w:val="99"/>
    <w:semiHidden/>
    <w:rsid w:val="00D05FBD"/>
    <w:rPr>
      <w:rFonts w:eastAsia="Times New Roman"/>
      <w:b/>
      <w:bCs/>
      <w:sz w:val="20"/>
      <w:szCs w:val="20"/>
      <w:lang w:eastAsia="lt-LT"/>
    </w:rPr>
  </w:style>
  <w:style w:type="character" w:styleId="Hipersaitas">
    <w:name w:val="Hyperlink"/>
    <w:basedOn w:val="Numatytasispastraiposriftas"/>
    <w:uiPriority w:val="99"/>
    <w:unhideWhenUsed/>
    <w:rsid w:val="00D05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8686">
      <w:bodyDiv w:val="1"/>
      <w:marLeft w:val="0"/>
      <w:marRight w:val="0"/>
      <w:marTop w:val="0"/>
      <w:marBottom w:val="0"/>
      <w:divBdr>
        <w:top w:val="none" w:sz="0" w:space="0" w:color="auto"/>
        <w:left w:val="none" w:sz="0" w:space="0" w:color="auto"/>
        <w:bottom w:val="none" w:sz="0" w:space="0" w:color="auto"/>
        <w:right w:val="none" w:sz="0" w:space="0" w:color="auto"/>
      </w:divBdr>
    </w:div>
    <w:div w:id="435488286">
      <w:bodyDiv w:val="1"/>
      <w:marLeft w:val="0"/>
      <w:marRight w:val="0"/>
      <w:marTop w:val="0"/>
      <w:marBottom w:val="0"/>
      <w:divBdr>
        <w:top w:val="none" w:sz="0" w:space="0" w:color="auto"/>
        <w:left w:val="none" w:sz="0" w:space="0" w:color="auto"/>
        <w:bottom w:val="none" w:sz="0" w:space="0" w:color="auto"/>
        <w:right w:val="none" w:sz="0" w:space="0" w:color="auto"/>
      </w:divBdr>
    </w:div>
    <w:div w:id="17236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8922</Words>
  <Characters>5087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Gervienė Giedrė</cp:lastModifiedBy>
  <cp:revision>2</cp:revision>
  <dcterms:created xsi:type="dcterms:W3CDTF">2019-12-27T07:29:00Z</dcterms:created>
  <dcterms:modified xsi:type="dcterms:W3CDTF">2019-12-27T07:29:00Z</dcterms:modified>
</cp:coreProperties>
</file>