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C2F08" w14:textId="3F03567F" w:rsidR="00897318" w:rsidRPr="000E03C4" w:rsidRDefault="00897318" w:rsidP="00897318">
      <w:pPr>
        <w:ind w:left="1411" w:right="1128"/>
        <w:jc w:val="center"/>
        <w:rPr>
          <w:rFonts w:ascii="Arial" w:hAnsi="Arial" w:cs="Arial"/>
          <w:b/>
          <w:color w:val="1F497D" w:themeColor="text2"/>
          <w:sz w:val="28"/>
          <w:szCs w:val="28"/>
          <w:lang w:val="lt-LT"/>
        </w:rPr>
      </w:pPr>
      <w:r w:rsidRPr="000E03C4">
        <w:rPr>
          <w:rFonts w:ascii="Arial" w:hAnsi="Arial" w:cs="Arial"/>
          <w:b/>
          <w:color w:val="1F497D" w:themeColor="text2"/>
          <w:sz w:val="28"/>
          <w:szCs w:val="28"/>
          <w:lang w:val="lt-LT"/>
        </w:rPr>
        <w:t>Priemonės „Eksperimentas“ kvietimų Nr. 1 ir Nr. 2 klausimai ir atsakymai</w:t>
      </w:r>
    </w:p>
    <w:p w14:paraId="7E1A09DE" w14:textId="77777777" w:rsidR="00121C9E" w:rsidRPr="00897318" w:rsidRDefault="00121C9E" w:rsidP="00897318">
      <w:pPr>
        <w:ind w:left="1411" w:right="1128"/>
        <w:jc w:val="center"/>
        <w:rPr>
          <w:rFonts w:ascii="Arial" w:hAnsi="Arial" w:cs="Arial"/>
          <w:b/>
          <w:sz w:val="22"/>
          <w:szCs w:val="22"/>
          <w:lang w:val="lt-LT"/>
        </w:rPr>
      </w:pPr>
    </w:p>
    <w:p w14:paraId="2FB14726" w14:textId="77777777" w:rsidR="00121C9E" w:rsidRPr="007C59ED" w:rsidRDefault="00121C9E" w:rsidP="00121C9E">
      <w:pPr>
        <w:autoSpaceDE w:val="0"/>
        <w:autoSpaceDN w:val="0"/>
        <w:adjustRightInd w:val="0"/>
        <w:spacing w:after="0"/>
        <w:ind w:left="-284"/>
        <w:rPr>
          <w:rFonts w:ascii="Times New Roman" w:hAnsi="Times New Roman" w:cs="Times New Roman"/>
          <w:i/>
          <w:color w:val="808080"/>
          <w:sz w:val="22"/>
          <w:szCs w:val="22"/>
          <w:lang w:val="lt-LT"/>
        </w:rPr>
      </w:pPr>
      <w:r w:rsidRPr="007C59ED">
        <w:rPr>
          <w:rFonts w:ascii="Times New Roman" w:hAnsi="Times New Roman" w:cs="Times New Roman"/>
          <w:i/>
          <w:color w:val="808080"/>
          <w:sz w:val="22"/>
          <w:szCs w:val="22"/>
          <w:lang w:val="lt-LT"/>
        </w:rPr>
        <w:t>(norėdami išskleisti informaciją, spauskite rodyklę)</w:t>
      </w:r>
    </w:p>
    <w:p w14:paraId="0574EBC0" w14:textId="77777777" w:rsidR="00897318" w:rsidRPr="00897318" w:rsidRDefault="00897318" w:rsidP="00897318">
      <w:pPr>
        <w:pStyle w:val="Pagrindinistekstas"/>
        <w:ind w:left="0" w:firstLine="0"/>
        <w:rPr>
          <w:rFonts w:ascii="Arial" w:hAnsi="Arial" w:cs="Arial"/>
          <w:sz w:val="22"/>
          <w:szCs w:val="22"/>
        </w:rPr>
      </w:pPr>
    </w:p>
    <w:p w14:paraId="7184CDCF" w14:textId="77777777" w:rsidR="00897318" w:rsidRPr="00897318" w:rsidRDefault="00897318" w:rsidP="00897318">
      <w:pPr>
        <w:pStyle w:val="Antrat1"/>
        <w:rPr>
          <w:lang w:val="lt-LT"/>
        </w:rPr>
      </w:pPr>
      <w:r w:rsidRPr="00897318">
        <w:rPr>
          <w:lang w:val="lt-LT"/>
        </w:rPr>
        <w:t xml:space="preserve"> Kam skirtas priemonės „Eksperimentas“ regioninis kvietimas?</w:t>
      </w:r>
    </w:p>
    <w:p w14:paraId="0ED883B7" w14:textId="77777777" w:rsidR="00897318" w:rsidRPr="00897318" w:rsidRDefault="00897318" w:rsidP="00897318">
      <w:pPr>
        <w:tabs>
          <w:tab w:val="left" w:pos="829"/>
        </w:tabs>
        <w:ind w:right="102"/>
        <w:rPr>
          <w:rFonts w:ascii="Arial" w:hAnsi="Arial" w:cs="Arial"/>
          <w:sz w:val="22"/>
          <w:szCs w:val="22"/>
          <w:lang w:val="lt-LT"/>
        </w:rPr>
      </w:pPr>
    </w:p>
    <w:p w14:paraId="2341C20C" w14:textId="1DF80E34" w:rsidR="00897318" w:rsidRPr="00897318" w:rsidRDefault="00897318" w:rsidP="00897318">
      <w:pPr>
        <w:jc w:val="both"/>
        <w:rPr>
          <w:rFonts w:ascii="Arial" w:hAnsi="Arial" w:cs="Arial"/>
          <w:i/>
          <w:sz w:val="22"/>
          <w:szCs w:val="22"/>
          <w:lang w:val="lt-LT"/>
        </w:rPr>
      </w:pPr>
      <w:r w:rsidRPr="00897318">
        <w:rPr>
          <w:rFonts w:ascii="Arial" w:hAnsi="Arial" w:cs="Arial"/>
          <w:i/>
          <w:sz w:val="22"/>
          <w:szCs w:val="22"/>
          <w:lang w:val="lt-LT"/>
        </w:rPr>
        <w:t>2019 m. spalio 8 d. Ekonomikos ir inovacijų ministro įsakymais buvo patvirtinti du priemonės „Eksperimentas“ finansavimo sąlygų aprašai: Nr. 1 ir Nr. 2. Pagrindinis šių aprašų skirtumas tas, kad Aprašas Nr. 1 yra skirtas visos Lietuvos įmonėms, o Apraše Nr. 2 yra numatytas ribojimas pareiškėjams iš Vilniaus, Kauno miestų ir rajonų. Taip pat</w:t>
      </w:r>
      <w:r w:rsidR="00774E8A">
        <w:rPr>
          <w:rFonts w:ascii="Arial" w:hAnsi="Arial" w:cs="Arial"/>
          <w:i/>
          <w:sz w:val="22"/>
          <w:szCs w:val="22"/>
          <w:lang w:val="lt-LT"/>
        </w:rPr>
        <w:t>,</w:t>
      </w:r>
      <w:r w:rsidRPr="00897318">
        <w:rPr>
          <w:rFonts w:ascii="Arial" w:hAnsi="Arial" w:cs="Arial"/>
          <w:i/>
          <w:sz w:val="22"/>
          <w:szCs w:val="22"/>
          <w:lang w:val="lt-LT"/>
        </w:rPr>
        <w:t xml:space="preserve"> lyginat Aprašus</w:t>
      </w:r>
      <w:r w:rsidR="00774E8A">
        <w:rPr>
          <w:rFonts w:ascii="Arial" w:hAnsi="Arial" w:cs="Arial"/>
          <w:i/>
          <w:sz w:val="22"/>
          <w:szCs w:val="22"/>
          <w:lang w:val="lt-LT"/>
        </w:rPr>
        <w:t>,</w:t>
      </w:r>
      <w:r w:rsidRPr="00897318">
        <w:rPr>
          <w:rFonts w:ascii="Arial" w:hAnsi="Arial" w:cs="Arial"/>
          <w:i/>
          <w:sz w:val="22"/>
          <w:szCs w:val="22"/>
          <w:lang w:val="lt-LT"/>
        </w:rPr>
        <w:t xml:space="preserve"> galima išskirti ir kitų skirtumų:</w:t>
      </w:r>
    </w:p>
    <w:p w14:paraId="2CBE1389" w14:textId="77777777" w:rsidR="00897318" w:rsidRPr="00897318" w:rsidRDefault="00897318" w:rsidP="00897318">
      <w:pPr>
        <w:pStyle w:val="Sraopastraipa"/>
        <w:numPr>
          <w:ilvl w:val="0"/>
          <w:numId w:val="17"/>
        </w:numPr>
        <w:spacing w:after="0" w:line="240" w:lineRule="auto"/>
        <w:contextualSpacing w:val="0"/>
        <w:jc w:val="both"/>
        <w:rPr>
          <w:rFonts w:ascii="Arial" w:hAnsi="Arial" w:cs="Arial"/>
          <w:i/>
        </w:rPr>
      </w:pPr>
      <w:r w:rsidRPr="00897318">
        <w:rPr>
          <w:rFonts w:ascii="Arial" w:hAnsi="Arial" w:cs="Arial"/>
          <w:i/>
        </w:rPr>
        <w:t xml:space="preserve">skiriasi Aprašams numatyti finansavimo krepšeliai (50.004.007 </w:t>
      </w:r>
      <w:proofErr w:type="spellStart"/>
      <w:r w:rsidRPr="00897318">
        <w:rPr>
          <w:rFonts w:ascii="Arial" w:hAnsi="Arial" w:cs="Arial"/>
          <w:i/>
        </w:rPr>
        <w:t>Eur</w:t>
      </w:r>
      <w:proofErr w:type="spellEnd"/>
      <w:r w:rsidRPr="00897318">
        <w:rPr>
          <w:rFonts w:ascii="Arial" w:hAnsi="Arial" w:cs="Arial"/>
          <w:i/>
        </w:rPr>
        <w:t xml:space="preserve"> ir 22.700.00 </w:t>
      </w:r>
      <w:proofErr w:type="spellStart"/>
      <w:r w:rsidRPr="00897318">
        <w:rPr>
          <w:rFonts w:ascii="Arial" w:hAnsi="Arial" w:cs="Arial"/>
          <w:i/>
        </w:rPr>
        <w:t>Eur</w:t>
      </w:r>
      <w:proofErr w:type="spellEnd"/>
      <w:r w:rsidRPr="00897318">
        <w:rPr>
          <w:rFonts w:ascii="Arial" w:hAnsi="Arial" w:cs="Arial"/>
          <w:i/>
        </w:rPr>
        <w:t xml:space="preserve">); </w:t>
      </w:r>
    </w:p>
    <w:p w14:paraId="13004C0F" w14:textId="77777777" w:rsidR="00897318" w:rsidRPr="00897318" w:rsidRDefault="00897318" w:rsidP="00897318">
      <w:pPr>
        <w:pStyle w:val="Sraopastraipa"/>
        <w:numPr>
          <w:ilvl w:val="0"/>
          <w:numId w:val="16"/>
        </w:numPr>
        <w:spacing w:after="0" w:line="240" w:lineRule="auto"/>
        <w:contextualSpacing w:val="0"/>
        <w:jc w:val="both"/>
        <w:rPr>
          <w:rFonts w:ascii="Arial" w:hAnsi="Arial" w:cs="Arial"/>
          <w:i/>
        </w:rPr>
      </w:pPr>
      <w:r w:rsidRPr="00897318">
        <w:rPr>
          <w:rFonts w:ascii="Arial" w:hAnsi="Arial" w:cs="Arial"/>
          <w:i/>
        </w:rPr>
        <w:t>skiriasi minimalios ir maksimalios finansavimo sumos;</w:t>
      </w:r>
    </w:p>
    <w:p w14:paraId="0D729466" w14:textId="77777777" w:rsidR="00897318" w:rsidRPr="00897318" w:rsidRDefault="00897318" w:rsidP="00897318">
      <w:pPr>
        <w:pStyle w:val="Sraopastraipa"/>
        <w:numPr>
          <w:ilvl w:val="0"/>
          <w:numId w:val="16"/>
        </w:numPr>
        <w:spacing w:after="0" w:line="240" w:lineRule="auto"/>
        <w:contextualSpacing w:val="0"/>
        <w:jc w:val="both"/>
        <w:rPr>
          <w:rFonts w:ascii="Arial" w:hAnsi="Arial" w:cs="Arial"/>
          <w:i/>
        </w:rPr>
      </w:pPr>
      <w:r w:rsidRPr="00897318">
        <w:rPr>
          <w:rFonts w:ascii="Arial" w:hAnsi="Arial" w:cs="Arial"/>
          <w:i/>
        </w:rPr>
        <w:t>Apraše Nr. 2 nėra numatyta sertifikavimo veiklų;</w:t>
      </w:r>
    </w:p>
    <w:p w14:paraId="7FB3C253" w14:textId="77777777" w:rsidR="00897318" w:rsidRPr="00897318" w:rsidRDefault="00897318" w:rsidP="00897318">
      <w:pPr>
        <w:pStyle w:val="Sraopastraipa"/>
        <w:numPr>
          <w:ilvl w:val="0"/>
          <w:numId w:val="16"/>
        </w:numPr>
        <w:spacing w:after="0" w:line="240" w:lineRule="auto"/>
        <w:contextualSpacing w:val="0"/>
        <w:jc w:val="both"/>
        <w:rPr>
          <w:rFonts w:ascii="Arial" w:hAnsi="Arial" w:cs="Arial"/>
          <w:i/>
        </w:rPr>
      </w:pPr>
      <w:r w:rsidRPr="00897318">
        <w:rPr>
          <w:rFonts w:ascii="Arial" w:hAnsi="Arial" w:cs="Arial"/>
          <w:i/>
        </w:rPr>
        <w:t xml:space="preserve">Apraše Nr. 2 yra galimybė prašyti finansavimo pagal de </w:t>
      </w:r>
      <w:proofErr w:type="spellStart"/>
      <w:r w:rsidRPr="00897318">
        <w:rPr>
          <w:rFonts w:ascii="Arial" w:hAnsi="Arial" w:cs="Arial"/>
          <w:i/>
        </w:rPr>
        <w:t>minimis</w:t>
      </w:r>
      <w:proofErr w:type="spellEnd"/>
      <w:r w:rsidRPr="00897318">
        <w:rPr>
          <w:rFonts w:ascii="Arial" w:hAnsi="Arial" w:cs="Arial"/>
          <w:i/>
        </w:rPr>
        <w:t xml:space="preserve"> reglamentą;</w:t>
      </w:r>
    </w:p>
    <w:p w14:paraId="2E32EFFA" w14:textId="77777777" w:rsidR="00897318" w:rsidRPr="00897318" w:rsidRDefault="00897318" w:rsidP="00897318">
      <w:pPr>
        <w:pStyle w:val="Sraopastraipa"/>
        <w:numPr>
          <w:ilvl w:val="0"/>
          <w:numId w:val="16"/>
        </w:numPr>
        <w:spacing w:after="0" w:line="240" w:lineRule="auto"/>
        <w:contextualSpacing w:val="0"/>
        <w:jc w:val="both"/>
        <w:rPr>
          <w:rFonts w:ascii="Arial" w:hAnsi="Arial" w:cs="Arial"/>
          <w:i/>
        </w:rPr>
      </w:pPr>
      <w:r w:rsidRPr="00897318">
        <w:rPr>
          <w:rFonts w:ascii="Arial" w:hAnsi="Arial" w:cs="Arial"/>
          <w:i/>
        </w:rPr>
        <w:t>Apraše Nr. 2 nėra nustatyta minimalaus naudos ir kokybės vertinimo balo ir kt.</w:t>
      </w:r>
    </w:p>
    <w:p w14:paraId="732D0D2E" w14:textId="690B2A94" w:rsidR="00897318" w:rsidRPr="00897318" w:rsidRDefault="00897318" w:rsidP="00897318">
      <w:pPr>
        <w:pStyle w:val="Sraopastraipa"/>
        <w:tabs>
          <w:tab w:val="left" w:pos="829"/>
        </w:tabs>
        <w:ind w:left="0" w:right="102"/>
        <w:rPr>
          <w:rFonts w:ascii="Arial" w:hAnsi="Arial" w:cs="Arial"/>
        </w:rPr>
      </w:pPr>
      <w:r w:rsidRPr="00897318">
        <w:rPr>
          <w:rFonts w:ascii="Arial" w:hAnsi="Arial" w:cs="Arial"/>
          <w:i/>
        </w:rPr>
        <w:t>Detalesn</w:t>
      </w:r>
      <w:r w:rsidR="00774E8A">
        <w:rPr>
          <w:rFonts w:ascii="Arial" w:hAnsi="Arial" w:cs="Arial"/>
          <w:i/>
        </w:rPr>
        <w:t>ę</w:t>
      </w:r>
      <w:r w:rsidRPr="00897318">
        <w:rPr>
          <w:rFonts w:ascii="Arial" w:hAnsi="Arial" w:cs="Arial"/>
          <w:i/>
        </w:rPr>
        <w:t xml:space="preserve"> priemonės </w:t>
      </w:r>
      <w:r w:rsidR="00774E8A">
        <w:rPr>
          <w:rFonts w:ascii="Arial" w:hAnsi="Arial" w:cs="Arial"/>
          <w:i/>
        </w:rPr>
        <w:t>„</w:t>
      </w:r>
      <w:r w:rsidRPr="00897318">
        <w:rPr>
          <w:rFonts w:ascii="Arial" w:hAnsi="Arial" w:cs="Arial"/>
          <w:i/>
        </w:rPr>
        <w:t>Eksperimentas</w:t>
      </w:r>
      <w:r w:rsidR="00774E8A">
        <w:rPr>
          <w:rFonts w:ascii="Arial" w:hAnsi="Arial" w:cs="Arial"/>
          <w:i/>
        </w:rPr>
        <w:t>“</w:t>
      </w:r>
      <w:r w:rsidRPr="00897318">
        <w:rPr>
          <w:rFonts w:ascii="Arial" w:hAnsi="Arial" w:cs="Arial"/>
          <w:i/>
        </w:rPr>
        <w:t xml:space="preserve"> mokymų medžiagą </w:t>
      </w:r>
      <w:r w:rsidR="00774E8A">
        <w:rPr>
          <w:rFonts w:ascii="Arial" w:hAnsi="Arial" w:cs="Arial"/>
          <w:i/>
        </w:rPr>
        <w:t>rasite Lietuvos verslo paramos agentūros</w:t>
      </w:r>
      <w:r w:rsidRPr="00897318">
        <w:rPr>
          <w:rFonts w:ascii="Arial" w:hAnsi="Arial" w:cs="Arial"/>
          <w:i/>
        </w:rPr>
        <w:t xml:space="preserve"> tinklapyje: </w:t>
      </w:r>
      <w:hyperlink r:id="rId11" w:history="1">
        <w:r w:rsidRPr="00897318">
          <w:rPr>
            <w:rStyle w:val="Hipersaitas"/>
            <w:rFonts w:ascii="Arial" w:hAnsi="Arial" w:cs="Arial"/>
            <w:i/>
          </w:rPr>
          <w:t>http://lvpa.lt/lt/renginiai/1025</w:t>
        </w:r>
      </w:hyperlink>
    </w:p>
    <w:p w14:paraId="225F82DE" w14:textId="77777777" w:rsidR="00897318" w:rsidRPr="00897318" w:rsidRDefault="00897318" w:rsidP="00897318">
      <w:pPr>
        <w:tabs>
          <w:tab w:val="left" w:pos="829"/>
        </w:tabs>
        <w:rPr>
          <w:rFonts w:ascii="Arial" w:hAnsi="Arial" w:cs="Arial"/>
          <w:sz w:val="22"/>
          <w:szCs w:val="22"/>
          <w:lang w:val="lt-LT"/>
        </w:rPr>
      </w:pPr>
    </w:p>
    <w:p w14:paraId="452C3A84" w14:textId="2E2D5026" w:rsidR="00897318" w:rsidRPr="00897318" w:rsidRDefault="00897318" w:rsidP="00897318">
      <w:pPr>
        <w:pStyle w:val="Antrat1"/>
        <w:rPr>
          <w:lang w:val="lt-LT"/>
        </w:rPr>
      </w:pPr>
      <w:r w:rsidRPr="00897318">
        <w:rPr>
          <w:lang w:val="lt-LT"/>
        </w:rPr>
        <w:t xml:space="preserve"> Kokiais atvejais Europos Sąjungos pagalba pagal regioninį kvietimą (Nr. 2) teikiama vadovaujantis </w:t>
      </w:r>
      <w:hyperlink r:id="rId12" w:history="1">
        <w:r w:rsidRPr="00300583">
          <w:rPr>
            <w:rStyle w:val="Hipersaitas"/>
            <w:lang w:val="lt-LT"/>
          </w:rPr>
          <w:t>Bendruoju bendrosios išimties</w:t>
        </w:r>
      </w:hyperlink>
      <w:r w:rsidRPr="00897318">
        <w:rPr>
          <w:lang w:val="lt-LT"/>
        </w:rPr>
        <w:t xml:space="preserve"> ir kada - </w:t>
      </w:r>
      <w:hyperlink r:id="rId13" w:history="1">
        <w:r w:rsidRPr="00300583">
          <w:rPr>
            <w:rStyle w:val="Hipersaitas"/>
            <w:lang w:val="lt-LT"/>
          </w:rPr>
          <w:t xml:space="preserve">de </w:t>
        </w:r>
        <w:proofErr w:type="spellStart"/>
        <w:r w:rsidRPr="00300583">
          <w:rPr>
            <w:rStyle w:val="Hipersaitas"/>
            <w:lang w:val="lt-LT"/>
          </w:rPr>
          <w:t>minimis</w:t>
        </w:r>
        <w:proofErr w:type="spellEnd"/>
      </w:hyperlink>
      <w:r w:rsidRPr="00897318">
        <w:rPr>
          <w:lang w:val="lt-LT"/>
        </w:rPr>
        <w:t xml:space="preserve"> reglamentu? </w:t>
      </w:r>
    </w:p>
    <w:p w14:paraId="4CCDB8D0" w14:textId="77777777" w:rsidR="00897318" w:rsidRPr="00897318" w:rsidRDefault="00897318" w:rsidP="00897318">
      <w:pPr>
        <w:tabs>
          <w:tab w:val="left" w:pos="829"/>
        </w:tabs>
        <w:ind w:left="468"/>
        <w:rPr>
          <w:rFonts w:ascii="Arial" w:hAnsi="Arial" w:cs="Arial"/>
          <w:sz w:val="22"/>
          <w:szCs w:val="22"/>
          <w:lang w:val="lt-LT"/>
        </w:rPr>
      </w:pPr>
    </w:p>
    <w:p w14:paraId="0B37DBC2" w14:textId="51CEA09C" w:rsidR="00897318" w:rsidRPr="00897318" w:rsidRDefault="00897318" w:rsidP="00897318">
      <w:pPr>
        <w:tabs>
          <w:tab w:val="left" w:pos="829"/>
        </w:tabs>
        <w:jc w:val="both"/>
        <w:rPr>
          <w:rFonts w:ascii="Arial" w:hAnsi="Arial" w:cs="Arial"/>
          <w:i/>
          <w:sz w:val="22"/>
          <w:szCs w:val="22"/>
          <w:lang w:val="lt-LT"/>
        </w:rPr>
      </w:pPr>
      <w:r w:rsidRPr="00897318">
        <w:rPr>
          <w:rFonts w:ascii="Arial" w:hAnsi="Arial" w:cs="Arial"/>
          <w:i/>
          <w:sz w:val="22"/>
          <w:szCs w:val="22"/>
          <w:lang w:val="lt-LT"/>
        </w:rPr>
        <w:t xml:space="preserve">Įmonė turi pasirinkti, pagal kurį reglamentą įgyvendins priemonės „Eksperimentas“ projektą. Nuo to priklauso, į kokį projekto finansavimo dydį ir intensyvumą galės pretenduoti įmonė. Pagal de </w:t>
      </w:r>
      <w:proofErr w:type="spellStart"/>
      <w:r w:rsidRPr="00897318">
        <w:rPr>
          <w:rFonts w:ascii="Arial" w:hAnsi="Arial" w:cs="Arial"/>
          <w:i/>
          <w:sz w:val="22"/>
          <w:szCs w:val="22"/>
          <w:lang w:val="lt-LT"/>
        </w:rPr>
        <w:t>minimis</w:t>
      </w:r>
      <w:proofErr w:type="spellEnd"/>
      <w:r w:rsidRPr="00897318">
        <w:rPr>
          <w:rFonts w:ascii="Arial" w:hAnsi="Arial" w:cs="Arial"/>
          <w:i/>
          <w:sz w:val="22"/>
          <w:szCs w:val="22"/>
          <w:lang w:val="lt-LT"/>
        </w:rPr>
        <w:t xml:space="preserve"> reglamentą didžiausia galima </w:t>
      </w:r>
      <w:r w:rsidR="00300583">
        <w:rPr>
          <w:rFonts w:ascii="Arial" w:hAnsi="Arial" w:cs="Arial"/>
          <w:i/>
          <w:sz w:val="22"/>
          <w:szCs w:val="22"/>
          <w:lang w:val="lt-LT"/>
        </w:rPr>
        <w:t>investicijos</w:t>
      </w:r>
      <w:r w:rsidR="00300583" w:rsidRPr="00897318">
        <w:rPr>
          <w:rFonts w:ascii="Arial" w:hAnsi="Arial" w:cs="Arial"/>
          <w:i/>
          <w:sz w:val="22"/>
          <w:szCs w:val="22"/>
          <w:lang w:val="lt-LT"/>
        </w:rPr>
        <w:t xml:space="preserve"> </w:t>
      </w:r>
      <w:r w:rsidRPr="00897318">
        <w:rPr>
          <w:rFonts w:ascii="Arial" w:hAnsi="Arial" w:cs="Arial"/>
          <w:i/>
          <w:sz w:val="22"/>
          <w:szCs w:val="22"/>
          <w:lang w:val="lt-LT"/>
        </w:rPr>
        <w:t xml:space="preserve">suma yra iki 200.000 </w:t>
      </w:r>
      <w:proofErr w:type="spellStart"/>
      <w:r w:rsidRPr="00897318">
        <w:rPr>
          <w:rFonts w:ascii="Arial" w:hAnsi="Arial" w:cs="Arial"/>
          <w:i/>
          <w:sz w:val="22"/>
          <w:szCs w:val="22"/>
          <w:lang w:val="lt-LT"/>
        </w:rPr>
        <w:t>Eur</w:t>
      </w:r>
      <w:proofErr w:type="spellEnd"/>
      <w:r w:rsidRPr="00897318">
        <w:rPr>
          <w:rFonts w:ascii="Arial" w:hAnsi="Arial" w:cs="Arial"/>
          <w:i/>
          <w:sz w:val="22"/>
          <w:szCs w:val="22"/>
          <w:lang w:val="lt-LT"/>
        </w:rPr>
        <w:t xml:space="preserve">, finansavimo intensyvumas – nuo 50 proc. iki 70 proc. nuo tinkamų projekto išlaidų priklausomai nuo įmonės dydžio. Pagal Bendrąjį bendrosios išimties reglamentą didžiausia galima </w:t>
      </w:r>
      <w:r w:rsidR="00FB4D3E">
        <w:rPr>
          <w:rFonts w:ascii="Arial" w:hAnsi="Arial" w:cs="Arial"/>
          <w:i/>
          <w:sz w:val="22"/>
          <w:szCs w:val="22"/>
          <w:lang w:val="lt-LT"/>
        </w:rPr>
        <w:t>investicijos</w:t>
      </w:r>
      <w:r w:rsidR="00FB4D3E" w:rsidRPr="00897318">
        <w:rPr>
          <w:rFonts w:ascii="Arial" w:hAnsi="Arial" w:cs="Arial"/>
          <w:i/>
          <w:sz w:val="22"/>
          <w:szCs w:val="22"/>
          <w:lang w:val="lt-LT"/>
        </w:rPr>
        <w:t xml:space="preserve"> </w:t>
      </w:r>
      <w:r w:rsidRPr="00897318">
        <w:rPr>
          <w:rFonts w:ascii="Arial" w:hAnsi="Arial" w:cs="Arial"/>
          <w:i/>
          <w:sz w:val="22"/>
          <w:szCs w:val="22"/>
          <w:lang w:val="lt-LT"/>
        </w:rPr>
        <w:t xml:space="preserve">suma – iki 900.000 </w:t>
      </w:r>
      <w:proofErr w:type="spellStart"/>
      <w:r w:rsidRPr="00897318">
        <w:rPr>
          <w:rFonts w:ascii="Arial" w:hAnsi="Arial" w:cs="Arial"/>
          <w:i/>
          <w:sz w:val="22"/>
          <w:szCs w:val="22"/>
          <w:lang w:val="lt-LT"/>
        </w:rPr>
        <w:t>Eur</w:t>
      </w:r>
      <w:proofErr w:type="spellEnd"/>
      <w:r w:rsidRPr="00897318">
        <w:rPr>
          <w:rFonts w:ascii="Arial" w:hAnsi="Arial" w:cs="Arial"/>
          <w:i/>
          <w:sz w:val="22"/>
          <w:szCs w:val="22"/>
          <w:lang w:val="lt-LT"/>
        </w:rPr>
        <w:t xml:space="preserve">, </w:t>
      </w:r>
      <w:r w:rsidR="00FB4D3E">
        <w:rPr>
          <w:rFonts w:ascii="Arial" w:hAnsi="Arial" w:cs="Arial"/>
          <w:i/>
          <w:sz w:val="22"/>
          <w:szCs w:val="22"/>
          <w:lang w:val="lt-LT"/>
        </w:rPr>
        <w:t>investicijos</w:t>
      </w:r>
      <w:r w:rsidR="00FB4D3E" w:rsidRPr="00897318">
        <w:rPr>
          <w:rFonts w:ascii="Arial" w:hAnsi="Arial" w:cs="Arial"/>
          <w:i/>
          <w:sz w:val="22"/>
          <w:szCs w:val="22"/>
          <w:lang w:val="lt-LT"/>
        </w:rPr>
        <w:t xml:space="preserve"> </w:t>
      </w:r>
      <w:r w:rsidRPr="00897318">
        <w:rPr>
          <w:rFonts w:ascii="Arial" w:hAnsi="Arial" w:cs="Arial"/>
          <w:i/>
          <w:sz w:val="22"/>
          <w:szCs w:val="22"/>
          <w:lang w:val="lt-LT"/>
        </w:rPr>
        <w:t xml:space="preserve">intensyvumas priklauso nuo planuojamų vykdyti veiklų ir įmonės dydžio. Galima prašyti finansavimo arba pagal de </w:t>
      </w:r>
      <w:proofErr w:type="spellStart"/>
      <w:r w:rsidRPr="00897318">
        <w:rPr>
          <w:rFonts w:ascii="Arial" w:hAnsi="Arial" w:cs="Arial"/>
          <w:i/>
          <w:sz w:val="22"/>
          <w:szCs w:val="22"/>
          <w:lang w:val="lt-LT"/>
        </w:rPr>
        <w:t>minimis</w:t>
      </w:r>
      <w:proofErr w:type="spellEnd"/>
      <w:r w:rsidRPr="00897318">
        <w:rPr>
          <w:rFonts w:ascii="Arial" w:hAnsi="Arial" w:cs="Arial"/>
          <w:i/>
          <w:sz w:val="22"/>
          <w:szCs w:val="22"/>
          <w:lang w:val="lt-LT"/>
        </w:rPr>
        <w:t xml:space="preserve"> reglamentą, arba pagal bendrąjį bendrosios išimties reglamentą. Pasirinkimas gali priklausyti nuo to, kokios apimties projektą pareiškėjas planuoja įgyvendinti, kokio dydžio </w:t>
      </w:r>
      <w:r w:rsidR="00FB4D3E">
        <w:rPr>
          <w:rFonts w:ascii="Arial" w:hAnsi="Arial" w:cs="Arial"/>
          <w:i/>
          <w:sz w:val="22"/>
          <w:szCs w:val="22"/>
          <w:lang w:val="lt-LT"/>
        </w:rPr>
        <w:t>investicijos</w:t>
      </w:r>
      <w:r w:rsidR="00FB4D3E" w:rsidRPr="00897318">
        <w:rPr>
          <w:rFonts w:ascii="Arial" w:hAnsi="Arial" w:cs="Arial"/>
          <w:i/>
          <w:sz w:val="22"/>
          <w:szCs w:val="22"/>
          <w:lang w:val="lt-LT"/>
        </w:rPr>
        <w:t xml:space="preserve"> </w:t>
      </w:r>
      <w:r w:rsidRPr="00897318">
        <w:rPr>
          <w:rFonts w:ascii="Arial" w:hAnsi="Arial" w:cs="Arial"/>
          <w:i/>
          <w:sz w:val="22"/>
          <w:szCs w:val="22"/>
          <w:lang w:val="lt-LT"/>
        </w:rPr>
        <w:t xml:space="preserve">jam reiktų, ar užtenka nepanaudoto de </w:t>
      </w:r>
      <w:proofErr w:type="spellStart"/>
      <w:r w:rsidRPr="00897318">
        <w:rPr>
          <w:rFonts w:ascii="Arial" w:hAnsi="Arial" w:cs="Arial"/>
          <w:i/>
          <w:sz w:val="22"/>
          <w:szCs w:val="22"/>
          <w:lang w:val="lt-LT"/>
        </w:rPr>
        <w:t>minimis</w:t>
      </w:r>
      <w:proofErr w:type="spellEnd"/>
      <w:r w:rsidRPr="00897318">
        <w:rPr>
          <w:rFonts w:ascii="Arial" w:hAnsi="Arial" w:cs="Arial"/>
          <w:i/>
          <w:sz w:val="22"/>
          <w:szCs w:val="22"/>
          <w:lang w:val="lt-LT"/>
        </w:rPr>
        <w:t xml:space="preserve"> pagalbos likučio ir ar neplanuojama de </w:t>
      </w:r>
      <w:proofErr w:type="spellStart"/>
      <w:r w:rsidRPr="00897318">
        <w:rPr>
          <w:rFonts w:ascii="Arial" w:hAnsi="Arial" w:cs="Arial"/>
          <w:i/>
          <w:sz w:val="22"/>
          <w:szCs w:val="22"/>
          <w:lang w:val="lt-LT"/>
        </w:rPr>
        <w:t>minimis</w:t>
      </w:r>
      <w:proofErr w:type="spellEnd"/>
      <w:r w:rsidRPr="00897318">
        <w:rPr>
          <w:rFonts w:ascii="Arial" w:hAnsi="Arial" w:cs="Arial"/>
          <w:i/>
          <w:sz w:val="22"/>
          <w:szCs w:val="22"/>
          <w:lang w:val="lt-LT"/>
        </w:rPr>
        <w:t xml:space="preserve"> pagalbos prašyti kitiems projektams (didžiausia galima suma 200.000 </w:t>
      </w:r>
      <w:proofErr w:type="spellStart"/>
      <w:r w:rsidRPr="00897318">
        <w:rPr>
          <w:rFonts w:ascii="Arial" w:hAnsi="Arial" w:cs="Arial"/>
          <w:i/>
          <w:sz w:val="22"/>
          <w:szCs w:val="22"/>
          <w:lang w:val="lt-LT"/>
        </w:rPr>
        <w:t>Eur</w:t>
      </w:r>
      <w:proofErr w:type="spellEnd"/>
      <w:r w:rsidRPr="00897318">
        <w:rPr>
          <w:rFonts w:ascii="Arial" w:hAnsi="Arial" w:cs="Arial"/>
          <w:i/>
          <w:sz w:val="22"/>
          <w:szCs w:val="22"/>
          <w:lang w:val="lt-LT"/>
        </w:rPr>
        <w:t xml:space="preserve"> per 3 paskutinius metus), kokio dydžio nuosavą indėlį pareiškėjas gali skirti.</w:t>
      </w:r>
    </w:p>
    <w:p w14:paraId="78F64CEF" w14:textId="77777777" w:rsidR="00897318" w:rsidRPr="00897318" w:rsidRDefault="00897318" w:rsidP="00897318">
      <w:pPr>
        <w:tabs>
          <w:tab w:val="left" w:pos="829"/>
        </w:tabs>
        <w:ind w:left="468"/>
        <w:rPr>
          <w:rFonts w:ascii="Arial" w:hAnsi="Arial" w:cs="Arial"/>
          <w:i/>
          <w:sz w:val="22"/>
          <w:szCs w:val="22"/>
          <w:lang w:val="lt-LT"/>
        </w:rPr>
      </w:pPr>
    </w:p>
    <w:p w14:paraId="1BF25427" w14:textId="77777777" w:rsidR="00897318" w:rsidRPr="00897318" w:rsidRDefault="00897318" w:rsidP="00897318">
      <w:pPr>
        <w:pStyle w:val="Antrat1"/>
        <w:rPr>
          <w:lang w:val="lt-LT"/>
        </w:rPr>
      </w:pPr>
      <w:r w:rsidRPr="00897318">
        <w:rPr>
          <w:lang w:val="lt-LT"/>
        </w:rPr>
        <w:t xml:space="preserve"> Ar viena įmonė gali būti pareiškėju vienoje paraiškoje, o kitoje paraiškoje dalyvauti kaip partneris?</w:t>
      </w:r>
    </w:p>
    <w:p w14:paraId="3A93223A" w14:textId="77777777" w:rsidR="00897318" w:rsidRPr="00897318" w:rsidRDefault="00897318" w:rsidP="00897318">
      <w:pPr>
        <w:pStyle w:val="Sraopastraipa"/>
        <w:tabs>
          <w:tab w:val="left" w:pos="829"/>
        </w:tabs>
        <w:rPr>
          <w:rFonts w:ascii="Arial" w:hAnsi="Arial" w:cs="Arial"/>
        </w:rPr>
      </w:pPr>
    </w:p>
    <w:p w14:paraId="1B228BC0" w14:textId="6C6D4D80" w:rsidR="00774E8A" w:rsidRPr="00897318" w:rsidRDefault="00897318" w:rsidP="00897318">
      <w:pPr>
        <w:rPr>
          <w:rFonts w:ascii="Arial" w:hAnsi="Arial" w:cs="Arial"/>
          <w:i/>
          <w:sz w:val="22"/>
          <w:szCs w:val="22"/>
          <w:lang w:val="lt-LT"/>
        </w:rPr>
      </w:pPr>
      <w:r w:rsidRPr="00897318">
        <w:rPr>
          <w:rFonts w:ascii="Arial" w:hAnsi="Arial" w:cs="Arial"/>
          <w:i/>
          <w:sz w:val="22"/>
          <w:szCs w:val="22"/>
          <w:lang w:val="lt-LT"/>
        </w:rPr>
        <w:t>Viena įmonė pareiškėju gali būti tik vienoje paraiškoje pagal pasirinktą kvietimą, tuo tarpu partneriu ji gali būti ir daugiau nei vienoje paraiškoje, t. y. paraiškų skaičius, kur viena įmonė gali būti partneriu, nėra ribojamas.</w:t>
      </w:r>
    </w:p>
    <w:p w14:paraId="1F2A3B50" w14:textId="77777777" w:rsidR="00897318" w:rsidRPr="00897318" w:rsidRDefault="00897318" w:rsidP="00897318">
      <w:pPr>
        <w:rPr>
          <w:rFonts w:ascii="Arial" w:hAnsi="Arial" w:cs="Arial"/>
          <w:i/>
          <w:sz w:val="22"/>
          <w:szCs w:val="22"/>
          <w:lang w:val="lt-LT"/>
        </w:rPr>
      </w:pPr>
    </w:p>
    <w:p w14:paraId="3232241C" w14:textId="77777777" w:rsidR="00897318" w:rsidRPr="00897318" w:rsidRDefault="00897318" w:rsidP="00897318">
      <w:pPr>
        <w:pStyle w:val="Antrat1"/>
        <w:rPr>
          <w:lang w:val="lt-LT"/>
        </w:rPr>
      </w:pPr>
      <w:r w:rsidRPr="00897318">
        <w:rPr>
          <w:lang w:val="lt-LT"/>
        </w:rPr>
        <w:t xml:space="preserve"> Ar gali projekte rengiamame pagal „Eksperimentas“ priemonę partneriu būti įmonė, kurios statusas yra „Užsienio juridinio asmens filialas Lietuvoje“?</w:t>
      </w:r>
    </w:p>
    <w:p w14:paraId="48A01AEA" w14:textId="77777777" w:rsidR="00897318" w:rsidRPr="00897318" w:rsidRDefault="00897318" w:rsidP="00897318">
      <w:pPr>
        <w:tabs>
          <w:tab w:val="left" w:pos="829"/>
        </w:tabs>
        <w:rPr>
          <w:rFonts w:ascii="Arial" w:hAnsi="Arial" w:cs="Arial"/>
          <w:sz w:val="22"/>
          <w:szCs w:val="22"/>
          <w:lang w:val="lt-LT"/>
        </w:rPr>
      </w:pPr>
    </w:p>
    <w:p w14:paraId="41356D8E" w14:textId="77777777" w:rsidR="00897318" w:rsidRPr="00897318" w:rsidRDefault="00897318" w:rsidP="00897318">
      <w:pPr>
        <w:jc w:val="both"/>
        <w:rPr>
          <w:rFonts w:ascii="Arial" w:hAnsi="Arial" w:cs="Arial"/>
          <w:i/>
          <w:sz w:val="22"/>
          <w:szCs w:val="22"/>
          <w:lang w:val="lt-LT"/>
        </w:rPr>
      </w:pPr>
      <w:r w:rsidRPr="00897318">
        <w:rPr>
          <w:rFonts w:ascii="Arial" w:hAnsi="Arial" w:cs="Arial"/>
          <w:i/>
          <w:sz w:val="22"/>
          <w:szCs w:val="22"/>
          <w:lang w:val="lt-LT"/>
        </w:rPr>
        <w:t>Atskiri apribojimai partneriui, kuris yra užsienio juridinio asmens filialas Lietuvoje, priemonės „Eksperimentas“ Apraše nėra numatyti. Tačiau atkreiptinas dėmesys, kad partneris, bet kokiu atveju, turi atitikti visus Apraše keliamus tinkamumo reikalavimus.</w:t>
      </w:r>
    </w:p>
    <w:p w14:paraId="39B8C5AA" w14:textId="77777777" w:rsidR="00897318" w:rsidRPr="00897318" w:rsidRDefault="00897318" w:rsidP="00897318">
      <w:pPr>
        <w:jc w:val="both"/>
        <w:rPr>
          <w:rFonts w:ascii="Arial" w:hAnsi="Arial" w:cs="Arial"/>
          <w:i/>
          <w:sz w:val="22"/>
          <w:szCs w:val="22"/>
          <w:lang w:val="lt-LT"/>
        </w:rPr>
      </w:pPr>
    </w:p>
    <w:p w14:paraId="0083E5E0" w14:textId="77777777" w:rsidR="00897318" w:rsidRPr="00897318" w:rsidRDefault="00897318" w:rsidP="00897318">
      <w:pPr>
        <w:pStyle w:val="Antrat1"/>
        <w:rPr>
          <w:lang w:val="lt-LT"/>
        </w:rPr>
      </w:pPr>
      <w:r w:rsidRPr="00897318">
        <w:rPr>
          <w:lang w:val="lt-LT"/>
        </w:rPr>
        <w:t xml:space="preserve"> Dėl užsienyje esančių mokslo ir studijų institucijų dalyvavimo projektuose pagal priemonę „Eksperimentas“: ar užsienio institucijos gali būti projekto partneriai? Ar perkant iš šių institucijų paslaugas yra taikomi kokie nors apribojimai paslaugų sumai ar institucijos registracijos šaliai?</w:t>
      </w:r>
    </w:p>
    <w:p w14:paraId="5F16710E" w14:textId="77777777" w:rsidR="00897318" w:rsidRPr="00897318" w:rsidRDefault="00897318" w:rsidP="00897318">
      <w:pPr>
        <w:jc w:val="both"/>
        <w:rPr>
          <w:rFonts w:ascii="Arial" w:hAnsi="Arial" w:cs="Arial"/>
          <w:i/>
          <w:sz w:val="22"/>
          <w:szCs w:val="22"/>
          <w:lang w:val="lt-LT"/>
        </w:rPr>
      </w:pPr>
    </w:p>
    <w:p w14:paraId="7AFC0624" w14:textId="7EF45F3A" w:rsidR="00897318" w:rsidRPr="00897318" w:rsidRDefault="00897318" w:rsidP="00897318">
      <w:pPr>
        <w:jc w:val="both"/>
        <w:rPr>
          <w:rFonts w:ascii="Arial" w:hAnsi="Arial" w:cs="Arial"/>
          <w:i/>
          <w:sz w:val="22"/>
          <w:szCs w:val="22"/>
          <w:lang w:val="lt-LT"/>
        </w:rPr>
      </w:pPr>
      <w:r w:rsidRPr="00897318">
        <w:rPr>
          <w:rFonts w:ascii="Arial" w:hAnsi="Arial" w:cs="Arial"/>
          <w:i/>
          <w:sz w:val="22"/>
          <w:szCs w:val="22"/>
          <w:lang w:val="lt-LT"/>
        </w:rPr>
        <w:t xml:space="preserve">Užsienyje (ES valstybėje narėje) registruota mokslo ir studijų institucija gali dalyvauti projekte projekto partnerio teisėmis, tačiau turėtų būti tenkinamas Aprašo 30 punkto reikalavimas, kuriame numatyta, kad „Projekto veiklos turi būti vykdomos Lietuvos Respublikoje arba kitose ES valstybėse narėse, jei jas vykdant sukurti produktai, rezultatai ir nauda (ar jų dalis, proporcinga Lietuvos Respublikos finansiniam įnašui) atitenka Lietuvos Respublikai. Jeigu projektų veiklos vykdomos ne Lietuvos Respublikoje, tokių veiklų išlaidos neturi viršyti 15 procentų projekto tinkamų finansuoti išlaidų sumos. Projekto veiklų vykdymo vieta yra laikoma vieta, kurioje projekto veiklą vykdo projektą vykdantis personalas, kaip jis apibrėžtas </w:t>
      </w:r>
      <w:hyperlink r:id="rId14" w:history="1">
        <w:r w:rsidRPr="00FB4D3E">
          <w:rPr>
            <w:rStyle w:val="Hipersaitas"/>
            <w:rFonts w:ascii="Arial" w:hAnsi="Arial" w:cs="Arial"/>
            <w:i/>
            <w:sz w:val="22"/>
            <w:szCs w:val="22"/>
            <w:lang w:val="lt-LT"/>
          </w:rPr>
          <w:t>Rekomendacijose dėl projektų išlaidų atitikties Europos Sąjungos struktūrinių fondų reikalavimams.</w:t>
        </w:r>
      </w:hyperlink>
    </w:p>
    <w:p w14:paraId="31849980" w14:textId="77777777" w:rsidR="00897318" w:rsidRPr="00897318" w:rsidRDefault="00897318" w:rsidP="00897318">
      <w:pPr>
        <w:pStyle w:val="Sraopastraipa"/>
        <w:rPr>
          <w:rFonts w:ascii="Arial" w:hAnsi="Arial" w:cs="Arial"/>
          <w:i/>
        </w:rPr>
      </w:pPr>
    </w:p>
    <w:p w14:paraId="4701983E" w14:textId="77777777" w:rsidR="00897318" w:rsidRPr="00897318" w:rsidRDefault="00897318" w:rsidP="00897318">
      <w:pPr>
        <w:jc w:val="both"/>
        <w:rPr>
          <w:rFonts w:ascii="Arial" w:hAnsi="Arial" w:cs="Arial"/>
          <w:i/>
          <w:sz w:val="22"/>
          <w:szCs w:val="22"/>
          <w:lang w:val="lt-LT"/>
        </w:rPr>
      </w:pPr>
      <w:r w:rsidRPr="00897318">
        <w:rPr>
          <w:rFonts w:ascii="Arial" w:hAnsi="Arial" w:cs="Arial"/>
          <w:i/>
          <w:sz w:val="22"/>
          <w:szCs w:val="22"/>
          <w:lang w:val="lt-LT"/>
        </w:rPr>
        <w:t>Perkant paslaugas iš užsienio šalyje registruotos mokslo ir studijų institucijos taikomas apribojimas – paslaugų išlaidos turi neviršyti 50 proc. Aprašo 10.1 veiklos tinkamų finansuoti išlaidų. Taip pat turi būti tenkinamas Aprašo 2 lentelėje nustatytas reikalavimas, jog „paslaugos įsigyjamos iš išorės šaltinių įprastomis rinkos sąlygomis, t. y. kai perkama iš išorinių šaltinių už rinkos kainas, pagal šalių sudarytą sandorį, kai nėra jokių susijusių slapto susitarimo elementų“. Institucijos registracijos šaliai paslaugų įsigijimo atveju apribojimų nėra.</w:t>
      </w:r>
    </w:p>
    <w:p w14:paraId="233A6D13" w14:textId="77777777" w:rsidR="00897318" w:rsidRPr="00897318" w:rsidRDefault="00897318" w:rsidP="00897318">
      <w:pPr>
        <w:rPr>
          <w:rFonts w:ascii="Arial" w:hAnsi="Arial" w:cs="Arial"/>
          <w:i/>
          <w:sz w:val="22"/>
          <w:szCs w:val="22"/>
          <w:lang w:val="lt-LT"/>
        </w:rPr>
      </w:pPr>
    </w:p>
    <w:p w14:paraId="1377309F" w14:textId="77777777" w:rsidR="00897318" w:rsidRPr="00897318" w:rsidRDefault="00897318" w:rsidP="00897318">
      <w:pPr>
        <w:pStyle w:val="Antrat1"/>
        <w:rPr>
          <w:lang w:val="lt-LT"/>
        </w:rPr>
      </w:pPr>
      <w:r w:rsidRPr="00897318">
        <w:rPr>
          <w:lang w:val="lt-LT"/>
        </w:rPr>
        <w:t xml:space="preserve"> Įmonė registruota Trakuose, tačiau jos buveinė (biuras) yra Vilniuje, ar tokia įmonė gali dalyvauti regioniniame kvietime?</w:t>
      </w:r>
    </w:p>
    <w:p w14:paraId="5E90F882" w14:textId="77777777" w:rsidR="00897318" w:rsidRPr="00897318" w:rsidRDefault="00897318" w:rsidP="00897318">
      <w:pPr>
        <w:tabs>
          <w:tab w:val="left" w:pos="829"/>
        </w:tabs>
        <w:ind w:right="102"/>
        <w:rPr>
          <w:rFonts w:ascii="Arial" w:hAnsi="Arial" w:cs="Arial"/>
          <w:sz w:val="22"/>
          <w:szCs w:val="22"/>
          <w:lang w:val="lt-LT"/>
        </w:rPr>
      </w:pPr>
    </w:p>
    <w:p w14:paraId="7A9A8EA1" w14:textId="38430A42" w:rsidR="00897318" w:rsidRPr="00897318" w:rsidRDefault="00897318" w:rsidP="00897318">
      <w:pPr>
        <w:tabs>
          <w:tab w:val="left" w:pos="829"/>
        </w:tabs>
        <w:ind w:right="102"/>
        <w:jc w:val="both"/>
        <w:rPr>
          <w:rFonts w:ascii="Arial" w:hAnsi="Arial" w:cs="Arial"/>
          <w:i/>
          <w:sz w:val="22"/>
          <w:szCs w:val="22"/>
          <w:lang w:val="lt-LT"/>
        </w:rPr>
      </w:pPr>
      <w:r w:rsidRPr="00897318">
        <w:rPr>
          <w:rFonts w:ascii="Arial" w:hAnsi="Arial" w:cs="Arial"/>
          <w:i/>
          <w:sz w:val="22"/>
          <w:szCs w:val="22"/>
          <w:lang w:val="lt-LT"/>
        </w:rPr>
        <w:t>Tuo atveju, jei projekte planuojama vykdyti tik Aprašo 10.1 papunktyje numatytą veiklą – vertinama pagal pareiškėjo registracijos vietą, o jei numatoma vykdyti ir</w:t>
      </w:r>
      <w:r w:rsidR="00774E8A">
        <w:rPr>
          <w:rFonts w:ascii="Arial" w:hAnsi="Arial" w:cs="Arial"/>
          <w:i/>
          <w:sz w:val="22"/>
          <w:szCs w:val="22"/>
          <w:lang w:val="lt-LT"/>
        </w:rPr>
        <w:t xml:space="preserve"> veiklą</w:t>
      </w:r>
      <w:r w:rsidRPr="00897318">
        <w:rPr>
          <w:rFonts w:ascii="Arial" w:hAnsi="Arial" w:cs="Arial"/>
          <w:i/>
          <w:sz w:val="22"/>
          <w:szCs w:val="22"/>
          <w:lang w:val="lt-LT"/>
        </w:rPr>
        <w:t xml:space="preserve"> 10.2 papunktyje – pagal kuriamos ar plečiamos MTEP ir inovacijų infrastruktūros vietą.</w:t>
      </w:r>
    </w:p>
    <w:p w14:paraId="165EBCEA" w14:textId="77777777" w:rsidR="00897318" w:rsidRPr="00897318" w:rsidRDefault="00897318" w:rsidP="00897318">
      <w:pPr>
        <w:tabs>
          <w:tab w:val="left" w:pos="829"/>
        </w:tabs>
        <w:ind w:right="102"/>
        <w:rPr>
          <w:rFonts w:ascii="Arial" w:hAnsi="Arial" w:cs="Arial"/>
          <w:sz w:val="22"/>
          <w:szCs w:val="22"/>
          <w:lang w:val="lt-LT"/>
        </w:rPr>
      </w:pPr>
    </w:p>
    <w:p w14:paraId="4B820B63" w14:textId="77777777" w:rsidR="00897318" w:rsidRPr="00897318" w:rsidRDefault="00897318" w:rsidP="00897318">
      <w:pPr>
        <w:pStyle w:val="Antrat1"/>
        <w:rPr>
          <w:lang w:val="lt-LT"/>
        </w:rPr>
      </w:pPr>
      <w:r w:rsidRPr="00897318">
        <w:rPr>
          <w:lang w:val="lt-LT"/>
        </w:rPr>
        <w:t xml:space="preserve"> Ar projekto partneriai gali dalyvauti antroje (10.2) priemonės „Eksperimentas“ veikloje – t. y. įsigyti įrangą?</w:t>
      </w:r>
    </w:p>
    <w:p w14:paraId="56FBBF83" w14:textId="77777777" w:rsidR="00897318" w:rsidRPr="00897318" w:rsidRDefault="00897318" w:rsidP="00897318">
      <w:pPr>
        <w:pStyle w:val="Sraopastraipa"/>
        <w:tabs>
          <w:tab w:val="left" w:pos="829"/>
        </w:tabs>
        <w:ind w:right="102"/>
        <w:rPr>
          <w:rFonts w:ascii="Arial" w:hAnsi="Arial" w:cs="Arial"/>
        </w:rPr>
      </w:pPr>
    </w:p>
    <w:p w14:paraId="12EEE9AC" w14:textId="7FF63D1C" w:rsidR="00897318" w:rsidRPr="00897318" w:rsidRDefault="00897318" w:rsidP="00897318">
      <w:pPr>
        <w:jc w:val="both"/>
        <w:rPr>
          <w:rFonts w:ascii="Arial" w:hAnsi="Arial" w:cs="Arial"/>
          <w:i/>
          <w:sz w:val="22"/>
          <w:szCs w:val="22"/>
          <w:lang w:val="lt-LT"/>
        </w:rPr>
      </w:pPr>
      <w:r w:rsidRPr="00897318">
        <w:rPr>
          <w:rFonts w:ascii="Arial" w:hAnsi="Arial" w:cs="Arial"/>
          <w:i/>
          <w:sz w:val="22"/>
          <w:szCs w:val="22"/>
          <w:lang w:val="lt-LT"/>
        </w:rPr>
        <w:t>Priemonės „Eksperimentas“ 10.2 veikloje gali dalyvauti ir partneris. Jei projektas įgyvendinamas su partneriais, partneris turi patirti ne daugiau kaip 50 procentų tinkamų finansuoti Aprašo 10.2 papunktyje nurodytai veiklai skirtų išlaidų. Pareiškėjas ir (ar) partneris (-</w:t>
      </w:r>
      <w:proofErr w:type="spellStart"/>
      <w:r w:rsidRPr="00897318">
        <w:rPr>
          <w:rFonts w:ascii="Arial" w:hAnsi="Arial" w:cs="Arial"/>
          <w:i/>
          <w:sz w:val="22"/>
          <w:szCs w:val="22"/>
          <w:lang w:val="lt-LT"/>
        </w:rPr>
        <w:t>iai</w:t>
      </w:r>
      <w:proofErr w:type="spellEnd"/>
      <w:r w:rsidRPr="00897318">
        <w:rPr>
          <w:rFonts w:ascii="Arial" w:hAnsi="Arial" w:cs="Arial"/>
          <w:i/>
          <w:sz w:val="22"/>
          <w:szCs w:val="22"/>
          <w:lang w:val="lt-LT"/>
        </w:rPr>
        <w:t xml:space="preserve">) arba iš nuosavų išteklių, arba iš išorės gautų lėšų, teikiamų be jokios viešosios </w:t>
      </w:r>
      <w:r w:rsidR="00FB4D3E">
        <w:rPr>
          <w:rFonts w:ascii="Arial" w:hAnsi="Arial" w:cs="Arial"/>
          <w:i/>
          <w:sz w:val="22"/>
          <w:szCs w:val="22"/>
          <w:lang w:val="lt-LT"/>
        </w:rPr>
        <w:t>investicijos</w:t>
      </w:r>
      <w:r w:rsidRPr="00897318">
        <w:rPr>
          <w:rFonts w:ascii="Arial" w:hAnsi="Arial" w:cs="Arial"/>
          <w:i/>
          <w:sz w:val="22"/>
          <w:szCs w:val="22"/>
          <w:lang w:val="lt-LT"/>
        </w:rPr>
        <w:t>, turi teikti finansinį įnašą, kurį sudaro bent 25 procentai tinkamų finansuoti Aprašo 10.2 papunktyje nurodytai veiklai skirtų išlaidų, kaip nustatyta Bendrojo bendrosios išimties reglamento 14 straipsnio 14 dalyje. Partnerių patirtos išlaidos, atitinkančios Aprašo 40 punkte nustatytus reikalavimus ir Aprašo 4 lentelėje nurodytas sąlygas, projektui įgyvendinti yra tinkamos finansuoti išlaidos, bet jas kompensuoja projekto vykdytojas. Finansavimą, skirtą projektui įgyvendinti, tiesiogiai gauna tik projekto vykdytojas, kuris atsiskaito su partneriais. Partneriai tiesiogiai finansavimo lėšų negauna. Projekto finansuojamoji dalis partneriams yra stebima ir patikrinama gavus mokėjimo prašymą. Projekto vykdytojas privalo partneriams skirtą finansavimo sumą pervesti per 5 darbo dienas nuo jos gavimo. Projekto vykdytojas negali naudoti partneriui skirto finansavimo.</w:t>
      </w:r>
    </w:p>
    <w:p w14:paraId="7287203B" w14:textId="77777777" w:rsidR="00897318" w:rsidRPr="00897318" w:rsidRDefault="00897318" w:rsidP="00897318">
      <w:pPr>
        <w:pStyle w:val="Sraopastraipa"/>
        <w:tabs>
          <w:tab w:val="left" w:pos="829"/>
        </w:tabs>
        <w:ind w:right="102"/>
        <w:rPr>
          <w:rFonts w:ascii="Arial" w:hAnsi="Arial" w:cs="Arial"/>
        </w:rPr>
      </w:pPr>
    </w:p>
    <w:p w14:paraId="44EC72D7" w14:textId="350549EF" w:rsidR="00897318" w:rsidRPr="00897318" w:rsidRDefault="00897318" w:rsidP="00897318">
      <w:pPr>
        <w:pStyle w:val="Antrat1"/>
        <w:rPr>
          <w:lang w:val="lt-LT"/>
        </w:rPr>
      </w:pPr>
      <w:r w:rsidRPr="00897318">
        <w:rPr>
          <w:lang w:val="lt-LT"/>
        </w:rPr>
        <w:t xml:space="preserve"> Ar galima projekte įtraukti kaip partnerį susijusią įmonę ir vieną nesusijusią su pareiškėju mokslo instituciją. Viena iš įmonių grupės įmonių rengia projektą pagal „Eksperimentas“ priemonę, tačiau projekto įgyvendinimui jai reikia kitos įmonės, priklausančios grupei (susijusios pagal SVV esmę), kompetencijų. Ar galima tas kompetencijas įgyti įtraukiant tokią įmonę kaip partnerę ir neprašyti jos patiriamoms išlaidoms padidinto finansavimo, tačiau taip pat turėti ir nesusijusį partnerį, t. y. mokslo instituciją, kurio atveju jau norima pretenduoti į finansuojamosios dalies padidinimą už veiksmingą bendradarbiavimą, kaip n</w:t>
      </w:r>
      <w:r w:rsidR="0083416F">
        <w:rPr>
          <w:lang w:val="lt-LT"/>
        </w:rPr>
        <w:t>ustatyta Aprašo 1 lentelėje? Ar</w:t>
      </w:r>
      <w:r w:rsidRPr="00897318">
        <w:rPr>
          <w:lang w:val="lt-LT"/>
        </w:rPr>
        <w:t xml:space="preserve"> galima pareiškėjo ir mokslo institucijos išlaidų daliai taikyti finansuojamos dalies procento padidinimą, o tuo tarpu partnerės, kuri yra susijusi įmonė, išlaidoms tiesiog taikyti nepadidintą finansavimo procentą?</w:t>
      </w:r>
    </w:p>
    <w:p w14:paraId="3DFE823D" w14:textId="77777777" w:rsidR="00897318" w:rsidRPr="00897318" w:rsidRDefault="00897318" w:rsidP="00897318">
      <w:pPr>
        <w:tabs>
          <w:tab w:val="left" w:pos="829"/>
        </w:tabs>
        <w:ind w:right="102"/>
        <w:rPr>
          <w:rFonts w:ascii="Arial" w:hAnsi="Arial" w:cs="Arial"/>
          <w:sz w:val="22"/>
          <w:szCs w:val="22"/>
          <w:lang w:val="lt-LT"/>
        </w:rPr>
      </w:pPr>
    </w:p>
    <w:p w14:paraId="67D739B8" w14:textId="1439ED91" w:rsidR="00897318" w:rsidRPr="00897318" w:rsidRDefault="00897318" w:rsidP="00897318">
      <w:pPr>
        <w:jc w:val="both"/>
        <w:rPr>
          <w:rFonts w:ascii="Arial" w:hAnsi="Arial" w:cs="Arial"/>
          <w:i/>
          <w:sz w:val="22"/>
          <w:szCs w:val="22"/>
          <w:lang w:val="lt-LT"/>
        </w:rPr>
      </w:pPr>
      <w:r w:rsidRPr="00897318">
        <w:rPr>
          <w:rFonts w:ascii="Arial" w:hAnsi="Arial" w:cs="Arial"/>
          <w:i/>
          <w:sz w:val="22"/>
          <w:szCs w:val="22"/>
          <w:lang w:val="lt-LT"/>
        </w:rPr>
        <w:t>Jei projekte dalyvaujant  partneriui – mokslo studijų institucijai – būtų tenkinama Bendrojo bendrosios išimties reglamento 25 straipsnio 6 dalies b punkto i papunkčio nuostata, jog „vykdant projektą veiksmingai bendradarbiauja įmonė ir bent viena mokslinių tyrimų ir žinių sklaidos organizacija, kuri viena ar kartu padengia bent 10 % tinkamų finansuoti išlaidų ir turi teisę skelbti savo pačios mokslinių tyrimų rezultatus“ – tokiu atveju 15 proc. finansuojamosios dalies padidinimas būtų taikomas visam Aprašo 10.1 papunktyje nurodytos veiklos finansavimui (t.</w:t>
      </w:r>
      <w:r w:rsidR="00774E8A">
        <w:rPr>
          <w:rFonts w:ascii="Arial" w:hAnsi="Arial" w:cs="Arial"/>
          <w:i/>
          <w:sz w:val="22"/>
          <w:szCs w:val="22"/>
          <w:lang w:val="lt-LT"/>
        </w:rPr>
        <w:t xml:space="preserve"> </w:t>
      </w:r>
      <w:r w:rsidRPr="00897318">
        <w:rPr>
          <w:rFonts w:ascii="Arial" w:hAnsi="Arial" w:cs="Arial"/>
          <w:i/>
          <w:sz w:val="22"/>
          <w:szCs w:val="22"/>
          <w:lang w:val="lt-LT"/>
        </w:rPr>
        <w:t>y. ir partneriui, susijusiam su pareiškėju).</w:t>
      </w:r>
    </w:p>
    <w:p w14:paraId="46CE46B2" w14:textId="77777777" w:rsidR="00897318" w:rsidRPr="00897318" w:rsidRDefault="00897318" w:rsidP="00897318">
      <w:pPr>
        <w:jc w:val="both"/>
        <w:rPr>
          <w:rFonts w:ascii="Arial" w:hAnsi="Arial" w:cs="Arial"/>
          <w:i/>
          <w:sz w:val="22"/>
          <w:szCs w:val="22"/>
          <w:lang w:val="lt-LT"/>
        </w:rPr>
      </w:pPr>
    </w:p>
    <w:p w14:paraId="427E0D8F" w14:textId="249363EB" w:rsidR="00897318" w:rsidRPr="00897318" w:rsidRDefault="00897318" w:rsidP="00897318">
      <w:pPr>
        <w:pStyle w:val="Antrat1"/>
        <w:rPr>
          <w:lang w:val="lt-LT"/>
        </w:rPr>
      </w:pPr>
      <w:r w:rsidRPr="00897318">
        <w:rPr>
          <w:lang w:val="lt-LT"/>
        </w:rPr>
        <w:t xml:space="preserve"> Ar nėra apribojimų gauti ES </w:t>
      </w:r>
      <w:r w:rsidR="00FB4D3E">
        <w:rPr>
          <w:lang w:val="lt-LT"/>
        </w:rPr>
        <w:t>investiciją</w:t>
      </w:r>
      <w:r w:rsidR="00FB4D3E" w:rsidRPr="00897318">
        <w:rPr>
          <w:lang w:val="lt-LT"/>
        </w:rPr>
        <w:t xml:space="preserve"> </w:t>
      </w:r>
      <w:r w:rsidRPr="00897318">
        <w:rPr>
          <w:lang w:val="lt-LT"/>
        </w:rPr>
        <w:t>pagal priemonės „Eksperimentas“ kvietimą finansines paslaugas teikiančios įmonėms?</w:t>
      </w:r>
    </w:p>
    <w:p w14:paraId="78DB08BA" w14:textId="77777777" w:rsidR="00897318" w:rsidRPr="00897318" w:rsidRDefault="00897318" w:rsidP="00897318">
      <w:pPr>
        <w:tabs>
          <w:tab w:val="left" w:pos="829"/>
        </w:tabs>
        <w:ind w:right="102"/>
        <w:rPr>
          <w:rFonts w:ascii="Arial" w:hAnsi="Arial" w:cs="Arial"/>
          <w:sz w:val="22"/>
          <w:szCs w:val="22"/>
          <w:lang w:val="lt-LT"/>
        </w:rPr>
      </w:pPr>
    </w:p>
    <w:p w14:paraId="05EAC95A" w14:textId="77777777" w:rsidR="00897318" w:rsidRPr="00897318" w:rsidRDefault="00897318" w:rsidP="00897318">
      <w:pPr>
        <w:jc w:val="both"/>
        <w:rPr>
          <w:rFonts w:ascii="Arial" w:hAnsi="Arial" w:cs="Arial"/>
          <w:i/>
          <w:sz w:val="22"/>
          <w:szCs w:val="22"/>
          <w:lang w:val="lt-LT"/>
        </w:rPr>
      </w:pPr>
      <w:r w:rsidRPr="00897318">
        <w:rPr>
          <w:rFonts w:ascii="Arial" w:hAnsi="Arial" w:cs="Arial"/>
          <w:i/>
          <w:sz w:val="22"/>
          <w:szCs w:val="22"/>
          <w:lang w:val="lt-LT"/>
        </w:rPr>
        <w:t xml:space="preserve">Pagal priemonės „Eksperimentas“ Aprašo (Nr. 1) 18 punktą „Finansavimas gali būti skiriamas pareiškėjams ir partneriams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ir de </w:t>
      </w:r>
      <w:proofErr w:type="spellStart"/>
      <w:r w:rsidRPr="00897318">
        <w:rPr>
          <w:rFonts w:ascii="Arial" w:hAnsi="Arial" w:cs="Arial"/>
          <w:i/>
          <w:sz w:val="22"/>
          <w:szCs w:val="22"/>
          <w:lang w:val="lt-LT"/>
        </w:rPr>
        <w:t>minimis</w:t>
      </w:r>
      <w:proofErr w:type="spellEnd"/>
      <w:r w:rsidRPr="00897318">
        <w:rPr>
          <w:rFonts w:ascii="Arial" w:hAnsi="Arial" w:cs="Arial"/>
          <w:i/>
          <w:sz w:val="22"/>
          <w:szCs w:val="22"/>
          <w:lang w:val="lt-LT"/>
        </w:rPr>
        <w:t xml:space="preserve"> reglamento 1 straipsnio 1 dalyje nustatytus atvejus (kai vykdoma Aprašo 10.3 papunktyje nurodyta veikla) ir Bendrojo bendrosios išimties reglamento 1 straipsnio 2–5 dalyse, 4 ir 13 straipsniuose (kai vykdomos Aprašo 10.1 ir (arba) 10.2 papunkčiuose nurodytos veiklos) ir 14 straipsnio 16 dalyje nustatytus apribojimus (kai vykdoma Aprašo 10.2 papunktyje nurodyta veikla). Pagal Aprašą finansavimas nėra teikiamas pareiškėjui ir (arba) partneriui (-</w:t>
      </w:r>
      <w:proofErr w:type="spellStart"/>
      <w:r w:rsidRPr="00897318">
        <w:rPr>
          <w:rFonts w:ascii="Arial" w:hAnsi="Arial" w:cs="Arial"/>
          <w:i/>
          <w:sz w:val="22"/>
          <w:szCs w:val="22"/>
          <w:lang w:val="lt-LT"/>
        </w:rPr>
        <w:t>iams</w:t>
      </w:r>
      <w:proofErr w:type="spellEnd"/>
      <w:r w:rsidRPr="00897318">
        <w:rPr>
          <w:rFonts w:ascii="Arial" w:hAnsi="Arial" w:cs="Arial"/>
          <w:i/>
          <w:sz w:val="22"/>
          <w:szCs w:val="22"/>
          <w:lang w:val="lt-LT"/>
        </w:rPr>
        <w:t>), jei jie yra priskiriami sunkumų patiriančios įmonės kategorijai. Pagal Aprašą finansavimas neteikiamas, jeigu pareiškėjas ir (arba) partneris (-</w:t>
      </w:r>
      <w:proofErr w:type="spellStart"/>
      <w:r w:rsidRPr="00897318">
        <w:rPr>
          <w:rFonts w:ascii="Arial" w:hAnsi="Arial" w:cs="Arial"/>
          <w:i/>
          <w:sz w:val="22"/>
          <w:szCs w:val="22"/>
          <w:lang w:val="lt-LT"/>
        </w:rPr>
        <w:t>iai</w:t>
      </w:r>
      <w:proofErr w:type="spellEnd"/>
      <w:r w:rsidRPr="00897318">
        <w:rPr>
          <w:rFonts w:ascii="Arial" w:hAnsi="Arial" w:cs="Arial"/>
          <w:i/>
          <w:sz w:val="22"/>
          <w:szCs w:val="22"/>
          <w:lang w:val="lt-LT"/>
        </w:rPr>
        <w:t xml:space="preserve">) nėra sugrąžinęs anksčiau gautos valstybės pagalbos, kuri Europos Komisijos sprendimu pripažinta neteisėta ir nesuderinama su vidaus rinka”.  Atsižvelgiant į šį punktą, finansavimas gali būti skiriamas pareiškėjams ir partneriams visose srityse, išskyrus:  </w:t>
      </w:r>
    </w:p>
    <w:p w14:paraId="1B3B25E3" w14:textId="77777777" w:rsidR="00897318" w:rsidRPr="00897318" w:rsidRDefault="00897318" w:rsidP="00897318">
      <w:pPr>
        <w:pStyle w:val="Sraopastraipa"/>
        <w:numPr>
          <w:ilvl w:val="0"/>
          <w:numId w:val="18"/>
        </w:numPr>
        <w:spacing w:after="0" w:line="240" w:lineRule="auto"/>
        <w:contextualSpacing w:val="0"/>
        <w:jc w:val="both"/>
        <w:rPr>
          <w:rFonts w:ascii="Arial" w:eastAsia="Times New Roman" w:hAnsi="Arial" w:cs="Arial"/>
          <w:color w:val="000000"/>
        </w:rPr>
      </w:pPr>
      <w:r w:rsidRPr="00897318">
        <w:rPr>
          <w:rFonts w:ascii="Arial" w:hAnsi="Arial" w:cs="Arial"/>
          <w:i/>
        </w:rPr>
        <w:t xml:space="preserve">ERPF lėšomis </w:t>
      </w:r>
      <w:r w:rsidRPr="00897318">
        <w:rPr>
          <w:rFonts w:ascii="Arial" w:hAnsi="Arial" w:cs="Arial"/>
          <w:b/>
          <w:i/>
        </w:rPr>
        <w:t>neremiama</w:t>
      </w:r>
      <w:r w:rsidRPr="00897318">
        <w:rPr>
          <w:rFonts w:ascii="Arial" w:hAnsi="Arial" w:cs="Arial"/>
          <w:i/>
        </w:rPr>
        <w:t>: a) atominių elektrinių eksploatacijos nutraukimas ar statybos; b) investicijos, kuriomis siekiama sumažinti šiltnamio efektą sukeliančių dujų kiekį, išmetamą vykdant veiklą, išvardintą Direktyvos 2003/87/EB I priede; c) tabako ir tabako gaminių gamyba, perdirbimas ir prekyba; d) sunkumų patiriančios įmonės, kaip apibrėžta Sąjungos valstybės pagalbos taisyklėse; e) investicijos į oro uostų infrastruktūrą, nebent jos būtų susijusios su aplinkos apsauga arba kartu būtų vykdomos investicijos, kurių reikia siekiant sušvelninti ar sumažinti neigiamą oro uostų infrastruktūros poveikį aplinkai.</w:t>
      </w:r>
    </w:p>
    <w:p w14:paraId="4729450A" w14:textId="77777777" w:rsidR="00897318" w:rsidRPr="00897318" w:rsidRDefault="00897318" w:rsidP="00897318">
      <w:pPr>
        <w:pStyle w:val="Sraopastraipa"/>
        <w:numPr>
          <w:ilvl w:val="0"/>
          <w:numId w:val="18"/>
        </w:numPr>
        <w:spacing w:after="0" w:line="240" w:lineRule="auto"/>
        <w:contextualSpacing w:val="0"/>
        <w:jc w:val="both"/>
        <w:rPr>
          <w:rFonts w:ascii="Arial" w:eastAsia="Times New Roman" w:hAnsi="Arial" w:cs="Arial"/>
          <w:color w:val="000000"/>
        </w:rPr>
      </w:pPr>
      <w:r w:rsidRPr="00897318">
        <w:rPr>
          <w:rFonts w:ascii="Arial" w:hAnsi="Arial" w:cs="Arial"/>
          <w:b/>
          <w:i/>
        </w:rPr>
        <w:t>Neremtini sektoriai</w:t>
      </w:r>
      <w:r w:rsidRPr="00897318">
        <w:rPr>
          <w:rFonts w:ascii="Arial" w:hAnsi="Arial" w:cs="Arial"/>
          <w:i/>
        </w:rPr>
        <w:t>: (kai vykdoma Aprašo 10.2 ir 10.3 veikla) Žuvininkystės ir akvakultūros sektorius, kuriam taikomas Tarybos reglamentas (EB) Nr. 1379/2013; Pirminės žemės ūkio produktų gamybos sektorius.</w:t>
      </w:r>
    </w:p>
    <w:p w14:paraId="154A66BA" w14:textId="77777777" w:rsidR="00897318" w:rsidRPr="00897318" w:rsidRDefault="00897318" w:rsidP="00897318">
      <w:pPr>
        <w:pStyle w:val="Sraopastraipa"/>
        <w:numPr>
          <w:ilvl w:val="0"/>
          <w:numId w:val="18"/>
        </w:numPr>
        <w:spacing w:after="0" w:line="240" w:lineRule="auto"/>
        <w:contextualSpacing w:val="0"/>
        <w:jc w:val="both"/>
        <w:rPr>
          <w:rFonts w:ascii="Arial" w:eastAsia="Times New Roman" w:hAnsi="Arial" w:cs="Arial"/>
          <w:color w:val="000000"/>
        </w:rPr>
      </w:pPr>
      <w:r w:rsidRPr="00897318">
        <w:rPr>
          <w:rFonts w:ascii="Arial" w:hAnsi="Arial" w:cs="Arial"/>
          <w:i/>
        </w:rPr>
        <w:t>Pagalba taip pat negali būti teikiama: (kai vykdoma Aprašo 10.2 ir 10.3 veikla) su eksportu susijusiai veiklai trečiosiose šalyse arba valstybėse narėse, t. y. pagalbą, tiesiogiai susijusią su eksportuojamais kiekiais, platinimo tinklo kūrimu bei veikla, arba kitomis einamosiomis išlaidomis, susijusiomis su eksporto veikla; pagalbą, kuri priklauso nuo to, ar daugiau vartojama vietinių nei importuotų prekių.</w:t>
      </w:r>
    </w:p>
    <w:p w14:paraId="6253BC18" w14:textId="77777777" w:rsidR="00897318" w:rsidRPr="00897318" w:rsidRDefault="00897318" w:rsidP="00897318">
      <w:pPr>
        <w:pStyle w:val="Sraopastraipa"/>
        <w:numPr>
          <w:ilvl w:val="0"/>
          <w:numId w:val="18"/>
        </w:numPr>
        <w:spacing w:after="0" w:line="240" w:lineRule="auto"/>
        <w:contextualSpacing w:val="0"/>
        <w:jc w:val="both"/>
        <w:rPr>
          <w:rFonts w:ascii="Arial" w:eastAsia="Times New Roman" w:hAnsi="Arial" w:cs="Arial"/>
          <w:color w:val="000000"/>
        </w:rPr>
      </w:pPr>
      <w:r w:rsidRPr="00897318">
        <w:rPr>
          <w:rFonts w:ascii="Arial" w:hAnsi="Arial" w:cs="Arial"/>
          <w:i/>
        </w:rPr>
        <w:t>Neremtini sektoriai pagal BBIR 13 straipsnį: (kai vykdoma Aprašo 10.2 veikla) Plieno sektorius, Anglių sektorius, Laivų statybos sektorius, Sintetinių pluoštų sektorius, Transporto sektorius, taip pat susijusi infrastruktūra (pagal EVRK 2 red. neremtini sektoriai: 49 (išskyrus 49.32, 49.42, 49.5), 50, 51 (išskyrus 51.22)), Elektros energijos gamyba, paskirstymas ir infrastruktūra (pagal EVRK 2 red. neremtini sektoriai: 35, 35.1, 35.11, 35.12, 35.13, 35.14, 35.2, 35.21, 35.22, 35.23, 35.3, 35.30).</w:t>
      </w:r>
    </w:p>
    <w:p w14:paraId="4163CC58" w14:textId="77777777" w:rsidR="00897318" w:rsidRPr="00897318" w:rsidRDefault="00897318" w:rsidP="00897318">
      <w:pPr>
        <w:pStyle w:val="Antrat1"/>
        <w:rPr>
          <w:lang w:val="lt-LT"/>
        </w:rPr>
      </w:pPr>
      <w:r w:rsidRPr="00897318">
        <w:rPr>
          <w:lang w:val="lt-LT"/>
        </w:rPr>
        <w:t>Ar galima pildyti  paraišką pagal priemonę „Eksperimentas“ 10.3 veiklai, jeigu produkto ar proceso sertifikavimas įmonėje prasidėjo/bus pradėtas ankščiau negu bus paskelbti eksperimento rezultatai?</w:t>
      </w:r>
    </w:p>
    <w:p w14:paraId="2CA32DD4" w14:textId="77777777" w:rsidR="00897318" w:rsidRPr="00897318" w:rsidRDefault="00897318" w:rsidP="00897318">
      <w:pPr>
        <w:jc w:val="both"/>
        <w:rPr>
          <w:rFonts w:ascii="Arial" w:hAnsi="Arial" w:cs="Arial"/>
          <w:i/>
          <w:sz w:val="22"/>
          <w:szCs w:val="22"/>
          <w:lang w:val="lt-LT"/>
        </w:rPr>
      </w:pPr>
    </w:p>
    <w:p w14:paraId="0B21DA09" w14:textId="743FA2A4" w:rsidR="00897318" w:rsidRPr="00FB4D3E" w:rsidRDefault="00897318" w:rsidP="00897318">
      <w:pPr>
        <w:jc w:val="both"/>
        <w:rPr>
          <w:rFonts w:ascii="Arial" w:hAnsi="Arial" w:cs="Arial"/>
          <w:sz w:val="22"/>
          <w:szCs w:val="22"/>
          <w:lang w:val="lt-LT"/>
        </w:rPr>
      </w:pPr>
      <w:r w:rsidRPr="00897318">
        <w:rPr>
          <w:rFonts w:ascii="Arial" w:hAnsi="Arial" w:cs="Arial"/>
          <w:i/>
          <w:sz w:val="22"/>
          <w:szCs w:val="22"/>
          <w:lang w:val="lt-LT"/>
        </w:rPr>
        <w:t>Priemonės „Eksperimentas“ Aprašo 29 punkte nurodyta „Projektas gali būti pradėtas įgyvendinti ne anksčiau nei po paraiškos registravimo įgyvendinančiojoje institucijoje dienos, tačiau projekto išlaidos nuo paraiškos registravimo įgyvendinančiojoje institucijoje dienos iki projekto sutarties pasirašymo yra patiriamos pareiškėjo ir (ar) partnerio (-</w:t>
      </w:r>
      <w:proofErr w:type="spellStart"/>
      <w:r w:rsidRPr="00897318">
        <w:rPr>
          <w:rFonts w:ascii="Arial" w:hAnsi="Arial" w:cs="Arial"/>
          <w:i/>
          <w:sz w:val="22"/>
          <w:szCs w:val="22"/>
          <w:lang w:val="lt-LT"/>
        </w:rPr>
        <w:t>ių</w:t>
      </w:r>
      <w:proofErr w:type="spellEnd"/>
      <w:r w:rsidRPr="00897318">
        <w:rPr>
          <w:rFonts w:ascii="Arial" w:hAnsi="Arial" w:cs="Arial"/>
          <w:i/>
          <w:sz w:val="22"/>
          <w:szCs w:val="22"/>
          <w:lang w:val="lt-LT"/>
        </w:rPr>
        <w:t>) rizika. Jeigu projektas, kuriam prašoma finansavimo, pradedamas įgyvendinti iki paraiškos registravimo įgyvendinančiojoje institucijoje dienos, visas projektas tampa netinkamas ir jam finansavimas neskiriamas“.</w:t>
      </w:r>
      <w:r w:rsidRPr="00897318">
        <w:rPr>
          <w:rFonts w:ascii="Arial" w:hAnsi="Arial" w:cs="Arial"/>
          <w:i/>
          <w:sz w:val="22"/>
          <w:szCs w:val="22"/>
          <w:lang w:val="lt-LT"/>
        </w:rPr>
        <w:br/>
      </w:r>
      <w:r w:rsidRPr="00897318">
        <w:rPr>
          <w:rFonts w:ascii="Arial" w:hAnsi="Arial" w:cs="Arial"/>
          <w:i/>
          <w:sz w:val="22"/>
          <w:szCs w:val="22"/>
          <w:lang w:val="lt-LT"/>
        </w:rPr>
        <w:br/>
        <w:t xml:space="preserve">Projekto išlaidų tinkamumo atskaitos taškas yra paraiškos registravimo data – iki to laiko patirtos išlaidos nėra tinkamos finansuoti. Atkreiptinas dėmesys, kad įsigyjant sertifikavimo veiklai reikalingas paslaugas, turi būti laikomasi Projektų finansavimo ir administravimo taisyklių 40 skirsnio reikalavimų: </w:t>
      </w:r>
      <w:hyperlink r:id="rId15" w:history="1">
        <w:r w:rsidRPr="00897318">
          <w:rPr>
            <w:rFonts w:ascii="Arial" w:hAnsi="Arial" w:cs="Arial"/>
            <w:sz w:val="22"/>
            <w:szCs w:val="22"/>
            <w:lang w:val="lt-LT"/>
          </w:rPr>
          <w:t>https://www.e-tar.lt/portal/lt/legalAct/f44986504ed411e49cf986e1802f1de9/asr</w:t>
        </w:r>
      </w:hyperlink>
      <w:r w:rsidR="00C37830">
        <w:rPr>
          <w:rFonts w:ascii="Arial" w:hAnsi="Arial" w:cs="Arial"/>
          <w:sz w:val="22"/>
          <w:szCs w:val="22"/>
          <w:lang w:val="lt-LT"/>
        </w:rPr>
        <w:t xml:space="preserve">.  </w:t>
      </w:r>
    </w:p>
    <w:p w14:paraId="2CB651B4" w14:textId="77777777" w:rsidR="00897318" w:rsidRPr="00897318" w:rsidRDefault="00897318" w:rsidP="00897318">
      <w:pPr>
        <w:tabs>
          <w:tab w:val="left" w:pos="829"/>
        </w:tabs>
        <w:ind w:right="102"/>
        <w:rPr>
          <w:rFonts w:ascii="Arial" w:hAnsi="Arial" w:cs="Arial"/>
          <w:sz w:val="22"/>
          <w:szCs w:val="22"/>
          <w:lang w:val="lt-LT"/>
        </w:rPr>
      </w:pPr>
    </w:p>
    <w:p w14:paraId="69693656" w14:textId="77777777" w:rsidR="00897318" w:rsidRPr="00897318" w:rsidRDefault="00897318" w:rsidP="00897318">
      <w:pPr>
        <w:pStyle w:val="Antrat1"/>
        <w:rPr>
          <w:lang w:val="lt-LT"/>
        </w:rPr>
      </w:pPr>
      <w:r w:rsidRPr="00897318">
        <w:rPr>
          <w:lang w:val="lt-LT"/>
        </w:rPr>
        <w:t xml:space="preserve"> Ar pirotechnikos gaminimas (nauja rinkoje medžiaga pirotechnikos gaminiams) būtų finansuojama veikla? </w:t>
      </w:r>
    </w:p>
    <w:p w14:paraId="04567A2E" w14:textId="77777777" w:rsidR="00897318" w:rsidRPr="00897318" w:rsidRDefault="00897318" w:rsidP="00897318">
      <w:pPr>
        <w:pStyle w:val="Sraopastraipa"/>
        <w:tabs>
          <w:tab w:val="left" w:pos="829"/>
        </w:tabs>
        <w:rPr>
          <w:rFonts w:ascii="Arial" w:hAnsi="Arial" w:cs="Arial"/>
        </w:rPr>
      </w:pPr>
    </w:p>
    <w:p w14:paraId="0499F0A2" w14:textId="77777777" w:rsidR="00897318" w:rsidRPr="00897318" w:rsidRDefault="00897318" w:rsidP="00897318">
      <w:pPr>
        <w:jc w:val="both"/>
        <w:rPr>
          <w:rFonts w:ascii="Arial" w:hAnsi="Arial" w:cs="Arial"/>
          <w:i/>
          <w:sz w:val="22"/>
          <w:szCs w:val="22"/>
          <w:lang w:val="lt-LT"/>
        </w:rPr>
      </w:pPr>
      <w:r w:rsidRPr="00897318">
        <w:rPr>
          <w:rFonts w:ascii="Arial" w:hAnsi="Arial" w:cs="Arial"/>
          <w:i/>
          <w:sz w:val="22"/>
          <w:szCs w:val="22"/>
          <w:lang w:val="lt-LT"/>
        </w:rPr>
        <w:t>Projekto veikla, kurios metu būtų kuriama nauja medžiaga pirotechnikos gaminiams būtų tinkama finansuoti priemonės „Eksperimentas“ lėšomis, jei būtų aiškiai pagrįsta (numatomi pirkėjai, realizavimo rinkos ir kt.), kad projekto metu sukurta nauja medžiaga po projekto įgyvendinimo bus naudojama civiliniams tikslams bei nebus skirta karinei ir gynybos pramonei.</w:t>
      </w:r>
    </w:p>
    <w:p w14:paraId="20B139FD" w14:textId="77777777" w:rsidR="00897318" w:rsidRPr="00897318" w:rsidRDefault="00897318" w:rsidP="00897318">
      <w:pPr>
        <w:pStyle w:val="Sraopastraipa"/>
        <w:tabs>
          <w:tab w:val="left" w:pos="829"/>
        </w:tabs>
        <w:ind w:right="102"/>
        <w:rPr>
          <w:rFonts w:ascii="Arial" w:hAnsi="Arial" w:cs="Arial"/>
        </w:rPr>
      </w:pPr>
    </w:p>
    <w:p w14:paraId="4A0A6F28" w14:textId="1BAC85F0" w:rsidR="00897318" w:rsidRPr="00897318" w:rsidRDefault="00897318" w:rsidP="00FA7DB0">
      <w:pPr>
        <w:pStyle w:val="Antrat1"/>
        <w:rPr>
          <w:lang w:val="lt-LT"/>
        </w:rPr>
      </w:pPr>
      <w:r w:rsidRPr="00897318">
        <w:rPr>
          <w:lang w:val="lt-LT"/>
        </w:rPr>
        <w:t xml:space="preserve"> Paraiškos teikimo terminas – 2020-02-17, </w:t>
      </w:r>
      <w:r w:rsidR="00FA7DB0">
        <w:rPr>
          <w:lang w:val="lt-LT"/>
        </w:rPr>
        <w:t>s</w:t>
      </w:r>
      <w:r w:rsidR="00FA7DB0" w:rsidRPr="00FA7DB0">
        <w:rPr>
          <w:lang w:val="lt-LT"/>
        </w:rPr>
        <w:t xml:space="preserve">mulkiojo ir vidutinio verslo (toliau – SVV) </w:t>
      </w:r>
      <w:r w:rsidRPr="00897318">
        <w:rPr>
          <w:lang w:val="lt-LT"/>
        </w:rPr>
        <w:t>deklaraciją pildysime 2019 vasario mėnesį. Kurių finansinių metų patvirtintos metinės finansinės ataskaitos turės būti pateiktos? Už kokį laikotarpį geriausiai teikti informaciją SVV deklaracijoje – 2019 (preliminarios)/2018/2017 ar 2018/2017/2016 m.? Ar susijusios įmonės identifikuojamos pagal deklaravimo dieną galiojančius įmonių tarpusavio ryšius, t.</w:t>
      </w:r>
      <w:r w:rsidR="000E03C4">
        <w:rPr>
          <w:lang w:val="lt-LT"/>
        </w:rPr>
        <w:t xml:space="preserve"> </w:t>
      </w:r>
      <w:r w:rsidRPr="00897318">
        <w:rPr>
          <w:lang w:val="lt-LT"/>
        </w:rPr>
        <w:t>y. 2020 m. vasario mėn. duomenimis?</w:t>
      </w:r>
    </w:p>
    <w:p w14:paraId="0D573FFB" w14:textId="77777777" w:rsidR="00897318" w:rsidRPr="00897318" w:rsidRDefault="00897318" w:rsidP="00897318">
      <w:pPr>
        <w:tabs>
          <w:tab w:val="left" w:pos="829"/>
        </w:tabs>
        <w:ind w:right="102"/>
        <w:jc w:val="both"/>
        <w:rPr>
          <w:rFonts w:ascii="Arial" w:hAnsi="Arial" w:cs="Arial"/>
          <w:i/>
          <w:sz w:val="22"/>
          <w:szCs w:val="22"/>
          <w:lang w:val="lt-LT"/>
        </w:rPr>
      </w:pPr>
    </w:p>
    <w:p w14:paraId="673E299E" w14:textId="77777777" w:rsidR="00897318" w:rsidRPr="00897318" w:rsidRDefault="00897318" w:rsidP="00897318">
      <w:pPr>
        <w:jc w:val="both"/>
        <w:rPr>
          <w:rFonts w:ascii="Arial" w:hAnsi="Arial" w:cs="Arial"/>
          <w:i/>
          <w:sz w:val="22"/>
          <w:szCs w:val="22"/>
          <w:lang w:val="lt-LT"/>
        </w:rPr>
      </w:pPr>
      <w:r w:rsidRPr="00897318">
        <w:rPr>
          <w:rFonts w:ascii="Arial" w:hAnsi="Arial" w:cs="Arial"/>
          <w:i/>
          <w:sz w:val="22"/>
          <w:szCs w:val="22"/>
          <w:lang w:val="lt-LT"/>
        </w:rPr>
        <w:t xml:space="preserve">Atsižvelgiant į Jūsų apibūdintą situaciją, SVV deklaracijoje, teikiamoje su paraiška, turėtų būti pateikiami 2019 m. preliminarūs duomenys, 2018 m. duomenys ir 2017 m. duomenys. </w:t>
      </w:r>
    </w:p>
    <w:p w14:paraId="56CF7D65" w14:textId="6E05E100" w:rsidR="00897318" w:rsidRPr="00897318" w:rsidRDefault="00897318" w:rsidP="00897318">
      <w:pPr>
        <w:jc w:val="both"/>
        <w:rPr>
          <w:rFonts w:ascii="Arial" w:hAnsi="Arial" w:cs="Arial"/>
          <w:i/>
          <w:sz w:val="22"/>
          <w:szCs w:val="22"/>
          <w:lang w:val="lt-LT"/>
        </w:rPr>
      </w:pPr>
      <w:r w:rsidRPr="00897318">
        <w:rPr>
          <w:rFonts w:ascii="Arial" w:hAnsi="Arial" w:cs="Arial"/>
          <w:i/>
          <w:sz w:val="22"/>
          <w:szCs w:val="22"/>
          <w:lang w:val="lt-LT"/>
        </w:rPr>
        <w:t>Vadovaujantis</w:t>
      </w:r>
      <w:r w:rsidRPr="00FE3E8E">
        <w:rPr>
          <w:rFonts w:ascii="Arial" w:hAnsi="Arial" w:cs="Arial"/>
          <w:i/>
          <w:sz w:val="22"/>
          <w:szCs w:val="22"/>
          <w:lang w:val="lt-LT"/>
        </w:rPr>
        <w:t xml:space="preserve"> </w:t>
      </w:r>
      <w:hyperlink r:id="rId16" w:history="1">
        <w:r w:rsidR="00FE3E8E" w:rsidRPr="00FE3E8E">
          <w:rPr>
            <w:rStyle w:val="Hipersaitas"/>
            <w:rFonts w:ascii="Arial" w:hAnsi="Arial" w:cs="Arial"/>
            <w:i/>
            <w:sz w:val="22"/>
            <w:szCs w:val="22"/>
            <w:lang w:val="lt-LT"/>
          </w:rPr>
          <w:t>SVV</w:t>
        </w:r>
        <w:r w:rsidRPr="00FE3E8E">
          <w:rPr>
            <w:rStyle w:val="Hipersaitas"/>
            <w:rFonts w:ascii="Arial" w:hAnsi="Arial" w:cs="Arial"/>
            <w:i/>
            <w:sz w:val="22"/>
            <w:szCs w:val="22"/>
            <w:lang w:val="lt-LT"/>
          </w:rPr>
          <w:t xml:space="preserve"> subjekto statuso deklaravimo tvarkos aprašo</w:t>
        </w:r>
      </w:hyperlink>
      <w:r w:rsidRPr="00897318">
        <w:rPr>
          <w:rFonts w:ascii="Arial" w:hAnsi="Arial" w:cs="Arial"/>
          <w:i/>
          <w:sz w:val="22"/>
          <w:szCs w:val="22"/>
          <w:lang w:val="lt-LT"/>
        </w:rPr>
        <w:t xml:space="preserve"> (toliau – Aprašas) 10 punktu: „Susijusių įmonių ir partnerinių įmonių ryšiai nustatomi pagal deklaravimo dieną galiojančius įmonių tarpusavio ryšius“. Atsižvelgiant į tai, SVV deklaracijoje susijusios įmonės identifikuojamos ir parodomos pagal deklaravimo dieną galiojančius ryšius. Tačiau atkreiptinas dėmesys į tai, kad Aprašas nustato statuso deklaravimo tvarką už praėjusius metus, t. y., Jūsų atveju 2019 m. Tuo tarpu Apraše nėra aprašyta tvarka, kaip apskaičiuojamas ir parodomas statusas už n-2 (Jūsų atveju 2018 m.) ir n-3 (Jūsų atveju 2017 m.) metus. Atsižvelgiant į tai, tuo atveju, jei buvo akcininkų kaita n-2 ir n-3 metais, reikėtų įmonės ryšius ir duomenis už tuos metus parodyti tokius, kokie jis realiai buvo tais metais už kuriuos deklaruojamas statusas. T. y., tokius, kokie jie būtų buvę, pvz. jei, statusą už 2018 m. deklaruotumėte 2019 metais. Tokiais atvejais rekomenduojame įmonės ryšius nusistatyti arba pagal tai, kokie įmonės ryšiai buvo didžiąją dalį metų arba pagal tai, kokie ryšiai buvo metų už kuriuos deklaruojama gruodžio 31 d. (pasirenkant tokį variantą, kuris realiau atspinti įmonės ryšius, o kartu ir statusą, buvusį tais metais).</w:t>
      </w:r>
    </w:p>
    <w:p w14:paraId="710A7437" w14:textId="77777777" w:rsidR="00897318" w:rsidRPr="00897318" w:rsidRDefault="00897318" w:rsidP="00897318">
      <w:pPr>
        <w:jc w:val="both"/>
        <w:rPr>
          <w:rFonts w:ascii="Arial" w:hAnsi="Arial" w:cs="Arial"/>
          <w:i/>
          <w:sz w:val="22"/>
          <w:szCs w:val="22"/>
          <w:lang w:val="lt-LT"/>
        </w:rPr>
      </w:pPr>
    </w:p>
    <w:p w14:paraId="39194ABB" w14:textId="77777777" w:rsidR="00897318" w:rsidRPr="00897318" w:rsidRDefault="00897318" w:rsidP="00897318">
      <w:pPr>
        <w:pStyle w:val="Antrat1"/>
        <w:rPr>
          <w:lang w:val="lt-LT"/>
        </w:rPr>
      </w:pPr>
      <w:r w:rsidRPr="00897318">
        <w:rPr>
          <w:lang w:val="lt-LT"/>
        </w:rPr>
        <w:t xml:space="preserve"> Fizinis asmuo, kuris yra viešosios įstaigos vienintelis dalininkas, kitoje įmonėje turi &gt;50 proc. akcijų. Ar šios įmonės laikomos susijusiomis?</w:t>
      </w:r>
    </w:p>
    <w:p w14:paraId="1A54BF61" w14:textId="77777777" w:rsidR="00897318" w:rsidRPr="00897318" w:rsidRDefault="00897318" w:rsidP="00897318">
      <w:pPr>
        <w:jc w:val="both"/>
        <w:rPr>
          <w:rFonts w:ascii="Arial" w:hAnsi="Arial" w:cs="Arial"/>
          <w:i/>
          <w:sz w:val="22"/>
          <w:szCs w:val="22"/>
          <w:lang w:val="lt-LT"/>
        </w:rPr>
      </w:pPr>
    </w:p>
    <w:p w14:paraId="403E9EBE" w14:textId="7EED4909" w:rsidR="00897318" w:rsidRPr="00897318" w:rsidRDefault="00897318" w:rsidP="00897318">
      <w:pPr>
        <w:jc w:val="both"/>
        <w:rPr>
          <w:rFonts w:ascii="Arial" w:hAnsi="Arial" w:cs="Arial"/>
          <w:i/>
          <w:sz w:val="22"/>
          <w:szCs w:val="22"/>
          <w:lang w:val="lt-LT"/>
        </w:rPr>
      </w:pPr>
      <w:r w:rsidRPr="00897318">
        <w:rPr>
          <w:rFonts w:ascii="Arial" w:hAnsi="Arial" w:cs="Arial"/>
          <w:i/>
          <w:sz w:val="22"/>
          <w:szCs w:val="22"/>
          <w:lang w:val="lt-LT"/>
        </w:rPr>
        <w:t>Įmonės būtų laikomos susijusiomis per fizinį asmenį, jei fizinis asmuo verčiasi ūkine-komercine veikla (pvz., nuomoja nekilnojamąjį turtą pagal verslo liudijimą) arba jei būtų nustatyta, kad įmonės verčiasi tokia pačia veikla ar tokios pačios veiklos dalimi toje pačioje rinkoje ar susijusiose rinkose.</w:t>
      </w:r>
    </w:p>
    <w:p w14:paraId="3D5CA2D6" w14:textId="77777777" w:rsidR="00897318" w:rsidRPr="00897318" w:rsidRDefault="00897318" w:rsidP="00897318">
      <w:pPr>
        <w:jc w:val="both"/>
        <w:rPr>
          <w:rFonts w:ascii="Arial" w:hAnsi="Arial" w:cs="Arial"/>
          <w:i/>
          <w:sz w:val="22"/>
          <w:szCs w:val="22"/>
          <w:lang w:val="lt-LT"/>
        </w:rPr>
      </w:pPr>
    </w:p>
    <w:p w14:paraId="25DFADFB" w14:textId="77777777" w:rsidR="00897318" w:rsidRPr="00897318" w:rsidRDefault="00897318" w:rsidP="00897318">
      <w:pPr>
        <w:pStyle w:val="Antrat1"/>
        <w:rPr>
          <w:lang w:val="lt-LT"/>
        </w:rPr>
      </w:pPr>
      <w:r w:rsidRPr="00897318">
        <w:rPr>
          <w:lang w:val="lt-LT"/>
        </w:rPr>
        <w:lastRenderedPageBreak/>
        <w:t xml:space="preserve"> </w:t>
      </w:r>
      <w:proofErr w:type="spellStart"/>
      <w:r w:rsidRPr="00897318">
        <w:rPr>
          <w:lang w:val="lt-LT"/>
        </w:rPr>
        <w:t>Koinvesticinis</w:t>
      </w:r>
      <w:proofErr w:type="spellEnd"/>
      <w:r w:rsidRPr="00897318">
        <w:rPr>
          <w:lang w:val="lt-LT"/>
        </w:rPr>
        <w:t xml:space="preserve"> fondas ir privatūs investuotojai - kiek gali gauti akcijų (balsų), kad įmonė būtų tinkamas pareiškėjas ir atitiktų SVV statusą? Ir ar investuotų lėšų suma nėra ribojanti? </w:t>
      </w:r>
    </w:p>
    <w:p w14:paraId="11223F8B" w14:textId="77777777" w:rsidR="00897318" w:rsidRPr="00897318" w:rsidRDefault="00897318" w:rsidP="00897318">
      <w:pPr>
        <w:pStyle w:val="Sraopastraipa"/>
        <w:tabs>
          <w:tab w:val="left" w:pos="829"/>
        </w:tabs>
        <w:ind w:right="102"/>
        <w:rPr>
          <w:rFonts w:ascii="Arial" w:hAnsi="Arial" w:cs="Arial"/>
        </w:rPr>
      </w:pPr>
    </w:p>
    <w:p w14:paraId="69EC644D" w14:textId="77777777" w:rsidR="00897318" w:rsidRPr="00897318" w:rsidRDefault="00897318" w:rsidP="00897318">
      <w:pPr>
        <w:tabs>
          <w:tab w:val="left" w:pos="829"/>
        </w:tabs>
        <w:ind w:right="102"/>
        <w:jc w:val="both"/>
        <w:rPr>
          <w:rFonts w:ascii="Arial" w:hAnsi="Arial" w:cs="Arial"/>
          <w:i/>
          <w:sz w:val="22"/>
          <w:szCs w:val="22"/>
          <w:lang w:val="lt-LT"/>
        </w:rPr>
      </w:pPr>
      <w:proofErr w:type="spellStart"/>
      <w:r w:rsidRPr="00897318">
        <w:rPr>
          <w:rFonts w:ascii="Arial" w:hAnsi="Arial" w:cs="Arial"/>
          <w:i/>
          <w:sz w:val="22"/>
          <w:szCs w:val="22"/>
          <w:lang w:val="lt-LT"/>
        </w:rPr>
        <w:t>Koinvesticinio</w:t>
      </w:r>
      <w:proofErr w:type="spellEnd"/>
      <w:r w:rsidRPr="00897318">
        <w:rPr>
          <w:rFonts w:ascii="Arial" w:hAnsi="Arial" w:cs="Arial"/>
          <w:i/>
          <w:sz w:val="22"/>
          <w:szCs w:val="22"/>
          <w:lang w:val="lt-LT"/>
        </w:rPr>
        <w:t xml:space="preserve"> fondo ir privačių investuotojų akcijų (balsų) dalis turima įmonėje, tiesiogiai neapsprendžia pareiškėjo statuso. Priklauso nuo to, koks tas fondas ir/ar privatūs investuotojai bei kokia dalimi jų duomenys pridedami, skaičiuojant pareiškėjo statusą.</w:t>
      </w:r>
    </w:p>
    <w:p w14:paraId="2CD0CFA4" w14:textId="7017CDE9" w:rsidR="00897318" w:rsidRPr="00897318" w:rsidRDefault="00897318" w:rsidP="00897318">
      <w:pPr>
        <w:tabs>
          <w:tab w:val="left" w:pos="829"/>
        </w:tabs>
        <w:ind w:right="102"/>
        <w:jc w:val="both"/>
        <w:rPr>
          <w:rFonts w:ascii="Arial" w:hAnsi="Arial" w:cs="Arial"/>
          <w:i/>
          <w:sz w:val="22"/>
          <w:szCs w:val="22"/>
          <w:lang w:val="lt-LT"/>
        </w:rPr>
      </w:pPr>
      <w:r w:rsidRPr="00897318">
        <w:rPr>
          <w:rFonts w:ascii="Arial" w:hAnsi="Arial" w:cs="Arial"/>
          <w:i/>
          <w:sz w:val="22"/>
          <w:szCs w:val="22"/>
          <w:lang w:val="lt-LT"/>
        </w:rPr>
        <w:t xml:space="preserve">Atkreiptinas dėmesys, kad </w:t>
      </w:r>
      <w:proofErr w:type="spellStart"/>
      <w:r w:rsidRPr="00897318">
        <w:rPr>
          <w:rFonts w:ascii="Arial" w:hAnsi="Arial" w:cs="Arial"/>
          <w:i/>
          <w:sz w:val="22"/>
          <w:szCs w:val="22"/>
          <w:lang w:val="lt-LT"/>
        </w:rPr>
        <w:t>koinvesticinio</w:t>
      </w:r>
      <w:proofErr w:type="spellEnd"/>
      <w:r w:rsidRPr="00897318">
        <w:rPr>
          <w:rFonts w:ascii="Arial" w:hAnsi="Arial" w:cs="Arial"/>
          <w:i/>
          <w:sz w:val="22"/>
          <w:szCs w:val="22"/>
          <w:lang w:val="lt-LT"/>
        </w:rPr>
        <w:t xml:space="preserve"> fondo ir privačių investuotojų (rizikos kapitalo įmonių ir/ar verslo angelų) duomenys nėra pridedami prie pareiškėjo duomenų skaičiuojant SVV statusą tokiu atveju, jei rizikos kapitalo įmonė pareiškėjo įmonėje turi iki 50 proc. (ne imtinai) balsų ir yra į įmonę yra investavusi ne daugiau kaip 1,25 mln. </w:t>
      </w:r>
      <w:r w:rsidR="00C37830">
        <w:rPr>
          <w:rFonts w:ascii="Arial" w:hAnsi="Arial" w:cs="Arial"/>
          <w:i/>
          <w:sz w:val="22"/>
          <w:szCs w:val="22"/>
          <w:lang w:val="lt-LT"/>
        </w:rPr>
        <w:t>e</w:t>
      </w:r>
      <w:r w:rsidRPr="00897318">
        <w:rPr>
          <w:rFonts w:ascii="Arial" w:hAnsi="Arial" w:cs="Arial"/>
          <w:i/>
          <w:sz w:val="22"/>
          <w:szCs w:val="22"/>
          <w:lang w:val="lt-LT"/>
        </w:rPr>
        <w:t>urų. Turėdama tokį akcininką (rizikos kapitalo įmonę), įmonė bus laikoma savarankiška ir tokio akcininko duomenys nebus sumuojami su pareiškėjo duomenimis, skaičiuojant pareiškėjo įmonės statusą.</w:t>
      </w:r>
    </w:p>
    <w:p w14:paraId="61BA8F1B" w14:textId="77777777" w:rsidR="00897318" w:rsidRPr="00897318" w:rsidRDefault="00897318" w:rsidP="00897318">
      <w:pPr>
        <w:tabs>
          <w:tab w:val="left" w:pos="829"/>
        </w:tabs>
        <w:ind w:right="102"/>
        <w:jc w:val="both"/>
        <w:rPr>
          <w:rFonts w:ascii="Arial" w:hAnsi="Arial" w:cs="Arial"/>
          <w:i/>
          <w:sz w:val="22"/>
          <w:szCs w:val="22"/>
          <w:lang w:val="lt-LT"/>
        </w:rPr>
      </w:pPr>
    </w:p>
    <w:p w14:paraId="4D10F86B" w14:textId="606B47C6" w:rsidR="00897318" w:rsidRPr="00897318" w:rsidRDefault="00897318" w:rsidP="00897318">
      <w:pPr>
        <w:pStyle w:val="Antrat1"/>
        <w:rPr>
          <w:lang w:val="lt-LT"/>
        </w:rPr>
      </w:pPr>
      <w:r w:rsidRPr="00897318">
        <w:rPr>
          <w:lang w:val="lt-LT"/>
        </w:rPr>
        <w:t xml:space="preserve"> Ar priemonės „Ek</w:t>
      </w:r>
      <w:r w:rsidR="000E03C4">
        <w:rPr>
          <w:lang w:val="lt-LT"/>
        </w:rPr>
        <w:t>s</w:t>
      </w:r>
      <w:r w:rsidRPr="00897318">
        <w:rPr>
          <w:lang w:val="lt-LT"/>
        </w:rPr>
        <w:t>perimentas“ projekto nuosavos pareiškėjo dalies tinkamu užtikrinimu būtų laikoma verslo angelų kartu su KŪB „</w:t>
      </w:r>
      <w:proofErr w:type="spellStart"/>
      <w:r w:rsidRPr="00897318">
        <w:rPr>
          <w:lang w:val="lt-LT"/>
        </w:rPr>
        <w:t>Koinvesticinis</w:t>
      </w:r>
      <w:proofErr w:type="spellEnd"/>
      <w:r w:rsidRPr="00897318">
        <w:rPr>
          <w:lang w:val="lt-LT"/>
        </w:rPr>
        <w:t xml:space="preserve"> fondas“ </w:t>
      </w:r>
      <w:proofErr w:type="spellStart"/>
      <w:r w:rsidRPr="00897318">
        <w:rPr>
          <w:lang w:val="lt-LT"/>
        </w:rPr>
        <w:t>subfondų</w:t>
      </w:r>
      <w:proofErr w:type="spellEnd"/>
      <w:r w:rsidRPr="00897318">
        <w:rPr>
          <w:lang w:val="lt-LT"/>
        </w:rPr>
        <w:t xml:space="preserve"> investicija pareiškėjo įmonei? </w:t>
      </w:r>
    </w:p>
    <w:p w14:paraId="1F16F325" w14:textId="77777777" w:rsidR="00897318" w:rsidRPr="00897318" w:rsidRDefault="00897318" w:rsidP="00897318">
      <w:pPr>
        <w:tabs>
          <w:tab w:val="left" w:pos="829"/>
        </w:tabs>
        <w:ind w:right="102"/>
        <w:jc w:val="both"/>
        <w:rPr>
          <w:rFonts w:ascii="Arial" w:hAnsi="Arial" w:cs="Arial"/>
          <w:sz w:val="22"/>
          <w:szCs w:val="22"/>
          <w:lang w:val="lt-LT"/>
        </w:rPr>
      </w:pPr>
    </w:p>
    <w:p w14:paraId="4E7A96DA" w14:textId="77777777" w:rsidR="00897318" w:rsidRPr="00897318" w:rsidRDefault="00897318" w:rsidP="00897318">
      <w:pPr>
        <w:tabs>
          <w:tab w:val="left" w:pos="829"/>
        </w:tabs>
        <w:ind w:right="102"/>
        <w:jc w:val="both"/>
        <w:rPr>
          <w:rFonts w:ascii="Arial" w:hAnsi="Arial" w:cs="Arial"/>
          <w:i/>
          <w:sz w:val="22"/>
          <w:szCs w:val="22"/>
          <w:lang w:val="lt-LT"/>
        </w:rPr>
      </w:pPr>
      <w:r w:rsidRPr="00897318">
        <w:rPr>
          <w:rFonts w:ascii="Arial" w:hAnsi="Arial" w:cs="Arial"/>
          <w:i/>
          <w:sz w:val="22"/>
          <w:szCs w:val="22"/>
          <w:lang w:val="lt-LT"/>
        </w:rPr>
        <w:t xml:space="preserve">Dėl pagalbos sumavimo: Bendrojo bendrosios išimties reglamento 8 straipsnio 4 dalyje yra nustatytos specialios sumavimo sąlygos, kai yra teikiama pagalba pagal 22 straipsnį: </w:t>
      </w:r>
    </w:p>
    <w:p w14:paraId="4FF9FCD1" w14:textId="77777777" w:rsidR="00897318" w:rsidRPr="00897318" w:rsidRDefault="00897318" w:rsidP="00897318">
      <w:pPr>
        <w:tabs>
          <w:tab w:val="left" w:pos="829"/>
        </w:tabs>
        <w:ind w:right="102"/>
        <w:jc w:val="both"/>
        <w:rPr>
          <w:rFonts w:ascii="Arial" w:hAnsi="Arial" w:cs="Arial"/>
          <w:i/>
          <w:sz w:val="22"/>
          <w:szCs w:val="22"/>
          <w:lang w:val="lt-LT"/>
        </w:rPr>
      </w:pPr>
      <w:r w:rsidRPr="00897318">
        <w:rPr>
          <w:rFonts w:ascii="Arial" w:hAnsi="Arial" w:cs="Arial"/>
          <w:i/>
          <w:sz w:val="22"/>
          <w:szCs w:val="22"/>
          <w:lang w:val="lt-LT"/>
        </w:rPr>
        <w:t>a) Jei finansavimas iš Rizikos kapitalo priemonės yra skirtas į įmonę, ir sprendimas investuoti į įmonę fondo lėšas nėra susietas su projekto įgyvendinimu, t. y. su tomis pačiomis tinkamomis finansuoti išlaidomis kaip ir projekte pateiktame pagal priemonę „Eksperimentas“, tokiu atveju sumavimo taisyklė nebūtų pažeista ir finansavimas gali būti užtikrinamas.</w:t>
      </w:r>
    </w:p>
    <w:p w14:paraId="4464ACAD" w14:textId="77777777" w:rsidR="00897318" w:rsidRPr="00897318" w:rsidRDefault="00897318" w:rsidP="00897318">
      <w:pPr>
        <w:tabs>
          <w:tab w:val="left" w:pos="829"/>
        </w:tabs>
        <w:ind w:right="102"/>
        <w:jc w:val="both"/>
        <w:rPr>
          <w:rFonts w:ascii="Arial" w:hAnsi="Arial" w:cs="Arial"/>
          <w:i/>
          <w:sz w:val="22"/>
          <w:szCs w:val="22"/>
          <w:lang w:val="lt-LT"/>
        </w:rPr>
      </w:pPr>
      <w:r w:rsidRPr="00897318">
        <w:rPr>
          <w:rFonts w:ascii="Arial" w:hAnsi="Arial" w:cs="Arial"/>
          <w:i/>
          <w:sz w:val="22"/>
          <w:szCs w:val="22"/>
          <w:lang w:val="lt-LT"/>
        </w:rPr>
        <w:t>b) Jei LVPA vertinimo metu nustato, kad  Rizikos kapitalo investicija yra susieta ir skirta toms pačioms tinkamoms finansuoti išlaidomis kaip projekte pateiktame pagal priemonę „Eksperimentas“, tokiu atveju sumavimo taisyklė būtų taikoma, sumuojant ar suteikta pagalba Investuojant į įmonę neviršija maksimalaus pagalbos dydžio/intensyvumo nustatyto 651/2014 Reglamento 25 ir 14 straipsniuose.</w:t>
      </w:r>
    </w:p>
    <w:p w14:paraId="65413F03" w14:textId="7FFB32A7" w:rsidR="00897318" w:rsidRPr="00897318" w:rsidRDefault="00897318" w:rsidP="00897318">
      <w:pPr>
        <w:tabs>
          <w:tab w:val="left" w:pos="829"/>
        </w:tabs>
        <w:ind w:right="102"/>
        <w:jc w:val="both"/>
        <w:rPr>
          <w:rFonts w:ascii="Arial" w:hAnsi="Arial" w:cs="Arial"/>
          <w:i/>
          <w:sz w:val="22"/>
          <w:szCs w:val="22"/>
          <w:lang w:val="lt-LT"/>
        </w:rPr>
      </w:pPr>
      <w:r w:rsidRPr="00897318">
        <w:rPr>
          <w:rFonts w:ascii="Arial" w:hAnsi="Arial" w:cs="Arial"/>
          <w:i/>
          <w:sz w:val="22"/>
          <w:szCs w:val="22"/>
          <w:lang w:val="lt-LT"/>
        </w:rPr>
        <w:t xml:space="preserve">Dėl  nuosavo indėlio tinkamumo papildomai: jei būtų prašoma pagalba pagal 14 straipsnį, turi būti vertinama ar verslo angelo kartu su pareiškėjo nuosavomis lėšomis dalis sudaro bent 25 proc. tinkamų finansuoti išlaidų. Priemonės </w:t>
      </w:r>
      <w:proofErr w:type="spellStart"/>
      <w:r w:rsidRPr="00897318">
        <w:rPr>
          <w:rFonts w:ascii="Arial" w:hAnsi="Arial" w:cs="Arial"/>
          <w:i/>
          <w:sz w:val="22"/>
          <w:szCs w:val="22"/>
          <w:lang w:val="lt-LT"/>
        </w:rPr>
        <w:t>koinvestII</w:t>
      </w:r>
      <w:proofErr w:type="spellEnd"/>
      <w:r w:rsidRPr="00897318">
        <w:rPr>
          <w:rFonts w:ascii="Arial" w:hAnsi="Arial" w:cs="Arial"/>
          <w:i/>
          <w:sz w:val="22"/>
          <w:szCs w:val="22"/>
          <w:lang w:val="lt-LT"/>
        </w:rPr>
        <w:t xml:space="preserve"> ir </w:t>
      </w:r>
      <w:proofErr w:type="spellStart"/>
      <w:r w:rsidRPr="00897318">
        <w:rPr>
          <w:rFonts w:ascii="Arial" w:hAnsi="Arial" w:cs="Arial"/>
          <w:i/>
          <w:sz w:val="22"/>
          <w:szCs w:val="22"/>
          <w:lang w:val="lt-LT"/>
        </w:rPr>
        <w:t>koinvest</w:t>
      </w:r>
      <w:proofErr w:type="spellEnd"/>
      <w:r w:rsidRPr="00897318">
        <w:rPr>
          <w:rFonts w:ascii="Arial" w:hAnsi="Arial" w:cs="Arial"/>
          <w:i/>
          <w:sz w:val="22"/>
          <w:szCs w:val="22"/>
          <w:lang w:val="lt-LT"/>
        </w:rPr>
        <w:t xml:space="preserve"> MTEPI yra finansuojamos iš E</w:t>
      </w:r>
      <w:r w:rsidR="009604EF">
        <w:rPr>
          <w:rFonts w:ascii="Arial" w:hAnsi="Arial" w:cs="Arial"/>
          <w:i/>
          <w:sz w:val="22"/>
          <w:szCs w:val="22"/>
          <w:lang w:val="lt-LT"/>
        </w:rPr>
        <w:t>uropos regioninės plėtros fondo</w:t>
      </w:r>
      <w:r w:rsidRPr="00897318">
        <w:rPr>
          <w:rFonts w:ascii="Arial" w:hAnsi="Arial" w:cs="Arial"/>
          <w:i/>
          <w:sz w:val="22"/>
          <w:szCs w:val="22"/>
          <w:lang w:val="lt-LT"/>
        </w:rPr>
        <w:t xml:space="preserve"> ir yra laikomos vieša </w:t>
      </w:r>
      <w:r w:rsidR="00FB4D3E">
        <w:rPr>
          <w:rFonts w:ascii="Arial" w:hAnsi="Arial" w:cs="Arial"/>
          <w:i/>
          <w:sz w:val="22"/>
          <w:szCs w:val="22"/>
          <w:lang w:val="lt-LT"/>
        </w:rPr>
        <w:t>investicija</w:t>
      </w:r>
      <w:r w:rsidRPr="00897318">
        <w:rPr>
          <w:rFonts w:ascii="Arial" w:hAnsi="Arial" w:cs="Arial"/>
          <w:i/>
          <w:sz w:val="22"/>
          <w:szCs w:val="22"/>
          <w:lang w:val="lt-LT"/>
        </w:rPr>
        <w:t>.</w:t>
      </w:r>
    </w:p>
    <w:p w14:paraId="131B51F3" w14:textId="77777777" w:rsidR="00897318" w:rsidRPr="00897318" w:rsidRDefault="00897318" w:rsidP="00897318">
      <w:pPr>
        <w:tabs>
          <w:tab w:val="left" w:pos="829"/>
        </w:tabs>
        <w:ind w:right="102"/>
        <w:jc w:val="both"/>
        <w:rPr>
          <w:rFonts w:ascii="Arial" w:hAnsi="Arial" w:cs="Arial"/>
          <w:i/>
          <w:sz w:val="22"/>
          <w:szCs w:val="22"/>
          <w:lang w:val="lt-LT"/>
        </w:rPr>
      </w:pPr>
    </w:p>
    <w:p w14:paraId="1A23946C" w14:textId="77777777" w:rsidR="00897318" w:rsidRPr="00897318" w:rsidRDefault="00897318" w:rsidP="00897318">
      <w:pPr>
        <w:pStyle w:val="Antrat1"/>
        <w:rPr>
          <w:lang w:val="lt-LT"/>
        </w:rPr>
      </w:pPr>
      <w:r w:rsidRPr="00897318">
        <w:rPr>
          <w:lang w:val="lt-LT"/>
        </w:rPr>
        <w:t xml:space="preserve"> Užsieniečiai (ne ES piliečiai) bus įdarbinti pareiškėjo įmonėje Lietuvoje ir gaus čia darbo užmokestį, tačiau prie projekto veiklų dirbtų nutolusiose darbo vietose (arba komandiruotėse) ne ES šalyse. Jie nenaudotų jokių medžiagų ar pan., tai tiesiog būtų teoriniai tiriamieji darbai ar IT veiklos. Ar tokiu atveju būtų taikomas 15% išlaidu ribojimas? Jei pareiškėjas perka iš išorės MTEP paslaugas ne iš ES valstybes, ar reikia laikytis 15% reikalavimo, ar galioja iki 50% galimybė?</w:t>
      </w:r>
    </w:p>
    <w:p w14:paraId="6201AF1A" w14:textId="77777777" w:rsidR="00897318" w:rsidRPr="00897318" w:rsidRDefault="00897318" w:rsidP="00897318">
      <w:pPr>
        <w:tabs>
          <w:tab w:val="left" w:pos="829"/>
        </w:tabs>
        <w:ind w:right="102"/>
        <w:rPr>
          <w:rFonts w:ascii="Arial" w:hAnsi="Arial" w:cs="Arial"/>
          <w:sz w:val="22"/>
          <w:szCs w:val="22"/>
          <w:lang w:val="lt-LT"/>
        </w:rPr>
      </w:pPr>
    </w:p>
    <w:p w14:paraId="75A7574D" w14:textId="77777777" w:rsidR="00897318" w:rsidRPr="00897318" w:rsidRDefault="00897318" w:rsidP="00897318">
      <w:pPr>
        <w:tabs>
          <w:tab w:val="left" w:pos="829"/>
        </w:tabs>
        <w:ind w:right="102"/>
        <w:jc w:val="both"/>
        <w:rPr>
          <w:rFonts w:ascii="Arial" w:hAnsi="Arial" w:cs="Arial"/>
          <w:i/>
          <w:sz w:val="22"/>
          <w:szCs w:val="22"/>
          <w:lang w:val="lt-LT"/>
        </w:rPr>
      </w:pPr>
      <w:r w:rsidRPr="00897318">
        <w:rPr>
          <w:rFonts w:ascii="Arial" w:hAnsi="Arial" w:cs="Arial"/>
          <w:i/>
          <w:sz w:val="22"/>
          <w:szCs w:val="22"/>
          <w:lang w:val="lt-LT"/>
        </w:rPr>
        <w:t>Pagal priemonės „Eksperimentas“ Aprašo 30 punktą, projekto veiklos turi būti vykdomos Lietuvos Respublikoje arba kitose ES valstybėse. Projekto veiklų vykdymo vieta yra laikoma vieta, kurioje projekto veiklą vykdo projektą vykdantis personalas. Atsižvelgiant į šias aplinkybes, projekto vykdantysis personalas turi veiklas vykdyti Lietuvos Respublikoje (arba kitose ES valstybėse), kitu atveju darbo užmokesčio išlaidos negalės būti pripažintos tinkamomis finansuoti. 15 proc. apribojimas taikomas kitose ES valstybėse įdarbintų asmenų darbo užmokesčiui. Taip pat ir Lietuvoje įdarbintų asmenų komandiruočių, kelionių, apgyvendinimo išlaidoms, dienpinigiams ir kt. išlaidoms. MTEP paslaugų išlaidoms, išlaidoms, susijusioms su konsultavimo ir lygiaverčių paslaugų, skirtų vien tik projekto MTEP veiklai, įsigijimu, taip pat išlaidoms dėl MTEP veiklai reikalingų paslaugų, kurios nėra MTEP ir be jų nebus pasiekti projekto tikslai, įsigijimo išlaidoms taikomas 50 proc. apribojimas nuo veiklos tinkamų finansuoti išlaidų, tačiau netaikomas 15 proc. apribojimas.</w:t>
      </w:r>
    </w:p>
    <w:p w14:paraId="2FCD2387" w14:textId="77777777" w:rsidR="00897318" w:rsidRPr="00897318" w:rsidRDefault="00897318" w:rsidP="00897318">
      <w:pPr>
        <w:tabs>
          <w:tab w:val="left" w:pos="829"/>
        </w:tabs>
        <w:ind w:right="102"/>
        <w:jc w:val="both"/>
        <w:rPr>
          <w:rFonts w:ascii="Arial" w:hAnsi="Arial" w:cs="Arial"/>
          <w:i/>
          <w:sz w:val="22"/>
          <w:szCs w:val="22"/>
          <w:lang w:val="lt-LT"/>
        </w:rPr>
      </w:pPr>
    </w:p>
    <w:p w14:paraId="6BD8C3F0" w14:textId="77777777" w:rsidR="00897318" w:rsidRPr="00897318" w:rsidRDefault="00897318" w:rsidP="00897318">
      <w:pPr>
        <w:pStyle w:val="Antrat1"/>
        <w:rPr>
          <w:lang w:val="lt-LT"/>
        </w:rPr>
      </w:pPr>
      <w:r w:rsidRPr="00897318">
        <w:rPr>
          <w:lang w:val="lt-LT"/>
        </w:rPr>
        <w:t xml:space="preserve"> Ar gali būti paslaugos, reikalingos projekto vykdymui (MTEP darbai arba paslaugos būtinos MTEP veiklų vykdymui) perkamos iš šalies, kuri nėra ES narė (pvz. Ukraina, Baltarusija)?</w:t>
      </w:r>
    </w:p>
    <w:p w14:paraId="75E1BC7B" w14:textId="77777777" w:rsidR="00897318" w:rsidRPr="00897318" w:rsidRDefault="00897318" w:rsidP="00897318">
      <w:pPr>
        <w:tabs>
          <w:tab w:val="left" w:pos="829"/>
        </w:tabs>
        <w:ind w:right="102"/>
        <w:rPr>
          <w:rFonts w:ascii="Arial" w:hAnsi="Arial" w:cs="Arial"/>
          <w:sz w:val="22"/>
          <w:szCs w:val="22"/>
          <w:lang w:val="lt-LT"/>
        </w:rPr>
      </w:pPr>
    </w:p>
    <w:p w14:paraId="7008A2E8" w14:textId="77777777" w:rsidR="00897318" w:rsidRPr="00897318" w:rsidRDefault="00897318" w:rsidP="00897318">
      <w:pPr>
        <w:tabs>
          <w:tab w:val="left" w:pos="829"/>
        </w:tabs>
        <w:ind w:right="102"/>
        <w:jc w:val="both"/>
        <w:rPr>
          <w:rFonts w:ascii="Arial" w:hAnsi="Arial" w:cs="Arial"/>
          <w:i/>
          <w:sz w:val="22"/>
          <w:szCs w:val="22"/>
          <w:lang w:val="lt-LT"/>
        </w:rPr>
      </w:pPr>
      <w:r w:rsidRPr="00897318">
        <w:rPr>
          <w:rFonts w:ascii="Arial" w:hAnsi="Arial" w:cs="Arial"/>
          <w:i/>
          <w:sz w:val="22"/>
          <w:szCs w:val="22"/>
          <w:lang w:val="lt-LT"/>
        </w:rPr>
        <w:t>Priemonės „Eksperimentas“ Apraše nėra numatyta geografinių apribojimų, įsigyjant paslaugas/prekes.</w:t>
      </w:r>
      <w:r w:rsidRPr="00897318">
        <w:rPr>
          <w:rFonts w:ascii="Arial" w:hAnsi="Arial" w:cs="Arial"/>
          <w:i/>
          <w:sz w:val="22"/>
          <w:szCs w:val="22"/>
          <w:lang w:val="lt-LT"/>
        </w:rPr>
        <w:br/>
        <w:t>Atkreiptinas dėmesys, kad pagal Aprašo 30 punkte, projekto veiklos turi būti vykdomos Lietuvos Respublikoje arba kitose ES valstybėse, jei jas vykdant sukurti produktai, rezultatai ir nauda (ar jų dalis, proporcinga Lietuvos Respublikos finansiniam įnašui) atitenka Lietuvos Respublikai. Jeigu projektų veiklos vykdomos ne Lietuvos Respublikoje, tokių veiklų išlaidos neturi viršyti 15 procentų projekto tinkamų finansuoti išlaidų sumos. Projekto veiklų vykdymo vieta yra laikoma vieta, kurioje projekto veiklą vykdo projektą vykdantis personalas, kaip jis apibrėžtas Rekomendacijose dėl projektų išlaidų atitikties Europos Sąjungos struktūrinių fondų reikalavimams.</w:t>
      </w:r>
    </w:p>
    <w:p w14:paraId="165E9199" w14:textId="77777777" w:rsidR="00897318" w:rsidRPr="00897318" w:rsidRDefault="00897318" w:rsidP="00897318">
      <w:pPr>
        <w:pStyle w:val="Antrat1"/>
        <w:rPr>
          <w:lang w:val="lt-LT"/>
        </w:rPr>
      </w:pPr>
      <w:r w:rsidRPr="00897318">
        <w:rPr>
          <w:lang w:val="lt-LT"/>
        </w:rPr>
        <w:t xml:space="preserve"> Ar tinkamas pagrindimas būtų darbo užmokesčio fiksuotųjų įkainių dydžių mokslinių tyrimų projektuose nustatymo tyrimo ataskaita (2019-09-13 redakcija)?</w:t>
      </w:r>
    </w:p>
    <w:p w14:paraId="4504630A" w14:textId="77777777" w:rsidR="00897318" w:rsidRPr="00897318" w:rsidRDefault="00897318" w:rsidP="00897318">
      <w:pPr>
        <w:tabs>
          <w:tab w:val="left" w:pos="829"/>
        </w:tabs>
        <w:ind w:right="102"/>
        <w:jc w:val="both"/>
        <w:rPr>
          <w:rFonts w:ascii="Arial" w:hAnsi="Arial" w:cs="Arial"/>
          <w:i/>
          <w:sz w:val="22"/>
          <w:szCs w:val="22"/>
          <w:lang w:val="lt-LT"/>
        </w:rPr>
      </w:pPr>
    </w:p>
    <w:p w14:paraId="545842E9" w14:textId="77777777" w:rsidR="00897318" w:rsidRPr="00897318" w:rsidRDefault="00897318" w:rsidP="00897318">
      <w:pPr>
        <w:tabs>
          <w:tab w:val="left" w:pos="829"/>
        </w:tabs>
        <w:ind w:right="102"/>
        <w:jc w:val="both"/>
        <w:rPr>
          <w:rFonts w:ascii="Arial" w:hAnsi="Arial" w:cs="Arial"/>
          <w:i/>
          <w:sz w:val="22"/>
          <w:szCs w:val="22"/>
          <w:lang w:val="lt-LT"/>
        </w:rPr>
      </w:pPr>
      <w:r w:rsidRPr="00897318">
        <w:rPr>
          <w:rFonts w:ascii="Arial" w:hAnsi="Arial" w:cs="Arial"/>
          <w:i/>
          <w:sz w:val="22"/>
          <w:szCs w:val="22"/>
          <w:lang w:val="lt-LT"/>
        </w:rPr>
        <w:t>Atsižvelgiant į Aprašo nuostatas manome, kad savanoriško darbo atveju turėtų būti taikomi fiksuoti įkainiai pagal Darbo užmokesčio fiksuotųjų įkainių dydžių mokslinių tyrimų projektuose nustatymo tyrimo ataskaitą, tuo tarpu jeigu mokslo ir studijų institucija prie projekto prisideda ne savanorišku darbu, t. y. prašoma apmokėjimo projekto finansavimo lėšomis, tuomet projektą vykdančio personalo darbo užmokestis turėtų būti grindžiamas faktiniais duomenimis (pvz. pateikiant 6 mėn. buhalterinę pažymą) arba įstaigos vadovo sprendimu nustatyti įkainius darbui projekte, kurie gali būti nustatomi remiantis Darbo užmokesčio fiksuotųjų įkainių dydžių mokslinių tyrimų projektuose nustatymo tyrimo ataskaita.</w:t>
      </w:r>
    </w:p>
    <w:p w14:paraId="590BBB09" w14:textId="77777777" w:rsidR="00897318" w:rsidRPr="00897318" w:rsidRDefault="00897318" w:rsidP="00897318">
      <w:pPr>
        <w:tabs>
          <w:tab w:val="left" w:pos="829"/>
        </w:tabs>
        <w:rPr>
          <w:rFonts w:ascii="Arial" w:hAnsi="Arial" w:cs="Arial"/>
          <w:i/>
          <w:sz w:val="22"/>
          <w:szCs w:val="22"/>
          <w:lang w:val="lt-LT"/>
        </w:rPr>
      </w:pPr>
    </w:p>
    <w:p w14:paraId="321332AB" w14:textId="77777777" w:rsidR="00897318" w:rsidRPr="00897318" w:rsidRDefault="00897318" w:rsidP="00897318">
      <w:pPr>
        <w:pStyle w:val="Antrat1"/>
        <w:rPr>
          <w:lang w:val="lt-LT"/>
        </w:rPr>
      </w:pPr>
      <w:r w:rsidRPr="00897318">
        <w:rPr>
          <w:lang w:val="lt-LT"/>
        </w:rPr>
        <w:t xml:space="preserve"> Kaip turi būti naudojamas/pildomas priemonės „Eksperimentas“ finansinis planas Excel formatu?</w:t>
      </w:r>
    </w:p>
    <w:p w14:paraId="258BA144" w14:textId="27CEE375" w:rsidR="00897318" w:rsidRPr="00897318" w:rsidRDefault="00897318" w:rsidP="00897318">
      <w:pPr>
        <w:pStyle w:val="Sraopastraipa"/>
        <w:numPr>
          <w:ilvl w:val="0"/>
          <w:numId w:val="18"/>
        </w:numPr>
        <w:spacing w:after="0" w:line="240" w:lineRule="auto"/>
        <w:contextualSpacing w:val="0"/>
        <w:jc w:val="both"/>
        <w:rPr>
          <w:rFonts w:ascii="Arial" w:eastAsia="Times New Roman" w:hAnsi="Arial" w:cs="Arial"/>
          <w:color w:val="000000"/>
        </w:rPr>
      </w:pPr>
      <w:r w:rsidRPr="00897318">
        <w:rPr>
          <w:rFonts w:ascii="Arial" w:hAnsi="Arial" w:cs="Arial"/>
        </w:rPr>
        <w:t>Ar lape „Projekto prognozės“ turi būti pateikiami pilni paskutiniai treti metai, ar pagal mėnesius, t.</w:t>
      </w:r>
      <w:r w:rsidR="009604EF">
        <w:rPr>
          <w:rFonts w:ascii="Arial" w:hAnsi="Arial" w:cs="Arial"/>
        </w:rPr>
        <w:t xml:space="preserve"> </w:t>
      </w:r>
      <w:r w:rsidRPr="00897318">
        <w:rPr>
          <w:rFonts w:ascii="Arial" w:hAnsi="Arial" w:cs="Arial"/>
        </w:rPr>
        <w:t>y. 2025 m. 9 mėnesius, jeigu projekto pajamos prasidėjo nuo 2022 m. 9 mėnesio?</w:t>
      </w:r>
    </w:p>
    <w:p w14:paraId="78B66AB1" w14:textId="77777777" w:rsidR="00897318" w:rsidRPr="00897318" w:rsidRDefault="00897318" w:rsidP="00897318">
      <w:pPr>
        <w:pStyle w:val="Sraopastraipa"/>
        <w:numPr>
          <w:ilvl w:val="0"/>
          <w:numId w:val="18"/>
        </w:numPr>
        <w:spacing w:after="0" w:line="240" w:lineRule="auto"/>
        <w:contextualSpacing w:val="0"/>
        <w:jc w:val="both"/>
        <w:rPr>
          <w:rFonts w:ascii="Arial" w:eastAsia="Times New Roman" w:hAnsi="Arial" w:cs="Arial"/>
          <w:color w:val="000000"/>
        </w:rPr>
      </w:pPr>
      <w:r w:rsidRPr="00897318">
        <w:rPr>
          <w:rFonts w:ascii="Arial" w:hAnsi="Arial" w:cs="Arial"/>
        </w:rPr>
        <w:t>Ar paskutinių metų projekto įgyvendinimo prognozės „Finansiniai duomenys“ lape turi baigtis ties pilnais metais? Ar vis tik tiek, kiek mėnesių projektas tęsis: pvz. 2023 m. metais apims tik 6 mėnesius, o ne pilnus metus?</w:t>
      </w:r>
    </w:p>
    <w:p w14:paraId="092802F6" w14:textId="77777777" w:rsidR="00897318" w:rsidRPr="00897318" w:rsidRDefault="00897318" w:rsidP="00897318">
      <w:pPr>
        <w:pStyle w:val="Sraopastraipa"/>
        <w:widowControl w:val="0"/>
        <w:numPr>
          <w:ilvl w:val="0"/>
          <w:numId w:val="18"/>
        </w:numPr>
        <w:tabs>
          <w:tab w:val="left" w:pos="829"/>
        </w:tabs>
        <w:autoSpaceDE w:val="0"/>
        <w:autoSpaceDN w:val="0"/>
        <w:spacing w:after="0" w:line="240" w:lineRule="auto"/>
        <w:contextualSpacing w:val="0"/>
        <w:jc w:val="both"/>
        <w:rPr>
          <w:rFonts w:ascii="Arial" w:hAnsi="Arial" w:cs="Arial"/>
        </w:rPr>
      </w:pPr>
      <w:r w:rsidRPr="00897318">
        <w:rPr>
          <w:rFonts w:ascii="Arial" w:hAnsi="Arial" w:cs="Arial"/>
        </w:rPr>
        <w:t>Ar „Finansiniai duomenys“ lapas skirtas tik parodyti įmonės veiklai projekto įgyvendinimo metu neįtraukiant projekto dalies – t. y. pvz. neįtraukiant projekto įgyvendinimui imamos paskolos, projekto metu įsigyjamos įrangos nusidėvėjimo ir atitinkamai, jeigu su infrastruktūra ir dotacijos amortizacijos?</w:t>
      </w:r>
    </w:p>
    <w:p w14:paraId="5F06582E" w14:textId="77777777" w:rsidR="00897318" w:rsidRPr="00897318" w:rsidRDefault="00897318" w:rsidP="00897318">
      <w:pPr>
        <w:pStyle w:val="Sraopastraipa"/>
        <w:tabs>
          <w:tab w:val="left" w:pos="829"/>
        </w:tabs>
        <w:rPr>
          <w:rFonts w:ascii="Arial" w:hAnsi="Arial" w:cs="Arial"/>
        </w:rPr>
      </w:pPr>
    </w:p>
    <w:p w14:paraId="1171BB20" w14:textId="77777777" w:rsidR="00897318" w:rsidRPr="00897318" w:rsidRDefault="00897318" w:rsidP="00897318">
      <w:pPr>
        <w:pStyle w:val="Sraopastraipa"/>
        <w:numPr>
          <w:ilvl w:val="0"/>
          <w:numId w:val="18"/>
        </w:numPr>
        <w:spacing w:after="0" w:line="240" w:lineRule="auto"/>
        <w:contextualSpacing w:val="0"/>
        <w:jc w:val="both"/>
        <w:rPr>
          <w:rFonts w:ascii="Arial" w:eastAsia="Times New Roman" w:hAnsi="Arial" w:cs="Arial"/>
          <w:color w:val="000000"/>
        </w:rPr>
      </w:pPr>
      <w:r w:rsidRPr="00897318">
        <w:rPr>
          <w:rFonts w:ascii="Arial" w:hAnsi="Arial" w:cs="Arial"/>
          <w:i/>
        </w:rPr>
        <w:t>Lape „Projekto prognozės“ pateikiama faktinė planuojamų pajamų per 3 metus po projekto veiklų įgyvendinimo informacija. Tai yra, pagal Jūsų pateiktą pavyzdį, už 2025 m. turėtumėte nurodyti devynių mėnesių pajamas. Rekomenduojame verslo plano 7 dalyje pateikti paaiškinimą, nurodyti prielaidas ir kitas aplinkybes, jeigu tokių yra.</w:t>
      </w:r>
    </w:p>
    <w:p w14:paraId="53246901" w14:textId="77777777" w:rsidR="00897318" w:rsidRPr="00897318" w:rsidRDefault="00897318" w:rsidP="00897318">
      <w:pPr>
        <w:pStyle w:val="Sraopastraipa"/>
        <w:numPr>
          <w:ilvl w:val="0"/>
          <w:numId w:val="18"/>
        </w:numPr>
        <w:spacing w:after="0" w:line="240" w:lineRule="auto"/>
        <w:contextualSpacing w:val="0"/>
        <w:jc w:val="both"/>
        <w:rPr>
          <w:rFonts w:ascii="Arial" w:eastAsia="Times New Roman" w:hAnsi="Arial" w:cs="Arial"/>
          <w:color w:val="000000"/>
        </w:rPr>
      </w:pPr>
      <w:r w:rsidRPr="00897318">
        <w:rPr>
          <w:rFonts w:ascii="Arial" w:hAnsi="Arial" w:cs="Arial"/>
          <w:i/>
        </w:rPr>
        <w:t>Prognozės lape „Finansiniai duomenys“ teikiami už pilnus metus, įskaitant ir projekto pabaigos metus. Paaiškinimus rekomenduojame nurodyti verslo plano 7 dalyje.</w:t>
      </w:r>
    </w:p>
    <w:p w14:paraId="36DD35EA" w14:textId="77777777" w:rsidR="00897318" w:rsidRPr="00897318" w:rsidRDefault="00897318" w:rsidP="00897318">
      <w:pPr>
        <w:pStyle w:val="Sraopastraipa"/>
        <w:numPr>
          <w:ilvl w:val="0"/>
          <w:numId w:val="18"/>
        </w:numPr>
        <w:spacing w:after="0" w:line="240" w:lineRule="auto"/>
        <w:contextualSpacing w:val="0"/>
        <w:jc w:val="both"/>
        <w:rPr>
          <w:rFonts w:ascii="Arial" w:eastAsia="Times New Roman" w:hAnsi="Arial" w:cs="Arial"/>
          <w:color w:val="000000"/>
        </w:rPr>
      </w:pPr>
      <w:r w:rsidRPr="00897318">
        <w:rPr>
          <w:rFonts w:ascii="Arial" w:hAnsi="Arial" w:cs="Arial"/>
          <w:i/>
        </w:rPr>
        <w:t>Lape „Finansiniai duomenys“ parodoma visa įmonės veikla, įskaitant ir projektą. Paskolos, gaunamos dotacijos, įsigyjamas turtas, medžiagos ir kt. turi būti apskaitomi pagal verslo apskaitos standartus. Paaiškinimus, skaičiavimus ir kt. informaciją rekomenduojame pateikti verslo plano 7 dalyje.</w:t>
      </w:r>
    </w:p>
    <w:p w14:paraId="5F6A10B9" w14:textId="77777777" w:rsidR="00897318" w:rsidRPr="00897318" w:rsidRDefault="00897318" w:rsidP="00897318">
      <w:pPr>
        <w:jc w:val="both"/>
        <w:rPr>
          <w:rFonts w:ascii="Arial" w:hAnsi="Arial" w:cs="Arial"/>
          <w:i/>
          <w:sz w:val="22"/>
          <w:szCs w:val="22"/>
          <w:lang w:val="lt-LT"/>
        </w:rPr>
      </w:pPr>
    </w:p>
    <w:p w14:paraId="03106453" w14:textId="77777777" w:rsidR="00897318" w:rsidRPr="00897318" w:rsidRDefault="00897318" w:rsidP="00897318">
      <w:pPr>
        <w:pStyle w:val="Antrat1"/>
        <w:rPr>
          <w:lang w:val="lt-LT"/>
        </w:rPr>
      </w:pPr>
      <w:r w:rsidRPr="00897318">
        <w:rPr>
          <w:lang w:val="lt-LT"/>
        </w:rPr>
        <w:t xml:space="preserve"> Koks turėtų būti patalpų nuomos sutarties terminas, kad sėkmingai galėtume įgyvendinti projektą ?</w:t>
      </w:r>
    </w:p>
    <w:p w14:paraId="26E572D6" w14:textId="77777777" w:rsidR="00897318" w:rsidRPr="00897318" w:rsidRDefault="00897318" w:rsidP="00897318">
      <w:pPr>
        <w:tabs>
          <w:tab w:val="left" w:pos="829"/>
        </w:tabs>
        <w:ind w:right="102"/>
        <w:rPr>
          <w:rFonts w:ascii="Arial" w:hAnsi="Arial" w:cs="Arial"/>
          <w:sz w:val="22"/>
          <w:szCs w:val="22"/>
          <w:lang w:val="lt-LT"/>
        </w:rPr>
      </w:pPr>
    </w:p>
    <w:p w14:paraId="4B733570" w14:textId="39DC92CE" w:rsidR="00897318" w:rsidRPr="00897318" w:rsidRDefault="00897318" w:rsidP="00897318">
      <w:pPr>
        <w:tabs>
          <w:tab w:val="left" w:pos="829"/>
        </w:tabs>
        <w:ind w:right="102"/>
        <w:jc w:val="both"/>
        <w:rPr>
          <w:rFonts w:ascii="Arial" w:hAnsi="Arial" w:cs="Arial"/>
          <w:i/>
          <w:sz w:val="22"/>
          <w:szCs w:val="22"/>
          <w:lang w:val="lt-LT"/>
        </w:rPr>
      </w:pPr>
      <w:r w:rsidRPr="00897318">
        <w:rPr>
          <w:rFonts w:ascii="Arial" w:hAnsi="Arial" w:cs="Arial"/>
          <w:i/>
          <w:sz w:val="22"/>
          <w:szCs w:val="22"/>
          <w:lang w:val="lt-LT"/>
        </w:rPr>
        <w:t xml:space="preserve">Pagal priemonės </w:t>
      </w:r>
      <w:r w:rsidR="009604EF">
        <w:rPr>
          <w:rFonts w:ascii="Arial" w:hAnsi="Arial" w:cs="Arial"/>
          <w:i/>
          <w:sz w:val="22"/>
          <w:szCs w:val="22"/>
          <w:lang w:val="lt-LT"/>
        </w:rPr>
        <w:t>„</w:t>
      </w:r>
      <w:r w:rsidRPr="00897318">
        <w:rPr>
          <w:rFonts w:ascii="Arial" w:hAnsi="Arial" w:cs="Arial"/>
          <w:i/>
          <w:sz w:val="22"/>
          <w:szCs w:val="22"/>
          <w:lang w:val="lt-LT"/>
        </w:rPr>
        <w:t>Eksperimentas</w:t>
      </w:r>
      <w:r w:rsidR="009604EF">
        <w:rPr>
          <w:rFonts w:ascii="Arial" w:hAnsi="Arial" w:cs="Arial"/>
          <w:i/>
          <w:sz w:val="22"/>
          <w:szCs w:val="22"/>
          <w:lang w:val="lt-LT"/>
        </w:rPr>
        <w:t>“</w:t>
      </w:r>
      <w:r w:rsidRPr="00897318">
        <w:rPr>
          <w:rFonts w:ascii="Arial" w:hAnsi="Arial" w:cs="Arial"/>
          <w:i/>
          <w:sz w:val="22"/>
          <w:szCs w:val="22"/>
          <w:lang w:val="lt-LT"/>
        </w:rPr>
        <w:t xml:space="preserve"> Aprašo Nr. 1 (toliau – Aprašas) 114 punktą:</w:t>
      </w:r>
      <w:r w:rsidRPr="00897318">
        <w:rPr>
          <w:rFonts w:ascii="Arial" w:hAnsi="Arial" w:cs="Arial"/>
          <w:i/>
          <w:sz w:val="22"/>
          <w:szCs w:val="22"/>
          <w:lang w:val="lt-LT"/>
        </w:rPr>
        <w:br/>
        <w:t xml:space="preserve">„Daiktinės pareiškėjo teisės į nekilnojamąjį turtą, kuris bus tiesiogiai naudojamas įgyvendinant projekte numatytą Aprašo 10.2 papunktyje nurodytą veiklą, iki projekto sutarties pasirašymo turi būti įregistruotos Nekilnojamojo turto registre. Pareiškėjo daiktines teises į turtą Nekilnojamojo turto registre patikrina įgyvendinančioji institucija. Turto, kuris bus naudojamas įgyvendinant projektą, naudojimo paskirtis turi atitikti pagal projektą įgyvendinamą veiklą ir būti įregistruota Nekilnojamojo turto registre. Neįregistravus daiktinių teisių iki projekto sutarties pasirašymo, projekto sutartis su pareiškėju nepasirašoma ir projektas nefinansuojamas. Įgyvendinančiajai institucijai Aprašo 110 punkte nustatytu atveju pratęsus projekto sutarties pasirašymo terminą, atitinkamai prasitęsia daiktinių pareiškėjo teisių į nekilnojamąjį turtą, kuris bus tiesiogiai naudojamas įgyvendinant projektą, įregistravimo Nekilnojamojo turto registre terminas“. </w:t>
      </w:r>
    </w:p>
    <w:p w14:paraId="1DD5F549" w14:textId="77777777" w:rsidR="00897318" w:rsidRPr="00897318" w:rsidRDefault="00897318" w:rsidP="00897318">
      <w:pPr>
        <w:tabs>
          <w:tab w:val="left" w:pos="829"/>
        </w:tabs>
        <w:ind w:right="102"/>
        <w:jc w:val="both"/>
        <w:rPr>
          <w:rFonts w:ascii="Arial" w:hAnsi="Arial" w:cs="Arial"/>
          <w:i/>
          <w:sz w:val="22"/>
          <w:szCs w:val="22"/>
          <w:lang w:val="lt-LT"/>
        </w:rPr>
      </w:pPr>
      <w:r w:rsidRPr="00897318">
        <w:rPr>
          <w:rFonts w:ascii="Arial" w:hAnsi="Arial" w:cs="Arial"/>
          <w:i/>
          <w:sz w:val="22"/>
          <w:szCs w:val="22"/>
          <w:lang w:val="lt-LT"/>
        </w:rPr>
        <w:t>Tai reiškia, kad LVPA patikrins ar patalpų nuomos sutartis įregistruota Nekilnojamojo turto registre tuo atveju, jei projekte bus vykdoma Aprašo 10.2 papunktyje nurodyta veikla.</w:t>
      </w:r>
      <w:r w:rsidRPr="00897318">
        <w:rPr>
          <w:rFonts w:ascii="Arial" w:hAnsi="Arial" w:cs="Arial"/>
          <w:i/>
          <w:sz w:val="22"/>
          <w:szCs w:val="22"/>
          <w:lang w:val="lt-LT"/>
        </w:rPr>
        <w:br/>
        <w:t>Tačiau pažymime, kad vadovaujantis LR Statybų įstatymu, visais atvejais projekto veiklos turi būti vykdomos tinkamos paskirties patalpose.  Taip pat atkreiptinas dėmesys, kad vadovaujantis Projektų administravimo ir finansavimo taisyklių 338 punktu: „Po projekto finansavimo pabaigos vadovaujantis reglamento (ES) Nr. 1303/2013 71 straipsniu turi būti užtikrintas investicijų tęstinumas, t. y. projektų, kurių veiklos susijusios su investicijomis į infrastruktūrą arba gamybą (prekių ar paslaugų kūrimą), vykdytojai per 5 metus nuo projekto finansavimo pabaigos arba projektų, kuriems taikomos valstybės pagalbos taisyklės, vykdytojai per valstybės pagalbos taisyklėse nustatytą laikotarpį:</w:t>
      </w:r>
    </w:p>
    <w:p w14:paraId="342FC511" w14:textId="77777777" w:rsidR="00897318" w:rsidRPr="00897318" w:rsidRDefault="00897318" w:rsidP="00897318">
      <w:pPr>
        <w:tabs>
          <w:tab w:val="left" w:pos="829"/>
        </w:tabs>
        <w:ind w:right="102"/>
        <w:jc w:val="both"/>
        <w:rPr>
          <w:rFonts w:ascii="Arial" w:hAnsi="Arial" w:cs="Arial"/>
          <w:i/>
          <w:sz w:val="22"/>
          <w:szCs w:val="22"/>
          <w:lang w:val="lt-LT"/>
        </w:rPr>
      </w:pPr>
      <w:r w:rsidRPr="00897318">
        <w:rPr>
          <w:rFonts w:ascii="Arial" w:hAnsi="Arial" w:cs="Arial"/>
          <w:i/>
          <w:sz w:val="22"/>
          <w:szCs w:val="22"/>
          <w:lang w:val="lt-LT"/>
        </w:rPr>
        <w:t xml:space="preserve">338.1. negali nutraukti gamybinės veiklos arba perkelti jos už veiksmų programos įgyvendinimo teritorijos ribų. Gamybinė veikla negali būti perkeliama už ES ribų 10 metų nuo projekto finansavimo pabaigos, išskyrus tuos atvejus, jei teikiama valstybės pagalba arba jei projekto vykdytojas yra smulkiojo ar vidutinio verslo subjektas; </w:t>
      </w:r>
    </w:p>
    <w:p w14:paraId="27A7E4F5" w14:textId="77777777" w:rsidR="00897318" w:rsidRPr="00897318" w:rsidRDefault="00897318" w:rsidP="00897318">
      <w:pPr>
        <w:tabs>
          <w:tab w:val="left" w:pos="829"/>
        </w:tabs>
        <w:ind w:right="102"/>
        <w:jc w:val="both"/>
        <w:rPr>
          <w:rFonts w:ascii="Arial" w:hAnsi="Arial" w:cs="Arial"/>
          <w:i/>
          <w:sz w:val="22"/>
          <w:szCs w:val="22"/>
          <w:lang w:val="lt-LT"/>
        </w:rPr>
      </w:pPr>
      <w:r w:rsidRPr="00897318">
        <w:rPr>
          <w:rFonts w:ascii="Arial" w:hAnsi="Arial" w:cs="Arial"/>
          <w:i/>
          <w:sz w:val="22"/>
          <w:szCs w:val="22"/>
          <w:lang w:val="lt-LT"/>
        </w:rPr>
        <w:t>338.2. negali pakeisti infrastruktūros objekto nuosavybės teisių, jei dėl to įmonė arba viešojo sektoriaus institucija įgytų nederamą pranašumą;</w:t>
      </w:r>
    </w:p>
    <w:p w14:paraId="6F07654A" w14:textId="77777777" w:rsidR="00897318" w:rsidRPr="00897318" w:rsidRDefault="00897318" w:rsidP="00897318">
      <w:pPr>
        <w:tabs>
          <w:tab w:val="left" w:pos="829"/>
        </w:tabs>
        <w:ind w:right="102"/>
        <w:jc w:val="both"/>
        <w:rPr>
          <w:rFonts w:ascii="Arial" w:hAnsi="Arial" w:cs="Arial"/>
          <w:i/>
          <w:sz w:val="22"/>
          <w:szCs w:val="22"/>
          <w:lang w:val="lt-LT"/>
        </w:rPr>
      </w:pPr>
      <w:r w:rsidRPr="00897318">
        <w:rPr>
          <w:rFonts w:ascii="Arial" w:hAnsi="Arial" w:cs="Arial"/>
          <w:i/>
          <w:sz w:val="22"/>
          <w:szCs w:val="22"/>
          <w:lang w:val="lt-LT"/>
        </w:rPr>
        <w:t>338.3. negali iš esmės pakeisti veiklos, kuriai buvo skirtos investicijos, pobūdžio, tikslų arba įgyvendinimo sąlygų, jei tai pakenktų projekto tikslams“.</w:t>
      </w:r>
    </w:p>
    <w:p w14:paraId="09C5C35E" w14:textId="77777777" w:rsidR="00897318" w:rsidRPr="00897318" w:rsidRDefault="00897318" w:rsidP="00897318">
      <w:pPr>
        <w:tabs>
          <w:tab w:val="left" w:pos="829"/>
        </w:tabs>
        <w:ind w:right="102"/>
        <w:jc w:val="both"/>
        <w:rPr>
          <w:rFonts w:ascii="Arial" w:hAnsi="Arial" w:cs="Arial"/>
          <w:i/>
          <w:sz w:val="22"/>
          <w:szCs w:val="22"/>
          <w:lang w:val="lt-LT"/>
        </w:rPr>
      </w:pPr>
      <w:r w:rsidRPr="00897318">
        <w:rPr>
          <w:rFonts w:ascii="Arial" w:hAnsi="Arial" w:cs="Arial"/>
          <w:i/>
          <w:sz w:val="22"/>
          <w:szCs w:val="22"/>
          <w:lang w:val="lt-LT"/>
        </w:rPr>
        <w:t>Pagal 339 punktą „Tais atvejais, kai investuojama į smulkiojo ir vidutinio verslo subjektų veiklą ar jų kuriamas darbo vietas, Taisyklių 338 punkte nustatytas terminas gali būti sutrumpinamas iki 3 metų, jei tai nustatyta projektų finansavimo sąlygų apraše“. Tai reiškia, kad įgyvendinant projekte numatytą Aprašo 10.2 papunktyje nurodytą veiklą, patalpų nuomos sutartis turės galioti projekto metu ir dar 3/5 metus po projekto įgyvendinimo (priklausomai nuo įmonės dydžio).</w:t>
      </w:r>
    </w:p>
    <w:p w14:paraId="02E4ADD1" w14:textId="77777777" w:rsidR="00897318" w:rsidRPr="00897318" w:rsidRDefault="00897318" w:rsidP="00897318">
      <w:pPr>
        <w:tabs>
          <w:tab w:val="left" w:pos="829"/>
        </w:tabs>
        <w:ind w:right="102"/>
        <w:rPr>
          <w:rFonts w:ascii="Arial" w:hAnsi="Arial" w:cs="Arial"/>
          <w:i/>
          <w:sz w:val="22"/>
          <w:szCs w:val="22"/>
          <w:lang w:val="lt-LT"/>
        </w:rPr>
      </w:pPr>
    </w:p>
    <w:p w14:paraId="19ECD50A" w14:textId="77777777" w:rsidR="00897318" w:rsidRPr="00897318" w:rsidRDefault="00897318" w:rsidP="00897318">
      <w:pPr>
        <w:tabs>
          <w:tab w:val="left" w:pos="829"/>
        </w:tabs>
        <w:ind w:right="102"/>
        <w:rPr>
          <w:rFonts w:ascii="Arial" w:hAnsi="Arial" w:cs="Arial"/>
          <w:sz w:val="22"/>
          <w:szCs w:val="22"/>
          <w:lang w:val="lt-LT"/>
        </w:rPr>
      </w:pPr>
    </w:p>
    <w:p w14:paraId="2DB59742" w14:textId="77777777" w:rsidR="00897318" w:rsidRPr="00897318" w:rsidRDefault="00897318" w:rsidP="00897318">
      <w:pPr>
        <w:pStyle w:val="Antrat1"/>
        <w:rPr>
          <w:lang w:val="lt-LT"/>
        </w:rPr>
      </w:pPr>
      <w:r w:rsidRPr="00897318">
        <w:rPr>
          <w:lang w:val="lt-LT"/>
        </w:rPr>
        <w:t xml:space="preserve"> Aprašo 96 punkte nurodoma, kad pareiškėjas gali pateikti Mokslo, inovacijų ir technologijų agentūros arba Lietuvos mokslo tarybos ekspertinę išvadą dėl projekto veiklų atitikties MTEP ir projekto prisidėjimo prie Prioritetinių mokslinių tyrimų ir eksperimentinės plėtros ir inovacijų raidos (sumaniosios specializacijos) prioritetų įgyvendinimo programos. Kokiu el. paštu būtų galima išsiųsti dokumentą, ekspertiniam įvertinimui? Iki kada reikėtų pateikti šią informaciją ekspertams?</w:t>
      </w:r>
    </w:p>
    <w:p w14:paraId="2A78996B" w14:textId="77777777" w:rsidR="00897318" w:rsidRPr="00897318" w:rsidRDefault="00897318" w:rsidP="00897318">
      <w:pPr>
        <w:tabs>
          <w:tab w:val="left" w:pos="829"/>
        </w:tabs>
        <w:ind w:right="102"/>
        <w:rPr>
          <w:rFonts w:ascii="Arial" w:hAnsi="Arial" w:cs="Arial"/>
          <w:sz w:val="22"/>
          <w:szCs w:val="22"/>
          <w:lang w:val="lt-LT"/>
        </w:rPr>
      </w:pPr>
    </w:p>
    <w:p w14:paraId="6FA25A8F" w14:textId="77777777" w:rsidR="00897318" w:rsidRPr="00897318" w:rsidRDefault="00897318" w:rsidP="00897318">
      <w:pPr>
        <w:tabs>
          <w:tab w:val="left" w:pos="829"/>
        </w:tabs>
        <w:ind w:right="102"/>
        <w:jc w:val="both"/>
        <w:rPr>
          <w:rFonts w:ascii="Arial" w:hAnsi="Arial" w:cs="Arial"/>
          <w:i/>
          <w:sz w:val="22"/>
          <w:szCs w:val="22"/>
          <w:lang w:val="lt-LT"/>
        </w:rPr>
      </w:pPr>
      <w:r w:rsidRPr="00897318">
        <w:rPr>
          <w:rFonts w:ascii="Arial" w:hAnsi="Arial" w:cs="Arial"/>
          <w:i/>
          <w:sz w:val="22"/>
          <w:szCs w:val="22"/>
          <w:lang w:val="lt-LT"/>
        </w:rPr>
        <w:t xml:space="preserve">Dėl Mokslo, inovacijų ir technologijų agentūros arba Lietuvos mokslo tarybos ekspertinių išvadų reikia kreiptis tiesiogiai, bendraisiais kontaktais. Mokslo, inovacijų ir technologijos agentūros interneto svetainė </w:t>
      </w:r>
      <w:hyperlink r:id="rId17" w:history="1">
        <w:r w:rsidRPr="00897318">
          <w:rPr>
            <w:rStyle w:val="Hipersaitas"/>
            <w:rFonts w:ascii="Arial" w:hAnsi="Arial" w:cs="Arial"/>
            <w:i/>
            <w:sz w:val="22"/>
            <w:szCs w:val="22"/>
            <w:lang w:val="lt-LT"/>
          </w:rPr>
          <w:t>https://mita.lrv.lt/lt/paslaugos</w:t>
        </w:r>
      </w:hyperlink>
      <w:r w:rsidRPr="00897318">
        <w:rPr>
          <w:rFonts w:ascii="Arial" w:hAnsi="Arial" w:cs="Arial"/>
          <w:i/>
          <w:sz w:val="22"/>
          <w:szCs w:val="22"/>
          <w:lang w:val="lt-LT"/>
        </w:rPr>
        <w:t xml:space="preserve">, Lietuvos mokslų tarybos internetinė svetainė </w:t>
      </w:r>
      <w:hyperlink r:id="rId18" w:history="1">
        <w:r w:rsidRPr="00897318">
          <w:rPr>
            <w:rStyle w:val="Hipersaitas"/>
            <w:rFonts w:ascii="Arial" w:hAnsi="Arial" w:cs="Arial"/>
            <w:i/>
            <w:sz w:val="22"/>
            <w:szCs w:val="22"/>
            <w:lang w:val="lt-LT"/>
          </w:rPr>
          <w:t>www.lmt.lt</w:t>
        </w:r>
      </w:hyperlink>
      <w:r w:rsidRPr="00897318">
        <w:rPr>
          <w:rFonts w:ascii="Arial" w:hAnsi="Arial" w:cs="Arial"/>
          <w:i/>
          <w:sz w:val="22"/>
          <w:szCs w:val="22"/>
          <w:lang w:val="lt-LT"/>
        </w:rPr>
        <w:t>.</w:t>
      </w:r>
    </w:p>
    <w:p w14:paraId="42792519" w14:textId="77777777" w:rsidR="00897318" w:rsidRPr="00897318" w:rsidRDefault="00897318" w:rsidP="00897318">
      <w:pPr>
        <w:pStyle w:val="Sraopastraipa"/>
        <w:tabs>
          <w:tab w:val="left" w:pos="829"/>
        </w:tabs>
        <w:rPr>
          <w:rFonts w:ascii="Arial" w:hAnsi="Arial" w:cs="Arial"/>
        </w:rPr>
      </w:pPr>
      <w:r w:rsidRPr="00897318">
        <w:rPr>
          <w:rFonts w:ascii="Arial" w:hAnsi="Arial" w:cs="Arial"/>
        </w:rPr>
        <w:t xml:space="preserve"> </w:t>
      </w:r>
    </w:p>
    <w:p w14:paraId="3C910161" w14:textId="1F9B5F21" w:rsidR="00897318" w:rsidRPr="00897318" w:rsidRDefault="00897318" w:rsidP="00897318">
      <w:pPr>
        <w:pStyle w:val="Antrat1"/>
        <w:rPr>
          <w:lang w:val="lt-LT"/>
        </w:rPr>
      </w:pPr>
      <w:r w:rsidRPr="00897318">
        <w:rPr>
          <w:lang w:val="lt-LT"/>
        </w:rPr>
        <w:t xml:space="preserve"> Jeigu įmonė MTEP veiklos įgyvendinimo </w:t>
      </w:r>
      <w:r>
        <w:rPr>
          <w:lang w:val="lt-LT"/>
        </w:rPr>
        <w:t>metu</w:t>
      </w:r>
      <w:r w:rsidRPr="00897318">
        <w:rPr>
          <w:lang w:val="lt-LT"/>
        </w:rPr>
        <w:t xml:space="preserve"> planuoja sukurti ne vieną, o kelis produktus, ar balai bus skiriami už kiekvieną produktą atskirai, ar bus vertinamas bendrai projekto įgyvendinimo metu sukurtų produktų </w:t>
      </w:r>
      <w:proofErr w:type="spellStart"/>
      <w:r>
        <w:rPr>
          <w:lang w:val="lt-LT"/>
        </w:rPr>
        <w:t>komercializavimo</w:t>
      </w:r>
      <w:proofErr w:type="spellEnd"/>
      <w:r w:rsidRPr="00897318">
        <w:rPr>
          <w:lang w:val="lt-LT"/>
        </w:rPr>
        <w:t xml:space="preserve"> potencialas?</w:t>
      </w:r>
    </w:p>
    <w:p w14:paraId="21EEC327" w14:textId="77777777" w:rsidR="00897318" w:rsidRPr="00897318" w:rsidRDefault="00897318" w:rsidP="00897318">
      <w:pPr>
        <w:rPr>
          <w:rFonts w:ascii="Arial" w:hAnsi="Arial" w:cs="Arial"/>
          <w:sz w:val="22"/>
          <w:szCs w:val="22"/>
          <w:lang w:val="lt-LT"/>
        </w:rPr>
      </w:pPr>
    </w:p>
    <w:p w14:paraId="5FC16BA2" w14:textId="77777777" w:rsidR="00897318" w:rsidRPr="00897318" w:rsidRDefault="00897318" w:rsidP="00897318">
      <w:pPr>
        <w:jc w:val="both"/>
        <w:rPr>
          <w:rFonts w:ascii="Arial" w:hAnsi="Arial" w:cs="Arial"/>
          <w:i/>
          <w:sz w:val="22"/>
          <w:szCs w:val="22"/>
          <w:lang w:val="lt-LT"/>
        </w:rPr>
      </w:pPr>
      <w:r w:rsidRPr="00897318">
        <w:rPr>
          <w:rFonts w:ascii="Arial" w:hAnsi="Arial" w:cs="Arial"/>
          <w:i/>
          <w:sz w:val="22"/>
          <w:szCs w:val="22"/>
          <w:lang w:val="lt-LT"/>
        </w:rPr>
        <w:t xml:space="preserve">Naudos ir kokybės vertinimo metu bus žiūrimos projekto įgyvendinimo metu ir 3 metus po projekto veiklų įgyvendinimo pabaigos įmonės planuojamos gauti pajamos iš įgyvendinant projektą ir tiesiogiai projekto įgyvendinimo metu sukurtų ir rinkai pateiktų produktų, t. y. visų produktų. </w:t>
      </w:r>
    </w:p>
    <w:p w14:paraId="1A4B1619" w14:textId="77777777" w:rsidR="00897318" w:rsidRPr="00897318" w:rsidRDefault="00897318" w:rsidP="00897318">
      <w:pPr>
        <w:jc w:val="both"/>
        <w:rPr>
          <w:rFonts w:ascii="Arial" w:hAnsi="Arial" w:cs="Arial"/>
          <w:i/>
          <w:sz w:val="22"/>
          <w:szCs w:val="22"/>
          <w:lang w:val="lt-LT"/>
        </w:rPr>
      </w:pPr>
      <w:r w:rsidRPr="00897318">
        <w:rPr>
          <w:rFonts w:ascii="Arial" w:hAnsi="Arial" w:cs="Arial"/>
          <w:i/>
          <w:sz w:val="22"/>
          <w:szCs w:val="22"/>
          <w:lang w:val="lt-LT"/>
        </w:rPr>
        <w:t xml:space="preserve">Projekto įgyvendinimo metu sukurtų kelių produktų </w:t>
      </w:r>
      <w:proofErr w:type="spellStart"/>
      <w:r w:rsidRPr="00897318">
        <w:rPr>
          <w:rFonts w:ascii="Arial" w:hAnsi="Arial" w:cs="Arial"/>
          <w:i/>
          <w:sz w:val="22"/>
          <w:szCs w:val="22"/>
          <w:lang w:val="lt-LT"/>
        </w:rPr>
        <w:t>komercinimo</w:t>
      </w:r>
      <w:proofErr w:type="spellEnd"/>
      <w:r w:rsidRPr="00897318">
        <w:rPr>
          <w:rFonts w:ascii="Arial" w:hAnsi="Arial" w:cs="Arial"/>
          <w:i/>
          <w:sz w:val="22"/>
          <w:szCs w:val="22"/>
          <w:lang w:val="lt-LT"/>
        </w:rPr>
        <w:t xml:space="preserve"> potencialo vertinamas: jeigu įgyvendinant ar įgyvendinus projektą bus sukurta daugiau nei vienas produktas, vertinamas kiekvienas produktas ir tuomet apskaičiuojamas suteikiamo balo vidurkis.</w:t>
      </w:r>
    </w:p>
    <w:p w14:paraId="4D9B744E" w14:textId="77777777" w:rsidR="00897318" w:rsidRPr="00897318" w:rsidRDefault="00897318" w:rsidP="00897318">
      <w:pPr>
        <w:rPr>
          <w:rFonts w:ascii="Arial" w:hAnsi="Arial" w:cs="Arial"/>
          <w:sz w:val="22"/>
          <w:szCs w:val="22"/>
          <w:lang w:val="lt-LT"/>
        </w:rPr>
      </w:pPr>
    </w:p>
    <w:p w14:paraId="5FC9A927" w14:textId="69612ED5" w:rsidR="00897318" w:rsidRPr="00897318" w:rsidRDefault="00897318" w:rsidP="00897318">
      <w:pPr>
        <w:pStyle w:val="Antrat1"/>
        <w:rPr>
          <w:lang w:val="lt-LT"/>
        </w:rPr>
      </w:pPr>
      <w:r w:rsidRPr="00897318">
        <w:rPr>
          <w:lang w:val="lt-LT"/>
        </w:rPr>
        <w:t xml:space="preserve"> Jeigu įmonė planuoja sukurti kelis produktus, kaip bus skiriami balai už inovacijos reikšmingumo lygį, </w:t>
      </w:r>
      <w:r w:rsidR="0083416F">
        <w:rPr>
          <w:lang w:val="lt-LT"/>
        </w:rPr>
        <w:t>produktai skiriasi</w:t>
      </w:r>
      <w:r w:rsidRPr="00897318">
        <w:rPr>
          <w:lang w:val="lt-LT"/>
        </w:rPr>
        <w:t>?</w:t>
      </w:r>
    </w:p>
    <w:p w14:paraId="566B2EAF" w14:textId="77777777" w:rsidR="00897318" w:rsidRPr="00897318" w:rsidRDefault="00897318" w:rsidP="00897318">
      <w:pPr>
        <w:rPr>
          <w:rFonts w:ascii="Arial" w:hAnsi="Arial" w:cs="Arial"/>
          <w:sz w:val="22"/>
          <w:szCs w:val="22"/>
          <w:lang w:val="lt-LT"/>
        </w:rPr>
      </w:pPr>
    </w:p>
    <w:p w14:paraId="68EAD087" w14:textId="77777777" w:rsidR="00897318" w:rsidRPr="00897318" w:rsidRDefault="00897318" w:rsidP="00897318">
      <w:pPr>
        <w:jc w:val="both"/>
        <w:rPr>
          <w:rFonts w:ascii="Arial" w:hAnsi="Arial" w:cs="Arial"/>
          <w:i/>
          <w:sz w:val="22"/>
          <w:szCs w:val="22"/>
          <w:lang w:val="lt-LT"/>
        </w:rPr>
      </w:pPr>
      <w:r w:rsidRPr="00897318">
        <w:rPr>
          <w:rFonts w:ascii="Arial" w:hAnsi="Arial" w:cs="Arial"/>
          <w:i/>
          <w:sz w:val="22"/>
          <w:szCs w:val="22"/>
          <w:lang w:val="lt-LT"/>
        </w:rPr>
        <w:t>Jeigu projekto įgyvendinimo metu arba per 3 metus po projekto įgyvendinimo bus sukurtas bent vienas produktas, kuris naujas pasaulio lygmeniu, projektui skiriami 5 balai, nepriklausimai nuo kitų projekto įgyvendinimo metu arba per 3 metus po projekto įgyvendinimo sukurtų produktų naujumo lygmenį.</w:t>
      </w:r>
    </w:p>
    <w:p w14:paraId="134ECCE6" w14:textId="77777777" w:rsidR="00897318" w:rsidRPr="00897318" w:rsidRDefault="00897318" w:rsidP="00897318">
      <w:pPr>
        <w:jc w:val="both"/>
        <w:rPr>
          <w:rFonts w:ascii="Arial" w:hAnsi="Arial" w:cs="Arial"/>
          <w:i/>
          <w:sz w:val="22"/>
          <w:szCs w:val="22"/>
          <w:lang w:val="lt-LT"/>
        </w:rPr>
      </w:pPr>
      <w:r w:rsidRPr="00897318">
        <w:rPr>
          <w:rFonts w:ascii="Arial" w:hAnsi="Arial" w:cs="Arial"/>
          <w:i/>
          <w:sz w:val="22"/>
          <w:szCs w:val="22"/>
          <w:lang w:val="lt-LT"/>
        </w:rPr>
        <w:t>Jeigu projekto įgyvendinimo metu arba per 3 metus po projekto įgyvendinimo bus sukurtas bent vienas produktas, kuris naujas rinkos lygmeniu (ir nėra produktų naujų pasaulio lygmeniu), projektui skiriami 3 balai.</w:t>
      </w:r>
    </w:p>
    <w:p w14:paraId="51173EB6" w14:textId="77777777" w:rsidR="00897318" w:rsidRPr="00897318" w:rsidRDefault="00897318" w:rsidP="00897318">
      <w:pPr>
        <w:jc w:val="both"/>
        <w:rPr>
          <w:rFonts w:ascii="Arial" w:hAnsi="Arial" w:cs="Arial"/>
          <w:i/>
          <w:sz w:val="22"/>
          <w:szCs w:val="22"/>
          <w:lang w:val="lt-LT"/>
        </w:rPr>
      </w:pPr>
      <w:r w:rsidRPr="00897318">
        <w:rPr>
          <w:rFonts w:ascii="Arial" w:hAnsi="Arial" w:cs="Arial"/>
          <w:i/>
          <w:sz w:val="22"/>
          <w:szCs w:val="22"/>
          <w:lang w:val="lt-LT"/>
        </w:rPr>
        <w:t>Jeigu projekto įgyvendinimo metu arba per 3 metus po projekto įgyvendinimo bus sukurtas bent vienas produktas, kuris naujas įmonės lygmeniu (ir nebus sukurtų pasaulio ir (ar) rinkos lygmeniu nauji produktai), projektui skiriamas 1 balas.</w:t>
      </w:r>
    </w:p>
    <w:p w14:paraId="03CDBDF0" w14:textId="77777777" w:rsidR="00897318" w:rsidRPr="00897318" w:rsidRDefault="00897318" w:rsidP="00897318">
      <w:pPr>
        <w:rPr>
          <w:rFonts w:ascii="Arial" w:hAnsi="Arial" w:cs="Arial"/>
          <w:sz w:val="22"/>
          <w:szCs w:val="22"/>
          <w:lang w:val="lt-LT"/>
        </w:rPr>
      </w:pPr>
    </w:p>
    <w:p w14:paraId="06FC504C" w14:textId="77777777" w:rsidR="00897318" w:rsidRPr="00897318" w:rsidRDefault="00897318" w:rsidP="00897318">
      <w:pPr>
        <w:pStyle w:val="Antrat1"/>
        <w:rPr>
          <w:lang w:val="lt-LT"/>
        </w:rPr>
      </w:pPr>
      <w:r w:rsidRPr="00897318">
        <w:rPr>
          <w:lang w:val="lt-LT"/>
        </w:rPr>
        <w:t xml:space="preserve"> Ar skiriant balus bus vertinama tik projekto vykdytojo, ar ir partnerio patirtis dalyvaujant tarptautiniuose verslo ir mokslo bendradarbiavimui skirtuose mokslinių tyrimų ir eksperimentinės plėtros projektuose?</w:t>
      </w:r>
    </w:p>
    <w:p w14:paraId="18A11841" w14:textId="77777777" w:rsidR="00897318" w:rsidRPr="00897318" w:rsidRDefault="00897318" w:rsidP="00897318">
      <w:pPr>
        <w:rPr>
          <w:rFonts w:ascii="Arial" w:hAnsi="Arial" w:cs="Arial"/>
          <w:sz w:val="22"/>
          <w:szCs w:val="22"/>
          <w:lang w:val="lt-LT"/>
        </w:rPr>
      </w:pPr>
    </w:p>
    <w:p w14:paraId="772C2244" w14:textId="77777777" w:rsidR="00897318" w:rsidRPr="00897318" w:rsidRDefault="00897318" w:rsidP="00897318">
      <w:pPr>
        <w:jc w:val="both"/>
        <w:rPr>
          <w:rFonts w:ascii="Arial" w:hAnsi="Arial" w:cs="Arial"/>
          <w:i/>
          <w:sz w:val="22"/>
          <w:szCs w:val="22"/>
          <w:lang w:val="lt-LT"/>
        </w:rPr>
      </w:pPr>
      <w:r w:rsidRPr="00897318">
        <w:rPr>
          <w:rFonts w:ascii="Arial" w:hAnsi="Arial" w:cs="Arial"/>
          <w:i/>
          <w:sz w:val="22"/>
          <w:szCs w:val="22"/>
          <w:lang w:val="lt-LT"/>
        </w:rPr>
        <w:t>Bus vertinama tik pareiškėjo patirtis dalyvaujant tarptautiniuose verslo ir mokslo bendradarbiavimui skirtuose mokslinių tyrimų ir eksperimentinės plėtros projektuose.</w:t>
      </w:r>
    </w:p>
    <w:p w14:paraId="732B94CB" w14:textId="77777777" w:rsidR="00897318" w:rsidRPr="00897318" w:rsidRDefault="00897318" w:rsidP="00897318">
      <w:pPr>
        <w:rPr>
          <w:rFonts w:ascii="Arial" w:hAnsi="Arial" w:cs="Arial"/>
          <w:sz w:val="22"/>
          <w:szCs w:val="22"/>
          <w:lang w:val="lt-LT"/>
        </w:rPr>
      </w:pPr>
    </w:p>
    <w:p w14:paraId="69F826F4" w14:textId="77777777" w:rsidR="00897318" w:rsidRPr="00897318" w:rsidRDefault="00897318" w:rsidP="00897318">
      <w:pPr>
        <w:pStyle w:val="Antrat1"/>
        <w:rPr>
          <w:lang w:val="lt-LT"/>
        </w:rPr>
      </w:pPr>
      <w:r w:rsidRPr="00897318">
        <w:rPr>
          <w:lang w:val="lt-LT"/>
        </w:rPr>
        <w:t xml:space="preserve"> Ar skiriant balus bus vertinamos tik projekto vykdytojo ar ir partnerio deklaruotos MTEP veiklai skirtos lėšos per paskutinius 3 metus iki paraiškos pateikimo?</w:t>
      </w:r>
    </w:p>
    <w:p w14:paraId="6FFB5E8A" w14:textId="77777777" w:rsidR="00897318" w:rsidRPr="00897318" w:rsidRDefault="00897318" w:rsidP="00897318">
      <w:pPr>
        <w:jc w:val="both"/>
        <w:rPr>
          <w:rFonts w:ascii="Arial" w:hAnsi="Arial" w:cs="Arial"/>
          <w:i/>
          <w:sz w:val="22"/>
          <w:szCs w:val="22"/>
          <w:lang w:val="lt-LT"/>
        </w:rPr>
      </w:pPr>
    </w:p>
    <w:p w14:paraId="1966D6A9" w14:textId="77777777" w:rsidR="00897318" w:rsidRPr="00897318" w:rsidRDefault="00897318" w:rsidP="00897318">
      <w:pPr>
        <w:jc w:val="both"/>
        <w:rPr>
          <w:rFonts w:ascii="Arial" w:hAnsi="Arial" w:cs="Arial"/>
          <w:i/>
          <w:sz w:val="22"/>
          <w:szCs w:val="22"/>
          <w:lang w:val="lt-LT"/>
        </w:rPr>
      </w:pPr>
      <w:r w:rsidRPr="00897318">
        <w:rPr>
          <w:rFonts w:ascii="Arial" w:hAnsi="Arial" w:cs="Arial"/>
          <w:i/>
          <w:sz w:val="22"/>
          <w:szCs w:val="22"/>
          <w:lang w:val="lt-LT"/>
        </w:rPr>
        <w:t>Vertinant deklaruotas mokslinių tyrimų ir eksperimentinės plėtros veiklai skirtas lėšas bus atsižvelgta tik į pareiškėjo Lietuvos statistikos departamentui deklaruotas MTEP veiklai skirtas lėšas.</w:t>
      </w:r>
    </w:p>
    <w:p w14:paraId="1945D50F" w14:textId="77777777" w:rsidR="00897318" w:rsidRPr="00897318" w:rsidRDefault="00897318" w:rsidP="00897318">
      <w:pPr>
        <w:jc w:val="both"/>
        <w:rPr>
          <w:rFonts w:ascii="Arial" w:hAnsi="Arial" w:cs="Arial"/>
          <w:i/>
          <w:sz w:val="22"/>
          <w:szCs w:val="22"/>
          <w:lang w:val="lt-LT"/>
        </w:rPr>
      </w:pPr>
    </w:p>
    <w:p w14:paraId="270B54C0" w14:textId="0109275E" w:rsidR="00F032F4" w:rsidRDefault="00897318" w:rsidP="00897318">
      <w:pPr>
        <w:pStyle w:val="Antrat1"/>
        <w:rPr>
          <w:lang w:val="lt-LT"/>
        </w:rPr>
      </w:pPr>
      <w:r w:rsidRPr="00897318">
        <w:rPr>
          <w:lang w:val="lt-LT"/>
        </w:rPr>
        <w:t xml:space="preserve"> Pagal kurių metų (2018 ar 2019 m.) duomenis bus suteikiami balai pagal 5-tą naudos ir kokybės vertinimo kriterijų (Deklaruotos mokslinių tyrimų ir eksperimentinės plėtros veiklai skirtos lėšos)?</w:t>
      </w:r>
    </w:p>
    <w:p w14:paraId="573800FC" w14:textId="6B09B6E0" w:rsidR="00F032F4" w:rsidRDefault="00F032F4" w:rsidP="00F032F4">
      <w:pPr>
        <w:jc w:val="both"/>
        <w:rPr>
          <w:lang w:val="lt-LT"/>
        </w:rPr>
      </w:pPr>
    </w:p>
    <w:p w14:paraId="4C4F61DD" w14:textId="761F5E25" w:rsidR="00F032F4" w:rsidRDefault="00F032F4" w:rsidP="00554CD7">
      <w:pPr>
        <w:jc w:val="both"/>
        <w:rPr>
          <w:lang w:val="lt-LT"/>
        </w:rPr>
      </w:pPr>
      <w:r w:rsidRPr="00897318">
        <w:rPr>
          <w:rFonts w:ascii="Arial" w:hAnsi="Arial" w:cs="Arial"/>
          <w:i/>
          <w:sz w:val="22"/>
          <w:szCs w:val="22"/>
          <w:lang w:val="lt-LT"/>
        </w:rPr>
        <w:t>Vertinant projekto atitikimą naudos kokybės kriterijui „Deklaruotos mokslinių tyrimų ir eksperimentinės plėtros veiklai skirtos lėšos“, bus vertinami pareiškėjų 2017 m., 2018 m. ir 2019 m. duomenis.</w:t>
      </w:r>
    </w:p>
    <w:p w14:paraId="2C6BAECC" w14:textId="0674475A" w:rsidR="00554CD7" w:rsidRDefault="00554CD7" w:rsidP="00554CD7">
      <w:pPr>
        <w:pStyle w:val="Antrat1"/>
        <w:ind w:left="641" w:hanging="357"/>
        <w:rPr>
          <w:lang w:val="lt-LT"/>
        </w:rPr>
      </w:pPr>
      <w:r>
        <w:rPr>
          <w:lang w:val="lt-LT"/>
        </w:rPr>
        <w:t>Kilus klausimams, kviečiame kreip</w:t>
      </w:r>
      <w:bookmarkStart w:id="0" w:name="_GoBack"/>
      <w:bookmarkEnd w:id="0"/>
      <w:r>
        <w:rPr>
          <w:lang w:val="lt-LT"/>
        </w:rPr>
        <w:t>tis:</w:t>
      </w:r>
    </w:p>
    <w:p w14:paraId="0A18EB3D" w14:textId="77777777" w:rsidR="00B33832" w:rsidRDefault="00B33832" w:rsidP="00F032F4">
      <w:pPr>
        <w:pStyle w:val="Betarp"/>
        <w:rPr>
          <w:rFonts w:ascii="Arial" w:hAnsi="Arial" w:cs="Arial"/>
          <w:color w:val="17365D" w:themeColor="text2" w:themeShade="BF"/>
        </w:rPr>
      </w:pPr>
    </w:p>
    <w:p w14:paraId="59744530" w14:textId="3B997B38" w:rsidR="00F032F4" w:rsidRPr="004E5D74" w:rsidRDefault="00F032F4" w:rsidP="00F032F4">
      <w:pPr>
        <w:pStyle w:val="Betarp"/>
        <w:rPr>
          <w:rFonts w:ascii="Arial" w:hAnsi="Arial" w:cs="Arial"/>
          <w:color w:val="17365D" w:themeColor="text2" w:themeShade="BF"/>
        </w:rPr>
      </w:pPr>
      <w:proofErr w:type="spellStart"/>
      <w:r w:rsidRPr="004E5D74">
        <w:rPr>
          <w:rFonts w:ascii="Arial" w:hAnsi="Arial" w:cs="Arial"/>
          <w:color w:val="17365D" w:themeColor="text2" w:themeShade="BF"/>
        </w:rPr>
        <w:t>Priemonės</w:t>
      </w:r>
      <w:proofErr w:type="spellEnd"/>
      <w:r w:rsidRPr="004E5D74">
        <w:rPr>
          <w:rFonts w:ascii="Arial" w:hAnsi="Arial" w:cs="Arial"/>
          <w:color w:val="17365D" w:themeColor="text2" w:themeShade="BF"/>
        </w:rPr>
        <w:t xml:space="preserve"> </w:t>
      </w:r>
      <w:proofErr w:type="spellStart"/>
      <w:r w:rsidRPr="004E5D74">
        <w:rPr>
          <w:rFonts w:ascii="Arial" w:hAnsi="Arial" w:cs="Arial"/>
          <w:color w:val="17365D" w:themeColor="text2" w:themeShade="BF"/>
        </w:rPr>
        <w:t>projektų</w:t>
      </w:r>
      <w:proofErr w:type="spellEnd"/>
      <w:r w:rsidRPr="004E5D74">
        <w:rPr>
          <w:rFonts w:ascii="Arial" w:hAnsi="Arial" w:cs="Arial"/>
          <w:color w:val="17365D" w:themeColor="text2" w:themeShade="BF"/>
        </w:rPr>
        <w:t xml:space="preserve"> </w:t>
      </w:r>
      <w:proofErr w:type="spellStart"/>
      <w:r w:rsidRPr="004E5D74">
        <w:rPr>
          <w:rFonts w:ascii="Arial" w:hAnsi="Arial" w:cs="Arial"/>
          <w:color w:val="17365D" w:themeColor="text2" w:themeShade="BF"/>
        </w:rPr>
        <w:t>tinkamumo</w:t>
      </w:r>
      <w:proofErr w:type="spellEnd"/>
      <w:r w:rsidRPr="004E5D74">
        <w:rPr>
          <w:rFonts w:ascii="Arial" w:hAnsi="Arial" w:cs="Arial"/>
          <w:color w:val="17365D" w:themeColor="text2" w:themeShade="BF"/>
        </w:rPr>
        <w:t xml:space="preserve"> </w:t>
      </w:r>
      <w:proofErr w:type="spellStart"/>
      <w:r w:rsidRPr="004E5D74">
        <w:rPr>
          <w:rFonts w:ascii="Arial" w:hAnsi="Arial" w:cs="Arial"/>
          <w:color w:val="17365D" w:themeColor="text2" w:themeShade="BF"/>
        </w:rPr>
        <w:t>klausimais</w:t>
      </w:r>
      <w:proofErr w:type="spellEnd"/>
      <w:r w:rsidRPr="004E5D74">
        <w:rPr>
          <w:rFonts w:ascii="Arial" w:hAnsi="Arial" w:cs="Arial"/>
          <w:color w:val="17365D" w:themeColor="text2" w:themeShade="BF"/>
        </w:rPr>
        <w:t>:</w:t>
      </w:r>
    </w:p>
    <w:p w14:paraId="5C8F33A7" w14:textId="77777777" w:rsidR="00F032F4" w:rsidRPr="004E5D74" w:rsidRDefault="00F032F4" w:rsidP="00F032F4">
      <w:pPr>
        <w:pStyle w:val="Betarp"/>
        <w:rPr>
          <w:rFonts w:ascii="Arial" w:hAnsi="Arial" w:cs="Arial"/>
          <w:color w:val="17365D" w:themeColor="text2" w:themeShade="BF"/>
          <w:sz w:val="22"/>
          <w:szCs w:val="22"/>
          <w:lang w:val="lt-LT"/>
        </w:rPr>
      </w:pPr>
      <w:r w:rsidRPr="004E5D74">
        <w:rPr>
          <w:rFonts w:ascii="Arial" w:hAnsi="Arial" w:cs="Arial"/>
          <w:color w:val="17365D" w:themeColor="text2" w:themeShade="BF"/>
          <w:sz w:val="22"/>
          <w:szCs w:val="22"/>
          <w:lang w:val="lt-LT"/>
        </w:rPr>
        <w:t>Tel. +370 686 54535.</w:t>
      </w:r>
    </w:p>
    <w:p w14:paraId="7CBD791D" w14:textId="77777777" w:rsidR="00F032F4" w:rsidRPr="004E5D74" w:rsidRDefault="00F032F4" w:rsidP="00F032F4">
      <w:pPr>
        <w:pStyle w:val="Betarp"/>
        <w:rPr>
          <w:rFonts w:ascii="Arial" w:hAnsi="Arial" w:cs="Arial"/>
          <w:color w:val="17365D" w:themeColor="text2" w:themeShade="BF"/>
          <w:sz w:val="22"/>
          <w:szCs w:val="22"/>
          <w:u w:val="single"/>
          <w:lang w:val="lt-LT"/>
        </w:rPr>
      </w:pPr>
      <w:r w:rsidRPr="004E5D74">
        <w:rPr>
          <w:rFonts w:ascii="Arial" w:hAnsi="Arial" w:cs="Arial"/>
          <w:color w:val="17365D" w:themeColor="text2" w:themeShade="BF"/>
          <w:sz w:val="22"/>
          <w:szCs w:val="22"/>
          <w:lang w:val="lt-LT"/>
        </w:rPr>
        <w:t xml:space="preserve">El. p. </w:t>
      </w:r>
      <w:hyperlink r:id="rId19" w:history="1">
        <w:r w:rsidRPr="004E5D74">
          <w:rPr>
            <w:rStyle w:val="Hipersaitas"/>
            <w:rFonts w:ascii="Arial" w:hAnsi="Arial" w:cs="Arial"/>
            <w:color w:val="0070C0"/>
            <w:sz w:val="22"/>
            <w:szCs w:val="22"/>
            <w:lang w:val="lt-LT"/>
          </w:rPr>
          <w:t>eksperimentas@lvpa.lt</w:t>
        </w:r>
      </w:hyperlink>
    </w:p>
    <w:p w14:paraId="0BDC3983" w14:textId="77777777" w:rsidR="00F032F4" w:rsidRPr="004E5D74" w:rsidRDefault="00F032F4" w:rsidP="00F032F4">
      <w:pPr>
        <w:pStyle w:val="Betarp"/>
        <w:rPr>
          <w:rFonts w:ascii="Arial" w:hAnsi="Arial" w:cs="Arial"/>
          <w:color w:val="17365D" w:themeColor="text2" w:themeShade="BF"/>
          <w:sz w:val="22"/>
          <w:szCs w:val="22"/>
          <w:lang w:val="lt-LT"/>
        </w:rPr>
      </w:pPr>
      <w:r w:rsidRPr="004E5D74">
        <w:rPr>
          <w:rFonts w:ascii="Arial" w:hAnsi="Arial" w:cs="Arial"/>
          <w:color w:val="17365D" w:themeColor="text2" w:themeShade="BF"/>
          <w:sz w:val="22"/>
          <w:szCs w:val="22"/>
          <w:lang w:val="lt-LT"/>
        </w:rPr>
        <w:t xml:space="preserve"> </w:t>
      </w:r>
    </w:p>
    <w:p w14:paraId="1A970054" w14:textId="77777777" w:rsidR="00F032F4" w:rsidRPr="004E5D74" w:rsidRDefault="00F032F4" w:rsidP="00F032F4">
      <w:pPr>
        <w:pStyle w:val="Betarp"/>
        <w:rPr>
          <w:rFonts w:ascii="Arial" w:hAnsi="Arial" w:cs="Arial"/>
          <w:color w:val="17365D" w:themeColor="text2" w:themeShade="BF"/>
        </w:rPr>
      </w:pPr>
      <w:proofErr w:type="spellStart"/>
      <w:r w:rsidRPr="004E5D74">
        <w:rPr>
          <w:rFonts w:ascii="Arial" w:hAnsi="Arial" w:cs="Arial"/>
          <w:color w:val="17365D" w:themeColor="text2" w:themeShade="BF"/>
        </w:rPr>
        <w:t>Dėl</w:t>
      </w:r>
      <w:proofErr w:type="spellEnd"/>
      <w:r w:rsidRPr="004E5D74">
        <w:rPr>
          <w:rFonts w:ascii="Arial" w:hAnsi="Arial" w:cs="Arial"/>
          <w:color w:val="17365D" w:themeColor="text2" w:themeShade="BF"/>
        </w:rPr>
        <w:t xml:space="preserve"> </w:t>
      </w:r>
      <w:proofErr w:type="spellStart"/>
      <w:r w:rsidRPr="004E5D74">
        <w:rPr>
          <w:rFonts w:ascii="Arial" w:hAnsi="Arial" w:cs="Arial"/>
          <w:color w:val="17365D" w:themeColor="text2" w:themeShade="BF"/>
        </w:rPr>
        <w:t>paraiškų</w:t>
      </w:r>
      <w:proofErr w:type="spellEnd"/>
      <w:r w:rsidRPr="004E5D74">
        <w:rPr>
          <w:rFonts w:ascii="Arial" w:hAnsi="Arial" w:cs="Arial"/>
          <w:color w:val="17365D" w:themeColor="text2" w:themeShade="BF"/>
        </w:rPr>
        <w:t xml:space="preserve"> </w:t>
      </w:r>
      <w:proofErr w:type="spellStart"/>
      <w:r w:rsidRPr="004E5D74">
        <w:rPr>
          <w:rFonts w:ascii="Arial" w:hAnsi="Arial" w:cs="Arial"/>
          <w:color w:val="17365D" w:themeColor="text2" w:themeShade="BF"/>
        </w:rPr>
        <w:t>pateikimo</w:t>
      </w:r>
      <w:proofErr w:type="spellEnd"/>
      <w:r w:rsidRPr="004E5D74">
        <w:rPr>
          <w:rFonts w:ascii="Arial" w:hAnsi="Arial" w:cs="Arial"/>
          <w:color w:val="17365D" w:themeColor="text2" w:themeShade="BF"/>
        </w:rPr>
        <w:t xml:space="preserve"> per DMS (</w:t>
      </w:r>
      <w:proofErr w:type="spellStart"/>
      <w:r w:rsidRPr="004E5D74">
        <w:rPr>
          <w:rFonts w:ascii="Arial" w:hAnsi="Arial" w:cs="Arial"/>
          <w:color w:val="17365D" w:themeColor="text2" w:themeShade="BF"/>
        </w:rPr>
        <w:t>techniniais</w:t>
      </w:r>
      <w:proofErr w:type="spellEnd"/>
      <w:r w:rsidRPr="004E5D74">
        <w:rPr>
          <w:rFonts w:ascii="Arial" w:hAnsi="Arial" w:cs="Arial"/>
          <w:color w:val="17365D" w:themeColor="text2" w:themeShade="BF"/>
        </w:rPr>
        <w:t xml:space="preserve"> </w:t>
      </w:r>
      <w:proofErr w:type="spellStart"/>
      <w:r w:rsidRPr="004E5D74">
        <w:rPr>
          <w:rFonts w:ascii="Arial" w:hAnsi="Arial" w:cs="Arial"/>
          <w:color w:val="17365D" w:themeColor="text2" w:themeShade="BF"/>
        </w:rPr>
        <w:t>klausimais</w:t>
      </w:r>
      <w:proofErr w:type="spellEnd"/>
      <w:r w:rsidRPr="004E5D74">
        <w:rPr>
          <w:rFonts w:ascii="Arial" w:hAnsi="Arial" w:cs="Arial"/>
          <w:color w:val="17365D" w:themeColor="text2" w:themeShade="BF"/>
        </w:rPr>
        <w:t>):</w:t>
      </w:r>
    </w:p>
    <w:p w14:paraId="2DF450A9" w14:textId="77777777" w:rsidR="00F032F4" w:rsidRPr="004E5D74" w:rsidRDefault="00F032F4" w:rsidP="00F032F4">
      <w:pPr>
        <w:pStyle w:val="Betarp"/>
        <w:rPr>
          <w:rFonts w:ascii="Arial" w:hAnsi="Arial" w:cs="Arial"/>
          <w:color w:val="17365D" w:themeColor="text2" w:themeShade="BF"/>
          <w:sz w:val="22"/>
          <w:szCs w:val="22"/>
          <w:lang w:val="lt-LT"/>
        </w:rPr>
      </w:pPr>
      <w:r w:rsidRPr="004E5D74">
        <w:rPr>
          <w:rFonts w:ascii="Arial" w:hAnsi="Arial" w:cs="Arial"/>
          <w:color w:val="17365D" w:themeColor="text2" w:themeShade="BF"/>
          <w:sz w:val="22"/>
          <w:szCs w:val="22"/>
          <w:lang w:val="lt-LT"/>
        </w:rPr>
        <w:t xml:space="preserve">LVPA Analizės ir informacinių technologijų skyriaus analitikas Martynas </w:t>
      </w:r>
      <w:proofErr w:type="spellStart"/>
      <w:r w:rsidRPr="004E5D74">
        <w:rPr>
          <w:rFonts w:ascii="Arial" w:hAnsi="Arial" w:cs="Arial"/>
          <w:color w:val="17365D" w:themeColor="text2" w:themeShade="BF"/>
          <w:sz w:val="22"/>
          <w:szCs w:val="22"/>
          <w:lang w:val="lt-LT"/>
        </w:rPr>
        <w:t>Kulvinskis</w:t>
      </w:r>
      <w:proofErr w:type="spellEnd"/>
      <w:r w:rsidRPr="004E5D74">
        <w:rPr>
          <w:rFonts w:ascii="Arial" w:hAnsi="Arial" w:cs="Arial"/>
          <w:color w:val="17365D" w:themeColor="text2" w:themeShade="BF"/>
          <w:sz w:val="22"/>
          <w:szCs w:val="22"/>
          <w:lang w:val="lt-LT"/>
        </w:rPr>
        <w:t xml:space="preserve">, el. p.  </w:t>
      </w:r>
      <w:hyperlink r:id="rId20" w:history="1">
        <w:r w:rsidRPr="004E5D74">
          <w:rPr>
            <w:rStyle w:val="Hipersaitas"/>
            <w:rFonts w:ascii="Arial" w:hAnsi="Arial" w:cs="Arial"/>
            <w:color w:val="0070C0"/>
            <w:sz w:val="22"/>
            <w:szCs w:val="22"/>
            <w:lang w:val="lt-LT"/>
          </w:rPr>
          <w:t>martynas.kulvinskis@lvpa.lt</w:t>
        </w:r>
      </w:hyperlink>
    </w:p>
    <w:p w14:paraId="10C73B70" w14:textId="77777777" w:rsidR="00F032F4" w:rsidRPr="004E5D74" w:rsidRDefault="00F032F4" w:rsidP="00F032F4">
      <w:pPr>
        <w:pStyle w:val="Betarp"/>
        <w:rPr>
          <w:rFonts w:ascii="Arial" w:hAnsi="Arial" w:cs="Arial"/>
          <w:color w:val="17365D" w:themeColor="text2" w:themeShade="BF"/>
          <w:sz w:val="22"/>
          <w:szCs w:val="22"/>
          <w:lang w:val="lt-LT"/>
        </w:rPr>
      </w:pPr>
      <w:r w:rsidRPr="004E5D74">
        <w:rPr>
          <w:rFonts w:ascii="Arial" w:hAnsi="Arial" w:cs="Arial"/>
          <w:color w:val="17365D" w:themeColor="text2" w:themeShade="BF"/>
          <w:sz w:val="22"/>
          <w:szCs w:val="22"/>
          <w:lang w:val="lt-LT"/>
        </w:rPr>
        <w:t>tel. (8 5) 268 7416.</w:t>
      </w:r>
    </w:p>
    <w:p w14:paraId="463FFB93" w14:textId="77777777" w:rsidR="00F032F4" w:rsidRPr="004E5D74" w:rsidRDefault="00F032F4" w:rsidP="00F032F4">
      <w:pPr>
        <w:pStyle w:val="Betarp"/>
        <w:rPr>
          <w:rFonts w:ascii="Arial" w:hAnsi="Arial" w:cs="Arial"/>
          <w:color w:val="17365D" w:themeColor="text2" w:themeShade="BF"/>
          <w:sz w:val="22"/>
          <w:szCs w:val="22"/>
          <w:lang w:val="lt-LT"/>
        </w:rPr>
      </w:pPr>
    </w:p>
    <w:p w14:paraId="464DA11A" w14:textId="79FC0565" w:rsidR="00F032F4" w:rsidRPr="00F032F4" w:rsidRDefault="00F032F4" w:rsidP="00554CD7">
      <w:pPr>
        <w:pStyle w:val="Betarp"/>
        <w:rPr>
          <w:rFonts w:ascii="Arial" w:hAnsi="Arial" w:cs="Arial"/>
          <w:sz w:val="22"/>
          <w:szCs w:val="22"/>
          <w:lang w:val="lt-LT"/>
        </w:rPr>
      </w:pPr>
      <w:r w:rsidRPr="004E5D74">
        <w:rPr>
          <w:rFonts w:ascii="Arial" w:hAnsi="Arial" w:cs="Arial"/>
          <w:color w:val="17365D" w:themeColor="text2" w:themeShade="BF"/>
          <w:sz w:val="22"/>
          <w:szCs w:val="22"/>
          <w:lang w:val="lt-LT"/>
        </w:rPr>
        <w:t xml:space="preserve">Nuoroda į išsamią informacija, dokumentus, seminaro medžiagą: </w:t>
      </w:r>
      <w:hyperlink r:id="rId21" w:history="1">
        <w:r w:rsidRPr="004E5D74">
          <w:rPr>
            <w:rStyle w:val="Hipersaitas"/>
            <w:rFonts w:ascii="Arial" w:hAnsi="Arial" w:cs="Arial"/>
            <w:color w:val="0070C0"/>
            <w:sz w:val="22"/>
            <w:szCs w:val="22"/>
            <w:lang w:val="lt-LT"/>
          </w:rPr>
          <w:t>http://lvpa.lt/lt/paraiskos/eksperimentas-nr.-1-ir-2-1015</w:t>
        </w:r>
      </w:hyperlink>
    </w:p>
    <w:sectPr w:rsidR="00F032F4" w:rsidRPr="00F032F4" w:rsidSect="001830F1">
      <w:footerReference w:type="default" r:id="rId22"/>
      <w:type w:val="continuous"/>
      <w:pgSz w:w="11900" w:h="16840"/>
      <w:pgMar w:top="1134" w:right="567"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6CBB2" w14:textId="77777777" w:rsidR="00731993" w:rsidRDefault="00731993">
      <w:pPr>
        <w:spacing w:after="0"/>
      </w:pPr>
      <w:r>
        <w:separator/>
      </w:r>
    </w:p>
  </w:endnote>
  <w:endnote w:type="continuationSeparator" w:id="0">
    <w:p w14:paraId="79CF8741" w14:textId="77777777" w:rsidR="00731993" w:rsidRDefault="007319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Constantia">
    <w:panose1 w:val="02030602050306030303"/>
    <w:charset w:val="BA"/>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CA8DF" w14:textId="77777777" w:rsidR="00702DC6" w:rsidRDefault="00702DC6">
    <w:pPr>
      <w:pStyle w:val="Porat"/>
    </w:pPr>
    <w:r>
      <w:rPr>
        <w:noProof/>
        <w:lang w:val="lt-LT" w:eastAsia="lt-LT"/>
      </w:rPr>
      <w:drawing>
        <wp:anchor distT="0" distB="0" distL="114300" distR="114300" simplePos="0" relativeHeight="251658240" behindDoc="1" locked="0" layoutInCell="1" allowOverlap="1" wp14:anchorId="1AA6E66E" wp14:editId="0FE2D98A">
          <wp:simplePos x="0" y="0"/>
          <wp:positionH relativeFrom="page">
            <wp:align>left</wp:align>
          </wp:positionH>
          <wp:positionV relativeFrom="page">
            <wp:align>bottom</wp:align>
          </wp:positionV>
          <wp:extent cx="7559040" cy="5715000"/>
          <wp:effectExtent l="25400" t="0" r="10160" b="0"/>
          <wp:wrapNone/>
          <wp:docPr id="9" name="Paveikslėlis 9" descr="LVPA pranesimas LT_paruo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PA pranesimas LT_paruosa.jpg"/>
                  <pic:cNvPicPr/>
                </pic:nvPicPr>
                <pic:blipFill>
                  <a:blip r:embed="rId1"/>
                  <a:stretch>
                    <a:fillRect/>
                  </a:stretch>
                </pic:blipFill>
                <pic:spPr>
                  <a:xfrm>
                    <a:off x="0" y="0"/>
                    <a:ext cx="7559040" cy="5715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66AA1" w14:textId="77777777" w:rsidR="00731993" w:rsidRDefault="00731993">
      <w:pPr>
        <w:spacing w:after="0"/>
      </w:pPr>
      <w:r>
        <w:separator/>
      </w:r>
    </w:p>
  </w:footnote>
  <w:footnote w:type="continuationSeparator" w:id="0">
    <w:p w14:paraId="4B25086B" w14:textId="77777777" w:rsidR="00731993" w:rsidRDefault="0073199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EA7"/>
    <w:multiLevelType w:val="hybridMultilevel"/>
    <w:tmpl w:val="01D6D94A"/>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6A10AC"/>
    <w:multiLevelType w:val="hybridMultilevel"/>
    <w:tmpl w:val="7956693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985EF6"/>
    <w:multiLevelType w:val="hybridMultilevel"/>
    <w:tmpl w:val="BE7C15F8"/>
    <w:lvl w:ilvl="0" w:tplc="04270001">
      <w:start w:val="1"/>
      <w:numFmt w:val="bullet"/>
      <w:lvlText w:val=""/>
      <w:lvlJc w:val="left"/>
      <w:pPr>
        <w:ind w:left="1191" w:hanging="360"/>
      </w:pPr>
      <w:rPr>
        <w:rFonts w:ascii="Symbol" w:hAnsi="Symbol" w:hint="default"/>
      </w:rPr>
    </w:lvl>
    <w:lvl w:ilvl="1" w:tplc="04270003" w:tentative="1">
      <w:start w:val="1"/>
      <w:numFmt w:val="bullet"/>
      <w:lvlText w:val="o"/>
      <w:lvlJc w:val="left"/>
      <w:pPr>
        <w:ind w:left="1911" w:hanging="360"/>
      </w:pPr>
      <w:rPr>
        <w:rFonts w:ascii="Courier New" w:hAnsi="Courier New" w:cs="Courier New" w:hint="default"/>
      </w:rPr>
    </w:lvl>
    <w:lvl w:ilvl="2" w:tplc="04270005" w:tentative="1">
      <w:start w:val="1"/>
      <w:numFmt w:val="bullet"/>
      <w:lvlText w:val=""/>
      <w:lvlJc w:val="left"/>
      <w:pPr>
        <w:ind w:left="2631" w:hanging="360"/>
      </w:pPr>
      <w:rPr>
        <w:rFonts w:ascii="Wingdings" w:hAnsi="Wingdings" w:hint="default"/>
      </w:rPr>
    </w:lvl>
    <w:lvl w:ilvl="3" w:tplc="04270001" w:tentative="1">
      <w:start w:val="1"/>
      <w:numFmt w:val="bullet"/>
      <w:lvlText w:val=""/>
      <w:lvlJc w:val="left"/>
      <w:pPr>
        <w:ind w:left="3351" w:hanging="360"/>
      </w:pPr>
      <w:rPr>
        <w:rFonts w:ascii="Symbol" w:hAnsi="Symbol" w:hint="default"/>
      </w:rPr>
    </w:lvl>
    <w:lvl w:ilvl="4" w:tplc="04270003" w:tentative="1">
      <w:start w:val="1"/>
      <w:numFmt w:val="bullet"/>
      <w:lvlText w:val="o"/>
      <w:lvlJc w:val="left"/>
      <w:pPr>
        <w:ind w:left="4071" w:hanging="360"/>
      </w:pPr>
      <w:rPr>
        <w:rFonts w:ascii="Courier New" w:hAnsi="Courier New" w:cs="Courier New" w:hint="default"/>
      </w:rPr>
    </w:lvl>
    <w:lvl w:ilvl="5" w:tplc="04270005" w:tentative="1">
      <w:start w:val="1"/>
      <w:numFmt w:val="bullet"/>
      <w:lvlText w:val=""/>
      <w:lvlJc w:val="left"/>
      <w:pPr>
        <w:ind w:left="4791" w:hanging="360"/>
      </w:pPr>
      <w:rPr>
        <w:rFonts w:ascii="Wingdings" w:hAnsi="Wingdings" w:hint="default"/>
      </w:rPr>
    </w:lvl>
    <w:lvl w:ilvl="6" w:tplc="04270001" w:tentative="1">
      <w:start w:val="1"/>
      <w:numFmt w:val="bullet"/>
      <w:lvlText w:val=""/>
      <w:lvlJc w:val="left"/>
      <w:pPr>
        <w:ind w:left="5511" w:hanging="360"/>
      </w:pPr>
      <w:rPr>
        <w:rFonts w:ascii="Symbol" w:hAnsi="Symbol" w:hint="default"/>
      </w:rPr>
    </w:lvl>
    <w:lvl w:ilvl="7" w:tplc="04270003" w:tentative="1">
      <w:start w:val="1"/>
      <w:numFmt w:val="bullet"/>
      <w:lvlText w:val="o"/>
      <w:lvlJc w:val="left"/>
      <w:pPr>
        <w:ind w:left="6231" w:hanging="360"/>
      </w:pPr>
      <w:rPr>
        <w:rFonts w:ascii="Courier New" w:hAnsi="Courier New" w:cs="Courier New" w:hint="default"/>
      </w:rPr>
    </w:lvl>
    <w:lvl w:ilvl="8" w:tplc="04270005" w:tentative="1">
      <w:start w:val="1"/>
      <w:numFmt w:val="bullet"/>
      <w:lvlText w:val=""/>
      <w:lvlJc w:val="left"/>
      <w:pPr>
        <w:ind w:left="6951" w:hanging="360"/>
      </w:pPr>
      <w:rPr>
        <w:rFonts w:ascii="Wingdings" w:hAnsi="Wingdings" w:hint="default"/>
      </w:rPr>
    </w:lvl>
  </w:abstractNum>
  <w:abstractNum w:abstractNumId="3" w15:restartNumberingAfterBreak="0">
    <w:nsid w:val="1CD26A8D"/>
    <w:multiLevelType w:val="hybridMultilevel"/>
    <w:tmpl w:val="300202E8"/>
    <w:lvl w:ilvl="0" w:tplc="C42431C2">
      <w:start w:val="1"/>
      <w:numFmt w:val="decimal"/>
      <w:pStyle w:val="Antrat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BC42A7"/>
    <w:multiLevelType w:val="hybridMultilevel"/>
    <w:tmpl w:val="866667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FB2A10"/>
    <w:multiLevelType w:val="hybridMultilevel"/>
    <w:tmpl w:val="CCCEB9A4"/>
    <w:lvl w:ilvl="0" w:tplc="7098DB2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87136"/>
    <w:multiLevelType w:val="hybridMultilevel"/>
    <w:tmpl w:val="E0F494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80BBC"/>
    <w:multiLevelType w:val="hybridMultilevel"/>
    <w:tmpl w:val="CDFCC4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3E1811"/>
    <w:multiLevelType w:val="hybridMultilevel"/>
    <w:tmpl w:val="F5320E5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6D131A"/>
    <w:multiLevelType w:val="hybridMultilevel"/>
    <w:tmpl w:val="F53C9B2A"/>
    <w:lvl w:ilvl="0" w:tplc="8CFC138A">
      <w:numFmt w:val="bullet"/>
      <w:lvlText w:val="•"/>
      <w:lvlJc w:val="left"/>
      <w:pPr>
        <w:ind w:left="1440" w:hanging="720"/>
      </w:pPr>
      <w:rPr>
        <w:rFonts w:ascii="Cambria" w:eastAsiaTheme="minorHAnsi" w:hAnsi="Cambria"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4657474B"/>
    <w:multiLevelType w:val="hybridMultilevel"/>
    <w:tmpl w:val="7C36B934"/>
    <w:lvl w:ilvl="0" w:tplc="B9184AB2">
      <w:numFmt w:val="bullet"/>
      <w:lvlText w:val=""/>
      <w:lvlJc w:val="left"/>
      <w:pPr>
        <w:ind w:left="828" w:hanging="360"/>
      </w:pPr>
      <w:rPr>
        <w:rFonts w:ascii="Wingdings" w:eastAsia="Wingdings" w:hAnsi="Wingdings" w:cs="Wingdings" w:hint="default"/>
        <w:w w:val="100"/>
        <w:sz w:val="24"/>
        <w:szCs w:val="24"/>
        <w:lang w:val="lt-LT" w:eastAsia="lt-LT" w:bidi="lt-LT"/>
      </w:rPr>
    </w:lvl>
    <w:lvl w:ilvl="1" w:tplc="F21A77BA">
      <w:numFmt w:val="bullet"/>
      <w:lvlText w:val="•"/>
      <w:lvlJc w:val="left"/>
      <w:pPr>
        <w:ind w:left="1822" w:hanging="360"/>
      </w:pPr>
      <w:rPr>
        <w:rFonts w:hint="default"/>
        <w:lang w:val="lt-LT" w:eastAsia="lt-LT" w:bidi="lt-LT"/>
      </w:rPr>
    </w:lvl>
    <w:lvl w:ilvl="2" w:tplc="B7BC16C4">
      <w:numFmt w:val="bullet"/>
      <w:lvlText w:val="•"/>
      <w:lvlJc w:val="left"/>
      <w:pPr>
        <w:ind w:left="2825" w:hanging="360"/>
      </w:pPr>
      <w:rPr>
        <w:rFonts w:hint="default"/>
        <w:lang w:val="lt-LT" w:eastAsia="lt-LT" w:bidi="lt-LT"/>
      </w:rPr>
    </w:lvl>
    <w:lvl w:ilvl="3" w:tplc="DF684532">
      <w:numFmt w:val="bullet"/>
      <w:lvlText w:val="•"/>
      <w:lvlJc w:val="left"/>
      <w:pPr>
        <w:ind w:left="3827" w:hanging="360"/>
      </w:pPr>
      <w:rPr>
        <w:rFonts w:hint="default"/>
        <w:lang w:val="lt-LT" w:eastAsia="lt-LT" w:bidi="lt-LT"/>
      </w:rPr>
    </w:lvl>
    <w:lvl w:ilvl="4" w:tplc="012E849E">
      <w:numFmt w:val="bullet"/>
      <w:lvlText w:val="•"/>
      <w:lvlJc w:val="left"/>
      <w:pPr>
        <w:ind w:left="4830" w:hanging="360"/>
      </w:pPr>
      <w:rPr>
        <w:rFonts w:hint="default"/>
        <w:lang w:val="lt-LT" w:eastAsia="lt-LT" w:bidi="lt-LT"/>
      </w:rPr>
    </w:lvl>
    <w:lvl w:ilvl="5" w:tplc="310041DE">
      <w:numFmt w:val="bullet"/>
      <w:lvlText w:val="•"/>
      <w:lvlJc w:val="left"/>
      <w:pPr>
        <w:ind w:left="5833" w:hanging="360"/>
      </w:pPr>
      <w:rPr>
        <w:rFonts w:hint="default"/>
        <w:lang w:val="lt-LT" w:eastAsia="lt-LT" w:bidi="lt-LT"/>
      </w:rPr>
    </w:lvl>
    <w:lvl w:ilvl="6" w:tplc="3D9868B0">
      <w:numFmt w:val="bullet"/>
      <w:lvlText w:val="•"/>
      <w:lvlJc w:val="left"/>
      <w:pPr>
        <w:ind w:left="6835" w:hanging="360"/>
      </w:pPr>
      <w:rPr>
        <w:rFonts w:hint="default"/>
        <w:lang w:val="lt-LT" w:eastAsia="lt-LT" w:bidi="lt-LT"/>
      </w:rPr>
    </w:lvl>
    <w:lvl w:ilvl="7" w:tplc="99609D0A">
      <w:numFmt w:val="bullet"/>
      <w:lvlText w:val="•"/>
      <w:lvlJc w:val="left"/>
      <w:pPr>
        <w:ind w:left="7838" w:hanging="360"/>
      </w:pPr>
      <w:rPr>
        <w:rFonts w:hint="default"/>
        <w:lang w:val="lt-LT" w:eastAsia="lt-LT" w:bidi="lt-LT"/>
      </w:rPr>
    </w:lvl>
    <w:lvl w:ilvl="8" w:tplc="22D830A6">
      <w:numFmt w:val="bullet"/>
      <w:lvlText w:val="•"/>
      <w:lvlJc w:val="left"/>
      <w:pPr>
        <w:ind w:left="8841" w:hanging="360"/>
      </w:pPr>
      <w:rPr>
        <w:rFonts w:hint="default"/>
        <w:lang w:val="lt-LT" w:eastAsia="lt-LT" w:bidi="lt-LT"/>
      </w:rPr>
    </w:lvl>
  </w:abstractNum>
  <w:abstractNum w:abstractNumId="11" w15:restartNumberingAfterBreak="0">
    <w:nsid w:val="487C0B18"/>
    <w:multiLevelType w:val="hybridMultilevel"/>
    <w:tmpl w:val="48C2CDA2"/>
    <w:lvl w:ilvl="0" w:tplc="6936D0F8">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3B7D8E"/>
    <w:multiLevelType w:val="hybridMultilevel"/>
    <w:tmpl w:val="EEFCD8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43C5736"/>
    <w:multiLevelType w:val="hybridMultilevel"/>
    <w:tmpl w:val="0506F472"/>
    <w:lvl w:ilvl="0" w:tplc="7098DB2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87571B"/>
    <w:multiLevelType w:val="hybridMultilevel"/>
    <w:tmpl w:val="E25472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A7D4885"/>
    <w:multiLevelType w:val="hybridMultilevel"/>
    <w:tmpl w:val="63C86262"/>
    <w:lvl w:ilvl="0" w:tplc="7098DB2E">
      <w:numFmt w:val="bullet"/>
      <w:lvlText w:val="-"/>
      <w:lvlJc w:val="left"/>
      <w:pPr>
        <w:ind w:left="720" w:hanging="360"/>
      </w:pPr>
      <w:rPr>
        <w:rFonts w:ascii="Calibri" w:eastAsiaTheme="minorHAns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10663A"/>
    <w:multiLevelType w:val="hybridMultilevel"/>
    <w:tmpl w:val="59F2F6FC"/>
    <w:lvl w:ilvl="0" w:tplc="B9184AB2">
      <w:numFmt w:val="bullet"/>
      <w:lvlText w:val=""/>
      <w:lvlJc w:val="left"/>
      <w:pPr>
        <w:ind w:left="720" w:hanging="360"/>
      </w:pPr>
      <w:rPr>
        <w:rFonts w:ascii="Wingdings" w:eastAsia="Wingdings" w:hAnsi="Wingdings" w:cs="Wingdings" w:hint="default"/>
        <w:w w:val="100"/>
        <w:sz w:val="24"/>
        <w:szCs w:val="24"/>
        <w:lang w:val="lt-LT" w:eastAsia="lt-LT" w:bidi="lt-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E3845E5"/>
    <w:multiLevelType w:val="hybridMultilevel"/>
    <w:tmpl w:val="6B46DF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BDD5117"/>
    <w:multiLevelType w:val="hybridMultilevel"/>
    <w:tmpl w:val="5D26D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0071B33"/>
    <w:multiLevelType w:val="hybridMultilevel"/>
    <w:tmpl w:val="64208C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C412649"/>
    <w:multiLevelType w:val="hybridMultilevel"/>
    <w:tmpl w:val="FC5A92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2"/>
  </w:num>
  <w:num w:numId="4">
    <w:abstractNumId w:val="1"/>
  </w:num>
  <w:num w:numId="5">
    <w:abstractNumId w:val="17"/>
  </w:num>
  <w:num w:numId="6">
    <w:abstractNumId w:val="4"/>
  </w:num>
  <w:num w:numId="7">
    <w:abstractNumId w:val="9"/>
  </w:num>
  <w:num w:numId="8">
    <w:abstractNumId w:val="19"/>
  </w:num>
  <w:num w:numId="9">
    <w:abstractNumId w:val="13"/>
  </w:num>
  <w:num w:numId="10">
    <w:abstractNumId w:val="11"/>
  </w:num>
  <w:num w:numId="11">
    <w:abstractNumId w:val="6"/>
  </w:num>
  <w:num w:numId="12">
    <w:abstractNumId w:val="7"/>
  </w:num>
  <w:num w:numId="13">
    <w:abstractNumId w:val="15"/>
  </w:num>
  <w:num w:numId="14">
    <w:abstractNumId w:val="5"/>
  </w:num>
  <w:num w:numId="15">
    <w:abstractNumId w:val="10"/>
  </w:num>
  <w:num w:numId="16">
    <w:abstractNumId w:val="14"/>
  </w:num>
  <w:num w:numId="17">
    <w:abstractNumId w:val="18"/>
  </w:num>
  <w:num w:numId="18">
    <w:abstractNumId w:val="20"/>
  </w:num>
  <w:num w:numId="19">
    <w:abstractNumId w:val="3"/>
  </w:num>
  <w:num w:numId="20">
    <w:abstractNumId w:val="2"/>
  </w:num>
  <w:num w:numId="21">
    <w:abstractNumId w:val="1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396"/>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DC6"/>
    <w:rsid w:val="00010095"/>
    <w:rsid w:val="00017DD7"/>
    <w:rsid w:val="0002391B"/>
    <w:rsid w:val="00023F69"/>
    <w:rsid w:val="00027FF0"/>
    <w:rsid w:val="00043A94"/>
    <w:rsid w:val="00047D12"/>
    <w:rsid w:val="00054A3F"/>
    <w:rsid w:val="000553DC"/>
    <w:rsid w:val="000602A5"/>
    <w:rsid w:val="00067093"/>
    <w:rsid w:val="00074E7A"/>
    <w:rsid w:val="00075336"/>
    <w:rsid w:val="0008387D"/>
    <w:rsid w:val="00083BBB"/>
    <w:rsid w:val="00084106"/>
    <w:rsid w:val="000859AC"/>
    <w:rsid w:val="00085AD7"/>
    <w:rsid w:val="00094C3F"/>
    <w:rsid w:val="00095470"/>
    <w:rsid w:val="000A4E1E"/>
    <w:rsid w:val="000A531C"/>
    <w:rsid w:val="000A77F8"/>
    <w:rsid w:val="000B271F"/>
    <w:rsid w:val="000B7ABA"/>
    <w:rsid w:val="000C1024"/>
    <w:rsid w:val="000C578F"/>
    <w:rsid w:val="000D6AB0"/>
    <w:rsid w:val="000E03C4"/>
    <w:rsid w:val="000E60FD"/>
    <w:rsid w:val="000F18D4"/>
    <w:rsid w:val="000F49DF"/>
    <w:rsid w:val="001003E6"/>
    <w:rsid w:val="00103D4E"/>
    <w:rsid w:val="0010630D"/>
    <w:rsid w:val="0012131B"/>
    <w:rsid w:val="00121C9E"/>
    <w:rsid w:val="001228A8"/>
    <w:rsid w:val="00124812"/>
    <w:rsid w:val="00135EBE"/>
    <w:rsid w:val="00137CC0"/>
    <w:rsid w:val="00156B7F"/>
    <w:rsid w:val="00180099"/>
    <w:rsid w:val="001830F1"/>
    <w:rsid w:val="00185A3C"/>
    <w:rsid w:val="001A1D0E"/>
    <w:rsid w:val="001A66D2"/>
    <w:rsid w:val="001A7938"/>
    <w:rsid w:val="001B2564"/>
    <w:rsid w:val="001B6254"/>
    <w:rsid w:val="001F6709"/>
    <w:rsid w:val="00204F39"/>
    <w:rsid w:val="00213583"/>
    <w:rsid w:val="0021383D"/>
    <w:rsid w:val="00224DAF"/>
    <w:rsid w:val="00232A35"/>
    <w:rsid w:val="00232D99"/>
    <w:rsid w:val="00240135"/>
    <w:rsid w:val="0024199D"/>
    <w:rsid w:val="00252077"/>
    <w:rsid w:val="00255117"/>
    <w:rsid w:val="00256141"/>
    <w:rsid w:val="00262DF4"/>
    <w:rsid w:val="00265080"/>
    <w:rsid w:val="002651C2"/>
    <w:rsid w:val="0028564F"/>
    <w:rsid w:val="00286064"/>
    <w:rsid w:val="002A0E5A"/>
    <w:rsid w:val="002A271B"/>
    <w:rsid w:val="002B32EB"/>
    <w:rsid w:val="002C7AEB"/>
    <w:rsid w:val="002E7D53"/>
    <w:rsid w:val="002F0F68"/>
    <w:rsid w:val="002F3AE1"/>
    <w:rsid w:val="00300583"/>
    <w:rsid w:val="003013D1"/>
    <w:rsid w:val="00322818"/>
    <w:rsid w:val="0032282C"/>
    <w:rsid w:val="00332A0C"/>
    <w:rsid w:val="00345139"/>
    <w:rsid w:val="00374F15"/>
    <w:rsid w:val="003926EC"/>
    <w:rsid w:val="003978B1"/>
    <w:rsid w:val="003A5400"/>
    <w:rsid w:val="003A5464"/>
    <w:rsid w:val="003B31D7"/>
    <w:rsid w:val="003B6936"/>
    <w:rsid w:val="003C4DB6"/>
    <w:rsid w:val="003D3D97"/>
    <w:rsid w:val="003F5D18"/>
    <w:rsid w:val="003F6919"/>
    <w:rsid w:val="004073CE"/>
    <w:rsid w:val="004108DE"/>
    <w:rsid w:val="00415AA0"/>
    <w:rsid w:val="00434F4A"/>
    <w:rsid w:val="0043788E"/>
    <w:rsid w:val="00441F46"/>
    <w:rsid w:val="004424AC"/>
    <w:rsid w:val="0046160A"/>
    <w:rsid w:val="00471257"/>
    <w:rsid w:val="0047246F"/>
    <w:rsid w:val="00492587"/>
    <w:rsid w:val="004A59D5"/>
    <w:rsid w:val="004A65DD"/>
    <w:rsid w:val="004A70AF"/>
    <w:rsid w:val="004B1B79"/>
    <w:rsid w:val="004C2417"/>
    <w:rsid w:val="004C26A1"/>
    <w:rsid w:val="004C7312"/>
    <w:rsid w:val="004D0932"/>
    <w:rsid w:val="004D1C27"/>
    <w:rsid w:val="004E5D74"/>
    <w:rsid w:val="004F50EE"/>
    <w:rsid w:val="004F51C6"/>
    <w:rsid w:val="005044D0"/>
    <w:rsid w:val="00521B07"/>
    <w:rsid w:val="00525F8D"/>
    <w:rsid w:val="00535646"/>
    <w:rsid w:val="00536702"/>
    <w:rsid w:val="00542AE4"/>
    <w:rsid w:val="00551B76"/>
    <w:rsid w:val="00554CD7"/>
    <w:rsid w:val="005602B6"/>
    <w:rsid w:val="00560DBC"/>
    <w:rsid w:val="00562166"/>
    <w:rsid w:val="00562903"/>
    <w:rsid w:val="00570D77"/>
    <w:rsid w:val="005815F8"/>
    <w:rsid w:val="005817E6"/>
    <w:rsid w:val="00582DD4"/>
    <w:rsid w:val="00584D15"/>
    <w:rsid w:val="005860FC"/>
    <w:rsid w:val="005B013B"/>
    <w:rsid w:val="005C02FB"/>
    <w:rsid w:val="005D7894"/>
    <w:rsid w:val="005E0100"/>
    <w:rsid w:val="005E1531"/>
    <w:rsid w:val="005F190D"/>
    <w:rsid w:val="005F2712"/>
    <w:rsid w:val="005F6C5D"/>
    <w:rsid w:val="00614110"/>
    <w:rsid w:val="00615B09"/>
    <w:rsid w:val="006238FD"/>
    <w:rsid w:val="00627E74"/>
    <w:rsid w:val="006451B5"/>
    <w:rsid w:val="00645B91"/>
    <w:rsid w:val="006551D4"/>
    <w:rsid w:val="006715EF"/>
    <w:rsid w:val="00671FEC"/>
    <w:rsid w:val="00676DB9"/>
    <w:rsid w:val="00683C74"/>
    <w:rsid w:val="0068477C"/>
    <w:rsid w:val="0069426E"/>
    <w:rsid w:val="00697B87"/>
    <w:rsid w:val="006B346C"/>
    <w:rsid w:val="006B494A"/>
    <w:rsid w:val="006B4DB3"/>
    <w:rsid w:val="006C2CAB"/>
    <w:rsid w:val="006C522D"/>
    <w:rsid w:val="006C5233"/>
    <w:rsid w:val="006C7258"/>
    <w:rsid w:val="006D3EB2"/>
    <w:rsid w:val="006D4088"/>
    <w:rsid w:val="006D69ED"/>
    <w:rsid w:val="006E7288"/>
    <w:rsid w:val="006F1738"/>
    <w:rsid w:val="007027B5"/>
    <w:rsid w:val="00702DC6"/>
    <w:rsid w:val="00721E1B"/>
    <w:rsid w:val="00723957"/>
    <w:rsid w:val="00724F54"/>
    <w:rsid w:val="00726A63"/>
    <w:rsid w:val="007307E1"/>
    <w:rsid w:val="00730C2C"/>
    <w:rsid w:val="00731993"/>
    <w:rsid w:val="00734B26"/>
    <w:rsid w:val="00740BA6"/>
    <w:rsid w:val="00746D48"/>
    <w:rsid w:val="00765B72"/>
    <w:rsid w:val="00774E8A"/>
    <w:rsid w:val="007A6B66"/>
    <w:rsid w:val="007A7CFC"/>
    <w:rsid w:val="007B2F75"/>
    <w:rsid w:val="007B6E95"/>
    <w:rsid w:val="007B7DD6"/>
    <w:rsid w:val="007C531E"/>
    <w:rsid w:val="007C59ED"/>
    <w:rsid w:val="007D1605"/>
    <w:rsid w:val="007D1B84"/>
    <w:rsid w:val="007E2564"/>
    <w:rsid w:val="007E2E91"/>
    <w:rsid w:val="00806F5E"/>
    <w:rsid w:val="00813A22"/>
    <w:rsid w:val="008148BB"/>
    <w:rsid w:val="0081751D"/>
    <w:rsid w:val="00824840"/>
    <w:rsid w:val="00824E5E"/>
    <w:rsid w:val="0083416F"/>
    <w:rsid w:val="0084272D"/>
    <w:rsid w:val="00854160"/>
    <w:rsid w:val="00860F59"/>
    <w:rsid w:val="00873CE4"/>
    <w:rsid w:val="00876837"/>
    <w:rsid w:val="00876BC7"/>
    <w:rsid w:val="008770AB"/>
    <w:rsid w:val="00882F5C"/>
    <w:rsid w:val="00883C6B"/>
    <w:rsid w:val="00893E7C"/>
    <w:rsid w:val="008969D0"/>
    <w:rsid w:val="00897318"/>
    <w:rsid w:val="0089762E"/>
    <w:rsid w:val="008A027E"/>
    <w:rsid w:val="008A21CC"/>
    <w:rsid w:val="008B1DAB"/>
    <w:rsid w:val="008C1482"/>
    <w:rsid w:val="008C37E0"/>
    <w:rsid w:val="008E1697"/>
    <w:rsid w:val="008E478C"/>
    <w:rsid w:val="008F04A8"/>
    <w:rsid w:val="00905B83"/>
    <w:rsid w:val="00907232"/>
    <w:rsid w:val="00915798"/>
    <w:rsid w:val="00915DDD"/>
    <w:rsid w:val="00916DB0"/>
    <w:rsid w:val="009203ED"/>
    <w:rsid w:val="00920F0E"/>
    <w:rsid w:val="00921C99"/>
    <w:rsid w:val="00933D01"/>
    <w:rsid w:val="009357EF"/>
    <w:rsid w:val="00955761"/>
    <w:rsid w:val="0096032F"/>
    <w:rsid w:val="009604EF"/>
    <w:rsid w:val="00963A25"/>
    <w:rsid w:val="00966E65"/>
    <w:rsid w:val="00967FC3"/>
    <w:rsid w:val="00971AAE"/>
    <w:rsid w:val="00974E7E"/>
    <w:rsid w:val="00981542"/>
    <w:rsid w:val="009876C8"/>
    <w:rsid w:val="00990620"/>
    <w:rsid w:val="00994198"/>
    <w:rsid w:val="00997AC5"/>
    <w:rsid w:val="009A33D5"/>
    <w:rsid w:val="009A371C"/>
    <w:rsid w:val="009B31BB"/>
    <w:rsid w:val="009B4552"/>
    <w:rsid w:val="009B6B41"/>
    <w:rsid w:val="009C7081"/>
    <w:rsid w:val="009D4290"/>
    <w:rsid w:val="009D4C6E"/>
    <w:rsid w:val="009E0245"/>
    <w:rsid w:val="009E2A26"/>
    <w:rsid w:val="009E6202"/>
    <w:rsid w:val="009E7FA1"/>
    <w:rsid w:val="009F00E3"/>
    <w:rsid w:val="00A150AE"/>
    <w:rsid w:val="00A20441"/>
    <w:rsid w:val="00A25731"/>
    <w:rsid w:val="00A25B85"/>
    <w:rsid w:val="00A33839"/>
    <w:rsid w:val="00A37F4C"/>
    <w:rsid w:val="00A427C8"/>
    <w:rsid w:val="00A45332"/>
    <w:rsid w:val="00A56F14"/>
    <w:rsid w:val="00A6561E"/>
    <w:rsid w:val="00A71517"/>
    <w:rsid w:val="00AA1E20"/>
    <w:rsid w:val="00AA29BB"/>
    <w:rsid w:val="00AA2C2D"/>
    <w:rsid w:val="00AA4EA7"/>
    <w:rsid w:val="00AB3590"/>
    <w:rsid w:val="00AC0CA6"/>
    <w:rsid w:val="00AD5242"/>
    <w:rsid w:val="00AE688E"/>
    <w:rsid w:val="00AF42FC"/>
    <w:rsid w:val="00B0028C"/>
    <w:rsid w:val="00B05194"/>
    <w:rsid w:val="00B3271F"/>
    <w:rsid w:val="00B33832"/>
    <w:rsid w:val="00B35EB5"/>
    <w:rsid w:val="00B41145"/>
    <w:rsid w:val="00B44D37"/>
    <w:rsid w:val="00B51A86"/>
    <w:rsid w:val="00B52977"/>
    <w:rsid w:val="00B56036"/>
    <w:rsid w:val="00B62FDD"/>
    <w:rsid w:val="00B64C5D"/>
    <w:rsid w:val="00B75AC6"/>
    <w:rsid w:val="00B766A7"/>
    <w:rsid w:val="00B86266"/>
    <w:rsid w:val="00B94DE9"/>
    <w:rsid w:val="00BA4F6B"/>
    <w:rsid w:val="00BA5952"/>
    <w:rsid w:val="00BC789F"/>
    <w:rsid w:val="00BD3ADB"/>
    <w:rsid w:val="00BD4D72"/>
    <w:rsid w:val="00BE0872"/>
    <w:rsid w:val="00BE2241"/>
    <w:rsid w:val="00BE6C79"/>
    <w:rsid w:val="00BF3B85"/>
    <w:rsid w:val="00C11C09"/>
    <w:rsid w:val="00C21E16"/>
    <w:rsid w:val="00C24C45"/>
    <w:rsid w:val="00C37830"/>
    <w:rsid w:val="00C60F45"/>
    <w:rsid w:val="00C62870"/>
    <w:rsid w:val="00C65EAA"/>
    <w:rsid w:val="00C82FAA"/>
    <w:rsid w:val="00C85D41"/>
    <w:rsid w:val="00C873A4"/>
    <w:rsid w:val="00CC1CCD"/>
    <w:rsid w:val="00CC44C9"/>
    <w:rsid w:val="00CC4CBF"/>
    <w:rsid w:val="00CD4384"/>
    <w:rsid w:val="00CD7664"/>
    <w:rsid w:val="00CE095D"/>
    <w:rsid w:val="00CE6EF8"/>
    <w:rsid w:val="00CF410A"/>
    <w:rsid w:val="00D12F05"/>
    <w:rsid w:val="00D14D2E"/>
    <w:rsid w:val="00D27AAC"/>
    <w:rsid w:val="00D27C6E"/>
    <w:rsid w:val="00D32ACE"/>
    <w:rsid w:val="00D40497"/>
    <w:rsid w:val="00D56B66"/>
    <w:rsid w:val="00D733AA"/>
    <w:rsid w:val="00D74B2E"/>
    <w:rsid w:val="00D813EE"/>
    <w:rsid w:val="00D83227"/>
    <w:rsid w:val="00D87818"/>
    <w:rsid w:val="00D91EFA"/>
    <w:rsid w:val="00D92089"/>
    <w:rsid w:val="00D94791"/>
    <w:rsid w:val="00D95B36"/>
    <w:rsid w:val="00DA0674"/>
    <w:rsid w:val="00DA2707"/>
    <w:rsid w:val="00DB406E"/>
    <w:rsid w:val="00DD665E"/>
    <w:rsid w:val="00DE4D55"/>
    <w:rsid w:val="00DE67DD"/>
    <w:rsid w:val="00DE70D9"/>
    <w:rsid w:val="00DF4F36"/>
    <w:rsid w:val="00DF6B8F"/>
    <w:rsid w:val="00E01874"/>
    <w:rsid w:val="00E2615F"/>
    <w:rsid w:val="00E302B8"/>
    <w:rsid w:val="00E33362"/>
    <w:rsid w:val="00E5075D"/>
    <w:rsid w:val="00E739CB"/>
    <w:rsid w:val="00E80A1E"/>
    <w:rsid w:val="00EA0B09"/>
    <w:rsid w:val="00EB01F7"/>
    <w:rsid w:val="00EC4D9A"/>
    <w:rsid w:val="00ED104E"/>
    <w:rsid w:val="00ED259F"/>
    <w:rsid w:val="00EF1C10"/>
    <w:rsid w:val="00F032F4"/>
    <w:rsid w:val="00F25149"/>
    <w:rsid w:val="00F30DDF"/>
    <w:rsid w:val="00F3458D"/>
    <w:rsid w:val="00F35428"/>
    <w:rsid w:val="00F45591"/>
    <w:rsid w:val="00F548D4"/>
    <w:rsid w:val="00F62151"/>
    <w:rsid w:val="00F6377D"/>
    <w:rsid w:val="00F64D9C"/>
    <w:rsid w:val="00F66264"/>
    <w:rsid w:val="00F75B9B"/>
    <w:rsid w:val="00F80C5D"/>
    <w:rsid w:val="00F8302E"/>
    <w:rsid w:val="00F86D36"/>
    <w:rsid w:val="00F86D5E"/>
    <w:rsid w:val="00F931BA"/>
    <w:rsid w:val="00F93D3E"/>
    <w:rsid w:val="00F9763A"/>
    <w:rsid w:val="00FA7DB0"/>
    <w:rsid w:val="00FB2CB1"/>
    <w:rsid w:val="00FB4851"/>
    <w:rsid w:val="00FB4D3E"/>
    <w:rsid w:val="00FC18AC"/>
    <w:rsid w:val="00FE31BA"/>
    <w:rsid w:val="00FE3E8E"/>
    <w:rsid w:val="00FF3134"/>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46C16CF"/>
  <w15:docId w15:val="{5F2C7446-166F-4019-9743-99A4022B8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cs-CZ"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3957"/>
    <w:rPr>
      <w:sz w:val="24"/>
      <w:szCs w:val="24"/>
      <w:lang w:val="en-GB"/>
    </w:rPr>
  </w:style>
  <w:style w:type="paragraph" w:styleId="Antrat1">
    <w:name w:val="heading 1"/>
    <w:basedOn w:val="prastasis"/>
    <w:next w:val="prastasis"/>
    <w:link w:val="Antrat1Diagrama"/>
    <w:autoRedefine/>
    <w:uiPriority w:val="9"/>
    <w:qFormat/>
    <w:rsid w:val="00121C9E"/>
    <w:pPr>
      <w:keepNext/>
      <w:keepLines/>
      <w:widowControl w:val="0"/>
      <w:numPr>
        <w:numId w:val="19"/>
      </w:numPr>
      <w:autoSpaceDE w:val="0"/>
      <w:autoSpaceDN w:val="0"/>
      <w:spacing w:before="240" w:after="120"/>
      <w:jc w:val="both"/>
      <w:outlineLvl w:val="0"/>
      <w15:collapsed/>
    </w:pPr>
    <w:rPr>
      <w:rFonts w:ascii="Arial" w:eastAsiaTheme="majorEastAsia" w:hAnsi="Arial" w:cstheme="majorBidi"/>
      <w:color w:val="17365D" w:themeColor="text2" w:themeShade="BF"/>
      <w:sz w:val="22"/>
      <w:szCs w:val="32"/>
    </w:rPr>
  </w:style>
  <w:style w:type="paragraph" w:styleId="Antrat2">
    <w:name w:val="heading 2"/>
    <w:basedOn w:val="prastasis"/>
    <w:next w:val="prastasis"/>
    <w:link w:val="Antrat2Diagrama"/>
    <w:autoRedefine/>
    <w:uiPriority w:val="9"/>
    <w:unhideWhenUsed/>
    <w:qFormat/>
    <w:rsid w:val="004E5D74"/>
    <w:pPr>
      <w:keepNext/>
      <w:keepLines/>
      <w:spacing w:before="40" w:after="0" w:line="259" w:lineRule="auto"/>
      <w:outlineLvl w:val="1"/>
    </w:pPr>
    <w:rPr>
      <w:rFonts w:ascii="Arial" w:eastAsiaTheme="majorEastAsia" w:hAnsi="Arial" w:cs="Arial"/>
      <w:b/>
      <w:lang w:val="en-US"/>
    </w:rPr>
  </w:style>
  <w:style w:type="paragraph" w:styleId="Antrat3">
    <w:name w:val="heading 3"/>
    <w:basedOn w:val="prastasis"/>
    <w:next w:val="prastasis"/>
    <w:link w:val="Antrat3Diagrama"/>
    <w:uiPriority w:val="9"/>
    <w:unhideWhenUsed/>
    <w:qFormat/>
    <w:rsid w:val="000602A5"/>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702DC6"/>
    <w:pPr>
      <w:tabs>
        <w:tab w:val="center" w:pos="4153"/>
        <w:tab w:val="right" w:pos="8306"/>
      </w:tabs>
      <w:spacing w:after="0"/>
    </w:pPr>
  </w:style>
  <w:style w:type="character" w:customStyle="1" w:styleId="AntratsDiagrama">
    <w:name w:val="Antraštės Diagrama"/>
    <w:basedOn w:val="Numatytasispastraiposriftas"/>
    <w:link w:val="Antrats"/>
    <w:uiPriority w:val="99"/>
    <w:semiHidden/>
    <w:rsid w:val="00702DC6"/>
    <w:rPr>
      <w:sz w:val="24"/>
      <w:szCs w:val="24"/>
      <w:lang w:val="en-GB"/>
    </w:rPr>
  </w:style>
  <w:style w:type="paragraph" w:styleId="Porat">
    <w:name w:val="footer"/>
    <w:basedOn w:val="prastasis"/>
    <w:link w:val="PoratDiagrama"/>
    <w:uiPriority w:val="99"/>
    <w:semiHidden/>
    <w:unhideWhenUsed/>
    <w:rsid w:val="00702DC6"/>
    <w:pPr>
      <w:tabs>
        <w:tab w:val="center" w:pos="4153"/>
        <w:tab w:val="right" w:pos="8306"/>
      </w:tabs>
      <w:spacing w:after="0"/>
    </w:pPr>
  </w:style>
  <w:style w:type="character" w:customStyle="1" w:styleId="PoratDiagrama">
    <w:name w:val="Poraštė Diagrama"/>
    <w:basedOn w:val="Numatytasispastraiposriftas"/>
    <w:link w:val="Porat"/>
    <w:uiPriority w:val="99"/>
    <w:semiHidden/>
    <w:rsid w:val="00702DC6"/>
    <w:rPr>
      <w:sz w:val="24"/>
      <w:szCs w:val="24"/>
      <w:lang w:val="en-GB"/>
    </w:rPr>
  </w:style>
  <w:style w:type="table" w:styleId="Lentelstinklelis">
    <w:name w:val="Table Grid"/>
    <w:basedOn w:val="prastojilentel"/>
    <w:uiPriority w:val="39"/>
    <w:rsid w:val="00724F54"/>
    <w:pPr>
      <w:spacing w:after="0"/>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1"/>
    <w:qFormat/>
    <w:rsid w:val="00724F54"/>
    <w:pPr>
      <w:spacing w:after="160" w:line="259" w:lineRule="auto"/>
      <w:ind w:left="720"/>
      <w:contextualSpacing/>
    </w:pPr>
    <w:rPr>
      <w:sz w:val="22"/>
      <w:szCs w:val="22"/>
      <w:lang w:val="lt-LT"/>
    </w:rPr>
  </w:style>
  <w:style w:type="character" w:styleId="Komentaronuoroda">
    <w:name w:val="annotation reference"/>
    <w:basedOn w:val="Numatytasispastraiposriftas"/>
    <w:uiPriority w:val="99"/>
    <w:semiHidden/>
    <w:unhideWhenUsed/>
    <w:rsid w:val="00724F54"/>
    <w:rPr>
      <w:sz w:val="16"/>
      <w:szCs w:val="16"/>
    </w:rPr>
  </w:style>
  <w:style w:type="paragraph" w:styleId="Komentarotekstas">
    <w:name w:val="annotation text"/>
    <w:basedOn w:val="prastasis"/>
    <w:link w:val="KomentarotekstasDiagrama"/>
    <w:uiPriority w:val="99"/>
    <w:semiHidden/>
    <w:unhideWhenUsed/>
    <w:rsid w:val="00724F54"/>
    <w:pPr>
      <w:spacing w:after="160"/>
    </w:pPr>
    <w:rPr>
      <w:sz w:val="20"/>
      <w:szCs w:val="20"/>
      <w:lang w:val="lt-LT"/>
    </w:rPr>
  </w:style>
  <w:style w:type="character" w:customStyle="1" w:styleId="KomentarotekstasDiagrama">
    <w:name w:val="Komentaro tekstas Diagrama"/>
    <w:basedOn w:val="Numatytasispastraiposriftas"/>
    <w:link w:val="Komentarotekstas"/>
    <w:uiPriority w:val="99"/>
    <w:semiHidden/>
    <w:rsid w:val="00724F54"/>
    <w:rPr>
      <w:lang w:val="lt-LT"/>
    </w:rPr>
  </w:style>
  <w:style w:type="paragraph" w:styleId="Debesliotekstas">
    <w:name w:val="Balloon Text"/>
    <w:basedOn w:val="prastasis"/>
    <w:link w:val="DebesliotekstasDiagrama"/>
    <w:uiPriority w:val="99"/>
    <w:semiHidden/>
    <w:unhideWhenUsed/>
    <w:rsid w:val="00724F54"/>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4F54"/>
    <w:rPr>
      <w:rFonts w:ascii="Segoe UI" w:hAnsi="Segoe UI" w:cs="Segoe UI"/>
      <w:sz w:val="18"/>
      <w:szCs w:val="18"/>
      <w:lang w:val="en-GB"/>
    </w:rPr>
  </w:style>
  <w:style w:type="paragraph" w:styleId="Komentarotema">
    <w:name w:val="annotation subject"/>
    <w:basedOn w:val="Komentarotekstas"/>
    <w:next w:val="Komentarotekstas"/>
    <w:link w:val="KomentarotemaDiagrama"/>
    <w:uiPriority w:val="99"/>
    <w:semiHidden/>
    <w:unhideWhenUsed/>
    <w:rsid w:val="00B51A86"/>
    <w:pPr>
      <w:spacing w:after="200"/>
    </w:pPr>
    <w:rPr>
      <w:b/>
      <w:bCs/>
      <w:lang w:val="en-GB"/>
    </w:rPr>
  </w:style>
  <w:style w:type="character" w:customStyle="1" w:styleId="KomentarotemaDiagrama">
    <w:name w:val="Komentaro tema Diagrama"/>
    <w:basedOn w:val="KomentarotekstasDiagrama"/>
    <w:link w:val="Komentarotema"/>
    <w:uiPriority w:val="99"/>
    <w:semiHidden/>
    <w:rsid w:val="00B51A86"/>
    <w:rPr>
      <w:b/>
      <w:bCs/>
      <w:lang w:val="en-GB"/>
    </w:rPr>
  </w:style>
  <w:style w:type="paragraph" w:customStyle="1" w:styleId="Default">
    <w:name w:val="Default"/>
    <w:rsid w:val="006C7258"/>
    <w:pPr>
      <w:autoSpaceDE w:val="0"/>
      <w:autoSpaceDN w:val="0"/>
      <w:adjustRightInd w:val="0"/>
      <w:spacing w:after="0"/>
    </w:pPr>
    <w:rPr>
      <w:rFonts w:ascii="Times New Roman" w:hAnsi="Times New Roman" w:cs="Times New Roman"/>
      <w:color w:val="000000"/>
      <w:sz w:val="24"/>
      <w:szCs w:val="24"/>
      <w:lang w:val="lt-LT"/>
    </w:rPr>
  </w:style>
  <w:style w:type="character" w:customStyle="1" w:styleId="Antrat2Diagrama">
    <w:name w:val="Antraštė 2 Diagrama"/>
    <w:basedOn w:val="Numatytasispastraiposriftas"/>
    <w:link w:val="Antrat2"/>
    <w:uiPriority w:val="9"/>
    <w:rsid w:val="004E5D74"/>
    <w:rPr>
      <w:rFonts w:ascii="Arial" w:eastAsiaTheme="majorEastAsia" w:hAnsi="Arial" w:cs="Arial"/>
      <w:b/>
      <w:sz w:val="24"/>
      <w:szCs w:val="24"/>
      <w:lang w:val="en-US"/>
    </w:rPr>
  </w:style>
  <w:style w:type="character" w:customStyle="1" w:styleId="Antrat3Diagrama">
    <w:name w:val="Antraštė 3 Diagrama"/>
    <w:basedOn w:val="Numatytasispastraiposriftas"/>
    <w:link w:val="Antrat3"/>
    <w:uiPriority w:val="9"/>
    <w:rsid w:val="000602A5"/>
    <w:rPr>
      <w:rFonts w:asciiTheme="majorHAnsi" w:eastAsiaTheme="majorEastAsia" w:hAnsiTheme="majorHAnsi" w:cstheme="majorBidi"/>
      <w:color w:val="243F60" w:themeColor="accent1" w:themeShade="7F"/>
      <w:sz w:val="24"/>
      <w:szCs w:val="24"/>
      <w:lang w:val="en-GB"/>
    </w:rPr>
  </w:style>
  <w:style w:type="character" w:styleId="Rykinuoroda">
    <w:name w:val="Intense Reference"/>
    <w:basedOn w:val="Numatytasispastraiposriftas"/>
    <w:uiPriority w:val="32"/>
    <w:qFormat/>
    <w:rsid w:val="002A0E5A"/>
    <w:rPr>
      <w:b/>
      <w:bCs/>
      <w:smallCaps/>
      <w:color w:val="4F81BD" w:themeColor="accent1"/>
      <w:spacing w:val="5"/>
    </w:rPr>
  </w:style>
  <w:style w:type="character" w:styleId="Hipersaitas">
    <w:name w:val="Hyperlink"/>
    <w:basedOn w:val="Numatytasispastraiposriftas"/>
    <w:uiPriority w:val="99"/>
    <w:unhideWhenUsed/>
    <w:rsid w:val="00332A0C"/>
    <w:rPr>
      <w:color w:val="0000FF" w:themeColor="hyperlink"/>
      <w:u w:val="single"/>
    </w:rPr>
  </w:style>
  <w:style w:type="character" w:customStyle="1" w:styleId="Antrat1Diagrama">
    <w:name w:val="Antraštė 1 Diagrama"/>
    <w:basedOn w:val="Numatytasispastraiposriftas"/>
    <w:link w:val="Antrat1"/>
    <w:uiPriority w:val="9"/>
    <w:rsid w:val="00121C9E"/>
    <w:rPr>
      <w:rFonts w:ascii="Arial" w:eastAsiaTheme="majorEastAsia" w:hAnsi="Arial" w:cstheme="majorBidi"/>
      <w:color w:val="17365D" w:themeColor="text2" w:themeShade="BF"/>
      <w:sz w:val="22"/>
      <w:szCs w:val="32"/>
      <w:lang w:val="en-GB"/>
    </w:rPr>
  </w:style>
  <w:style w:type="paragraph" w:styleId="Pagrindinistekstas">
    <w:name w:val="Body Text"/>
    <w:basedOn w:val="prastasis"/>
    <w:link w:val="PagrindinistekstasDiagrama"/>
    <w:uiPriority w:val="1"/>
    <w:qFormat/>
    <w:rsid w:val="00897318"/>
    <w:pPr>
      <w:widowControl w:val="0"/>
      <w:autoSpaceDE w:val="0"/>
      <w:autoSpaceDN w:val="0"/>
      <w:spacing w:after="0"/>
      <w:ind w:left="828" w:hanging="360"/>
    </w:pPr>
    <w:rPr>
      <w:rFonts w:ascii="Constantia" w:eastAsia="Constantia" w:hAnsi="Constantia" w:cs="Constantia"/>
      <w:lang w:val="lt-LT" w:eastAsia="lt-LT" w:bidi="lt-LT"/>
    </w:rPr>
  </w:style>
  <w:style w:type="character" w:customStyle="1" w:styleId="PagrindinistekstasDiagrama">
    <w:name w:val="Pagrindinis tekstas Diagrama"/>
    <w:basedOn w:val="Numatytasispastraiposriftas"/>
    <w:link w:val="Pagrindinistekstas"/>
    <w:uiPriority w:val="1"/>
    <w:rsid w:val="00897318"/>
    <w:rPr>
      <w:rFonts w:ascii="Constantia" w:eastAsia="Constantia" w:hAnsi="Constantia" w:cs="Constantia"/>
      <w:sz w:val="24"/>
      <w:szCs w:val="24"/>
      <w:lang w:val="lt-LT" w:eastAsia="lt-LT" w:bidi="lt-LT"/>
    </w:rPr>
  </w:style>
  <w:style w:type="character" w:styleId="Perirtashipersaitas">
    <w:name w:val="FollowedHyperlink"/>
    <w:basedOn w:val="Numatytasispastraiposriftas"/>
    <w:uiPriority w:val="99"/>
    <w:semiHidden/>
    <w:unhideWhenUsed/>
    <w:rsid w:val="00300583"/>
    <w:rPr>
      <w:color w:val="800080" w:themeColor="followedHyperlink"/>
      <w:u w:val="single"/>
    </w:rPr>
  </w:style>
  <w:style w:type="paragraph" w:styleId="Betarp">
    <w:name w:val="No Spacing"/>
    <w:uiPriority w:val="1"/>
    <w:qFormat/>
    <w:rsid w:val="00B766A7"/>
    <w:pPr>
      <w:spacing w:after="0"/>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A32013R1407" TargetMode="External"/><Relationship Id="rId18" Type="http://schemas.openxmlformats.org/officeDocument/2006/relationships/hyperlink" Target="http://www.lmt.lt" TargetMode="External"/><Relationship Id="rId3" Type="http://schemas.openxmlformats.org/officeDocument/2006/relationships/customXml" Target="../customXml/item3.xml"/><Relationship Id="rId21" Type="http://schemas.openxmlformats.org/officeDocument/2006/relationships/hyperlink" Target="http://lvpa.lt/lt/paraiskos/eksperimentas-nr.-1-ir-2-1015" TargetMode="External"/><Relationship Id="rId7" Type="http://schemas.openxmlformats.org/officeDocument/2006/relationships/settings" Target="settings.xml"/><Relationship Id="rId12" Type="http://schemas.openxmlformats.org/officeDocument/2006/relationships/hyperlink" Target="https://eur-lex.europa.eu/legal-content/LT/TXT/?uri=CELEX%3A32014R0651" TargetMode="External"/><Relationship Id="rId17" Type="http://schemas.openxmlformats.org/officeDocument/2006/relationships/hyperlink" Target="https://mita.lrv.lt/lt/paslaugos" TargetMode="External"/><Relationship Id="rId2" Type="http://schemas.openxmlformats.org/officeDocument/2006/relationships/customXml" Target="../customXml/item2.xml"/><Relationship Id="rId16" Type="http://schemas.openxmlformats.org/officeDocument/2006/relationships/hyperlink" Target="https://e-seimas.lrs.lt/portal/legalAct/lt/TAD/TAIS.316716/asr" TargetMode="External"/><Relationship Id="rId20" Type="http://schemas.openxmlformats.org/officeDocument/2006/relationships/hyperlink" Target="mailto:martynas.kulvinskis@lvp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vpa.lt/lt/renginiai/102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f44986504ed411e49cf986e1802f1de9/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ksperimentas@lvp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lt/dokumentai/rekomendacijos-del-projektu-islaidu-atitikties-europos-sajungos-strukturiniu-fondu-reikalavimams-3"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1A886B05F494409B970B2009047F80" ma:contentTypeVersion="1" ma:contentTypeDescription="Create a new document." ma:contentTypeScope="" ma:versionID="508b31b92e4d96ef4575eb2a031028f2">
  <xsd:schema xmlns:xsd="http://www.w3.org/2001/XMLSchema" xmlns:xs="http://www.w3.org/2001/XMLSchema" xmlns:p="http://schemas.microsoft.com/office/2006/metadata/properties" targetNamespace="http://schemas.microsoft.com/office/2006/metadata/properties" ma:root="true" ma:fieldsID="e4f0d4a0a2e19e6b6585768af90f1f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D7E2A-2545-48C0-93A8-B4028625B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46603B-AE04-41D9-82A8-96082BF6A8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E36E1D-C6FE-47C6-B97E-D561D1AB379E}">
  <ds:schemaRefs>
    <ds:schemaRef ds:uri="http://schemas.microsoft.com/sharepoint/v3/contenttype/forms"/>
  </ds:schemaRefs>
</ds:datastoreItem>
</file>

<file path=customXml/itemProps4.xml><?xml version="1.0" encoding="utf-8"?>
<ds:datastoreItem xmlns:ds="http://schemas.openxmlformats.org/officeDocument/2006/customXml" ds:itemID="{8CA631D5-E7C3-482A-A35A-B727FF279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19423</Words>
  <Characters>11072</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Ikiprekybiniai pirkimai LT dokumentų sąrašas AJ</vt:lpstr>
    </vt:vector>
  </TitlesOfParts>
  <Company>Syngenta Agro Services</Company>
  <LinksUpToDate>false</LinksUpToDate>
  <CharactersWithSpaces>30435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Ikiprekybiniai pirkimai LT dokumentų sąrašas AJ</dc:title>
  <dc:subject/>
  <dc:creator>Oridijus Caplikas</dc:creator>
  <cp:keywords/>
  <cp:lastModifiedBy>Sandra Trinkūnienė</cp:lastModifiedBy>
  <cp:revision>7</cp:revision>
  <cp:lastPrinted>2016-08-10T12:21:00Z</cp:lastPrinted>
  <dcterms:created xsi:type="dcterms:W3CDTF">2020-01-06T15:50:00Z</dcterms:created>
  <dcterms:modified xsi:type="dcterms:W3CDTF">2020-01-08T09:54:00Z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0x010100811A886B05F494409B970B2009047F80</vt:lpwstr>
  </property>
</Properties>
</file>