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72" w:rsidRDefault="00E20881" w:rsidP="00E20881">
      <w:pPr>
        <w:tabs>
          <w:tab w:val="left" w:pos="709"/>
        </w:tabs>
        <w:jc w:val="center"/>
        <w:rPr>
          <w:b/>
          <w:szCs w:val="24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1F65A639" wp14:editId="19A69FBE">
            <wp:extent cx="542290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881" w:rsidRDefault="00E20881" w:rsidP="00E20881">
      <w:pPr>
        <w:tabs>
          <w:tab w:val="left" w:pos="709"/>
        </w:tabs>
        <w:jc w:val="center"/>
        <w:rPr>
          <w:b/>
          <w:szCs w:val="24"/>
        </w:rPr>
      </w:pPr>
    </w:p>
    <w:p w:rsidR="00A04672" w:rsidRDefault="00192A94">
      <w:pPr>
        <w:tabs>
          <w:tab w:val="left" w:pos="709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LIETUVOS RESPUBLIKOS </w:t>
      </w:r>
      <w:r w:rsidR="008F2E8A">
        <w:rPr>
          <w:b/>
          <w:caps/>
          <w:szCs w:val="24"/>
        </w:rPr>
        <w:t xml:space="preserve">EKONOMIKOS IR INOVACIJŲ </w:t>
      </w:r>
      <w:r>
        <w:rPr>
          <w:b/>
          <w:caps/>
          <w:szCs w:val="24"/>
        </w:rPr>
        <w:t>MINISTRAS</w:t>
      </w:r>
    </w:p>
    <w:p w:rsidR="00A04672" w:rsidRDefault="00A04672">
      <w:pPr>
        <w:ind w:firstLine="851"/>
        <w:jc w:val="center"/>
        <w:rPr>
          <w:b/>
          <w:caps/>
          <w:szCs w:val="24"/>
        </w:rPr>
      </w:pPr>
    </w:p>
    <w:p w:rsidR="00A04672" w:rsidRDefault="00192A9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:rsidR="0047737D" w:rsidRDefault="00192A9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DĖL LIETUVOS RESPUBLIKOS </w:t>
      </w:r>
      <w:r w:rsidR="00520B20">
        <w:rPr>
          <w:b/>
          <w:bCs/>
          <w:caps/>
          <w:szCs w:val="24"/>
        </w:rPr>
        <w:t xml:space="preserve">ekonomikos ir inovacijų </w:t>
      </w:r>
      <w:r>
        <w:rPr>
          <w:b/>
          <w:bCs/>
          <w:caps/>
          <w:szCs w:val="24"/>
        </w:rPr>
        <w:t xml:space="preserve">MINISTRO </w:t>
      </w:r>
    </w:p>
    <w:p w:rsidR="00A04672" w:rsidRDefault="00192A9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201</w:t>
      </w:r>
      <w:r w:rsidR="00571146">
        <w:rPr>
          <w:b/>
          <w:bCs/>
          <w:caps/>
          <w:szCs w:val="24"/>
        </w:rPr>
        <w:t>7</w:t>
      </w:r>
      <w:r>
        <w:rPr>
          <w:b/>
          <w:bCs/>
          <w:caps/>
          <w:szCs w:val="24"/>
        </w:rPr>
        <w:t xml:space="preserve"> M. </w:t>
      </w:r>
      <w:r w:rsidR="00571146">
        <w:rPr>
          <w:b/>
          <w:bCs/>
          <w:caps/>
          <w:szCs w:val="24"/>
        </w:rPr>
        <w:t>kovo</w:t>
      </w:r>
      <w:r>
        <w:rPr>
          <w:b/>
          <w:bCs/>
          <w:caps/>
          <w:szCs w:val="24"/>
        </w:rPr>
        <w:t xml:space="preserve"> </w:t>
      </w:r>
      <w:r w:rsidR="00571146">
        <w:rPr>
          <w:b/>
          <w:bCs/>
          <w:caps/>
          <w:szCs w:val="24"/>
        </w:rPr>
        <w:t>6</w:t>
      </w:r>
      <w:r>
        <w:rPr>
          <w:b/>
          <w:bCs/>
          <w:caps/>
          <w:szCs w:val="24"/>
        </w:rPr>
        <w:t xml:space="preserve"> D. ĮSAKYMO NR. 4-</w:t>
      </w:r>
      <w:r w:rsidR="00571146">
        <w:rPr>
          <w:b/>
          <w:bCs/>
          <w:caps/>
          <w:szCs w:val="24"/>
        </w:rPr>
        <w:t>128</w:t>
      </w:r>
      <w:r>
        <w:rPr>
          <w:b/>
          <w:bCs/>
          <w:caps/>
          <w:szCs w:val="24"/>
        </w:rPr>
        <w:t xml:space="preserve"> „dėl 2014–2020 metų europos sąjungos fondų investicijų veiksmų programos 1 prioriteto „mokslinių tyrimų, eksperimentinės plėtros ir inovacijų skatinimas“ priemonės Nr</w:t>
      </w:r>
      <w:r w:rsidR="00F43CEA">
        <w:rPr>
          <w:b/>
          <w:bCs/>
          <w:caps/>
          <w:szCs w:val="24"/>
        </w:rPr>
        <w:t>. </w:t>
      </w:r>
      <w:r>
        <w:rPr>
          <w:b/>
          <w:bCs/>
          <w:caps/>
          <w:szCs w:val="24"/>
          <w:lang w:eastAsia="lt-LT"/>
        </w:rPr>
        <w:t>01.2.1-</w:t>
      </w:r>
      <w:r w:rsidR="00E54F29">
        <w:rPr>
          <w:b/>
          <w:bCs/>
          <w:caps/>
          <w:szCs w:val="24"/>
          <w:lang w:eastAsia="lt-LT"/>
        </w:rPr>
        <w:t>LVPA</w:t>
      </w:r>
      <w:r>
        <w:rPr>
          <w:b/>
          <w:bCs/>
          <w:caps/>
          <w:szCs w:val="24"/>
          <w:lang w:eastAsia="lt-LT"/>
        </w:rPr>
        <w:t>-T-8</w:t>
      </w:r>
      <w:r w:rsidR="00571146">
        <w:rPr>
          <w:b/>
          <w:bCs/>
          <w:caps/>
          <w:szCs w:val="24"/>
          <w:lang w:eastAsia="lt-LT"/>
        </w:rPr>
        <w:t>44</w:t>
      </w:r>
      <w:r>
        <w:rPr>
          <w:b/>
          <w:bCs/>
          <w:caps/>
          <w:szCs w:val="24"/>
          <w:lang w:eastAsia="lt-LT"/>
        </w:rPr>
        <w:t xml:space="preserve"> </w:t>
      </w:r>
      <w:r>
        <w:rPr>
          <w:rFonts w:eastAsia="Calibri"/>
          <w:b/>
          <w:bCs/>
          <w:caps/>
          <w:szCs w:val="24"/>
          <w:lang w:eastAsia="lt-LT"/>
        </w:rPr>
        <w:t>„INO</w:t>
      </w:r>
      <w:r w:rsidR="00571146">
        <w:rPr>
          <w:rFonts w:eastAsia="Calibri"/>
          <w:b/>
          <w:bCs/>
          <w:caps/>
          <w:szCs w:val="24"/>
          <w:lang w:eastAsia="lt-LT"/>
        </w:rPr>
        <w:t>connect</w:t>
      </w:r>
      <w:r>
        <w:rPr>
          <w:rFonts w:eastAsia="Calibri"/>
          <w:b/>
          <w:bCs/>
          <w:caps/>
          <w:szCs w:val="24"/>
          <w:lang w:eastAsia="lt-LT"/>
        </w:rPr>
        <w:t>“</w:t>
      </w:r>
      <w:r>
        <w:rPr>
          <w:b/>
          <w:bCs/>
          <w:caps/>
          <w:szCs w:val="24"/>
          <w:lang w:eastAsia="lt-LT"/>
        </w:rPr>
        <w:t xml:space="preserve"> </w:t>
      </w:r>
      <w:r>
        <w:rPr>
          <w:b/>
          <w:bCs/>
          <w:caps/>
          <w:szCs w:val="24"/>
        </w:rPr>
        <w:t>projektų finansavimo sąlygų aprašo patvirtinimo“ PAKEITIMO</w:t>
      </w:r>
    </w:p>
    <w:p w:rsidR="00A04672" w:rsidRDefault="00A04672"/>
    <w:p w:rsidR="00A04672" w:rsidRDefault="006B2242" w:rsidP="00E20881">
      <w:pPr>
        <w:jc w:val="center"/>
        <w:rPr>
          <w:szCs w:val="24"/>
        </w:rPr>
      </w:pPr>
      <w:r>
        <w:rPr>
          <w:szCs w:val="24"/>
        </w:rPr>
        <w:t>20</w:t>
      </w:r>
      <w:r w:rsidR="000F4CA0">
        <w:rPr>
          <w:szCs w:val="24"/>
        </w:rPr>
        <w:t>20</w:t>
      </w:r>
      <w:r>
        <w:rPr>
          <w:szCs w:val="24"/>
        </w:rPr>
        <w:t xml:space="preserve"> m. </w:t>
      </w:r>
      <w:r w:rsidR="00E20881">
        <w:rPr>
          <w:szCs w:val="24"/>
        </w:rPr>
        <w:t>sausio</w:t>
      </w:r>
      <w:r w:rsidR="00AE5EF5">
        <w:rPr>
          <w:szCs w:val="24"/>
        </w:rPr>
        <w:t xml:space="preserve"> </w:t>
      </w:r>
      <w:r w:rsidR="00B27797">
        <w:rPr>
          <w:szCs w:val="24"/>
        </w:rPr>
        <w:t>17</w:t>
      </w:r>
      <w:r w:rsidR="00AE5EF5">
        <w:rPr>
          <w:szCs w:val="24"/>
        </w:rPr>
        <w:t xml:space="preserve"> d. Nr. </w:t>
      </w:r>
      <w:r w:rsidR="00B27797">
        <w:rPr>
          <w:szCs w:val="24"/>
        </w:rPr>
        <w:t>4-37</w:t>
      </w:r>
      <w:bookmarkStart w:id="0" w:name="_GoBack"/>
      <w:bookmarkEnd w:id="0"/>
    </w:p>
    <w:p w:rsidR="00A04672" w:rsidRDefault="00192A94" w:rsidP="00E20881">
      <w:pPr>
        <w:jc w:val="center"/>
        <w:rPr>
          <w:szCs w:val="24"/>
        </w:rPr>
      </w:pPr>
      <w:r>
        <w:rPr>
          <w:szCs w:val="24"/>
        </w:rPr>
        <w:t>Vilnius</w:t>
      </w:r>
    </w:p>
    <w:p w:rsidR="00A04672" w:rsidRDefault="00A04672">
      <w:pPr>
        <w:ind w:firstLine="851"/>
        <w:jc w:val="center"/>
        <w:rPr>
          <w:szCs w:val="24"/>
        </w:rPr>
      </w:pPr>
    </w:p>
    <w:p w:rsidR="00A04672" w:rsidRDefault="00192A94" w:rsidP="007601B4">
      <w:pPr>
        <w:suppressAutoHyphens/>
        <w:ind w:firstLine="709"/>
        <w:jc w:val="both"/>
        <w:textAlignment w:val="center"/>
        <w:rPr>
          <w:color w:val="000000"/>
          <w:szCs w:val="24"/>
        </w:rPr>
      </w:pPr>
      <w:r>
        <w:rPr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D35D9B">
        <w:rPr>
          <w:szCs w:val="24"/>
        </w:rPr>
        <w:t>88 </w:t>
      </w:r>
      <w:r>
        <w:rPr>
          <w:szCs w:val="24"/>
        </w:rPr>
        <w:t>punktu</w:t>
      </w:r>
      <w:r>
        <w:rPr>
          <w:color w:val="000000"/>
          <w:szCs w:val="24"/>
        </w:rPr>
        <w:t>,</w:t>
      </w:r>
    </w:p>
    <w:p w:rsidR="00290FA4" w:rsidRPr="00A33704" w:rsidRDefault="00192A94" w:rsidP="00290FA4">
      <w:pPr>
        <w:ind w:firstLine="851"/>
        <w:jc w:val="both"/>
        <w:rPr>
          <w:bCs/>
          <w:szCs w:val="24"/>
        </w:rPr>
      </w:pPr>
      <w:r>
        <w:rPr>
          <w:szCs w:val="24"/>
        </w:rPr>
        <w:t>p a k e i č i u</w:t>
      </w:r>
      <w:r w:rsidR="00D35D9B">
        <w:rPr>
          <w:szCs w:val="24"/>
        </w:rPr>
        <w:t xml:space="preserve"> </w:t>
      </w:r>
      <w:r w:rsidR="00F067FD">
        <w:rPr>
          <w:szCs w:val="24"/>
        </w:rPr>
        <w:t xml:space="preserve"> </w:t>
      </w:r>
      <w:r w:rsidR="00290FA4" w:rsidRPr="002515B4">
        <w:rPr>
          <w:bCs/>
          <w:szCs w:val="24"/>
        </w:rPr>
        <w:t xml:space="preserve">2014–2020 metų Europos Sąjungos fondų investicijų veiksmų programos </w:t>
      </w:r>
      <w:r w:rsidR="0047737D" w:rsidRPr="002515B4">
        <w:rPr>
          <w:bCs/>
          <w:szCs w:val="24"/>
        </w:rPr>
        <w:t>1</w:t>
      </w:r>
      <w:r w:rsidR="0047737D">
        <w:rPr>
          <w:bCs/>
          <w:szCs w:val="24"/>
        </w:rPr>
        <w:t> </w:t>
      </w:r>
      <w:r w:rsidR="00290FA4" w:rsidRPr="002515B4">
        <w:rPr>
          <w:bCs/>
          <w:szCs w:val="24"/>
        </w:rPr>
        <w:t>prioriteto „Mokslinių tyrimų, eksperimentinės plėtros ir inovacijų skatinimas“ priemonės Nr</w:t>
      </w:r>
      <w:r w:rsidR="0047737D" w:rsidRPr="002515B4">
        <w:rPr>
          <w:bCs/>
          <w:szCs w:val="24"/>
        </w:rPr>
        <w:t>.</w:t>
      </w:r>
      <w:r w:rsidR="0047737D">
        <w:rPr>
          <w:bCs/>
          <w:szCs w:val="24"/>
        </w:rPr>
        <w:t> </w:t>
      </w:r>
      <w:r w:rsidR="00290FA4" w:rsidRPr="002515B4">
        <w:rPr>
          <w:bCs/>
          <w:szCs w:val="24"/>
        </w:rPr>
        <w:t>01.2.1-</w:t>
      </w:r>
      <w:r w:rsidR="00290FA4">
        <w:rPr>
          <w:bCs/>
          <w:szCs w:val="24"/>
        </w:rPr>
        <w:t>LVPA</w:t>
      </w:r>
      <w:r w:rsidR="00290FA4" w:rsidRPr="002515B4">
        <w:rPr>
          <w:bCs/>
          <w:szCs w:val="24"/>
        </w:rPr>
        <w:t>-T-8</w:t>
      </w:r>
      <w:r w:rsidR="00290FA4">
        <w:rPr>
          <w:bCs/>
          <w:szCs w:val="24"/>
        </w:rPr>
        <w:t>44</w:t>
      </w:r>
      <w:r w:rsidR="00290FA4" w:rsidRPr="002515B4">
        <w:rPr>
          <w:bCs/>
          <w:szCs w:val="24"/>
        </w:rPr>
        <w:t xml:space="preserve"> „</w:t>
      </w:r>
      <w:proofErr w:type="spellStart"/>
      <w:r w:rsidR="00290FA4" w:rsidRPr="002515B4">
        <w:rPr>
          <w:bCs/>
          <w:szCs w:val="24"/>
        </w:rPr>
        <w:t>Ino</w:t>
      </w:r>
      <w:r w:rsidR="00290FA4">
        <w:rPr>
          <w:bCs/>
          <w:szCs w:val="24"/>
        </w:rPr>
        <w:t>Connect</w:t>
      </w:r>
      <w:proofErr w:type="spellEnd"/>
      <w:r w:rsidR="00290FA4" w:rsidRPr="002515B4">
        <w:rPr>
          <w:bCs/>
          <w:szCs w:val="24"/>
        </w:rPr>
        <w:t>“ pr</w:t>
      </w:r>
      <w:r w:rsidR="00290FA4">
        <w:rPr>
          <w:bCs/>
          <w:szCs w:val="24"/>
        </w:rPr>
        <w:t xml:space="preserve">ojektų finansavimo sąlygų aprašą, patvirtintą </w:t>
      </w:r>
      <w:r w:rsidR="00290FA4" w:rsidRPr="002039C1">
        <w:rPr>
          <w:szCs w:val="24"/>
        </w:rPr>
        <w:t xml:space="preserve">Lietuvos Respublikos </w:t>
      </w:r>
      <w:r w:rsidR="00290FA4">
        <w:rPr>
          <w:szCs w:val="24"/>
        </w:rPr>
        <w:t>ekonomikos ir inovacijų</w:t>
      </w:r>
      <w:r w:rsidR="00290FA4" w:rsidRPr="002039C1">
        <w:rPr>
          <w:szCs w:val="24"/>
        </w:rPr>
        <w:t xml:space="preserve"> ministro 201</w:t>
      </w:r>
      <w:r w:rsidR="00290FA4">
        <w:rPr>
          <w:szCs w:val="24"/>
        </w:rPr>
        <w:t xml:space="preserve">7 </w:t>
      </w:r>
      <w:r w:rsidR="00290FA4" w:rsidRPr="002039C1">
        <w:rPr>
          <w:szCs w:val="24"/>
        </w:rPr>
        <w:t xml:space="preserve">m. </w:t>
      </w:r>
      <w:r w:rsidR="00290FA4">
        <w:rPr>
          <w:szCs w:val="24"/>
        </w:rPr>
        <w:t>kovo 6</w:t>
      </w:r>
      <w:r w:rsidR="00290FA4" w:rsidRPr="002039C1">
        <w:rPr>
          <w:szCs w:val="24"/>
        </w:rPr>
        <w:t xml:space="preserve"> d. įsakym</w:t>
      </w:r>
      <w:r w:rsidR="00290FA4">
        <w:rPr>
          <w:szCs w:val="24"/>
        </w:rPr>
        <w:t>u</w:t>
      </w:r>
      <w:r w:rsidR="00290FA4" w:rsidRPr="002039C1">
        <w:rPr>
          <w:szCs w:val="24"/>
        </w:rPr>
        <w:t xml:space="preserve"> Nr. 4-</w:t>
      </w:r>
      <w:r w:rsidR="00290FA4">
        <w:rPr>
          <w:szCs w:val="24"/>
        </w:rPr>
        <w:t>128</w:t>
      </w:r>
      <w:r w:rsidR="00290FA4" w:rsidRPr="002039C1">
        <w:rPr>
          <w:szCs w:val="24"/>
        </w:rPr>
        <w:t xml:space="preserve"> „</w:t>
      </w:r>
      <w:r w:rsidR="00290FA4" w:rsidRPr="002039C1">
        <w:rPr>
          <w:bCs/>
          <w:szCs w:val="24"/>
        </w:rPr>
        <w:t xml:space="preserve">Dėl 2014–2020 metų Europos Sąjungos fondų investicijų veiksmų programos 1 prioriteto „Mokslinių tyrimų, eksperimentinės plėtros ir inovacijų skatinimas“ priemonės Nr. </w:t>
      </w:r>
      <w:r w:rsidR="00290FA4" w:rsidRPr="002039C1">
        <w:rPr>
          <w:bCs/>
          <w:szCs w:val="24"/>
          <w:lang w:eastAsia="lt-LT"/>
        </w:rPr>
        <w:t>01.2.1-</w:t>
      </w:r>
      <w:r w:rsidR="00290FA4">
        <w:rPr>
          <w:bCs/>
          <w:szCs w:val="24"/>
          <w:lang w:eastAsia="lt-LT"/>
        </w:rPr>
        <w:t>LVPA</w:t>
      </w:r>
      <w:r w:rsidR="00290FA4" w:rsidRPr="002039C1">
        <w:rPr>
          <w:bCs/>
          <w:szCs w:val="24"/>
          <w:lang w:eastAsia="lt-LT"/>
        </w:rPr>
        <w:t>-T-8</w:t>
      </w:r>
      <w:r w:rsidR="00290FA4">
        <w:rPr>
          <w:bCs/>
          <w:szCs w:val="24"/>
          <w:lang w:eastAsia="lt-LT"/>
        </w:rPr>
        <w:t>44</w:t>
      </w:r>
      <w:r w:rsidR="00290FA4" w:rsidRPr="002039C1">
        <w:rPr>
          <w:bCs/>
          <w:szCs w:val="24"/>
          <w:lang w:eastAsia="lt-LT"/>
        </w:rPr>
        <w:t xml:space="preserve"> </w:t>
      </w:r>
      <w:r w:rsidR="00290FA4" w:rsidRPr="002039C1">
        <w:rPr>
          <w:rFonts w:eastAsia="Calibri"/>
          <w:bCs/>
          <w:szCs w:val="24"/>
          <w:lang w:eastAsia="lt-LT"/>
        </w:rPr>
        <w:t>„</w:t>
      </w:r>
      <w:proofErr w:type="spellStart"/>
      <w:r w:rsidR="00290FA4" w:rsidRPr="002039C1">
        <w:rPr>
          <w:rFonts w:eastAsia="Calibri"/>
          <w:bCs/>
          <w:szCs w:val="24"/>
          <w:lang w:eastAsia="lt-LT"/>
        </w:rPr>
        <w:t>Ino</w:t>
      </w:r>
      <w:r w:rsidR="00290FA4">
        <w:rPr>
          <w:rFonts w:eastAsia="Calibri"/>
          <w:bCs/>
          <w:szCs w:val="24"/>
          <w:lang w:eastAsia="lt-LT"/>
        </w:rPr>
        <w:t>Connect</w:t>
      </w:r>
      <w:proofErr w:type="spellEnd"/>
      <w:r w:rsidR="00290FA4" w:rsidRPr="002039C1">
        <w:rPr>
          <w:rFonts w:eastAsia="Calibri"/>
          <w:bCs/>
          <w:szCs w:val="24"/>
          <w:lang w:eastAsia="lt-LT"/>
        </w:rPr>
        <w:t>“</w:t>
      </w:r>
      <w:r w:rsidR="00290FA4" w:rsidRPr="002039C1">
        <w:rPr>
          <w:bCs/>
          <w:szCs w:val="24"/>
          <w:lang w:eastAsia="lt-LT"/>
        </w:rPr>
        <w:t xml:space="preserve"> </w:t>
      </w:r>
      <w:r w:rsidR="00290FA4" w:rsidRPr="002039C1">
        <w:rPr>
          <w:bCs/>
          <w:szCs w:val="24"/>
        </w:rPr>
        <w:t>projektų finansavimo sąlygų aprašo patvirtinimo“:</w:t>
      </w:r>
    </w:p>
    <w:p w:rsidR="00BE4B5C" w:rsidRDefault="00206631" w:rsidP="00290FA4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1. </w:t>
      </w:r>
      <w:r w:rsidR="00BE4B5C">
        <w:rPr>
          <w:bCs/>
          <w:szCs w:val="24"/>
        </w:rPr>
        <w:t xml:space="preserve">Pakeičiu </w:t>
      </w:r>
      <w:r w:rsidR="00D258C0">
        <w:rPr>
          <w:bCs/>
          <w:szCs w:val="24"/>
        </w:rPr>
        <w:t>35</w:t>
      </w:r>
      <w:r w:rsidR="00BE4B5C">
        <w:rPr>
          <w:bCs/>
          <w:szCs w:val="24"/>
        </w:rPr>
        <w:t xml:space="preserve"> punktą ir jį išdėstau taip:</w:t>
      </w:r>
    </w:p>
    <w:p w:rsidR="00D258C0" w:rsidRDefault="00BE4B5C" w:rsidP="00D258C0">
      <w:pPr>
        <w:tabs>
          <w:tab w:val="left" w:pos="1134"/>
        </w:tabs>
        <w:ind w:firstLine="709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>„</w:t>
      </w:r>
      <w:r w:rsidR="00D258C0">
        <w:rPr>
          <w:rFonts w:eastAsia="Calibri"/>
          <w:szCs w:val="24"/>
        </w:rPr>
        <w:t xml:space="preserve">35. </w:t>
      </w:r>
      <w:r w:rsidR="00D258C0">
        <w:rPr>
          <w:szCs w:val="24"/>
          <w:lang w:eastAsia="lt-LT"/>
        </w:rPr>
        <w:t>Pagal Aprašą tinkamų arba netinkamų finansuoti išlaidų kategorijos yra nustatytos Aprašo</w:t>
      </w:r>
      <w:r w:rsidR="00520B20">
        <w:rPr>
          <w:szCs w:val="24"/>
          <w:lang w:eastAsia="lt-LT"/>
        </w:rPr>
        <w:t xml:space="preserve"> </w:t>
      </w:r>
      <w:r w:rsidR="00D258C0">
        <w:rPr>
          <w:szCs w:val="24"/>
          <w:lang w:eastAsia="lt-LT"/>
        </w:rPr>
        <w:t>lentelėje.</w:t>
      </w:r>
    </w:p>
    <w:p w:rsidR="00520B20" w:rsidRDefault="00520B20" w:rsidP="00D258C0">
      <w:pPr>
        <w:tabs>
          <w:tab w:val="left" w:pos="1134"/>
        </w:tabs>
        <w:ind w:firstLine="709"/>
        <w:jc w:val="both"/>
        <w:rPr>
          <w:szCs w:val="24"/>
          <w:lang w:eastAsia="lt-LT"/>
        </w:rPr>
      </w:pPr>
    </w:p>
    <w:p w:rsidR="00D258C0" w:rsidRDefault="00D258C0" w:rsidP="00D258C0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Lentelė. Tinkamų arba netinkamų finansuoti išlaidų kategorijos.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21"/>
        <w:gridCol w:w="3119"/>
        <w:gridCol w:w="5386"/>
      </w:tblGrid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8C0" w:rsidRPr="00BA109A" w:rsidRDefault="00D258C0" w:rsidP="00487550">
            <w:pPr>
              <w:ind w:right="-57" w:firstLine="34"/>
              <w:jc w:val="center"/>
              <w:rPr>
                <w:bCs/>
                <w:szCs w:val="24"/>
              </w:rPr>
            </w:pPr>
            <w:r w:rsidRPr="00BA109A">
              <w:rPr>
                <w:szCs w:val="24"/>
                <w:lang w:eastAsia="lt-LT"/>
              </w:rPr>
              <w:t xml:space="preserve">Išlaidų </w:t>
            </w:r>
            <w:proofErr w:type="spellStart"/>
            <w:r w:rsidRPr="00BA109A">
              <w:rPr>
                <w:szCs w:val="24"/>
                <w:lang w:eastAsia="lt-LT"/>
              </w:rPr>
              <w:t>katego</w:t>
            </w:r>
            <w:proofErr w:type="spellEnd"/>
            <w:r w:rsidRPr="00BA109A">
              <w:rPr>
                <w:szCs w:val="24"/>
                <w:lang w:eastAsia="lt-LT"/>
              </w:rPr>
              <w:t>-rijos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C0" w:rsidRPr="00BA109A" w:rsidRDefault="00D258C0" w:rsidP="00487550">
            <w:pPr>
              <w:ind w:right="-57" w:firstLine="34"/>
              <w:jc w:val="center"/>
              <w:rPr>
                <w:bCs/>
                <w:szCs w:val="24"/>
              </w:rPr>
            </w:pPr>
            <w:r w:rsidRPr="00BA109A">
              <w:rPr>
                <w:bCs/>
                <w:szCs w:val="24"/>
              </w:rPr>
              <w:t>Išlaidų kategorijos pavadinimas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58C0" w:rsidRPr="00BA109A" w:rsidRDefault="00D258C0" w:rsidP="00487550">
            <w:pPr>
              <w:ind w:right="-57" w:firstLine="34"/>
              <w:jc w:val="center"/>
              <w:rPr>
                <w:szCs w:val="24"/>
              </w:rPr>
            </w:pPr>
            <w:r w:rsidRPr="00BA109A">
              <w:rPr>
                <w:szCs w:val="24"/>
              </w:rPr>
              <w:t>Reikalavimai ir paaiškinimai</w:t>
            </w:r>
          </w:p>
          <w:p w:rsidR="00D258C0" w:rsidRPr="00BA109A" w:rsidRDefault="00D258C0" w:rsidP="00487550">
            <w:pPr>
              <w:ind w:right="-57" w:firstLine="34"/>
              <w:jc w:val="center"/>
              <w:rPr>
                <w:bCs/>
                <w:szCs w:val="24"/>
              </w:rPr>
            </w:pPr>
          </w:p>
        </w:tc>
      </w:tr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Žemė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8C0" w:rsidRDefault="00D258C0" w:rsidP="00487550">
            <w:pPr>
              <w:tabs>
                <w:tab w:val="left" w:pos="237"/>
              </w:tabs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Netinkama finansuoti.</w:t>
            </w:r>
          </w:p>
        </w:tc>
      </w:tr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Nekilnojamasis turtas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8C0" w:rsidRDefault="00D258C0" w:rsidP="00487550">
            <w:pPr>
              <w:tabs>
                <w:tab w:val="left" w:pos="237"/>
              </w:tabs>
              <w:ind w:firstLine="34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Netinkama finansuoti.</w:t>
            </w:r>
          </w:p>
        </w:tc>
      </w:tr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ind w:right="-57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ind w:right="-57"/>
              <w:rPr>
                <w:bCs/>
                <w:szCs w:val="24"/>
              </w:rPr>
            </w:pPr>
            <w:r>
              <w:rPr>
                <w:bCs/>
                <w:szCs w:val="24"/>
              </w:rPr>
              <w:t>Statyba, rekonstravimas, remontas ir kiti darbai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C0" w:rsidRDefault="00D258C0" w:rsidP="00487550">
            <w:pPr>
              <w:tabs>
                <w:tab w:val="left" w:pos="237"/>
              </w:tabs>
              <w:ind w:firstLine="34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Netinkama finansuoti.</w:t>
            </w:r>
          </w:p>
        </w:tc>
      </w:tr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Įranga, įrenginiai ir kitas turtas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8C0" w:rsidRDefault="00D258C0" w:rsidP="00487550">
            <w:pPr>
              <w:tabs>
                <w:tab w:val="left" w:pos="237"/>
              </w:tabs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Netinkama finansuoti.</w:t>
            </w:r>
          </w:p>
        </w:tc>
      </w:tr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Projekto vykdymas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8C0" w:rsidRDefault="00D258C0" w:rsidP="00BA109A">
            <w:pPr>
              <w:pStyle w:val="Default"/>
              <w:jc w:val="both"/>
            </w:pPr>
            <w:r w:rsidRPr="001619E5">
              <w:rPr>
                <w:lang w:eastAsia="lt-LT"/>
              </w:rPr>
              <w:t>Tinkamomis finansuoti išlaidomis yra laikomos projektą vykdančio personalo (</w:t>
            </w:r>
            <w:r w:rsidRPr="001537B8">
              <w:rPr>
                <w:lang w:eastAsia="lt-LT"/>
              </w:rPr>
              <w:t xml:space="preserve">įmonių darbuotojų) darbo užmokesčio </w:t>
            </w:r>
            <w:r w:rsidRPr="001619E5">
              <w:rPr>
                <w:lang w:eastAsia="lt-LT"/>
              </w:rPr>
              <w:t xml:space="preserve">ir komandiruočių (kelionės, apgyvendinimo ir dienpinigių) išlaidos. </w:t>
            </w:r>
            <w:r w:rsidRPr="001619E5">
              <w:t xml:space="preserve">Darbo užmokestis apmokamas </w:t>
            </w:r>
            <w:r w:rsidR="00F643A3">
              <w:t>vadovaujantis</w:t>
            </w:r>
            <w:r w:rsidR="00F643A3" w:rsidRPr="001619E5">
              <w:t xml:space="preserve"> </w:t>
            </w:r>
            <w:r w:rsidRPr="001619E5">
              <w:rPr>
                <w:rFonts w:eastAsia="Calibri"/>
                <w:lang w:eastAsia="lt-LT"/>
              </w:rPr>
              <w:t>Privačių juridinių asmenų projektų vykdančiojo personalo bei dalyvių darbo užmokesčio fiksuotųjų įkainių nustatymo tyrimo ataskait</w:t>
            </w:r>
            <w:r w:rsidR="00F643A3">
              <w:rPr>
                <w:rFonts w:eastAsia="Calibri"/>
                <w:lang w:eastAsia="lt-LT"/>
              </w:rPr>
              <w:t>a (joje nurodyt</w:t>
            </w:r>
            <w:r w:rsidR="00410375">
              <w:rPr>
                <w:rFonts w:eastAsia="Calibri"/>
                <w:lang w:eastAsia="lt-LT"/>
              </w:rPr>
              <w:t>ais</w:t>
            </w:r>
            <w:r w:rsidR="00F643A3">
              <w:rPr>
                <w:rFonts w:eastAsia="Calibri"/>
                <w:lang w:eastAsia="lt-LT"/>
              </w:rPr>
              <w:t xml:space="preserve"> </w:t>
            </w:r>
            <w:r w:rsidRPr="001619E5">
              <w:rPr>
                <w:rFonts w:eastAsia="Calibri"/>
                <w:lang w:eastAsia="lt-LT"/>
              </w:rPr>
              <w:t>skaičiavim</w:t>
            </w:r>
            <w:r w:rsidR="00410375">
              <w:rPr>
                <w:rFonts w:eastAsia="Calibri"/>
                <w:lang w:eastAsia="lt-LT"/>
              </w:rPr>
              <w:t>ais</w:t>
            </w:r>
            <w:r w:rsidR="00F643A3">
              <w:rPr>
                <w:rFonts w:eastAsia="Calibri"/>
                <w:lang w:eastAsia="lt-LT"/>
              </w:rPr>
              <w:t>)</w:t>
            </w:r>
            <w:r w:rsidRPr="001619E5">
              <w:rPr>
                <w:rFonts w:eastAsia="Calibri"/>
                <w:lang w:eastAsia="lt-LT"/>
              </w:rPr>
              <w:t xml:space="preserve">, </w:t>
            </w:r>
            <w:r w:rsidR="00D20BCF">
              <w:rPr>
                <w:rFonts w:eastAsia="Calibri"/>
                <w:lang w:eastAsia="lt-LT"/>
              </w:rPr>
              <w:t>pa</w:t>
            </w:r>
            <w:r w:rsidRPr="001619E5">
              <w:rPr>
                <w:rFonts w:eastAsia="Calibri"/>
                <w:lang w:eastAsia="lt-LT"/>
              </w:rPr>
              <w:t>skelb</w:t>
            </w:r>
            <w:r w:rsidR="00D20BCF">
              <w:rPr>
                <w:rFonts w:eastAsia="Calibri"/>
                <w:lang w:eastAsia="lt-LT"/>
              </w:rPr>
              <w:t>ta</w:t>
            </w:r>
            <w:r w:rsidRPr="001619E5">
              <w:rPr>
                <w:rFonts w:eastAsia="Calibri"/>
                <w:lang w:eastAsia="lt-LT"/>
              </w:rPr>
              <w:t xml:space="preserve"> </w:t>
            </w:r>
            <w:r w:rsidR="00D20BCF" w:rsidRPr="00D20BCF">
              <w:rPr>
                <w:rFonts w:eastAsia="Calibri"/>
                <w:lang w:eastAsia="lt-LT"/>
              </w:rPr>
              <w:t xml:space="preserve">ES struktūrinių fondų </w:t>
            </w:r>
            <w:r w:rsidRPr="001619E5">
              <w:rPr>
                <w:rFonts w:eastAsia="Calibri"/>
                <w:lang w:eastAsia="lt-LT"/>
              </w:rPr>
              <w:t xml:space="preserve"> </w:t>
            </w:r>
            <w:r w:rsidRPr="001619E5">
              <w:rPr>
                <w:rFonts w:eastAsia="Calibri"/>
                <w:lang w:eastAsia="lt-LT"/>
              </w:rPr>
              <w:lastRenderedPageBreak/>
              <w:t>svetainėje</w:t>
            </w:r>
            <w:r w:rsidR="00D20BCF">
              <w:rPr>
                <w:rFonts w:eastAsia="Calibri"/>
                <w:lang w:eastAsia="lt-LT"/>
              </w:rPr>
              <w:t xml:space="preserve"> </w:t>
            </w:r>
            <w:r w:rsidR="00D20BCF" w:rsidRPr="00D20BCF">
              <w:rPr>
                <w:rFonts w:eastAsia="Calibri"/>
                <w:lang w:eastAsia="lt-LT"/>
              </w:rPr>
              <w:t>https://www.esinvesticijos.lt/lt/dokumentai//privaciu-juridiniu-asmenu-projektu-dalyviu-darbo-uzmokescio-fiksuotuju-ikainiu-nustatymo-tyrimo-ataskaita</w:t>
            </w:r>
            <w:r w:rsidR="00D20BCF" w:rsidRPr="00D20BCF">
              <w:rPr>
                <w:rFonts w:eastAsia="Calibri"/>
              </w:rPr>
              <w:t>.</w:t>
            </w:r>
            <w:r w:rsidRPr="00B141EF">
              <w:rPr>
                <w:rFonts w:eastAsia="Calibri"/>
                <w:lang w:eastAsia="lt-LT"/>
              </w:rPr>
              <w:t xml:space="preserve"> </w:t>
            </w:r>
            <w:r w:rsidR="00D20BCF" w:rsidRPr="00B141EF">
              <w:rPr>
                <w:rFonts w:eastAsia="Calibri"/>
                <w:lang w:eastAsia="lt-LT"/>
              </w:rPr>
              <w:t>K</w:t>
            </w:r>
            <w:r w:rsidRPr="00B141EF">
              <w:rPr>
                <w:rFonts w:eastAsia="Calibri"/>
                <w:lang w:eastAsia="lt-LT"/>
              </w:rPr>
              <w:t xml:space="preserve">omandiruočių (kelionės, apgyvendinimo ir dienpinigių) išlaidos apmokamos </w:t>
            </w:r>
            <w:r w:rsidR="00D20BCF" w:rsidRPr="00B141EF">
              <w:rPr>
                <w:rFonts w:eastAsia="Calibri"/>
                <w:lang w:eastAsia="lt-LT"/>
              </w:rPr>
              <w:t xml:space="preserve">vadovaujantis  </w:t>
            </w:r>
            <w:r w:rsidRPr="00B141EF">
              <w:rPr>
                <w:rFonts w:eastAsia="Calibri"/>
                <w:lang w:eastAsia="lt-LT"/>
              </w:rPr>
              <w:t>M</w:t>
            </w:r>
            <w:r w:rsidRPr="00BA109A">
              <w:rPr>
                <w:bCs/>
              </w:rPr>
              <w:t>okslinių išvykų išlaidų fiksuotųjų įkainių apskaičiavimo tyrimo ataskait</w:t>
            </w:r>
            <w:r w:rsidR="00B141EF">
              <w:rPr>
                <w:bCs/>
              </w:rPr>
              <w:t>a (joje nurodyt</w:t>
            </w:r>
            <w:r w:rsidR="00410375">
              <w:rPr>
                <w:bCs/>
              </w:rPr>
              <w:t>ais</w:t>
            </w:r>
            <w:r w:rsidR="00B141EF">
              <w:rPr>
                <w:bCs/>
              </w:rPr>
              <w:t xml:space="preserve"> </w:t>
            </w:r>
            <w:r w:rsidRPr="00BA109A">
              <w:rPr>
                <w:bCs/>
              </w:rPr>
              <w:t>skaičiavim</w:t>
            </w:r>
            <w:r w:rsidR="00410375">
              <w:rPr>
                <w:bCs/>
              </w:rPr>
              <w:t>ais</w:t>
            </w:r>
            <w:r w:rsidR="00B141EF">
              <w:rPr>
                <w:bCs/>
              </w:rPr>
              <w:t>)</w:t>
            </w:r>
            <w:r w:rsidRPr="00BA109A">
              <w:rPr>
                <w:bCs/>
              </w:rPr>
              <w:t xml:space="preserve">, </w:t>
            </w:r>
            <w:r w:rsidR="00B141EF">
              <w:rPr>
                <w:bCs/>
              </w:rPr>
              <w:t>pa</w:t>
            </w:r>
            <w:r w:rsidRPr="00BA109A">
              <w:rPr>
                <w:bCs/>
              </w:rPr>
              <w:t>skelb</w:t>
            </w:r>
            <w:r w:rsidR="00B141EF">
              <w:rPr>
                <w:bCs/>
              </w:rPr>
              <w:t>ta</w:t>
            </w:r>
            <w:r w:rsidRPr="00BA109A">
              <w:rPr>
                <w:bCs/>
              </w:rPr>
              <w:t xml:space="preserve"> </w:t>
            </w:r>
            <w:r w:rsidR="00B141EF">
              <w:rPr>
                <w:bCs/>
              </w:rPr>
              <w:t>ES struktūrinių fondų</w:t>
            </w:r>
            <w:r w:rsidR="00B141EF" w:rsidRPr="00BA109A">
              <w:rPr>
                <w:bCs/>
              </w:rPr>
              <w:t xml:space="preserve"> </w:t>
            </w:r>
            <w:r w:rsidRPr="00BA109A">
              <w:rPr>
                <w:bCs/>
              </w:rPr>
              <w:t xml:space="preserve">svetainėje </w:t>
            </w:r>
            <w:hyperlink r:id="rId9" w:history="1">
              <w:r w:rsidRPr="00BA109A">
                <w:rPr>
                  <w:rStyle w:val="Hyperlink"/>
                  <w:color w:val="auto"/>
                  <w:u w:val="none"/>
                </w:rPr>
                <w:t>https://www.esinvesticijos.lt/lt//dokumentai//moksliniu-isvyku-islaidu-fiksuotuju-ikainiu-apskaiciavimo-ataskaita</w:t>
              </w:r>
            </w:hyperlink>
            <w:r w:rsidRPr="00BA109A">
              <w:rPr>
                <w:color w:val="auto"/>
              </w:rPr>
              <w:t>.</w:t>
            </w:r>
          </w:p>
        </w:tc>
      </w:tr>
      <w:tr w:rsidR="00D258C0" w:rsidTr="0048755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Informavimas apie projektą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8C0" w:rsidRDefault="00D258C0" w:rsidP="00487550">
            <w:pPr>
              <w:tabs>
                <w:tab w:val="left" w:pos="237"/>
              </w:tabs>
              <w:ind w:firstLine="33"/>
              <w:jc w:val="both"/>
              <w:rPr>
                <w:szCs w:val="24"/>
              </w:rPr>
            </w:pPr>
            <w:r>
              <w:rPr>
                <w:szCs w:val="24"/>
              </w:rPr>
              <w:t>Netinkama finansuoti.</w:t>
            </w:r>
          </w:p>
        </w:tc>
      </w:tr>
      <w:tr w:rsidR="00D258C0" w:rsidTr="00487550">
        <w:trPr>
          <w:trHeight w:val="69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8C0" w:rsidRDefault="00D258C0" w:rsidP="00487550">
            <w:pPr>
              <w:tabs>
                <w:tab w:val="left" w:pos="23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Netiesioginės išlaidos ir kitos išlaidos pagal fiksuotąją projekto išlaidų normą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8C0" w:rsidRDefault="00D258C0" w:rsidP="00487550">
            <w:pPr>
              <w:tabs>
                <w:tab w:val="left" w:pos="459"/>
                <w:tab w:val="left" w:pos="6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Netinkama finansuoti.</w:t>
            </w:r>
            <w:r w:rsidR="00A70387">
              <w:rPr>
                <w:szCs w:val="24"/>
              </w:rPr>
              <w:t>“</w:t>
            </w:r>
          </w:p>
        </w:tc>
      </w:tr>
    </w:tbl>
    <w:p w:rsidR="00A70387" w:rsidRDefault="00A70387" w:rsidP="00290FA4">
      <w:pPr>
        <w:ind w:firstLine="709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2. Pakeičiu 38 punktą ir jį išdėstau taip:</w:t>
      </w:r>
    </w:p>
    <w:p w:rsidR="00FD1376" w:rsidRPr="00BD64EB" w:rsidRDefault="00FD1376" w:rsidP="00FD137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„38</w:t>
      </w:r>
      <w:r w:rsidRPr="00BD64EB">
        <w:rPr>
          <w:szCs w:val="24"/>
          <w:lang w:eastAsia="lt-LT"/>
        </w:rPr>
        <w:t xml:space="preserve">. Įgyvendinant projekto veiklas patirtos dalyvavimo </w:t>
      </w:r>
      <w:r w:rsidRPr="00BD64EB">
        <w:rPr>
          <w:color w:val="000000"/>
          <w:szCs w:val="24"/>
        </w:rPr>
        <w:t>MTEPI iniciatyvų, apie kurias informaciją teikia ir partnerius rekomenduoja EĮT organizacijos, renginiuose</w:t>
      </w:r>
      <w:r w:rsidRPr="00E6098F">
        <w:rPr>
          <w:szCs w:val="24"/>
          <w:lang w:eastAsia="lt-LT"/>
        </w:rPr>
        <w:t xml:space="preserve"> išlaidos, nurodytos Aprašo lentelės 5 punkte, apmokamos taikant dalyvavimo </w:t>
      </w:r>
      <w:r w:rsidRPr="00E6098F">
        <w:rPr>
          <w:szCs w:val="24"/>
        </w:rPr>
        <w:t>MTEPI veiklos iniciatyvų renginiuose</w:t>
      </w:r>
      <w:r w:rsidRPr="00EF205E">
        <w:rPr>
          <w:szCs w:val="24"/>
          <w:lang w:eastAsia="lt-LT"/>
        </w:rPr>
        <w:t xml:space="preserve"> fiksuotuosius įkainius (toliau – fiksuotieji įkainiai). Fiksuotieji įkainiai nustatyti vadovaujantis</w:t>
      </w:r>
      <w:r w:rsidR="00BD64EB" w:rsidRPr="00EF205E">
        <w:rPr>
          <w:szCs w:val="24"/>
        </w:rPr>
        <w:t xml:space="preserve"> Privačių juridinių asmenų projektų vykdančiojo personalo bei dalyvių darbo užmokesčio fiksuotųjų įkainių nustatymo </w:t>
      </w:r>
      <w:r w:rsidR="00BD64EB" w:rsidRPr="00297CB0">
        <w:rPr>
          <w:szCs w:val="24"/>
        </w:rPr>
        <w:t>tyrimo ataskaita</w:t>
      </w:r>
      <w:r w:rsidR="00410375">
        <w:rPr>
          <w:szCs w:val="24"/>
        </w:rPr>
        <w:t xml:space="preserve"> (joje nurodytais skaičiavimais), paskelbta</w:t>
      </w:r>
      <w:r w:rsidR="00410375" w:rsidRPr="00410375">
        <w:rPr>
          <w:rFonts w:eastAsia="Calibri"/>
          <w:lang w:eastAsia="lt-LT"/>
        </w:rPr>
        <w:t xml:space="preserve"> </w:t>
      </w:r>
      <w:r w:rsidR="00410375" w:rsidRPr="00410375">
        <w:rPr>
          <w:szCs w:val="24"/>
        </w:rPr>
        <w:t xml:space="preserve">ES struktūrinių fondų  svetainėje </w:t>
      </w:r>
      <w:r w:rsidR="00E20881" w:rsidRPr="00E20881">
        <w:rPr>
          <w:szCs w:val="24"/>
        </w:rPr>
        <w:t>https://www.esinvesticijos.lt/lt/dokumentai//privaciu-juridiniu-asmenu-projektu-dalyviu-darbo-uzmokescio-fiksuotuju-ikainiu-nustatymo-tyrimo-ataskaita</w:t>
      </w:r>
      <w:r w:rsidR="00B4764F" w:rsidRPr="004928D8">
        <w:rPr>
          <w:rStyle w:val="Hyperlink"/>
          <w:szCs w:val="24"/>
          <w:u w:val="none"/>
        </w:rPr>
        <w:t>,</w:t>
      </w:r>
      <w:r w:rsidR="00410375">
        <w:rPr>
          <w:rFonts w:eastAsia="Calibri"/>
          <w:szCs w:val="24"/>
          <w:lang w:eastAsia="lt-LT"/>
        </w:rPr>
        <w:t xml:space="preserve"> </w:t>
      </w:r>
      <w:r w:rsidR="00BD64EB" w:rsidRPr="00410375">
        <w:rPr>
          <w:rFonts w:eastAsia="Calibri"/>
          <w:color w:val="000000"/>
          <w:szCs w:val="24"/>
          <w:lang w:eastAsia="lt-LT"/>
        </w:rPr>
        <w:t>ir</w:t>
      </w:r>
      <w:r w:rsidR="00BD64EB" w:rsidRPr="00410375">
        <w:rPr>
          <w:rFonts w:eastAsia="Calibri"/>
          <w:szCs w:val="24"/>
          <w:lang w:eastAsia="lt-LT"/>
        </w:rPr>
        <w:t xml:space="preserve"> </w:t>
      </w:r>
      <w:r w:rsidRPr="00410375">
        <w:rPr>
          <w:rFonts w:eastAsia="Calibri"/>
          <w:szCs w:val="24"/>
          <w:lang w:eastAsia="lt-LT"/>
        </w:rPr>
        <w:t>M</w:t>
      </w:r>
      <w:r w:rsidRPr="00BA109A">
        <w:rPr>
          <w:bCs/>
          <w:szCs w:val="24"/>
        </w:rPr>
        <w:t>okslinių išvykų išlaidų fiksuotųjų įkainių apskaičiavimo tyrimo ataskait</w:t>
      </w:r>
      <w:r w:rsidR="004F302A" w:rsidRPr="004F302A">
        <w:rPr>
          <w:bCs/>
          <w:szCs w:val="24"/>
        </w:rPr>
        <w:t>a (joje</w:t>
      </w:r>
      <w:r w:rsidR="00BD64EB" w:rsidRPr="00BA109A">
        <w:rPr>
          <w:bCs/>
          <w:szCs w:val="24"/>
        </w:rPr>
        <w:t xml:space="preserve"> nurodytais skaičiavimais)</w:t>
      </w:r>
      <w:r w:rsidR="004F302A">
        <w:rPr>
          <w:bCs/>
          <w:szCs w:val="24"/>
        </w:rPr>
        <w:t>,</w:t>
      </w:r>
      <w:r w:rsidRPr="00BD64EB">
        <w:rPr>
          <w:rFonts w:eastAsia="Calibri"/>
          <w:color w:val="000000"/>
          <w:szCs w:val="24"/>
          <w:lang w:eastAsia="lt-LT"/>
        </w:rPr>
        <w:t xml:space="preserve"> </w:t>
      </w:r>
      <w:r w:rsidR="004F302A">
        <w:rPr>
          <w:szCs w:val="24"/>
          <w:lang w:eastAsia="lt-LT"/>
        </w:rPr>
        <w:t>pa</w:t>
      </w:r>
      <w:r w:rsidR="004F302A" w:rsidRPr="00BD64EB">
        <w:rPr>
          <w:szCs w:val="24"/>
          <w:lang w:eastAsia="lt-LT"/>
        </w:rPr>
        <w:t>skelb</w:t>
      </w:r>
      <w:r w:rsidR="004F302A">
        <w:rPr>
          <w:szCs w:val="24"/>
          <w:lang w:eastAsia="lt-LT"/>
        </w:rPr>
        <w:t>ta</w:t>
      </w:r>
      <w:r w:rsidR="004F302A" w:rsidRPr="00BD64EB">
        <w:rPr>
          <w:szCs w:val="24"/>
          <w:lang w:eastAsia="lt-LT"/>
        </w:rPr>
        <w:t xml:space="preserve"> ES struktūrinių fondų svetainėje</w:t>
      </w:r>
      <w:r w:rsidR="004F302A">
        <w:rPr>
          <w:szCs w:val="24"/>
          <w:lang w:eastAsia="lt-LT"/>
        </w:rPr>
        <w:t xml:space="preserve"> </w:t>
      </w:r>
      <w:r w:rsidR="00E20881" w:rsidRPr="00E20881">
        <w:rPr>
          <w:szCs w:val="24"/>
          <w:lang w:eastAsia="lt-LT"/>
        </w:rPr>
        <w:t>https://www.esinvesticijos.lt/lt//dokumentai//moksliniu-isvyku-islaidu-fiksuotuju-ikainiu-apskaiciavimo-ataskaita</w:t>
      </w:r>
      <w:r w:rsidR="004F302A" w:rsidRPr="00BD64EB">
        <w:rPr>
          <w:szCs w:val="24"/>
          <w:lang w:eastAsia="lt-LT"/>
        </w:rPr>
        <w:t xml:space="preserve"> </w:t>
      </w:r>
      <w:r w:rsidRPr="00BD64EB">
        <w:rPr>
          <w:szCs w:val="24"/>
        </w:rPr>
        <w:t>(toliau – Ataskaitos)</w:t>
      </w:r>
      <w:r w:rsidRPr="00BD64EB">
        <w:rPr>
          <w:szCs w:val="24"/>
          <w:lang w:eastAsia="lt-LT"/>
        </w:rPr>
        <w:t>.“</w:t>
      </w:r>
    </w:p>
    <w:p w:rsidR="00FD1376" w:rsidRDefault="00FD1376" w:rsidP="00FD137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Pakeičiu 39 punktą ir jį išdėstau taip:</w:t>
      </w:r>
    </w:p>
    <w:p w:rsidR="00FD1376" w:rsidRDefault="00FD1376" w:rsidP="00FD137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„39. Išlaidos, apmokamos taikant Ataskaitų pagrindu nustatytus fiksuotuosius įkainius, turi atitikti šias nuostatas:</w:t>
      </w:r>
    </w:p>
    <w:p w:rsidR="00FD1376" w:rsidRDefault="00FD1376" w:rsidP="00FD137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39.1. pagal fiksuotuosius įkainius apmokamos išlaidos turi atitikti Projektų taisyklių VI skyriaus trisdešimt penktajame skirsnyje nustatytus reikalavimus;</w:t>
      </w:r>
    </w:p>
    <w:p w:rsidR="00FD1376" w:rsidRDefault="00FD1376" w:rsidP="00FD137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39.2. pareiškėjas turi teisę paraiškoje numatyti mažesnius fiksuotuosius įkainius, nei jam taikomi </w:t>
      </w:r>
      <w:r w:rsidR="00FD38B7">
        <w:rPr>
          <w:szCs w:val="24"/>
          <w:lang w:eastAsia="lt-LT"/>
        </w:rPr>
        <w:t xml:space="preserve">vadovaujantis Ataskaitomis nustatyti </w:t>
      </w:r>
      <w:r>
        <w:rPr>
          <w:szCs w:val="24"/>
          <w:lang w:eastAsia="lt-LT"/>
        </w:rPr>
        <w:t>fiksuotieji įkainiai;</w:t>
      </w:r>
    </w:p>
    <w:p w:rsidR="00FD1376" w:rsidRDefault="00FD1376" w:rsidP="00FD1376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39.3. projektų išlaidos, kurias numatyta apmokėti taikant fiksuotuosius įkainius, apmokamos atsižvelgiant į projekto sutartyje nustatytus fiksuotuosius įkainius ir projekto vykdytojo pateiktus dokumentus, kuriais įrodomas pasiektas rezultatas. Dokumentai, kuriuos reikia pateikti, įrodant pagal fiksuotuosius įkainius apmokamų rezultatų pasiekimą, </w:t>
      </w:r>
      <w:r w:rsidR="00167024">
        <w:rPr>
          <w:szCs w:val="24"/>
          <w:lang w:eastAsia="lt-LT"/>
        </w:rPr>
        <w:t xml:space="preserve">bus </w:t>
      </w:r>
      <w:r>
        <w:rPr>
          <w:szCs w:val="24"/>
          <w:lang w:eastAsia="lt-LT"/>
        </w:rPr>
        <w:t>nurod</w:t>
      </w:r>
      <w:r w:rsidR="00167024">
        <w:rPr>
          <w:szCs w:val="24"/>
          <w:lang w:eastAsia="lt-LT"/>
        </w:rPr>
        <w:t>yti</w:t>
      </w:r>
      <w:r>
        <w:rPr>
          <w:szCs w:val="24"/>
          <w:lang w:eastAsia="lt-LT"/>
        </w:rPr>
        <w:t xml:space="preserve"> projekto sutartyje (darbo sutartis, komandiruotės įsakymas ir kt. dokumentai, įrodantys dalyvavimą renginiuose);</w:t>
      </w:r>
    </w:p>
    <w:p w:rsidR="00FD1376" w:rsidRDefault="00FD1376" w:rsidP="00FD1376">
      <w:pPr>
        <w:tabs>
          <w:tab w:val="left" w:pos="709"/>
        </w:tabs>
        <w:ind w:firstLine="709"/>
        <w:jc w:val="both"/>
        <w:rPr>
          <w:rFonts w:eastAsiaTheme="minorHAnsi"/>
          <w:bCs/>
        </w:rPr>
      </w:pPr>
      <w:r>
        <w:rPr>
          <w:lang w:eastAsia="lt-LT"/>
        </w:rPr>
        <w:t xml:space="preserve">39.4. </w:t>
      </w:r>
      <w:r w:rsidRPr="008B3B82">
        <w:rPr>
          <w:rFonts w:eastAsiaTheme="minorHAnsi"/>
        </w:rPr>
        <w:t xml:space="preserve">projekto įgyvendinimo metu vadovaujančiajai ar audito institucijoms nustačius, kad </w:t>
      </w:r>
      <w:r w:rsidRPr="006F3BFB">
        <w:rPr>
          <w:rFonts w:eastAsiaTheme="minorHAnsi"/>
        </w:rPr>
        <w:t>fiksuotasis įkainis</w:t>
      </w:r>
      <w:r>
        <w:rPr>
          <w:rFonts w:eastAsiaTheme="minorHAnsi"/>
        </w:rPr>
        <w:t xml:space="preserve"> </w:t>
      </w:r>
      <w:r w:rsidRPr="008B3B82">
        <w:rPr>
          <w:rFonts w:eastAsiaTheme="minorHAnsi"/>
        </w:rPr>
        <w:t>buvo</w:t>
      </w:r>
      <w:r w:rsidRPr="008B3B82">
        <w:rPr>
          <w:rFonts w:eastAsiaTheme="minorHAnsi"/>
          <w:bCs/>
        </w:rPr>
        <w:t xml:space="preserve"> nustatytas</w:t>
      </w:r>
      <w:r w:rsidR="00EB70E2" w:rsidRPr="00EB70E2">
        <w:rPr>
          <w:rFonts w:eastAsiaTheme="minorHAnsi"/>
          <w:bCs/>
        </w:rPr>
        <w:t xml:space="preserve"> </w:t>
      </w:r>
      <w:r w:rsidR="00EB70E2" w:rsidRPr="008B3B82">
        <w:rPr>
          <w:rFonts w:eastAsiaTheme="minorHAnsi"/>
          <w:bCs/>
        </w:rPr>
        <w:t>netinkamai</w:t>
      </w:r>
      <w:r w:rsidRPr="006F3BFB">
        <w:rPr>
          <w:rFonts w:eastAsiaTheme="minorHAnsi"/>
          <w:bCs/>
        </w:rPr>
        <w:t xml:space="preserve">, patikslintas </w:t>
      </w:r>
      <w:r w:rsidR="00167024" w:rsidRPr="00167024">
        <w:rPr>
          <w:rFonts w:eastAsiaTheme="minorHAnsi"/>
          <w:bCs/>
        </w:rPr>
        <w:t xml:space="preserve">fiksuotojo įkainio </w:t>
      </w:r>
      <w:r w:rsidRPr="006F3BFB">
        <w:rPr>
          <w:rFonts w:eastAsiaTheme="minorHAnsi"/>
          <w:bCs/>
        </w:rPr>
        <w:t xml:space="preserve">dydis ar jo taikymo sąlygos taikomas projekto veiksmų, vykdomų nuo </w:t>
      </w:r>
      <w:r w:rsidR="00167024" w:rsidRPr="00167024">
        <w:rPr>
          <w:rFonts w:eastAsiaTheme="minorHAnsi"/>
          <w:bCs/>
        </w:rPr>
        <w:t xml:space="preserve">fiksuotojo įkainio </w:t>
      </w:r>
      <w:r w:rsidRPr="006F3BFB">
        <w:rPr>
          <w:rFonts w:eastAsiaTheme="minorHAnsi"/>
          <w:bCs/>
        </w:rPr>
        <w:t>dydžio ar jo taikymo sąlygų patikslinimo įsigaliojimo dienos, išlaidoms apmokėti.</w:t>
      </w:r>
      <w:r w:rsidR="000A397A">
        <w:rPr>
          <w:rFonts w:eastAsiaTheme="minorHAnsi"/>
          <w:bCs/>
        </w:rPr>
        <w:t>“</w:t>
      </w:r>
    </w:p>
    <w:p w:rsidR="00E30C96" w:rsidRDefault="00E30C96" w:rsidP="00FD1376">
      <w:pPr>
        <w:tabs>
          <w:tab w:val="left" w:pos="709"/>
        </w:tabs>
        <w:ind w:firstLine="709"/>
        <w:jc w:val="both"/>
        <w:rPr>
          <w:rFonts w:eastAsiaTheme="minorHAnsi"/>
          <w:bCs/>
        </w:rPr>
      </w:pPr>
      <w:r>
        <w:rPr>
          <w:rFonts w:eastAsiaTheme="minorHAnsi"/>
          <w:bCs/>
        </w:rPr>
        <w:t>4. Pakeičiu 1 priedo 7.7 papunktį ir jį išdėstau taip: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4"/>
        <w:gridCol w:w="4394"/>
        <w:gridCol w:w="283"/>
        <w:gridCol w:w="425"/>
      </w:tblGrid>
      <w:tr w:rsidR="00E30C96" w:rsidTr="001C753E">
        <w:trPr>
          <w:trHeight w:val="1401"/>
        </w:trPr>
        <w:tc>
          <w:tcPr>
            <w:tcW w:w="4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C96" w:rsidRDefault="00780885" w:rsidP="00487550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„</w:t>
            </w:r>
            <w:r w:rsidR="00E30C96">
              <w:rPr>
                <w:szCs w:val="24"/>
                <w:lang w:eastAsia="lt-LT"/>
              </w:rPr>
              <w:t xml:space="preserve">7.7. Teisingai </w:t>
            </w:r>
            <w:r w:rsidR="00E30C96">
              <w:rPr>
                <w:rFonts w:eastAsia="Calibri"/>
                <w:szCs w:val="24"/>
              </w:rPr>
              <w:t>pritaikyta fiksuotoji projekto išlaidų norma, fiksuotieji</w:t>
            </w:r>
            <w:r w:rsidR="00E30C96">
              <w:rPr>
                <w:szCs w:val="24"/>
                <w:lang w:eastAsia="lt-LT"/>
              </w:rPr>
              <w:t xml:space="preserve"> projekto išlaidų </w:t>
            </w:r>
            <w:r w:rsidR="00E30C96">
              <w:rPr>
                <w:rFonts w:eastAsia="Calibri"/>
                <w:szCs w:val="24"/>
              </w:rPr>
              <w:t>vieneto įkainiai, fiksuotosios projekto išlaidų sumos ir (ar) apdovanojimai.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C96" w:rsidRDefault="00E30C96" w:rsidP="0048755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Projektui taikoma fiksuotoji norma, fiksuotieji projekto išlaidų vieneto įkainiai turi atitikti reikalavimus, nustatytus Aprašo </w:t>
            </w:r>
            <w:r>
              <w:rPr>
                <w:rFonts w:eastAsia="Calibri"/>
                <w:szCs w:val="24"/>
              </w:rPr>
              <w:t>38</w:t>
            </w:r>
            <w:r w:rsidR="00780885">
              <w:rPr>
                <w:rFonts w:eastAsia="Calibri"/>
                <w:szCs w:val="24"/>
              </w:rPr>
              <w:t xml:space="preserve"> ir </w:t>
            </w:r>
            <w:r>
              <w:rPr>
                <w:rFonts w:eastAsia="Calibri"/>
                <w:szCs w:val="24"/>
              </w:rPr>
              <w:t xml:space="preserve">39 </w:t>
            </w:r>
            <w:r>
              <w:rPr>
                <w:szCs w:val="24"/>
                <w:lang w:eastAsia="lt-LT"/>
              </w:rPr>
              <w:t xml:space="preserve">punktuose. </w:t>
            </w:r>
          </w:p>
          <w:p w:rsidR="00E30C96" w:rsidRDefault="00E30C96" w:rsidP="00487550">
            <w:pPr>
              <w:jc w:val="both"/>
              <w:rPr>
                <w:szCs w:val="24"/>
                <w:lang w:eastAsia="lt-LT"/>
              </w:rPr>
            </w:pPr>
          </w:p>
          <w:p w:rsidR="001C753E" w:rsidRDefault="00E30C96" w:rsidP="0048755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</w:t>
            </w:r>
            <w:r w:rsidR="001C753E">
              <w:rPr>
                <w:rFonts w:eastAsia="Calibri"/>
                <w:szCs w:val="24"/>
              </w:rPr>
              <w:t>formacijos šaltinis – paraiška.“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C96" w:rsidRDefault="00E30C96" w:rsidP="0048755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C96" w:rsidRDefault="00E30C96" w:rsidP="00487550">
            <w:pPr>
              <w:rPr>
                <w:szCs w:val="24"/>
                <w:lang w:eastAsia="lt-LT"/>
              </w:rPr>
            </w:pPr>
          </w:p>
        </w:tc>
      </w:tr>
    </w:tbl>
    <w:p w:rsidR="000A397A" w:rsidRPr="008B3B82" w:rsidRDefault="001C753E" w:rsidP="00FD1376">
      <w:pPr>
        <w:tabs>
          <w:tab w:val="left" w:pos="709"/>
        </w:tabs>
        <w:ind w:firstLine="709"/>
        <w:jc w:val="both"/>
      </w:pPr>
      <w:r>
        <w:t xml:space="preserve">5. </w:t>
      </w:r>
      <w:r>
        <w:rPr>
          <w:szCs w:val="24"/>
          <w:lang w:eastAsia="lt-LT"/>
        </w:rPr>
        <w:t>Pripažįstu netekusiu galios 3 priedą.</w:t>
      </w:r>
    </w:p>
    <w:p w:rsidR="00FD1376" w:rsidRDefault="00FD1376" w:rsidP="00FD1376">
      <w:pPr>
        <w:ind w:firstLine="709"/>
        <w:jc w:val="both"/>
        <w:rPr>
          <w:szCs w:val="24"/>
          <w:lang w:eastAsia="lt-LT"/>
        </w:rPr>
      </w:pPr>
    </w:p>
    <w:p w:rsidR="00954BE2" w:rsidRDefault="00954BE2" w:rsidP="00FD1376">
      <w:pPr>
        <w:ind w:firstLine="709"/>
        <w:jc w:val="both"/>
        <w:rPr>
          <w:szCs w:val="24"/>
          <w:lang w:eastAsia="lt-LT"/>
        </w:rPr>
      </w:pPr>
    </w:p>
    <w:p w:rsidR="00297CB0" w:rsidRDefault="00297CB0" w:rsidP="00FD1376">
      <w:pPr>
        <w:ind w:firstLine="709"/>
        <w:jc w:val="both"/>
        <w:rPr>
          <w:szCs w:val="24"/>
          <w:lang w:eastAsia="lt-LT"/>
        </w:rPr>
      </w:pPr>
    </w:p>
    <w:p w:rsidR="00954BE2" w:rsidRDefault="00954BE2" w:rsidP="00954BE2">
      <w:pPr>
        <w:rPr>
          <w:szCs w:val="24"/>
        </w:rPr>
      </w:pPr>
      <w:r>
        <w:rPr>
          <w:szCs w:val="24"/>
        </w:rPr>
        <w:t xml:space="preserve">Energetikos ministras, laikinai einantis </w:t>
      </w:r>
    </w:p>
    <w:p w:rsidR="00297CB0" w:rsidRDefault="00954BE2" w:rsidP="00954BE2">
      <w:pPr>
        <w:tabs>
          <w:tab w:val="center" w:pos="4819"/>
          <w:tab w:val="right" w:pos="9498"/>
        </w:tabs>
        <w:jc w:val="both"/>
        <w:rPr>
          <w:szCs w:val="24"/>
        </w:rPr>
      </w:pPr>
      <w:r>
        <w:rPr>
          <w:szCs w:val="24"/>
        </w:rPr>
        <w:t>ekonomikos ir inovacijų ministro pareigas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Žygimantas Vaičiūnas</w:t>
      </w: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297CB0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A04672" w:rsidRPr="00BA109A" w:rsidRDefault="00FA5AC2">
      <w:pPr>
        <w:tabs>
          <w:tab w:val="center" w:pos="4819"/>
          <w:tab w:val="right" w:pos="9638"/>
        </w:tabs>
        <w:jc w:val="both"/>
        <w:rPr>
          <w:szCs w:val="24"/>
        </w:rPr>
      </w:pPr>
      <w:r w:rsidRPr="00BA109A">
        <w:rPr>
          <w:szCs w:val="24"/>
        </w:rPr>
        <w:t>P</w:t>
      </w:r>
      <w:r w:rsidR="00192A94" w:rsidRPr="00BA109A">
        <w:rPr>
          <w:szCs w:val="24"/>
        </w:rPr>
        <w:t xml:space="preserve">arengė </w:t>
      </w:r>
    </w:p>
    <w:p w:rsidR="00EB70E2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A109A">
        <w:rPr>
          <w:szCs w:val="24"/>
        </w:rPr>
        <w:t xml:space="preserve">Ekonomikos ir inovacijų </w:t>
      </w:r>
      <w:r w:rsidR="00192A94" w:rsidRPr="00BA109A">
        <w:rPr>
          <w:szCs w:val="24"/>
        </w:rPr>
        <w:t xml:space="preserve">ministerijos </w:t>
      </w:r>
    </w:p>
    <w:p w:rsidR="00A04672" w:rsidRPr="00BA109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A109A">
        <w:rPr>
          <w:szCs w:val="24"/>
        </w:rPr>
        <w:t xml:space="preserve">Europos Sąjungos </w:t>
      </w:r>
      <w:r w:rsidR="008F2E8A" w:rsidRPr="00BA109A">
        <w:rPr>
          <w:szCs w:val="24"/>
        </w:rPr>
        <w:t xml:space="preserve">investicijų </w:t>
      </w:r>
    </w:p>
    <w:p w:rsidR="00A04672" w:rsidRPr="00BA109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A109A">
        <w:rPr>
          <w:szCs w:val="24"/>
        </w:rPr>
        <w:t>koordinavimo departamento</w:t>
      </w:r>
    </w:p>
    <w:p w:rsidR="00672FFE" w:rsidRPr="00BA109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A109A">
        <w:rPr>
          <w:szCs w:val="24"/>
        </w:rPr>
        <w:t>Europos Sąjungos investicijų planavimo</w:t>
      </w:r>
    </w:p>
    <w:p w:rsidR="00A04672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A109A">
        <w:rPr>
          <w:szCs w:val="24"/>
        </w:rPr>
        <w:t>skyriaus vyriausioji specialistė</w:t>
      </w:r>
    </w:p>
    <w:p w:rsidR="00297CB0" w:rsidRPr="00BA109A" w:rsidRDefault="00297CB0">
      <w:pPr>
        <w:tabs>
          <w:tab w:val="center" w:pos="4819"/>
          <w:tab w:val="right" w:pos="9638"/>
        </w:tabs>
        <w:jc w:val="both"/>
        <w:rPr>
          <w:szCs w:val="24"/>
        </w:rPr>
      </w:pPr>
    </w:p>
    <w:p w:rsidR="004A09B0" w:rsidRDefault="00084AEB" w:rsidP="00D67C9C">
      <w:pPr>
        <w:tabs>
          <w:tab w:val="left" w:pos="5955"/>
        </w:tabs>
        <w:jc w:val="both"/>
        <w:rPr>
          <w:szCs w:val="24"/>
        </w:rPr>
      </w:pPr>
      <w:r w:rsidRPr="00BA109A">
        <w:rPr>
          <w:szCs w:val="24"/>
        </w:rPr>
        <w:t xml:space="preserve">Edita </w:t>
      </w:r>
      <w:proofErr w:type="spellStart"/>
      <w:r w:rsidRPr="00BA109A">
        <w:rPr>
          <w:szCs w:val="24"/>
        </w:rPr>
        <w:t>Rudakaitė-Šaukštel</w:t>
      </w:r>
      <w:proofErr w:type="spellEnd"/>
      <w:r w:rsidR="00D67C9C">
        <w:rPr>
          <w:sz w:val="20"/>
        </w:rPr>
        <w:tab/>
      </w:r>
    </w:p>
    <w:sectPr w:rsidR="004A09B0" w:rsidSect="00BA1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560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86" w:rsidRDefault="006E3D8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:rsidR="006E3D86" w:rsidRDefault="006E3D86"/>
    <w:p w:rsidR="006E3D86" w:rsidRDefault="006E3D86">
      <w:pPr>
        <w:ind w:firstLine="851"/>
        <w:jc w:val="both"/>
        <w:rPr>
          <w:szCs w:val="24"/>
        </w:rPr>
      </w:pPr>
    </w:p>
  </w:endnote>
  <w:endnote w:type="continuationSeparator" w:id="0">
    <w:p w:rsidR="006E3D86" w:rsidRDefault="006E3D8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:rsidR="006E3D86" w:rsidRDefault="006E3D86"/>
    <w:p w:rsidR="006E3D86" w:rsidRDefault="006E3D86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86" w:rsidRDefault="006E3D86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:rsidR="006E3D86" w:rsidRDefault="006E3D86"/>
    <w:p w:rsidR="006E3D86" w:rsidRDefault="006E3D86">
      <w:pPr>
        <w:ind w:firstLine="851"/>
        <w:jc w:val="both"/>
        <w:rPr>
          <w:szCs w:val="24"/>
        </w:rPr>
      </w:pPr>
    </w:p>
  </w:footnote>
  <w:footnote w:type="continuationSeparator" w:id="0">
    <w:p w:rsidR="006E3D86" w:rsidRDefault="006E3D86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:rsidR="006E3D86" w:rsidRDefault="006E3D86"/>
    <w:p w:rsidR="006E3D86" w:rsidRDefault="006E3D86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531811"/>
      <w:docPartObj>
        <w:docPartGallery w:val="Page Numbers (Top of Page)"/>
        <w:docPartUnique/>
      </w:docPartObj>
    </w:sdtPr>
    <w:sdtEndPr/>
    <w:sdtContent>
      <w:p w:rsidR="000950F9" w:rsidRDefault="000950F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797">
          <w:rPr>
            <w:noProof/>
          </w:rPr>
          <w:t>2</w:t>
        </w:r>
        <w:r>
          <w:fldChar w:fldCharType="end"/>
        </w:r>
      </w:p>
    </w:sdtContent>
  </w:sdt>
  <w:p w:rsidR="00ED0306" w:rsidRDefault="00ED0306" w:rsidP="005B4933">
    <w:pPr>
      <w:tabs>
        <w:tab w:val="center" w:pos="4819"/>
        <w:tab w:val="right" w:pos="9638"/>
      </w:tabs>
      <w:ind w:firstLine="851"/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6A8" w:rsidRDefault="008A26A8">
    <w:pPr>
      <w:pStyle w:val="Header"/>
      <w:jc w:val="center"/>
    </w:pPr>
  </w:p>
  <w:p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1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defaultTabStop w:val="567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4B0"/>
    <w:rsid w:val="00011EDC"/>
    <w:rsid w:val="00014F92"/>
    <w:rsid w:val="0003288A"/>
    <w:rsid w:val="00036743"/>
    <w:rsid w:val="00041455"/>
    <w:rsid w:val="00062609"/>
    <w:rsid w:val="000826F7"/>
    <w:rsid w:val="00084AEB"/>
    <w:rsid w:val="000941B4"/>
    <w:rsid w:val="000950F9"/>
    <w:rsid w:val="000A1209"/>
    <w:rsid w:val="000A397A"/>
    <w:rsid w:val="000A41DC"/>
    <w:rsid w:val="000B164D"/>
    <w:rsid w:val="000B2419"/>
    <w:rsid w:val="000C64EC"/>
    <w:rsid w:val="000C7B3B"/>
    <w:rsid w:val="000E2E31"/>
    <w:rsid w:val="000F4CA0"/>
    <w:rsid w:val="000F5031"/>
    <w:rsid w:val="0010161C"/>
    <w:rsid w:val="00125D1B"/>
    <w:rsid w:val="001323B5"/>
    <w:rsid w:val="001437CF"/>
    <w:rsid w:val="00143CBF"/>
    <w:rsid w:val="001453C8"/>
    <w:rsid w:val="00147642"/>
    <w:rsid w:val="00167024"/>
    <w:rsid w:val="00180C00"/>
    <w:rsid w:val="00192A94"/>
    <w:rsid w:val="001A5DE9"/>
    <w:rsid w:val="001A6605"/>
    <w:rsid w:val="001B5B75"/>
    <w:rsid w:val="001C1FF6"/>
    <w:rsid w:val="001C753E"/>
    <w:rsid w:val="001D59BB"/>
    <w:rsid w:val="001D6C71"/>
    <w:rsid w:val="001D7294"/>
    <w:rsid w:val="001F15F0"/>
    <w:rsid w:val="00205CF0"/>
    <w:rsid w:val="00206631"/>
    <w:rsid w:val="00226FBC"/>
    <w:rsid w:val="00250639"/>
    <w:rsid w:val="002611C6"/>
    <w:rsid w:val="0028671C"/>
    <w:rsid w:val="00290FA4"/>
    <w:rsid w:val="00297CB0"/>
    <w:rsid w:val="002D1BE8"/>
    <w:rsid w:val="002D6B5A"/>
    <w:rsid w:val="002E3D20"/>
    <w:rsid w:val="002E42A9"/>
    <w:rsid w:val="002F21AE"/>
    <w:rsid w:val="003059DA"/>
    <w:rsid w:val="00307560"/>
    <w:rsid w:val="00320E5A"/>
    <w:rsid w:val="00320F26"/>
    <w:rsid w:val="00351303"/>
    <w:rsid w:val="003525DC"/>
    <w:rsid w:val="00367189"/>
    <w:rsid w:val="00372345"/>
    <w:rsid w:val="003A3AED"/>
    <w:rsid w:val="003D342B"/>
    <w:rsid w:val="003D3D85"/>
    <w:rsid w:val="003E11D3"/>
    <w:rsid w:val="003E30B8"/>
    <w:rsid w:val="003E730D"/>
    <w:rsid w:val="0040053F"/>
    <w:rsid w:val="0040522B"/>
    <w:rsid w:val="004064F7"/>
    <w:rsid w:val="00410375"/>
    <w:rsid w:val="00411A4D"/>
    <w:rsid w:val="00450AF7"/>
    <w:rsid w:val="004513E1"/>
    <w:rsid w:val="00451D8E"/>
    <w:rsid w:val="00456B4C"/>
    <w:rsid w:val="00471613"/>
    <w:rsid w:val="0047737D"/>
    <w:rsid w:val="00481894"/>
    <w:rsid w:val="0048442A"/>
    <w:rsid w:val="004845F2"/>
    <w:rsid w:val="00486157"/>
    <w:rsid w:val="004928D8"/>
    <w:rsid w:val="004A09B0"/>
    <w:rsid w:val="004A13A8"/>
    <w:rsid w:val="004F1692"/>
    <w:rsid w:val="004F192B"/>
    <w:rsid w:val="004F302A"/>
    <w:rsid w:val="00506607"/>
    <w:rsid w:val="00507E31"/>
    <w:rsid w:val="005202FC"/>
    <w:rsid w:val="00520B20"/>
    <w:rsid w:val="00520EE7"/>
    <w:rsid w:val="005251DE"/>
    <w:rsid w:val="005257F6"/>
    <w:rsid w:val="00535362"/>
    <w:rsid w:val="005430E4"/>
    <w:rsid w:val="00546485"/>
    <w:rsid w:val="005503B8"/>
    <w:rsid w:val="005553EF"/>
    <w:rsid w:val="00571146"/>
    <w:rsid w:val="005754CF"/>
    <w:rsid w:val="00584567"/>
    <w:rsid w:val="00587F64"/>
    <w:rsid w:val="0059704A"/>
    <w:rsid w:val="005A2A7D"/>
    <w:rsid w:val="005B4933"/>
    <w:rsid w:val="005D0CD3"/>
    <w:rsid w:val="005E3EA8"/>
    <w:rsid w:val="005F58F1"/>
    <w:rsid w:val="005F6494"/>
    <w:rsid w:val="005F6F1F"/>
    <w:rsid w:val="006325C8"/>
    <w:rsid w:val="006349D7"/>
    <w:rsid w:val="006438DB"/>
    <w:rsid w:val="00661CC3"/>
    <w:rsid w:val="00672FFE"/>
    <w:rsid w:val="006870A4"/>
    <w:rsid w:val="00692432"/>
    <w:rsid w:val="006A2D0B"/>
    <w:rsid w:val="006A2DED"/>
    <w:rsid w:val="006A55F7"/>
    <w:rsid w:val="006A7852"/>
    <w:rsid w:val="006B2242"/>
    <w:rsid w:val="006B4752"/>
    <w:rsid w:val="006E36D9"/>
    <w:rsid w:val="006E3D86"/>
    <w:rsid w:val="006F103E"/>
    <w:rsid w:val="006F5D90"/>
    <w:rsid w:val="00715B6B"/>
    <w:rsid w:val="0072238D"/>
    <w:rsid w:val="00733A10"/>
    <w:rsid w:val="00735F7E"/>
    <w:rsid w:val="00742560"/>
    <w:rsid w:val="00745BC3"/>
    <w:rsid w:val="00754EFE"/>
    <w:rsid w:val="007601B4"/>
    <w:rsid w:val="00780885"/>
    <w:rsid w:val="00785490"/>
    <w:rsid w:val="00791C53"/>
    <w:rsid w:val="007A1AC4"/>
    <w:rsid w:val="007A237B"/>
    <w:rsid w:val="007B5401"/>
    <w:rsid w:val="007B6BE9"/>
    <w:rsid w:val="007C7C8A"/>
    <w:rsid w:val="007E4B14"/>
    <w:rsid w:val="007E4B76"/>
    <w:rsid w:val="007F2C8F"/>
    <w:rsid w:val="008012F9"/>
    <w:rsid w:val="008054D0"/>
    <w:rsid w:val="00812642"/>
    <w:rsid w:val="00821363"/>
    <w:rsid w:val="00833114"/>
    <w:rsid w:val="00870B97"/>
    <w:rsid w:val="00880B9A"/>
    <w:rsid w:val="00887530"/>
    <w:rsid w:val="008948A8"/>
    <w:rsid w:val="008A26A8"/>
    <w:rsid w:val="008B1499"/>
    <w:rsid w:val="008C0105"/>
    <w:rsid w:val="008D405F"/>
    <w:rsid w:val="008D46BC"/>
    <w:rsid w:val="008E050B"/>
    <w:rsid w:val="008F2E8A"/>
    <w:rsid w:val="008F6844"/>
    <w:rsid w:val="00914F13"/>
    <w:rsid w:val="009221C8"/>
    <w:rsid w:val="00936A30"/>
    <w:rsid w:val="00943160"/>
    <w:rsid w:val="00954BE2"/>
    <w:rsid w:val="0097531B"/>
    <w:rsid w:val="009B0B39"/>
    <w:rsid w:val="009D5AD4"/>
    <w:rsid w:val="009F3772"/>
    <w:rsid w:val="00A04672"/>
    <w:rsid w:val="00A05666"/>
    <w:rsid w:val="00A13C8B"/>
    <w:rsid w:val="00A26E6A"/>
    <w:rsid w:val="00A30E10"/>
    <w:rsid w:val="00A35A38"/>
    <w:rsid w:val="00A3609F"/>
    <w:rsid w:val="00A361D2"/>
    <w:rsid w:val="00A4540B"/>
    <w:rsid w:val="00A602AB"/>
    <w:rsid w:val="00A608E8"/>
    <w:rsid w:val="00A609F8"/>
    <w:rsid w:val="00A70387"/>
    <w:rsid w:val="00A85952"/>
    <w:rsid w:val="00A87E71"/>
    <w:rsid w:val="00AA2EA6"/>
    <w:rsid w:val="00AB569C"/>
    <w:rsid w:val="00AD5B39"/>
    <w:rsid w:val="00AE5EF5"/>
    <w:rsid w:val="00AF02ED"/>
    <w:rsid w:val="00AF6D15"/>
    <w:rsid w:val="00AF77F6"/>
    <w:rsid w:val="00B03728"/>
    <w:rsid w:val="00B141EF"/>
    <w:rsid w:val="00B27797"/>
    <w:rsid w:val="00B33E53"/>
    <w:rsid w:val="00B341AF"/>
    <w:rsid w:val="00B4764F"/>
    <w:rsid w:val="00B6416D"/>
    <w:rsid w:val="00B67712"/>
    <w:rsid w:val="00B77043"/>
    <w:rsid w:val="00B77167"/>
    <w:rsid w:val="00B96A7B"/>
    <w:rsid w:val="00BA109A"/>
    <w:rsid w:val="00BA2517"/>
    <w:rsid w:val="00BC401C"/>
    <w:rsid w:val="00BD64EB"/>
    <w:rsid w:val="00BE012E"/>
    <w:rsid w:val="00BE2280"/>
    <w:rsid w:val="00BE4B5C"/>
    <w:rsid w:val="00BF7EF5"/>
    <w:rsid w:val="00C05A93"/>
    <w:rsid w:val="00C07976"/>
    <w:rsid w:val="00C236FC"/>
    <w:rsid w:val="00C255DC"/>
    <w:rsid w:val="00C2787F"/>
    <w:rsid w:val="00C66DA0"/>
    <w:rsid w:val="00C67EA9"/>
    <w:rsid w:val="00C7320D"/>
    <w:rsid w:val="00C77699"/>
    <w:rsid w:val="00C86DE3"/>
    <w:rsid w:val="00C90C92"/>
    <w:rsid w:val="00C920FA"/>
    <w:rsid w:val="00C94462"/>
    <w:rsid w:val="00C9524D"/>
    <w:rsid w:val="00CE2E61"/>
    <w:rsid w:val="00CF46C0"/>
    <w:rsid w:val="00D20BCF"/>
    <w:rsid w:val="00D258C0"/>
    <w:rsid w:val="00D35D9B"/>
    <w:rsid w:val="00D46D4E"/>
    <w:rsid w:val="00D47D10"/>
    <w:rsid w:val="00D63B2C"/>
    <w:rsid w:val="00D67C9C"/>
    <w:rsid w:val="00DA7EB0"/>
    <w:rsid w:val="00DB00BE"/>
    <w:rsid w:val="00DC6F70"/>
    <w:rsid w:val="00DC70D4"/>
    <w:rsid w:val="00DC74C6"/>
    <w:rsid w:val="00E20881"/>
    <w:rsid w:val="00E223EA"/>
    <w:rsid w:val="00E30C96"/>
    <w:rsid w:val="00E45449"/>
    <w:rsid w:val="00E46CF8"/>
    <w:rsid w:val="00E54F29"/>
    <w:rsid w:val="00E6098F"/>
    <w:rsid w:val="00E63FE0"/>
    <w:rsid w:val="00E6709D"/>
    <w:rsid w:val="00E83014"/>
    <w:rsid w:val="00E84EC9"/>
    <w:rsid w:val="00E87F70"/>
    <w:rsid w:val="00EA2FE1"/>
    <w:rsid w:val="00EB1D18"/>
    <w:rsid w:val="00EB4186"/>
    <w:rsid w:val="00EB70E2"/>
    <w:rsid w:val="00EC2A42"/>
    <w:rsid w:val="00ED0306"/>
    <w:rsid w:val="00ED095B"/>
    <w:rsid w:val="00EF205E"/>
    <w:rsid w:val="00EF45D4"/>
    <w:rsid w:val="00F03EBE"/>
    <w:rsid w:val="00F04E38"/>
    <w:rsid w:val="00F067FD"/>
    <w:rsid w:val="00F07618"/>
    <w:rsid w:val="00F07FC9"/>
    <w:rsid w:val="00F115D6"/>
    <w:rsid w:val="00F11B09"/>
    <w:rsid w:val="00F13948"/>
    <w:rsid w:val="00F1689C"/>
    <w:rsid w:val="00F23CE1"/>
    <w:rsid w:val="00F32FD8"/>
    <w:rsid w:val="00F40A37"/>
    <w:rsid w:val="00F43CEA"/>
    <w:rsid w:val="00F643A3"/>
    <w:rsid w:val="00F72E3C"/>
    <w:rsid w:val="00F86078"/>
    <w:rsid w:val="00FA5AC2"/>
    <w:rsid w:val="00FA6D08"/>
    <w:rsid w:val="00FC01EF"/>
    <w:rsid w:val="00FC12DE"/>
    <w:rsid w:val="00FD1376"/>
    <w:rsid w:val="00FD38B7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F74698"/>
  <w15:docId w15:val="{E532B929-0D7E-472B-91E2-8EE08E6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11A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nhideWhenUsed/>
    <w:rsid w:val="00DC6F70"/>
    <w:rPr>
      <w:color w:val="0000FF" w:themeColor="hyperlink"/>
      <w:u w:val="single"/>
    </w:rPr>
  </w:style>
  <w:style w:type="paragraph" w:customStyle="1" w:styleId="Default">
    <w:name w:val="Default"/>
    <w:rsid w:val="00D258C0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investicijos.lt/lt/dokumentai/moksliniu-isvyku-islaidu-fiksuotuju-ikainiu-apskaiciavimo-ataskait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EAF5-3CD1-4EE4-BCD5-798CC4AE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3977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6232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Rudakaite-Saukstel Edita</cp:lastModifiedBy>
  <cp:revision>4</cp:revision>
  <cp:lastPrinted>2019-11-07T06:42:00Z</cp:lastPrinted>
  <dcterms:created xsi:type="dcterms:W3CDTF">2020-01-14T06:37:00Z</dcterms:created>
  <dcterms:modified xsi:type="dcterms:W3CDTF">2020-01-17T07:21:00Z</dcterms:modified>
</cp:coreProperties>
</file>