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3C39" w14:textId="77777777" w:rsidR="0036662A" w:rsidRDefault="0036662A" w:rsidP="0036662A">
      <w:pPr>
        <w:jc w:val="center"/>
        <w:rPr>
          <w:b/>
          <w:bCs/>
        </w:rPr>
      </w:pPr>
      <w:bookmarkStart w:id="0" w:name="_GoBack"/>
      <w:bookmarkEnd w:id="0"/>
      <w:r>
        <w:rPr>
          <w:b/>
          <w:bCs/>
        </w:rPr>
        <w:t xml:space="preserve">LIETUVOS RESPUBLIKOS </w:t>
      </w:r>
      <w:r w:rsidR="00AA30C9">
        <w:rPr>
          <w:b/>
          <w:bCs/>
        </w:rPr>
        <w:t>EKONOMIKOS IR INOVACIJŲ</w:t>
      </w:r>
      <w:r>
        <w:rPr>
          <w:b/>
          <w:bCs/>
        </w:rPr>
        <w:t xml:space="preserve"> MINISTERIJA</w:t>
      </w:r>
    </w:p>
    <w:p w14:paraId="3A2A4813" w14:textId="77777777" w:rsidR="0036662A" w:rsidRDefault="0036662A" w:rsidP="0036662A">
      <w:pPr>
        <w:jc w:val="center"/>
        <w:rPr>
          <w:b/>
          <w:bCs/>
        </w:rPr>
      </w:pPr>
    </w:p>
    <w:p w14:paraId="031BD400" w14:textId="77777777" w:rsidR="0036662A"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AE5A66" w:rsidRPr="00AE5A66">
        <w:rPr>
          <w:b/>
          <w:bCs/>
        </w:rPr>
        <w:t xml:space="preserve">9 PRIORITETO „VISUOMENĖS ŠVIETIMAS IR ŽMOGIŠKŲJŲ IŠTEKLIŲ POTENCIALO DIDINIMAS“ PRIEMONĖS NR. 09.4.3-ESFA-K-827 „PAMEISTRYSTĖ IR KVALIFIKACIJOS TOBULINIMAS DARBO VIETOJE“ </w:t>
      </w:r>
      <w:r>
        <w:rPr>
          <w:b/>
          <w:bCs/>
        </w:rPr>
        <w:t xml:space="preserve">PROJEKTŲ FINANSAVIMO SĄLYGŲ APRAŠO </w:t>
      </w:r>
      <w:r w:rsidR="004903D3">
        <w:rPr>
          <w:b/>
          <w:bCs/>
        </w:rPr>
        <w:t xml:space="preserve">NR.3 </w:t>
      </w:r>
      <w:r w:rsidR="00F15C25">
        <w:rPr>
          <w:b/>
          <w:bCs/>
        </w:rPr>
        <w:t xml:space="preserve">KEITIMO </w:t>
      </w:r>
      <w:r>
        <w:rPr>
          <w:b/>
          <w:bCs/>
        </w:rPr>
        <w:t>DERINIMAS</w:t>
      </w:r>
    </w:p>
    <w:p w14:paraId="5DA0C855"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4BB16FB" w14:textId="77777777" w:rsidTr="00335D39">
        <w:tc>
          <w:tcPr>
            <w:tcW w:w="6804" w:type="dxa"/>
          </w:tcPr>
          <w:p w14:paraId="7C3257E5"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3262D611" w14:textId="77777777" w:rsidR="0036662A" w:rsidRDefault="001A1A3A" w:rsidP="00335D39">
            <w:pPr>
              <w:rPr>
                <w:szCs w:val="24"/>
              </w:rPr>
            </w:pPr>
            <w:r>
              <w:rPr>
                <w:szCs w:val="24"/>
              </w:rPr>
              <w:t>2019-12-10</w:t>
            </w:r>
          </w:p>
        </w:tc>
      </w:tr>
      <w:tr w:rsidR="00C14917" w14:paraId="39C7EFC2" w14:textId="77777777" w:rsidTr="00335D39">
        <w:tc>
          <w:tcPr>
            <w:tcW w:w="6804" w:type="dxa"/>
          </w:tcPr>
          <w:p w14:paraId="686D55A0" w14:textId="77777777" w:rsidR="00C14917" w:rsidRDefault="00C14917" w:rsidP="00C14917">
            <w:pPr>
              <w:rPr>
                <w:b/>
                <w:szCs w:val="24"/>
              </w:rPr>
            </w:pPr>
            <w:r w:rsidRPr="00DC6A9A">
              <w:rPr>
                <w:b/>
                <w:szCs w:val="24"/>
              </w:rPr>
              <w:t>Ar gauta pastabų</w:t>
            </w:r>
            <w:r>
              <w:rPr>
                <w:b/>
                <w:szCs w:val="24"/>
              </w:rPr>
              <w:t xml:space="preserve"> ir (ar) pasiūlymų</w:t>
            </w:r>
            <w:r w:rsidRPr="00DC6A9A">
              <w:rPr>
                <w:b/>
                <w:szCs w:val="24"/>
              </w:rPr>
              <w:t>?</w:t>
            </w:r>
          </w:p>
          <w:p w14:paraId="457ACF0A" w14:textId="77777777" w:rsidR="00C14917" w:rsidRPr="0036662A" w:rsidRDefault="00C14917" w:rsidP="00C14917">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13658C66" w14:textId="77777777" w:rsidR="00C14917" w:rsidRPr="007070FE" w:rsidRDefault="00475197" w:rsidP="00C14917">
            <w:sdt>
              <w:sdtPr>
                <w:id w:val="1312749902"/>
              </w:sdtPr>
              <w:sdtEndPr/>
              <w:sdtContent>
                <w:bookmarkStart w:id="1" w:name="Check1"/>
                <w:r w:rsidR="00C14917">
                  <w:fldChar w:fldCharType="begin">
                    <w:ffData>
                      <w:name w:val="Check1"/>
                      <w:enabled/>
                      <w:calcOnExit w:val="0"/>
                      <w:checkBox>
                        <w:sizeAuto/>
                        <w:default w:val="1"/>
                      </w:checkBox>
                    </w:ffData>
                  </w:fldChar>
                </w:r>
                <w:r w:rsidR="00C14917">
                  <w:instrText xml:space="preserve"> FORMCHECKBOX </w:instrText>
                </w:r>
                <w:r>
                  <w:fldChar w:fldCharType="separate"/>
                </w:r>
                <w:r w:rsidR="00C14917">
                  <w:fldChar w:fldCharType="end"/>
                </w:r>
                <w:bookmarkEnd w:id="1"/>
                <w:r w:rsidR="00C14917">
                  <w:t xml:space="preserve"> </w:t>
                </w:r>
              </w:sdtContent>
            </w:sdt>
            <w:r w:rsidR="00C14917">
              <w:rPr>
                <w:szCs w:val="24"/>
              </w:rPr>
              <w:t xml:space="preserve">Taip </w:t>
            </w:r>
            <w:sdt>
              <w:sdtPr>
                <w:rPr>
                  <w:szCs w:val="24"/>
                </w:rPr>
                <w:id w:val="164368749"/>
              </w:sdtPr>
              <w:sdtEndPr/>
              <w:sdtContent>
                <w:r w:rsidR="00C14917" w:rsidRPr="0036662A">
                  <w:rPr>
                    <w:szCs w:val="24"/>
                  </w:rPr>
                  <w:fldChar w:fldCharType="begin">
                    <w:ffData>
                      <w:name w:val="Check1"/>
                      <w:enabled/>
                      <w:calcOnExit w:val="0"/>
                      <w:checkBox>
                        <w:sizeAuto/>
                        <w:default w:val="0"/>
                      </w:checkBox>
                    </w:ffData>
                  </w:fldChar>
                </w:r>
                <w:r w:rsidR="00C14917" w:rsidRPr="0036662A">
                  <w:rPr>
                    <w:szCs w:val="24"/>
                  </w:rPr>
                  <w:instrText xml:space="preserve"> FORMCHECKBOX </w:instrText>
                </w:r>
                <w:r>
                  <w:rPr>
                    <w:szCs w:val="24"/>
                  </w:rPr>
                </w:r>
                <w:r>
                  <w:rPr>
                    <w:szCs w:val="24"/>
                  </w:rPr>
                  <w:fldChar w:fldCharType="separate"/>
                </w:r>
                <w:r w:rsidR="00C14917" w:rsidRPr="0036662A">
                  <w:rPr>
                    <w:szCs w:val="24"/>
                  </w:rPr>
                  <w:fldChar w:fldCharType="end"/>
                </w:r>
                <w:r w:rsidR="00C14917" w:rsidRPr="0036662A">
                  <w:rPr>
                    <w:szCs w:val="24"/>
                  </w:rPr>
                  <w:t xml:space="preserve"> </w:t>
                </w:r>
              </w:sdtContent>
            </w:sdt>
            <w:r w:rsidR="00C14917">
              <w:rPr>
                <w:szCs w:val="24"/>
              </w:rPr>
              <w:t xml:space="preserve"> Ne</w:t>
            </w:r>
            <w:r w:rsidR="00C14917">
              <w:rPr>
                <w:szCs w:val="24"/>
              </w:rPr>
              <w:fldChar w:fldCharType="begin"/>
            </w:r>
            <w:r w:rsidR="00C14917">
              <w:rPr>
                <w:szCs w:val="24"/>
              </w:rPr>
              <w:instrText xml:space="preserve"> FILLIN   \* MERGEFORMAT </w:instrText>
            </w:r>
            <w:r w:rsidR="00C14917">
              <w:rPr>
                <w:szCs w:val="24"/>
              </w:rPr>
              <w:fldChar w:fldCharType="end"/>
            </w:r>
          </w:p>
        </w:tc>
      </w:tr>
      <w:tr w:rsidR="00C14917" w14:paraId="505F9A44" w14:textId="77777777" w:rsidTr="00335D39">
        <w:tc>
          <w:tcPr>
            <w:tcW w:w="6804" w:type="dxa"/>
          </w:tcPr>
          <w:p w14:paraId="4645C2FD" w14:textId="77777777" w:rsidR="00C14917" w:rsidRDefault="00C14917" w:rsidP="00C14917">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7D5631C2" w14:textId="77777777" w:rsidR="00C14917" w:rsidRPr="00E7584D" w:rsidRDefault="00C14917" w:rsidP="00C14917">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6EBFD51D" w14:textId="77777777" w:rsidR="00C14917" w:rsidRDefault="00475197" w:rsidP="00C14917">
            <w:pPr>
              <w:rPr>
                <w:szCs w:val="24"/>
              </w:rPr>
            </w:pPr>
            <w:sdt>
              <w:sdtPr>
                <w:id w:val="-1548671976"/>
              </w:sdtPr>
              <w:sdtEndPr/>
              <w:sdtContent>
                <w:r w:rsidR="00C14917">
                  <w:fldChar w:fldCharType="begin">
                    <w:ffData>
                      <w:name w:val="Check1"/>
                      <w:enabled/>
                      <w:calcOnExit w:val="0"/>
                      <w:checkBox>
                        <w:sizeAuto/>
                        <w:default w:val="0"/>
                      </w:checkBox>
                    </w:ffData>
                  </w:fldChar>
                </w:r>
                <w:r w:rsidR="00C14917">
                  <w:instrText xml:space="preserve"> FORMCHECKBOX </w:instrText>
                </w:r>
                <w:r>
                  <w:fldChar w:fldCharType="separate"/>
                </w:r>
                <w:r w:rsidR="00C14917">
                  <w:fldChar w:fldCharType="end"/>
                </w:r>
              </w:sdtContent>
            </w:sdt>
            <w:r w:rsidR="00C14917">
              <w:rPr>
                <w:szCs w:val="24"/>
              </w:rPr>
              <w:t xml:space="preserve"> Taip </w:t>
            </w:r>
            <w:sdt>
              <w:sdtPr>
                <w:id w:val="-338542889"/>
              </w:sdtPr>
              <w:sdtEndPr/>
              <w:sdtContent>
                <w:r w:rsidR="00C14917">
                  <w:fldChar w:fldCharType="begin">
                    <w:ffData>
                      <w:name w:val=""/>
                      <w:enabled/>
                      <w:calcOnExit w:val="0"/>
                      <w:checkBox>
                        <w:sizeAuto/>
                        <w:default w:val="1"/>
                      </w:checkBox>
                    </w:ffData>
                  </w:fldChar>
                </w:r>
                <w:r w:rsidR="00C14917">
                  <w:instrText xml:space="preserve"> FORMCHECKBOX </w:instrText>
                </w:r>
                <w:r>
                  <w:fldChar w:fldCharType="separate"/>
                </w:r>
                <w:r w:rsidR="00C14917">
                  <w:fldChar w:fldCharType="end"/>
                </w:r>
              </w:sdtContent>
            </w:sdt>
            <w:r w:rsidR="00C14917">
              <w:rPr>
                <w:szCs w:val="24"/>
              </w:rPr>
              <w:t xml:space="preserve"> Ne </w:t>
            </w:r>
          </w:p>
        </w:tc>
      </w:tr>
    </w:tbl>
    <w:p w14:paraId="7EAE0FB8"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8585"/>
        <w:gridCol w:w="3605"/>
      </w:tblGrid>
      <w:tr w:rsidR="0036662A" w:rsidRPr="00781CA4" w14:paraId="3680C809" w14:textId="77777777" w:rsidTr="00E747C2">
        <w:tc>
          <w:tcPr>
            <w:tcW w:w="567" w:type="dxa"/>
          </w:tcPr>
          <w:p w14:paraId="769E110F" w14:textId="77777777" w:rsidR="0036662A" w:rsidRPr="00781CA4" w:rsidRDefault="0036662A" w:rsidP="00335D39">
            <w:pPr>
              <w:jc w:val="center"/>
              <w:rPr>
                <w:b/>
                <w:szCs w:val="24"/>
              </w:rPr>
            </w:pPr>
            <w:r w:rsidRPr="00781CA4">
              <w:rPr>
                <w:b/>
                <w:szCs w:val="24"/>
              </w:rPr>
              <w:t>Nr.</w:t>
            </w:r>
          </w:p>
        </w:tc>
        <w:tc>
          <w:tcPr>
            <w:tcW w:w="1985" w:type="dxa"/>
          </w:tcPr>
          <w:p w14:paraId="2901592C" w14:textId="77777777" w:rsidR="0036662A" w:rsidRPr="00781CA4" w:rsidRDefault="0036662A" w:rsidP="00335D39">
            <w:pPr>
              <w:jc w:val="center"/>
              <w:rPr>
                <w:b/>
                <w:szCs w:val="24"/>
              </w:rPr>
            </w:pPr>
            <w:r w:rsidRPr="00781CA4">
              <w:rPr>
                <w:b/>
                <w:szCs w:val="24"/>
              </w:rPr>
              <w:t>Institucija</w:t>
            </w:r>
          </w:p>
        </w:tc>
        <w:tc>
          <w:tcPr>
            <w:tcW w:w="8585" w:type="dxa"/>
          </w:tcPr>
          <w:p w14:paraId="33C6B60A" w14:textId="77777777" w:rsidR="0036662A" w:rsidRPr="00781CA4" w:rsidRDefault="0036662A" w:rsidP="00335D39">
            <w:pPr>
              <w:jc w:val="center"/>
              <w:rPr>
                <w:b/>
                <w:szCs w:val="24"/>
              </w:rPr>
            </w:pPr>
            <w:r>
              <w:rPr>
                <w:b/>
                <w:bCs/>
              </w:rPr>
              <w:t>Pastabos ir pasiūlymai</w:t>
            </w:r>
          </w:p>
        </w:tc>
        <w:tc>
          <w:tcPr>
            <w:tcW w:w="3605" w:type="dxa"/>
          </w:tcPr>
          <w:p w14:paraId="69427B4A"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007DB3" w14:paraId="56D75026" w14:textId="77777777" w:rsidTr="00E747C2">
        <w:tc>
          <w:tcPr>
            <w:tcW w:w="567" w:type="dxa"/>
          </w:tcPr>
          <w:p w14:paraId="0586C84E" w14:textId="77777777" w:rsidR="0036662A" w:rsidRPr="00007DB3" w:rsidRDefault="0036662A" w:rsidP="0036662A">
            <w:pPr>
              <w:pStyle w:val="ListParagraph"/>
              <w:numPr>
                <w:ilvl w:val="0"/>
                <w:numId w:val="1"/>
              </w:numPr>
              <w:jc w:val="both"/>
              <w:rPr>
                <w:sz w:val="22"/>
                <w:szCs w:val="22"/>
              </w:rPr>
            </w:pPr>
          </w:p>
        </w:tc>
        <w:tc>
          <w:tcPr>
            <w:tcW w:w="1985" w:type="dxa"/>
          </w:tcPr>
          <w:p w14:paraId="1EBF134F" w14:textId="77777777" w:rsidR="0036662A" w:rsidRPr="00007DB3" w:rsidRDefault="00231BDD" w:rsidP="00335D39">
            <w:pPr>
              <w:rPr>
                <w:sz w:val="22"/>
                <w:szCs w:val="22"/>
              </w:rPr>
            </w:pPr>
            <w:r w:rsidRPr="00007DB3">
              <w:rPr>
                <w:sz w:val="22"/>
                <w:szCs w:val="22"/>
              </w:rPr>
              <w:t>Lietuvos p</w:t>
            </w:r>
            <w:r w:rsidR="002E6FC8" w:rsidRPr="00007DB3">
              <w:rPr>
                <w:sz w:val="22"/>
                <w:szCs w:val="22"/>
              </w:rPr>
              <w:t>rekybos, pramonės ir amatų rūmų asociacija</w:t>
            </w:r>
          </w:p>
        </w:tc>
        <w:tc>
          <w:tcPr>
            <w:tcW w:w="8585" w:type="dxa"/>
          </w:tcPr>
          <w:p w14:paraId="23546F4E" w14:textId="77777777" w:rsidR="002E6FC8" w:rsidRPr="00007DB3" w:rsidRDefault="002E6FC8" w:rsidP="002E6FC8">
            <w:pPr>
              <w:rPr>
                <w:sz w:val="22"/>
                <w:szCs w:val="22"/>
                <w:lang w:bidi="lt-LT"/>
              </w:rPr>
            </w:pPr>
            <w:r w:rsidRPr="00007DB3">
              <w:rPr>
                <w:sz w:val="22"/>
                <w:szCs w:val="22"/>
                <w:lang w:bidi="lt-LT"/>
              </w:rPr>
              <w:t>Manome, kad galimi pareiškėjai turėtų būti ne tik privatieji juridiniai asmenys, valstybės ir savivaldybės įmonės, bet ir sektorinės verslo asociacijos bei prekybos, pramonės ir amatų rūmai, o partneriais - švietimo įstaigos, profesinės mokyklos, vykdančios mokymus pagal formaliojo ir neformaliojo mokymo programas. Tokią nuomonę grindžiame šiais argumentais:</w:t>
            </w:r>
          </w:p>
          <w:p w14:paraId="793EC040" w14:textId="77777777" w:rsidR="002E6FC8" w:rsidRPr="00007DB3" w:rsidRDefault="002E6FC8" w:rsidP="002E6FC8">
            <w:pPr>
              <w:numPr>
                <w:ilvl w:val="0"/>
                <w:numId w:val="2"/>
              </w:numPr>
              <w:tabs>
                <w:tab w:val="left" w:pos="556"/>
              </w:tabs>
              <w:rPr>
                <w:sz w:val="22"/>
                <w:szCs w:val="22"/>
                <w:lang w:bidi="lt-LT"/>
              </w:rPr>
            </w:pPr>
            <w:r w:rsidRPr="00007DB3">
              <w:rPr>
                <w:sz w:val="22"/>
                <w:szCs w:val="22"/>
                <w:lang w:bidi="lt-LT"/>
              </w:rPr>
              <w:t>sektorinės verslo asociacijos ir Rūmai turi didesnes galimybes užtikrinti kokybišką ir platesnį mokymą pameistrystės forma, kadangi besimokantiems gali pasiūlyti daugiau įmonių (kiekybiškai) mokiniams atlikti praktikas bei pasirinkti progresyviausias ir technologiniu, ir vadybos lygiu įmones;</w:t>
            </w:r>
          </w:p>
          <w:p w14:paraId="77624AF0" w14:textId="77777777" w:rsidR="002E6FC8" w:rsidRPr="00007DB3" w:rsidRDefault="002E6FC8" w:rsidP="002E6FC8">
            <w:pPr>
              <w:numPr>
                <w:ilvl w:val="0"/>
                <w:numId w:val="2"/>
              </w:numPr>
              <w:tabs>
                <w:tab w:val="left" w:pos="556"/>
              </w:tabs>
              <w:rPr>
                <w:sz w:val="22"/>
                <w:szCs w:val="22"/>
                <w:lang w:bidi="lt-LT"/>
              </w:rPr>
            </w:pPr>
            <w:r w:rsidRPr="00007DB3">
              <w:rPr>
                <w:sz w:val="22"/>
                <w:szCs w:val="22"/>
                <w:lang w:bidi="lt-LT"/>
              </w:rPr>
              <w:t>galima būtų apimti didesnį mokomų profesijų skaičių;</w:t>
            </w:r>
          </w:p>
          <w:p w14:paraId="10E1C46A" w14:textId="77777777" w:rsidR="002E6FC8" w:rsidRPr="00007DB3" w:rsidRDefault="002E6FC8" w:rsidP="002E6FC8">
            <w:pPr>
              <w:numPr>
                <w:ilvl w:val="0"/>
                <w:numId w:val="2"/>
              </w:numPr>
              <w:tabs>
                <w:tab w:val="left" w:pos="556"/>
              </w:tabs>
              <w:rPr>
                <w:sz w:val="22"/>
                <w:szCs w:val="22"/>
                <w:lang w:bidi="lt-LT"/>
              </w:rPr>
            </w:pPr>
            <w:r w:rsidRPr="00007DB3">
              <w:rPr>
                <w:sz w:val="22"/>
                <w:szCs w:val="22"/>
                <w:lang w:bidi="lt-LT"/>
              </w:rPr>
              <w:t>verslo asociacijos ir Rūmai, bendradarbiaudami su verslo įmonėmis, turi informacijos, kokių profesijų labiausiai reikia darbo rinkai.</w:t>
            </w:r>
          </w:p>
          <w:p w14:paraId="4038C749" w14:textId="77777777" w:rsidR="002E6FC8" w:rsidRPr="00007DB3" w:rsidRDefault="002E6FC8" w:rsidP="002E6FC8">
            <w:pPr>
              <w:rPr>
                <w:sz w:val="22"/>
                <w:szCs w:val="22"/>
                <w:lang w:bidi="lt-LT"/>
              </w:rPr>
            </w:pPr>
            <w:r w:rsidRPr="00007DB3">
              <w:rPr>
                <w:sz w:val="22"/>
                <w:szCs w:val="22"/>
                <w:lang w:bidi="lt-LT"/>
              </w:rPr>
              <w:t>Asociacijoms ir Rūmams esant pareiškėjui, labai sumažėtų projekto partnerėms įmonėms (ypač SVV įmonėms) administracinė projekto valdymo našta.</w:t>
            </w:r>
          </w:p>
          <w:p w14:paraId="5D421EDF" w14:textId="77777777" w:rsidR="0036662A" w:rsidRPr="00007DB3" w:rsidRDefault="0036662A" w:rsidP="00335D39">
            <w:pPr>
              <w:rPr>
                <w:sz w:val="22"/>
                <w:szCs w:val="22"/>
              </w:rPr>
            </w:pPr>
          </w:p>
        </w:tc>
        <w:tc>
          <w:tcPr>
            <w:tcW w:w="3605" w:type="dxa"/>
          </w:tcPr>
          <w:p w14:paraId="4CA74BAB" w14:textId="77777777" w:rsidR="0036662A" w:rsidRPr="00007DB3" w:rsidRDefault="009D5B96" w:rsidP="00335D39">
            <w:pPr>
              <w:rPr>
                <w:b/>
                <w:sz w:val="22"/>
                <w:szCs w:val="22"/>
              </w:rPr>
            </w:pPr>
            <w:r w:rsidRPr="00007DB3">
              <w:rPr>
                <w:b/>
                <w:sz w:val="22"/>
                <w:szCs w:val="22"/>
              </w:rPr>
              <w:t xml:space="preserve">Neatsižvelgta. </w:t>
            </w:r>
          </w:p>
          <w:p w14:paraId="490EC639" w14:textId="355C8DA6" w:rsidR="009D5B96" w:rsidRPr="00007DB3" w:rsidRDefault="00F735B5" w:rsidP="00EE7478">
            <w:pPr>
              <w:rPr>
                <w:sz w:val="22"/>
                <w:szCs w:val="22"/>
              </w:rPr>
            </w:pPr>
            <w:r w:rsidRPr="00007DB3">
              <w:rPr>
                <w:sz w:val="22"/>
                <w:szCs w:val="22"/>
              </w:rPr>
              <w:t xml:space="preserve">Šioje priemonėje galimais pareiškėjais negali būti </w:t>
            </w:r>
            <w:r w:rsidRPr="00007DB3">
              <w:rPr>
                <w:sz w:val="22"/>
                <w:szCs w:val="22"/>
                <w:lang w:bidi="lt-LT"/>
              </w:rPr>
              <w:t xml:space="preserve">asociacijos bei prekybos, pramonės ir amatų rūmai dėl takoskyros su </w:t>
            </w:r>
            <w:r w:rsidR="00E52101" w:rsidRPr="00007DB3">
              <w:rPr>
                <w:sz w:val="22"/>
                <w:szCs w:val="22"/>
                <w:lang w:bidi="lt-LT"/>
              </w:rPr>
              <w:t xml:space="preserve">kita </w:t>
            </w:r>
            <w:r w:rsidR="00CC51E2" w:rsidRPr="00007DB3">
              <w:rPr>
                <w:sz w:val="22"/>
                <w:szCs w:val="22"/>
                <w:lang w:bidi="lt-LT"/>
              </w:rPr>
              <w:t xml:space="preserve">2014-2020 m. ES fondų investicijų </w:t>
            </w:r>
            <w:r w:rsidR="00027481" w:rsidRPr="00007DB3">
              <w:rPr>
                <w:sz w:val="22"/>
                <w:szCs w:val="22"/>
                <w:lang w:bidi="lt-LT"/>
              </w:rPr>
              <w:t>veiksmų programos</w:t>
            </w:r>
            <w:r w:rsidR="00E52101" w:rsidRPr="00007DB3">
              <w:rPr>
                <w:sz w:val="22"/>
                <w:szCs w:val="22"/>
                <w:lang w:bidi="lt-LT"/>
              </w:rPr>
              <w:t xml:space="preserve"> prioriteto </w:t>
            </w:r>
            <w:r w:rsidR="00CC51E2" w:rsidRPr="00007DB3">
              <w:rPr>
                <w:sz w:val="22"/>
                <w:szCs w:val="22"/>
                <w:lang w:bidi="lt-LT"/>
              </w:rPr>
              <w:t>priemone „Kompetencijos LT“</w:t>
            </w:r>
            <w:r w:rsidR="005B6964" w:rsidRPr="00007DB3">
              <w:rPr>
                <w:sz w:val="22"/>
                <w:szCs w:val="22"/>
                <w:lang w:bidi="lt-LT"/>
              </w:rPr>
              <w:t>, kur gal</w:t>
            </w:r>
            <w:r w:rsidR="00CC51E2" w:rsidRPr="00007DB3">
              <w:rPr>
                <w:sz w:val="22"/>
                <w:szCs w:val="22"/>
                <w:lang w:bidi="lt-LT"/>
              </w:rPr>
              <w:t xml:space="preserve">imi pareiškėjai – verslo asociacijos, prekybos, pramonės ir amatų rūmai, klasterio koordinatoriai, viešosios įstaigos, skaitmeninių inovacijų centrai, </w:t>
            </w:r>
            <w:r w:rsidR="005B6964" w:rsidRPr="00007DB3">
              <w:rPr>
                <w:sz w:val="22"/>
                <w:szCs w:val="22"/>
                <w:lang w:bidi="lt-LT"/>
              </w:rPr>
              <w:t xml:space="preserve">ir </w:t>
            </w:r>
            <w:r w:rsidR="00CC51E2" w:rsidRPr="00007DB3">
              <w:rPr>
                <w:sz w:val="22"/>
                <w:szCs w:val="22"/>
                <w:lang w:bidi="lt-LT"/>
              </w:rPr>
              <w:t>juridiniai asmenys</w:t>
            </w:r>
            <w:r w:rsidR="005B6964" w:rsidRPr="00007DB3">
              <w:rPr>
                <w:sz w:val="22"/>
                <w:szCs w:val="22"/>
                <w:lang w:bidi="lt-LT"/>
              </w:rPr>
              <w:t xml:space="preserve">. </w:t>
            </w:r>
            <w:r w:rsidR="00330C85" w:rsidRPr="00007DB3">
              <w:rPr>
                <w:sz w:val="22"/>
                <w:szCs w:val="22"/>
                <w:lang w:bidi="lt-LT"/>
              </w:rPr>
              <w:t xml:space="preserve">Projekto vykdytojo ir partnerio funkcijos </w:t>
            </w:r>
            <w:r w:rsidR="00027481" w:rsidRPr="00007DB3">
              <w:rPr>
                <w:sz w:val="22"/>
                <w:szCs w:val="22"/>
                <w:lang w:bidi="lt-LT"/>
              </w:rPr>
              <w:t>apibrėžiamos</w:t>
            </w:r>
            <w:r w:rsidR="00330C85" w:rsidRPr="00007DB3">
              <w:rPr>
                <w:sz w:val="22"/>
                <w:szCs w:val="22"/>
                <w:lang w:bidi="lt-LT"/>
              </w:rPr>
              <w:t xml:space="preserve"> jungtinėje veiklos (partnerystės) sutar</w:t>
            </w:r>
            <w:r w:rsidR="00392494" w:rsidRPr="00007DB3">
              <w:rPr>
                <w:sz w:val="22"/>
                <w:szCs w:val="22"/>
                <w:lang w:bidi="lt-LT"/>
              </w:rPr>
              <w:t>t</w:t>
            </w:r>
            <w:r w:rsidR="00330C85" w:rsidRPr="00007DB3">
              <w:rPr>
                <w:sz w:val="22"/>
                <w:szCs w:val="22"/>
                <w:lang w:bidi="lt-LT"/>
              </w:rPr>
              <w:t>yje</w:t>
            </w:r>
            <w:r w:rsidR="00A76EF2" w:rsidRPr="00007DB3">
              <w:rPr>
                <w:sz w:val="22"/>
                <w:szCs w:val="22"/>
                <w:lang w:bidi="lt-LT"/>
              </w:rPr>
              <w:t xml:space="preserve">, kur  </w:t>
            </w:r>
            <w:r w:rsidR="00027481" w:rsidRPr="00007DB3">
              <w:rPr>
                <w:sz w:val="22"/>
                <w:szCs w:val="22"/>
                <w:lang w:bidi="lt-LT"/>
              </w:rPr>
              <w:t xml:space="preserve">asociaciją galima </w:t>
            </w:r>
            <w:r w:rsidR="00A76EF2" w:rsidRPr="00007DB3">
              <w:rPr>
                <w:sz w:val="22"/>
                <w:szCs w:val="22"/>
                <w:lang w:bidi="lt-LT"/>
              </w:rPr>
              <w:t xml:space="preserve">skirti </w:t>
            </w:r>
            <w:r w:rsidR="00F052C9" w:rsidRPr="00007DB3">
              <w:rPr>
                <w:sz w:val="22"/>
                <w:szCs w:val="22"/>
                <w:lang w:bidi="lt-LT"/>
              </w:rPr>
              <w:lastRenderedPageBreak/>
              <w:t xml:space="preserve">administruojančia, </w:t>
            </w:r>
            <w:r w:rsidR="00A76EF2" w:rsidRPr="00007DB3">
              <w:rPr>
                <w:sz w:val="22"/>
                <w:szCs w:val="22"/>
                <w:lang w:bidi="lt-LT"/>
              </w:rPr>
              <w:t>ko</w:t>
            </w:r>
            <w:r w:rsidR="00F052C9" w:rsidRPr="00007DB3">
              <w:rPr>
                <w:sz w:val="22"/>
                <w:szCs w:val="22"/>
                <w:lang w:bidi="lt-LT"/>
              </w:rPr>
              <w:t>ordinuojančia projekto veiklas ir pan.</w:t>
            </w:r>
          </w:p>
        </w:tc>
      </w:tr>
      <w:tr w:rsidR="0036662A" w:rsidRPr="00007DB3" w14:paraId="2C8DAA54" w14:textId="77777777" w:rsidTr="00E747C2">
        <w:trPr>
          <w:trHeight w:val="6479"/>
        </w:trPr>
        <w:tc>
          <w:tcPr>
            <w:tcW w:w="567" w:type="dxa"/>
          </w:tcPr>
          <w:p w14:paraId="1D2A9AAC" w14:textId="77777777" w:rsidR="0036662A" w:rsidRPr="00007DB3" w:rsidRDefault="0036662A" w:rsidP="0036662A">
            <w:pPr>
              <w:pStyle w:val="ListParagraph"/>
              <w:numPr>
                <w:ilvl w:val="0"/>
                <w:numId w:val="1"/>
              </w:numPr>
              <w:jc w:val="both"/>
              <w:rPr>
                <w:sz w:val="22"/>
                <w:szCs w:val="22"/>
              </w:rPr>
            </w:pPr>
          </w:p>
        </w:tc>
        <w:tc>
          <w:tcPr>
            <w:tcW w:w="1985" w:type="dxa"/>
          </w:tcPr>
          <w:p w14:paraId="067C7C4C" w14:textId="77777777" w:rsidR="0036662A" w:rsidRPr="00007DB3" w:rsidRDefault="002D6273" w:rsidP="00335D39">
            <w:pPr>
              <w:rPr>
                <w:sz w:val="22"/>
                <w:szCs w:val="22"/>
              </w:rPr>
            </w:pPr>
            <w:r w:rsidRPr="00007DB3">
              <w:rPr>
                <w:sz w:val="22"/>
                <w:szCs w:val="22"/>
              </w:rPr>
              <w:t xml:space="preserve">Lietuvos viešbučių ir restoranų asociacija </w:t>
            </w:r>
          </w:p>
        </w:tc>
        <w:tc>
          <w:tcPr>
            <w:tcW w:w="8585" w:type="dxa"/>
          </w:tcPr>
          <w:p w14:paraId="70B931D8" w14:textId="77777777" w:rsidR="00EF1861" w:rsidRPr="00007DB3" w:rsidRDefault="000A2507" w:rsidP="00EF1861">
            <w:pPr>
              <w:rPr>
                <w:sz w:val="22"/>
                <w:szCs w:val="22"/>
              </w:rPr>
            </w:pPr>
            <w:r w:rsidRPr="00007DB3">
              <w:rPr>
                <w:sz w:val="22"/>
                <w:szCs w:val="22"/>
              </w:rPr>
              <w:t xml:space="preserve">16. </w:t>
            </w:r>
            <w:r w:rsidR="00EF1861" w:rsidRPr="00007DB3">
              <w:rPr>
                <w:sz w:val="22"/>
                <w:szCs w:val="22"/>
              </w:rPr>
              <w:t>Jeigu pareiškėjas ar partneris įgyvendina (dalyvauja) kaip partneris projekte pagal Priemonę (2016-11-21 paskelbtą kvietimą teikti paraiškas Nr. 1 ir 2017-09-22 paskelbtą kvietimą teikti paraiškas Nr. 2), priemonę Nr. 09.4.3-ESFA-K-814 „Kompetencijos LT“ ir (arba) priemonę Nr. 09.4.3-ESFA-T-846 „Mokymai užsienio investuotojų darbuotojams“, jis gali teikti paraišką pagal Aprašą tik tuo atveju, jeigu pagal nurodytas priemones įgyvendinamuose projektuose įsisavintų lėšų dalis pagal patvirtintus mokėjimo prašymus paraiškos pateikimo dieną yra ne mažesnė nei 50 procentų.</w:t>
            </w:r>
          </w:p>
          <w:p w14:paraId="0BBA1B31" w14:textId="77777777" w:rsidR="00EF1861" w:rsidRPr="00007DB3" w:rsidRDefault="00EF1861" w:rsidP="00EF1861">
            <w:pPr>
              <w:rPr>
                <w:sz w:val="22"/>
                <w:szCs w:val="22"/>
              </w:rPr>
            </w:pPr>
            <w:r w:rsidRPr="00007DB3">
              <w:rPr>
                <w:sz w:val="22"/>
                <w:szCs w:val="22"/>
              </w:rPr>
              <w:t> </w:t>
            </w:r>
          </w:p>
          <w:p w14:paraId="7DB1D3AE" w14:textId="77777777" w:rsidR="00EF1861" w:rsidRPr="00007DB3" w:rsidRDefault="00EF1861" w:rsidP="00EF1861">
            <w:pPr>
              <w:rPr>
                <w:sz w:val="22"/>
                <w:szCs w:val="22"/>
              </w:rPr>
            </w:pPr>
            <w:r w:rsidRPr="00007DB3">
              <w:rPr>
                <w:sz w:val="22"/>
                <w:szCs w:val="22"/>
              </w:rPr>
              <w:t xml:space="preserve">Projektai pagal 2017-09-22 paskelbtą </w:t>
            </w:r>
            <w:r w:rsidR="0027477F" w:rsidRPr="00007DB3">
              <w:rPr>
                <w:sz w:val="22"/>
                <w:szCs w:val="22"/>
              </w:rPr>
              <w:t>kvietimą teikti paraiškas Nr. 2</w:t>
            </w:r>
            <w:r w:rsidRPr="00007DB3">
              <w:rPr>
                <w:sz w:val="22"/>
                <w:szCs w:val="22"/>
              </w:rPr>
              <w:t>, priemonę Nr. 09.4.3-ESFA-K-814 „Kompetencijos LT yra įgyvendinami be partnerių. Taip pat įgyvendinantys  projektus pareiškėjai fiziškai šiuo metu tik pradeda vykdyti projektus ir 50 proc. projektų įgyvendinimo galės užtikrinti  anksčiausiai tik 2020m. pabaigoje. Tai reiškia, kad nustatyta šiame punkte sąlyga eliminuotų tikrai pajėgius ir suinteresuotus pareiškėjus bei partnerius.</w:t>
            </w:r>
          </w:p>
          <w:p w14:paraId="2A12B2D9" w14:textId="77777777" w:rsidR="00EF1861" w:rsidRPr="00007DB3" w:rsidRDefault="00EF1861" w:rsidP="00EF1861">
            <w:pPr>
              <w:rPr>
                <w:sz w:val="22"/>
                <w:szCs w:val="22"/>
              </w:rPr>
            </w:pPr>
          </w:p>
          <w:p w14:paraId="2A63F365" w14:textId="77777777" w:rsidR="00EF1861" w:rsidRPr="000C2663" w:rsidRDefault="00EF1861" w:rsidP="00EF1861">
            <w:pPr>
              <w:rPr>
                <w:b/>
                <w:sz w:val="22"/>
                <w:szCs w:val="22"/>
              </w:rPr>
            </w:pPr>
            <w:r w:rsidRPr="000C2663">
              <w:rPr>
                <w:b/>
                <w:sz w:val="22"/>
                <w:szCs w:val="22"/>
              </w:rPr>
              <w:t>Siūlymas koreguoti finansavimo sąlygų aprašo 16 punktą</w:t>
            </w:r>
            <w:r w:rsidR="002C19A7" w:rsidRPr="000C2663">
              <w:rPr>
                <w:b/>
                <w:sz w:val="22"/>
                <w:szCs w:val="22"/>
              </w:rPr>
              <w:t xml:space="preserve"> atitinkamai:</w:t>
            </w:r>
          </w:p>
          <w:p w14:paraId="577D24E2" w14:textId="77777777" w:rsidR="0036662A" w:rsidRPr="002E396B" w:rsidRDefault="002C19A7" w:rsidP="002E396B">
            <w:pPr>
              <w:jc w:val="both"/>
              <w:rPr>
                <w:rFonts w:eastAsia="Calibri"/>
                <w:sz w:val="22"/>
                <w:szCs w:val="22"/>
                <w:lang w:eastAsia="en-US"/>
              </w:rPr>
            </w:pPr>
            <w:r w:rsidRPr="002C19A7">
              <w:rPr>
                <w:rFonts w:eastAsia="Calibri"/>
                <w:sz w:val="22"/>
                <w:szCs w:val="22"/>
                <w:lang w:eastAsia="en-US"/>
              </w:rPr>
              <w:t xml:space="preserve">Jeigu pareiškėjas ar partneris įgyvendina (dalyvauja) kaip partneris projekte pagal Priemonę (2016-11-21 paskelbtą kvietimą teikti paraiškas Nr. 1 </w:t>
            </w:r>
            <w:r w:rsidRPr="002C19A7">
              <w:rPr>
                <w:rFonts w:eastAsia="Calibri"/>
                <w:strike/>
                <w:sz w:val="22"/>
                <w:szCs w:val="22"/>
                <w:lang w:eastAsia="en-US"/>
              </w:rPr>
              <w:t>ir 2017-09-22 paskelbtą kvietimą teikti paraiškas Nr. 2</w:t>
            </w:r>
            <w:r w:rsidRPr="002C19A7">
              <w:rPr>
                <w:rFonts w:eastAsia="Calibri"/>
                <w:sz w:val="22"/>
                <w:szCs w:val="22"/>
                <w:lang w:eastAsia="en-US"/>
              </w:rPr>
              <w:t>), priemonę Nr. 09.4.3-ESFA-K-814 „Kompetencijos LT“ ir (arba) priemonę Nr. 09.4.3-ESFA-T-846 „Mokymai užsienio investuotojų darbuotojams“, jis gali teikti paraišką pagal Aprašą tik tuo atveju, jeigu pagal nurodytas priemones įgyvendinamuose projektuose įsisavintų lėšų dalis pagal patvirtintus mokėjimo prašymus paraiškos pateikimo dieną yra ne mažesnė nei 50 procentų.</w:t>
            </w:r>
          </w:p>
        </w:tc>
        <w:tc>
          <w:tcPr>
            <w:tcW w:w="3605" w:type="dxa"/>
          </w:tcPr>
          <w:p w14:paraId="76FCDEF8" w14:textId="77777777" w:rsidR="0036662A" w:rsidRPr="00007DB3" w:rsidRDefault="00E9566A" w:rsidP="00335D39">
            <w:pPr>
              <w:rPr>
                <w:b/>
                <w:sz w:val="22"/>
                <w:szCs w:val="22"/>
              </w:rPr>
            </w:pPr>
            <w:r w:rsidRPr="00007DB3">
              <w:rPr>
                <w:b/>
                <w:sz w:val="22"/>
                <w:szCs w:val="22"/>
              </w:rPr>
              <w:t>Nea</w:t>
            </w:r>
            <w:r w:rsidR="00BA61BB" w:rsidRPr="00007DB3">
              <w:rPr>
                <w:b/>
                <w:sz w:val="22"/>
                <w:szCs w:val="22"/>
              </w:rPr>
              <w:t xml:space="preserve">tsižvelgta. </w:t>
            </w:r>
          </w:p>
          <w:p w14:paraId="5E02CD5F" w14:textId="08E4183C" w:rsidR="00BA61BB" w:rsidRPr="004B5E0D" w:rsidRDefault="00A37373" w:rsidP="00EE7478">
            <w:pPr>
              <w:rPr>
                <w:i/>
                <w:sz w:val="22"/>
                <w:szCs w:val="22"/>
              </w:rPr>
            </w:pPr>
            <w:r w:rsidRPr="00007DB3">
              <w:rPr>
                <w:sz w:val="22"/>
                <w:szCs w:val="22"/>
              </w:rPr>
              <w:t xml:space="preserve">Įvertinus </w:t>
            </w:r>
            <w:r w:rsidR="000C4477" w:rsidRPr="00007DB3">
              <w:rPr>
                <w:sz w:val="22"/>
                <w:szCs w:val="22"/>
              </w:rPr>
              <w:t xml:space="preserve">pagal antrąjį </w:t>
            </w:r>
            <w:r w:rsidR="00AC3705" w:rsidRPr="00007DB3">
              <w:rPr>
                <w:sz w:val="22"/>
                <w:szCs w:val="22"/>
              </w:rPr>
              <w:t xml:space="preserve">(skelbtas 2017-09-22) </w:t>
            </w:r>
            <w:r w:rsidR="000C4477" w:rsidRPr="00007DB3">
              <w:rPr>
                <w:sz w:val="22"/>
                <w:szCs w:val="22"/>
              </w:rPr>
              <w:t>priemonės</w:t>
            </w:r>
            <w:r w:rsidR="00AC3705" w:rsidRPr="00007DB3">
              <w:rPr>
                <w:sz w:val="22"/>
                <w:szCs w:val="22"/>
                <w:lang w:eastAsia="en-US"/>
              </w:rPr>
              <w:t xml:space="preserve"> „</w:t>
            </w:r>
            <w:r w:rsidR="00AC3705" w:rsidRPr="00007DB3">
              <w:rPr>
                <w:sz w:val="22"/>
                <w:szCs w:val="22"/>
              </w:rPr>
              <w:t>Praktinių įgūdžių įgijimo rėmimas ir skatinimas“</w:t>
            </w:r>
            <w:r w:rsidR="000C4477" w:rsidRPr="00007DB3">
              <w:rPr>
                <w:sz w:val="22"/>
                <w:szCs w:val="22"/>
              </w:rPr>
              <w:t xml:space="preserve"> </w:t>
            </w:r>
            <w:r w:rsidR="00FC4DE2" w:rsidRPr="00007DB3">
              <w:rPr>
                <w:sz w:val="22"/>
                <w:szCs w:val="22"/>
              </w:rPr>
              <w:t xml:space="preserve">kvietimą </w:t>
            </w:r>
            <w:r w:rsidR="00AC3705" w:rsidRPr="00007DB3">
              <w:rPr>
                <w:sz w:val="22"/>
                <w:szCs w:val="22"/>
              </w:rPr>
              <w:t>įgyvendinamų projektų lėšų įsisavinimo procentą</w:t>
            </w:r>
            <w:r w:rsidR="00E15B0F" w:rsidRPr="00007DB3">
              <w:rPr>
                <w:sz w:val="22"/>
                <w:szCs w:val="22"/>
              </w:rPr>
              <w:t xml:space="preserve"> 2019</w:t>
            </w:r>
            <w:r w:rsidR="00060B4D">
              <w:rPr>
                <w:sz w:val="22"/>
                <w:szCs w:val="22"/>
              </w:rPr>
              <w:t>-01-17</w:t>
            </w:r>
            <w:r w:rsidR="00AC3705" w:rsidRPr="00007DB3">
              <w:rPr>
                <w:sz w:val="22"/>
                <w:szCs w:val="22"/>
              </w:rPr>
              <w:t xml:space="preserve">, </w:t>
            </w:r>
            <w:r w:rsidR="00060B4D">
              <w:rPr>
                <w:sz w:val="22"/>
                <w:szCs w:val="22"/>
              </w:rPr>
              <w:t xml:space="preserve">matome, kad tik 1 iš </w:t>
            </w:r>
            <w:r w:rsidR="00FC4DE2" w:rsidRPr="00007DB3">
              <w:rPr>
                <w:sz w:val="22"/>
                <w:szCs w:val="22"/>
              </w:rPr>
              <w:t>7 projektų nėra pasiekęs 50</w:t>
            </w:r>
            <w:r w:rsidR="00EE7478">
              <w:rPr>
                <w:sz w:val="22"/>
                <w:szCs w:val="22"/>
              </w:rPr>
              <w:t xml:space="preserve"> proc.</w:t>
            </w:r>
            <w:r w:rsidR="0066611A" w:rsidRPr="00007DB3">
              <w:rPr>
                <w:sz w:val="22"/>
                <w:szCs w:val="22"/>
              </w:rPr>
              <w:t xml:space="preserve"> </w:t>
            </w:r>
            <w:r w:rsidR="00E15B0F" w:rsidRPr="00007DB3">
              <w:rPr>
                <w:sz w:val="22"/>
                <w:szCs w:val="22"/>
              </w:rPr>
              <w:t xml:space="preserve">lėšų </w:t>
            </w:r>
            <w:r w:rsidR="00FC4DE2" w:rsidRPr="00007DB3">
              <w:rPr>
                <w:sz w:val="22"/>
                <w:szCs w:val="22"/>
              </w:rPr>
              <w:t>įsisavinimo pagal patvirti</w:t>
            </w:r>
            <w:r w:rsidR="0066611A" w:rsidRPr="00007DB3">
              <w:rPr>
                <w:sz w:val="22"/>
                <w:szCs w:val="22"/>
              </w:rPr>
              <w:t>ntus mokėjimo prašymus. Tikėtina, kad i</w:t>
            </w:r>
            <w:r w:rsidR="00FA604A" w:rsidRPr="00007DB3">
              <w:rPr>
                <w:sz w:val="22"/>
                <w:szCs w:val="22"/>
              </w:rPr>
              <w:t>ki priemonės kvietimo paskelbimo</w:t>
            </w:r>
            <w:r w:rsidR="0066611A" w:rsidRPr="00007DB3">
              <w:rPr>
                <w:sz w:val="22"/>
                <w:szCs w:val="22"/>
              </w:rPr>
              <w:t xml:space="preserve"> ir šis </w:t>
            </w:r>
            <w:r w:rsidR="00A617BF" w:rsidRPr="00007DB3">
              <w:rPr>
                <w:sz w:val="22"/>
                <w:szCs w:val="22"/>
              </w:rPr>
              <w:t>pareiškėjas</w:t>
            </w:r>
            <w:r w:rsidR="00FA604A" w:rsidRPr="00007DB3">
              <w:rPr>
                <w:sz w:val="22"/>
                <w:szCs w:val="22"/>
              </w:rPr>
              <w:t xml:space="preserve"> </w:t>
            </w:r>
            <w:r w:rsidR="0066611A" w:rsidRPr="00007DB3">
              <w:rPr>
                <w:sz w:val="22"/>
                <w:szCs w:val="22"/>
              </w:rPr>
              <w:t>bus pasiekęs 50</w:t>
            </w:r>
            <w:r w:rsidR="00EE7478">
              <w:rPr>
                <w:sz w:val="22"/>
                <w:szCs w:val="22"/>
              </w:rPr>
              <w:t xml:space="preserve"> proc.</w:t>
            </w:r>
            <w:r w:rsidR="0066611A" w:rsidRPr="00007DB3">
              <w:rPr>
                <w:sz w:val="22"/>
                <w:szCs w:val="22"/>
              </w:rPr>
              <w:t xml:space="preserve"> lėšų įsisavinimo ribą.</w:t>
            </w:r>
          </w:p>
        </w:tc>
      </w:tr>
      <w:tr w:rsidR="00857300" w:rsidRPr="00007DB3" w14:paraId="510F5FA3" w14:textId="77777777" w:rsidTr="00E747C2">
        <w:tc>
          <w:tcPr>
            <w:tcW w:w="567" w:type="dxa"/>
            <w:vMerge w:val="restart"/>
          </w:tcPr>
          <w:p w14:paraId="51CC12CF" w14:textId="77777777" w:rsidR="00857300" w:rsidRPr="00007DB3" w:rsidRDefault="00857300" w:rsidP="0036662A">
            <w:pPr>
              <w:pStyle w:val="ListParagraph"/>
              <w:numPr>
                <w:ilvl w:val="0"/>
                <w:numId w:val="1"/>
              </w:numPr>
              <w:jc w:val="both"/>
              <w:rPr>
                <w:sz w:val="22"/>
                <w:szCs w:val="22"/>
              </w:rPr>
            </w:pPr>
          </w:p>
        </w:tc>
        <w:tc>
          <w:tcPr>
            <w:tcW w:w="1985" w:type="dxa"/>
            <w:vMerge w:val="restart"/>
          </w:tcPr>
          <w:p w14:paraId="1CFA752E" w14:textId="77777777" w:rsidR="00857300" w:rsidRPr="00007DB3" w:rsidRDefault="00857300" w:rsidP="00335D39">
            <w:pPr>
              <w:rPr>
                <w:sz w:val="22"/>
                <w:szCs w:val="22"/>
              </w:rPr>
            </w:pPr>
            <w:r w:rsidRPr="00007DB3">
              <w:rPr>
                <w:sz w:val="22"/>
                <w:szCs w:val="22"/>
              </w:rPr>
              <w:t>Jaunimo verslumo skatinimo asociacija</w:t>
            </w:r>
            <w:r w:rsidR="00776B50" w:rsidRPr="00007DB3">
              <w:rPr>
                <w:sz w:val="22"/>
                <w:szCs w:val="22"/>
              </w:rPr>
              <w:t xml:space="preserve">, Lietuvos verslo </w:t>
            </w:r>
            <w:r w:rsidR="00EC42CF" w:rsidRPr="00007DB3">
              <w:rPr>
                <w:sz w:val="22"/>
                <w:szCs w:val="22"/>
              </w:rPr>
              <w:t xml:space="preserve">konfederacija ir UAB „Arginta group“ </w:t>
            </w:r>
            <w:r w:rsidR="00776B50" w:rsidRPr="00007DB3">
              <w:rPr>
                <w:sz w:val="22"/>
                <w:szCs w:val="22"/>
              </w:rPr>
              <w:t>jungtines pastabos, pasiūlymai</w:t>
            </w:r>
          </w:p>
        </w:tc>
        <w:tc>
          <w:tcPr>
            <w:tcW w:w="8585" w:type="dxa"/>
          </w:tcPr>
          <w:p w14:paraId="4F6E215A" w14:textId="77777777" w:rsidR="00857300" w:rsidRPr="00007DB3" w:rsidRDefault="00857300" w:rsidP="00F40574">
            <w:pPr>
              <w:rPr>
                <w:sz w:val="22"/>
                <w:szCs w:val="22"/>
              </w:rPr>
            </w:pPr>
            <w:r w:rsidRPr="00007DB3">
              <w:rPr>
                <w:sz w:val="22"/>
                <w:szCs w:val="22"/>
              </w:rPr>
              <w:t>Ar asociacijos gali būti pareiškėjais? Kol kas parašyta, kad gali būti tik partneriais, tada nelabai aišku kam jos apskritai bus reikalingos.</w:t>
            </w:r>
          </w:p>
          <w:p w14:paraId="4F026A03" w14:textId="77777777" w:rsidR="00857300" w:rsidRPr="00007DB3" w:rsidRDefault="00857300" w:rsidP="00335D39">
            <w:pPr>
              <w:rPr>
                <w:sz w:val="22"/>
                <w:szCs w:val="22"/>
              </w:rPr>
            </w:pPr>
          </w:p>
        </w:tc>
        <w:tc>
          <w:tcPr>
            <w:tcW w:w="3605" w:type="dxa"/>
          </w:tcPr>
          <w:p w14:paraId="2AA9D9A5" w14:textId="77777777" w:rsidR="00857300" w:rsidRPr="00007DB3" w:rsidRDefault="004634D6" w:rsidP="00BE4F88">
            <w:pPr>
              <w:rPr>
                <w:sz w:val="22"/>
                <w:szCs w:val="22"/>
              </w:rPr>
            </w:pPr>
            <w:r w:rsidRPr="00007DB3">
              <w:rPr>
                <w:sz w:val="22"/>
                <w:szCs w:val="22"/>
              </w:rPr>
              <w:t xml:space="preserve">Asociacijos pagal PFSA projektą gali būti tik partneriais. </w:t>
            </w:r>
            <w:r w:rsidR="00BF2E8C" w:rsidRPr="00007DB3">
              <w:rPr>
                <w:sz w:val="22"/>
                <w:szCs w:val="22"/>
              </w:rPr>
              <w:t xml:space="preserve">Kokias funkcijas projekte atliktų asociacija priklausytų nuo funkcijų pasidalijimo tarp projekto pareiškėjo ir partnerio, kas butų numatyta jungtinėje </w:t>
            </w:r>
            <w:r w:rsidR="00BF2E8C" w:rsidRPr="00007DB3">
              <w:rPr>
                <w:sz w:val="22"/>
                <w:szCs w:val="22"/>
                <w:lang w:bidi="lt-LT"/>
              </w:rPr>
              <w:t>veiklos (partnerystės) sutartyje. Asociacija kaip pvz.</w:t>
            </w:r>
            <w:r w:rsidR="00EE7478">
              <w:rPr>
                <w:sz w:val="22"/>
                <w:szCs w:val="22"/>
                <w:lang w:bidi="lt-LT"/>
              </w:rPr>
              <w:t>,</w:t>
            </w:r>
            <w:r w:rsidR="00BF2E8C" w:rsidRPr="00007DB3">
              <w:rPr>
                <w:sz w:val="22"/>
                <w:szCs w:val="22"/>
                <w:lang w:bidi="lt-LT"/>
              </w:rPr>
              <w:t xml:space="preserve"> galėtų atlikti </w:t>
            </w:r>
            <w:r w:rsidR="008E6A72" w:rsidRPr="00007DB3">
              <w:rPr>
                <w:sz w:val="22"/>
                <w:szCs w:val="22"/>
                <w:lang w:bidi="lt-LT"/>
              </w:rPr>
              <w:t xml:space="preserve">projekto veiklų </w:t>
            </w:r>
            <w:r w:rsidR="00BF2E8C" w:rsidRPr="00007DB3">
              <w:rPr>
                <w:sz w:val="22"/>
                <w:szCs w:val="22"/>
                <w:lang w:bidi="lt-LT"/>
              </w:rPr>
              <w:t>koordinatoriaus vaidme</w:t>
            </w:r>
            <w:r w:rsidR="008E6A72" w:rsidRPr="00007DB3">
              <w:rPr>
                <w:sz w:val="22"/>
                <w:szCs w:val="22"/>
                <w:lang w:bidi="lt-LT"/>
              </w:rPr>
              <w:t>nį.</w:t>
            </w:r>
            <w:r w:rsidR="009B1D47" w:rsidRPr="004B5E0D">
              <w:rPr>
                <w:sz w:val="22"/>
                <w:szCs w:val="22"/>
                <w:lang w:bidi="lt-LT"/>
              </w:rPr>
              <w:t xml:space="preserve"> </w:t>
            </w:r>
            <w:r w:rsidR="009B1D47" w:rsidRPr="00007DB3">
              <w:rPr>
                <w:sz w:val="22"/>
                <w:szCs w:val="22"/>
                <w:lang w:bidi="lt-LT"/>
              </w:rPr>
              <w:t xml:space="preserve">Sektorinės verslo asociacijos turi </w:t>
            </w:r>
            <w:r w:rsidR="009B1D47" w:rsidRPr="00007DB3">
              <w:rPr>
                <w:sz w:val="22"/>
                <w:szCs w:val="22"/>
                <w:lang w:bidi="lt-LT"/>
              </w:rPr>
              <w:lastRenderedPageBreak/>
              <w:t>didesnes galimybes u</w:t>
            </w:r>
            <w:r w:rsidR="008E6A72" w:rsidRPr="00007DB3">
              <w:rPr>
                <w:sz w:val="22"/>
                <w:szCs w:val="22"/>
                <w:lang w:bidi="lt-LT"/>
              </w:rPr>
              <w:t>žtikrinti kokybišką ir įvairialypį</w:t>
            </w:r>
            <w:r w:rsidR="009B1D47" w:rsidRPr="00007DB3">
              <w:rPr>
                <w:sz w:val="22"/>
                <w:szCs w:val="22"/>
                <w:lang w:bidi="lt-LT"/>
              </w:rPr>
              <w:t xml:space="preserve"> mokymą pameistrystės forma,</w:t>
            </w:r>
            <w:r w:rsidR="00BE4F88" w:rsidRPr="00007DB3">
              <w:rPr>
                <w:sz w:val="22"/>
                <w:szCs w:val="22"/>
                <w:lang w:bidi="lt-LT"/>
              </w:rPr>
              <w:t xml:space="preserve"> turi sukaupę patirties </w:t>
            </w:r>
            <w:r w:rsidR="00D01C8F" w:rsidRPr="00007DB3">
              <w:rPr>
                <w:sz w:val="22"/>
                <w:szCs w:val="22"/>
                <w:lang w:bidi="lt-LT"/>
              </w:rPr>
              <w:t xml:space="preserve">ir </w:t>
            </w:r>
            <w:r w:rsidR="00BE4F88" w:rsidRPr="00007DB3">
              <w:rPr>
                <w:sz w:val="22"/>
                <w:szCs w:val="22"/>
                <w:lang w:bidi="lt-LT"/>
              </w:rPr>
              <w:t xml:space="preserve">informacijos, kokios profesijos reikalingos </w:t>
            </w:r>
            <w:r w:rsidR="008E6A72" w:rsidRPr="00007DB3">
              <w:rPr>
                <w:sz w:val="22"/>
                <w:szCs w:val="22"/>
                <w:lang w:bidi="lt-LT"/>
              </w:rPr>
              <w:t>darbo rinkai ir pan.</w:t>
            </w:r>
          </w:p>
        </w:tc>
      </w:tr>
      <w:tr w:rsidR="00857300" w:rsidRPr="000574D1" w14:paraId="437B30EF" w14:textId="77777777" w:rsidTr="00603C1C">
        <w:tc>
          <w:tcPr>
            <w:tcW w:w="567" w:type="dxa"/>
            <w:vMerge/>
          </w:tcPr>
          <w:p w14:paraId="55D4E21B" w14:textId="77777777" w:rsidR="00857300" w:rsidRPr="000574D1" w:rsidRDefault="00857300" w:rsidP="0036662A">
            <w:pPr>
              <w:pStyle w:val="ListParagraph"/>
              <w:numPr>
                <w:ilvl w:val="0"/>
                <w:numId w:val="1"/>
              </w:numPr>
              <w:jc w:val="both"/>
              <w:rPr>
                <w:sz w:val="22"/>
                <w:szCs w:val="22"/>
              </w:rPr>
            </w:pPr>
          </w:p>
        </w:tc>
        <w:tc>
          <w:tcPr>
            <w:tcW w:w="1985" w:type="dxa"/>
            <w:vMerge/>
          </w:tcPr>
          <w:p w14:paraId="62F3033E" w14:textId="77777777" w:rsidR="00857300" w:rsidRPr="000574D1" w:rsidRDefault="00857300" w:rsidP="00335D39">
            <w:pPr>
              <w:rPr>
                <w:sz w:val="22"/>
                <w:szCs w:val="22"/>
              </w:rPr>
            </w:pPr>
          </w:p>
        </w:tc>
        <w:tc>
          <w:tcPr>
            <w:tcW w:w="8585" w:type="dxa"/>
            <w:shd w:val="clear" w:color="auto" w:fill="auto"/>
          </w:tcPr>
          <w:p w14:paraId="1FD04EC5" w14:textId="77777777" w:rsidR="00857300" w:rsidRPr="000574D1" w:rsidRDefault="00857300" w:rsidP="00F40574">
            <w:pPr>
              <w:rPr>
                <w:sz w:val="22"/>
                <w:szCs w:val="22"/>
              </w:rPr>
            </w:pPr>
            <w:r w:rsidRPr="000574D1">
              <w:rPr>
                <w:sz w:val="22"/>
                <w:szCs w:val="22"/>
              </w:rPr>
              <w:t>Kaip suprantama darbo vieta, pvz.</w:t>
            </w:r>
            <w:r w:rsidR="00EE7478" w:rsidRPr="000574D1">
              <w:rPr>
                <w:sz w:val="22"/>
                <w:szCs w:val="22"/>
              </w:rPr>
              <w:t>,</w:t>
            </w:r>
            <w:r w:rsidRPr="000574D1">
              <w:rPr>
                <w:sz w:val="22"/>
                <w:szCs w:val="22"/>
              </w:rPr>
              <w:t xml:space="preserve"> vairuotojų arba renginių aptarnautojų atveju?</w:t>
            </w:r>
          </w:p>
          <w:p w14:paraId="156AAEF7" w14:textId="77777777" w:rsidR="00857300" w:rsidRPr="000574D1" w:rsidRDefault="00857300" w:rsidP="00335D39">
            <w:pPr>
              <w:rPr>
                <w:sz w:val="22"/>
                <w:szCs w:val="22"/>
              </w:rPr>
            </w:pPr>
          </w:p>
        </w:tc>
        <w:tc>
          <w:tcPr>
            <w:tcW w:w="3605" w:type="dxa"/>
            <w:shd w:val="clear" w:color="auto" w:fill="auto"/>
          </w:tcPr>
          <w:p w14:paraId="38C6F393" w14:textId="013EAA54" w:rsidR="00857300" w:rsidRPr="000574D1" w:rsidRDefault="00857300" w:rsidP="00BA7441">
            <w:pPr>
              <w:rPr>
                <w:sz w:val="22"/>
                <w:szCs w:val="22"/>
              </w:rPr>
            </w:pPr>
            <w:r w:rsidRPr="000574D1">
              <w:rPr>
                <w:sz w:val="22"/>
                <w:szCs w:val="22"/>
              </w:rPr>
              <w:t xml:space="preserve">Sąvoka pateikta PFSA projekto 4.2. papunktyje. </w:t>
            </w:r>
            <w:r w:rsidRPr="000574D1">
              <w:rPr>
                <w:b/>
                <w:i/>
                <w:sz w:val="22"/>
                <w:szCs w:val="22"/>
              </w:rPr>
              <w:t>Darbo vieta</w:t>
            </w:r>
            <w:r w:rsidRPr="000574D1">
              <w:rPr>
                <w:i/>
                <w:sz w:val="22"/>
                <w:szCs w:val="22"/>
              </w:rPr>
              <w:t xml:space="preserve"> – vieta, kurioje vykdomas praktinis mokymas, suteikiantis darbuotojui (-ams) konkrečioje darbo vietoje reikalingų kompetencijų</w:t>
            </w:r>
            <w:r w:rsidRPr="000574D1">
              <w:rPr>
                <w:sz w:val="22"/>
                <w:szCs w:val="22"/>
              </w:rPr>
              <w:t>. Darbo vieta gali būti suprantama ir kaip kita vie</w:t>
            </w:r>
            <w:r w:rsidR="00EE7478" w:rsidRPr="000574D1">
              <w:rPr>
                <w:sz w:val="22"/>
                <w:szCs w:val="22"/>
              </w:rPr>
              <w:t>t</w:t>
            </w:r>
            <w:r w:rsidRPr="000574D1">
              <w:rPr>
                <w:sz w:val="22"/>
                <w:szCs w:val="22"/>
              </w:rPr>
              <w:t>a tinkama mokymui, nebūtinai tai turi būti įmonė.</w:t>
            </w:r>
            <w:r w:rsidR="00BA7441" w:rsidRPr="000574D1" w:rsidDel="00BA7441">
              <w:rPr>
                <w:sz w:val="22"/>
                <w:szCs w:val="22"/>
              </w:rPr>
              <w:t xml:space="preserve"> </w:t>
            </w:r>
          </w:p>
        </w:tc>
      </w:tr>
      <w:tr w:rsidR="00857300" w:rsidRPr="00007DB3" w14:paraId="62D66176" w14:textId="77777777" w:rsidTr="00E747C2">
        <w:tc>
          <w:tcPr>
            <w:tcW w:w="567" w:type="dxa"/>
            <w:vMerge/>
          </w:tcPr>
          <w:p w14:paraId="68111531" w14:textId="77777777" w:rsidR="00857300" w:rsidRPr="00007DB3" w:rsidRDefault="00857300" w:rsidP="0036662A">
            <w:pPr>
              <w:pStyle w:val="ListParagraph"/>
              <w:numPr>
                <w:ilvl w:val="0"/>
                <w:numId w:val="1"/>
              </w:numPr>
              <w:jc w:val="both"/>
              <w:rPr>
                <w:sz w:val="22"/>
                <w:szCs w:val="22"/>
              </w:rPr>
            </w:pPr>
          </w:p>
        </w:tc>
        <w:tc>
          <w:tcPr>
            <w:tcW w:w="1985" w:type="dxa"/>
            <w:vMerge/>
          </w:tcPr>
          <w:p w14:paraId="7266E6DE" w14:textId="77777777" w:rsidR="00857300" w:rsidRPr="00007DB3" w:rsidRDefault="00857300" w:rsidP="00335D39">
            <w:pPr>
              <w:rPr>
                <w:sz w:val="22"/>
                <w:szCs w:val="22"/>
              </w:rPr>
            </w:pPr>
          </w:p>
        </w:tc>
        <w:tc>
          <w:tcPr>
            <w:tcW w:w="8585" w:type="dxa"/>
          </w:tcPr>
          <w:p w14:paraId="70B3CC54" w14:textId="77777777" w:rsidR="00857300" w:rsidRPr="00007DB3" w:rsidRDefault="00857300" w:rsidP="00F40574">
            <w:pPr>
              <w:rPr>
                <w:sz w:val="22"/>
                <w:szCs w:val="22"/>
              </w:rPr>
            </w:pPr>
            <w:r w:rsidRPr="00007DB3">
              <w:rPr>
                <w:sz w:val="22"/>
                <w:szCs w:val="22"/>
              </w:rPr>
              <w:t>Kaip turėtų būti įforminamas mokymas darbo vietoje</w:t>
            </w:r>
          </w:p>
          <w:p w14:paraId="3CB2B21E" w14:textId="77777777" w:rsidR="00857300" w:rsidRPr="00007DB3" w:rsidRDefault="00857300" w:rsidP="00335D39">
            <w:pPr>
              <w:rPr>
                <w:sz w:val="22"/>
                <w:szCs w:val="22"/>
              </w:rPr>
            </w:pPr>
          </w:p>
        </w:tc>
        <w:tc>
          <w:tcPr>
            <w:tcW w:w="3605" w:type="dxa"/>
          </w:tcPr>
          <w:p w14:paraId="2E680FA0" w14:textId="7AF204F8" w:rsidR="00857300" w:rsidRPr="00007DB3" w:rsidRDefault="00857300" w:rsidP="009C2F50">
            <w:pPr>
              <w:rPr>
                <w:sz w:val="22"/>
                <w:szCs w:val="22"/>
              </w:rPr>
            </w:pPr>
            <w:r w:rsidRPr="00007DB3">
              <w:rPr>
                <w:sz w:val="22"/>
                <w:szCs w:val="22"/>
              </w:rPr>
              <w:t xml:space="preserve">Veiklai pagrįsti, projekto vykdytojas turi pateikti  mokymų (renginio) dalyvių sąrašą su parašais kiekvienai renginio dienai, pažymėjimų suvestinę ir baigimo pažymėjimo pavyzdį arba pažymėjimų kopijas. Patikrų metų </w:t>
            </w:r>
            <w:r w:rsidR="006A0BBC" w:rsidRPr="00007DB3">
              <w:rPr>
                <w:sz w:val="22"/>
                <w:szCs w:val="22"/>
              </w:rPr>
              <w:t>įgyvendinančioji agentūra (ESFA) patikrina</w:t>
            </w:r>
            <w:r w:rsidRPr="00007DB3">
              <w:rPr>
                <w:sz w:val="22"/>
                <w:szCs w:val="22"/>
              </w:rPr>
              <w:t xml:space="preserve"> mokymų medžiagą. Mokymai turi vykti pagal mokymo programas, pateiktas kartu su paraiška. </w:t>
            </w:r>
          </w:p>
          <w:p w14:paraId="692C4816" w14:textId="19845DA7" w:rsidR="00857300" w:rsidRPr="00007DB3" w:rsidRDefault="00857300" w:rsidP="006A0BBC">
            <w:pPr>
              <w:rPr>
                <w:sz w:val="22"/>
                <w:szCs w:val="22"/>
              </w:rPr>
            </w:pPr>
            <w:r w:rsidRPr="00007DB3">
              <w:rPr>
                <w:sz w:val="22"/>
                <w:szCs w:val="22"/>
              </w:rPr>
              <w:t xml:space="preserve">Lektoriaus ir dalyvių darbo užmokesčio išlaidoms pagrįsti teikiami dokumentai, nurodyti </w:t>
            </w:r>
            <w:r w:rsidR="004B5E0D" w:rsidRPr="004B5E0D">
              <w:rPr>
                <w:sz w:val="22"/>
                <w:szCs w:val="22"/>
              </w:rPr>
              <w:t>Rekomendacijos</w:t>
            </w:r>
            <w:r w:rsidR="004B5E0D">
              <w:rPr>
                <w:sz w:val="22"/>
                <w:szCs w:val="22"/>
              </w:rPr>
              <w:t>e</w:t>
            </w:r>
            <w:r w:rsidR="004B5E0D" w:rsidRPr="004B5E0D">
              <w:rPr>
                <w:sz w:val="22"/>
                <w:szCs w:val="22"/>
              </w:rPr>
              <w:t xml:space="preserve"> dėl projektų išlaidų atitikties Europos Sąjungos struktūrinių fondų reikalavimams</w:t>
            </w:r>
            <w:r w:rsidRPr="00007DB3">
              <w:rPr>
                <w:sz w:val="22"/>
                <w:szCs w:val="22"/>
              </w:rPr>
              <w:t xml:space="preserve">. </w:t>
            </w:r>
          </w:p>
        </w:tc>
      </w:tr>
      <w:tr w:rsidR="00857300" w:rsidRPr="00007DB3" w14:paraId="319D9E6A" w14:textId="77777777" w:rsidTr="00E747C2">
        <w:tc>
          <w:tcPr>
            <w:tcW w:w="567" w:type="dxa"/>
            <w:vMerge/>
          </w:tcPr>
          <w:p w14:paraId="5565D42B" w14:textId="77777777" w:rsidR="00857300" w:rsidRPr="00007DB3" w:rsidRDefault="00857300" w:rsidP="0036662A">
            <w:pPr>
              <w:pStyle w:val="ListParagraph"/>
              <w:numPr>
                <w:ilvl w:val="0"/>
                <w:numId w:val="1"/>
              </w:numPr>
              <w:jc w:val="both"/>
              <w:rPr>
                <w:sz w:val="22"/>
                <w:szCs w:val="22"/>
              </w:rPr>
            </w:pPr>
          </w:p>
        </w:tc>
        <w:tc>
          <w:tcPr>
            <w:tcW w:w="1985" w:type="dxa"/>
            <w:vMerge/>
          </w:tcPr>
          <w:p w14:paraId="3E894977" w14:textId="77777777" w:rsidR="00857300" w:rsidRPr="00007DB3" w:rsidRDefault="00857300" w:rsidP="00335D39">
            <w:pPr>
              <w:rPr>
                <w:sz w:val="22"/>
                <w:szCs w:val="22"/>
              </w:rPr>
            </w:pPr>
          </w:p>
        </w:tc>
        <w:tc>
          <w:tcPr>
            <w:tcW w:w="8585" w:type="dxa"/>
          </w:tcPr>
          <w:p w14:paraId="33D43DE3" w14:textId="77777777" w:rsidR="00857300" w:rsidRPr="00493EFD" w:rsidRDefault="00857300" w:rsidP="00F40574">
            <w:pPr>
              <w:rPr>
                <w:sz w:val="22"/>
                <w:szCs w:val="22"/>
              </w:rPr>
            </w:pPr>
            <w:r w:rsidRPr="00493EFD">
              <w:rPr>
                <w:sz w:val="22"/>
                <w:szCs w:val="22"/>
              </w:rPr>
              <w:t>Ar turi būti meistras (atsakingas už organizavimą įmonėje)?</w:t>
            </w:r>
          </w:p>
          <w:p w14:paraId="7056F744" w14:textId="77777777" w:rsidR="00857300" w:rsidRPr="00493EFD" w:rsidRDefault="00857300" w:rsidP="00335D39">
            <w:pPr>
              <w:rPr>
                <w:sz w:val="22"/>
                <w:szCs w:val="22"/>
              </w:rPr>
            </w:pPr>
          </w:p>
        </w:tc>
        <w:tc>
          <w:tcPr>
            <w:tcW w:w="3605" w:type="dxa"/>
          </w:tcPr>
          <w:p w14:paraId="5358E8AF" w14:textId="77777777" w:rsidR="00240309" w:rsidRPr="00240309" w:rsidRDefault="00240309" w:rsidP="00240309">
            <w:pPr>
              <w:rPr>
                <w:sz w:val="22"/>
                <w:szCs w:val="22"/>
              </w:rPr>
            </w:pPr>
            <w:r>
              <w:rPr>
                <w:sz w:val="22"/>
                <w:szCs w:val="22"/>
              </w:rPr>
              <w:t>Lietuvos R</w:t>
            </w:r>
            <w:r w:rsidRPr="00240309">
              <w:rPr>
                <w:sz w:val="22"/>
                <w:szCs w:val="22"/>
              </w:rPr>
              <w:t>espublikos</w:t>
            </w:r>
          </w:p>
          <w:p w14:paraId="14E35A84" w14:textId="77777777" w:rsidR="00240309" w:rsidRPr="00240309" w:rsidRDefault="00240309" w:rsidP="00240309">
            <w:pPr>
              <w:rPr>
                <w:sz w:val="22"/>
                <w:szCs w:val="22"/>
              </w:rPr>
            </w:pPr>
            <w:r w:rsidRPr="00240309">
              <w:rPr>
                <w:sz w:val="22"/>
                <w:szCs w:val="22"/>
              </w:rPr>
              <w:t>darbo kodekso patvirtinim</w:t>
            </w:r>
            <w:r>
              <w:rPr>
                <w:sz w:val="22"/>
                <w:szCs w:val="22"/>
              </w:rPr>
              <w:t>o, įsigaliojimo ir įgyvendinimo įstatymo</w:t>
            </w:r>
          </w:p>
          <w:p w14:paraId="711444BB" w14:textId="77777777" w:rsidR="00857300" w:rsidRPr="00FD1478" w:rsidRDefault="00936F2F" w:rsidP="00755E48">
            <w:pPr>
              <w:rPr>
                <w:sz w:val="22"/>
                <w:szCs w:val="22"/>
              </w:rPr>
            </w:pPr>
            <w:r w:rsidRPr="00936F2F">
              <w:rPr>
                <w:sz w:val="22"/>
                <w:szCs w:val="22"/>
              </w:rPr>
              <w:lastRenderedPageBreak/>
              <w:t>(</w:t>
            </w:r>
            <w:r w:rsidR="00240309" w:rsidRPr="00936F2F">
              <w:rPr>
                <w:sz w:val="22"/>
                <w:szCs w:val="22"/>
              </w:rPr>
              <w:t>2016 m. rugsėjo 14 d. Nr. XII-2603</w:t>
            </w:r>
            <w:r w:rsidRPr="00936F2F">
              <w:rPr>
                <w:sz w:val="22"/>
                <w:szCs w:val="22"/>
              </w:rPr>
              <w:t xml:space="preserve">) 84 str. 7 punktas numato, kad </w:t>
            </w:r>
            <w:r>
              <w:rPr>
                <w:sz w:val="22"/>
                <w:szCs w:val="22"/>
              </w:rPr>
              <w:t>d</w:t>
            </w:r>
            <w:r w:rsidR="00755E48" w:rsidRPr="00755E48">
              <w:rPr>
                <w:sz w:val="22"/>
                <w:szCs w:val="22"/>
              </w:rPr>
              <w:t>arbdav</w:t>
            </w:r>
            <w:r>
              <w:rPr>
                <w:sz w:val="22"/>
                <w:szCs w:val="22"/>
              </w:rPr>
              <w:t xml:space="preserve">ys skiria atsakingą darbuotoją </w:t>
            </w:r>
            <w:r w:rsidR="00755E48" w:rsidRPr="00755E48">
              <w:rPr>
                <w:sz w:val="22"/>
                <w:szCs w:val="22"/>
              </w:rPr>
              <w:t>už pameistrio darbinės veiklos ir praktinio mokymo organizavimą ir atsakingą darbuotoją už darbinės veiklos ir praktinio mokymo koordinavimą (profesijos meistrą). Profesinio mokymo įstaigos vadovas skiria profesijos mokytoją pameistrio praktiniam mokymui, vyk</w:t>
            </w:r>
            <w:r w:rsidR="00FD1478">
              <w:rPr>
                <w:sz w:val="22"/>
                <w:szCs w:val="22"/>
              </w:rPr>
              <w:t>domam darbo vietoje, vadovauti.</w:t>
            </w:r>
          </w:p>
        </w:tc>
      </w:tr>
      <w:tr w:rsidR="00857300" w:rsidRPr="00007DB3" w14:paraId="2C105B65" w14:textId="77777777" w:rsidTr="00E747C2">
        <w:tc>
          <w:tcPr>
            <w:tcW w:w="567" w:type="dxa"/>
            <w:vMerge w:val="restart"/>
          </w:tcPr>
          <w:p w14:paraId="06D31251" w14:textId="77777777" w:rsidR="00857300" w:rsidRPr="00007DB3" w:rsidRDefault="00857300" w:rsidP="0036662A">
            <w:pPr>
              <w:pStyle w:val="ListParagraph"/>
              <w:numPr>
                <w:ilvl w:val="0"/>
                <w:numId w:val="1"/>
              </w:numPr>
              <w:jc w:val="both"/>
              <w:rPr>
                <w:sz w:val="22"/>
                <w:szCs w:val="22"/>
              </w:rPr>
            </w:pPr>
          </w:p>
        </w:tc>
        <w:tc>
          <w:tcPr>
            <w:tcW w:w="1985" w:type="dxa"/>
            <w:vMerge w:val="restart"/>
          </w:tcPr>
          <w:p w14:paraId="6A725DAD" w14:textId="77777777" w:rsidR="00857300" w:rsidRPr="00007DB3" w:rsidRDefault="00857300" w:rsidP="00335D39">
            <w:pPr>
              <w:rPr>
                <w:sz w:val="22"/>
                <w:szCs w:val="22"/>
              </w:rPr>
            </w:pPr>
            <w:r w:rsidRPr="00007DB3">
              <w:rPr>
                <w:sz w:val="22"/>
                <w:szCs w:val="22"/>
              </w:rPr>
              <w:t>VšĮ „Investuok Lietuvoje“</w:t>
            </w:r>
          </w:p>
        </w:tc>
        <w:tc>
          <w:tcPr>
            <w:tcW w:w="8585" w:type="dxa"/>
          </w:tcPr>
          <w:p w14:paraId="4080B527" w14:textId="77777777" w:rsidR="00007DB3" w:rsidRPr="00AA24A4" w:rsidRDefault="00007DB3" w:rsidP="00007DB3">
            <w:pPr>
              <w:rPr>
                <w:sz w:val="22"/>
                <w:szCs w:val="22"/>
                <w:lang w:bidi="lt-LT"/>
              </w:rPr>
            </w:pPr>
            <w:r w:rsidRPr="00AA24A4">
              <w:rPr>
                <w:sz w:val="22"/>
                <w:szCs w:val="22"/>
                <w:lang w:bidi="lt-LT"/>
              </w:rPr>
              <w:t>Apraše numatyta, kad priemonės tikslas - užtikrinti nuolatinį darbuotojų kvalifikacijos lygio palaikymą, jų profesinį mobilumą. Aprašo 83 p. numato, kad su mokomu asmeniu pareiškėjas turi sudaryti pameistrystės darbo sutartį, o pameistrystės darbo sutartis gali būti sudaroma tiek su projekto veiklų įgyvendinimo metu pradėjusiu dirbti asmeniu, tiek su esamu darbuotoju. Konsultacijų metu Valstybinė darbo inspekcija prie Lietuvos Respublikos socialinės apsaugos ir darbo ministerijos (toliau - VDI) informavo, kad išaiškinimas numato, kad:</w:t>
            </w:r>
          </w:p>
          <w:p w14:paraId="24B263F3" w14:textId="77777777" w:rsidR="00007DB3" w:rsidRPr="00AA24A4" w:rsidRDefault="00007DB3" w:rsidP="000C2663">
            <w:pPr>
              <w:pStyle w:val="ListParagraph"/>
              <w:numPr>
                <w:ilvl w:val="0"/>
                <w:numId w:val="5"/>
              </w:numPr>
              <w:rPr>
                <w:sz w:val="22"/>
                <w:szCs w:val="22"/>
                <w:lang w:bidi="lt-LT"/>
              </w:rPr>
            </w:pPr>
            <w:r w:rsidRPr="00AA24A4">
              <w:rPr>
                <w:sz w:val="22"/>
                <w:szCs w:val="22"/>
                <w:lang w:bidi="lt-LT"/>
              </w:rPr>
              <w:t>pameistrystės darbo sutartys gali būti sudaromos tik su naujai priimamais darbuotojais;</w:t>
            </w:r>
          </w:p>
          <w:p w14:paraId="6AB11F64" w14:textId="77777777" w:rsidR="00007DB3" w:rsidRPr="00AA24A4" w:rsidRDefault="00007DB3" w:rsidP="000C2663">
            <w:pPr>
              <w:pStyle w:val="ListParagraph"/>
              <w:numPr>
                <w:ilvl w:val="0"/>
                <w:numId w:val="5"/>
              </w:numPr>
              <w:rPr>
                <w:sz w:val="22"/>
                <w:szCs w:val="22"/>
                <w:lang w:bidi="lt-LT"/>
              </w:rPr>
            </w:pPr>
            <w:r w:rsidRPr="00AA24A4">
              <w:rPr>
                <w:sz w:val="22"/>
                <w:szCs w:val="22"/>
                <w:lang w:bidi="lt-LT"/>
              </w:rPr>
              <w:t>asmuo vienu metu negali turėti daugiau nei vienos darbo sutarties su ta pačia įmone.</w:t>
            </w:r>
          </w:p>
          <w:p w14:paraId="280E2F6C" w14:textId="77777777" w:rsidR="00007DB3" w:rsidRPr="00AA24A4" w:rsidRDefault="00007DB3" w:rsidP="00007DB3">
            <w:pPr>
              <w:rPr>
                <w:sz w:val="22"/>
                <w:szCs w:val="22"/>
                <w:lang w:bidi="lt-LT"/>
              </w:rPr>
            </w:pPr>
            <w:r w:rsidRPr="00AA24A4">
              <w:rPr>
                <w:sz w:val="22"/>
                <w:szCs w:val="22"/>
                <w:lang w:bidi="lt-LT"/>
              </w:rPr>
              <w:t>Atsižvelgiant į konsultacijų metu pateiktą VDI išaiškinimą Investuok Lietuvoje vertinimu Aprašo 83 punktas negalės būti įgyvendintas praktikoje. Siekiant pameistrystės būdu kelti esamų darbuotojų kvalifikaciją darbdaviai bus įpareigoti nutraukti esamas darbo sutartis bei sudaryti pameistrystės darbo sutartis. Investuok Lietuvoje manymu tokios praktikos įgyvendinimas ne tik sukurtų papildomą administracinę naštą darbdaviams, tačiau ir galimai pažeistų darbuotojų interesus.</w:t>
            </w:r>
          </w:p>
          <w:p w14:paraId="433E11E2" w14:textId="77777777" w:rsidR="00007DB3" w:rsidRPr="00AA24A4" w:rsidRDefault="000C2663" w:rsidP="00007DB3">
            <w:pPr>
              <w:rPr>
                <w:b/>
                <w:bCs/>
                <w:sz w:val="22"/>
                <w:szCs w:val="22"/>
                <w:lang w:bidi="lt-LT"/>
              </w:rPr>
            </w:pPr>
            <w:r w:rsidRPr="00AA24A4">
              <w:rPr>
                <w:b/>
                <w:bCs/>
                <w:sz w:val="22"/>
                <w:szCs w:val="22"/>
                <w:lang w:bidi="lt-LT"/>
              </w:rPr>
              <w:t>S</w:t>
            </w:r>
            <w:r w:rsidR="00007DB3" w:rsidRPr="00AA24A4">
              <w:rPr>
                <w:b/>
                <w:bCs/>
                <w:sz w:val="22"/>
                <w:szCs w:val="22"/>
                <w:lang w:bidi="lt-LT"/>
              </w:rPr>
              <w:t>iūlo</w:t>
            </w:r>
            <w:r w:rsidRPr="00AA24A4">
              <w:rPr>
                <w:b/>
                <w:bCs/>
                <w:sz w:val="22"/>
                <w:szCs w:val="22"/>
                <w:lang w:bidi="lt-LT"/>
              </w:rPr>
              <w:t>ma</w:t>
            </w:r>
            <w:r w:rsidR="00007DB3" w:rsidRPr="00AA24A4">
              <w:rPr>
                <w:b/>
                <w:bCs/>
                <w:sz w:val="22"/>
                <w:szCs w:val="22"/>
                <w:lang w:bidi="lt-LT"/>
              </w:rPr>
              <w:t xml:space="preserve"> papildyti 83 punktą numatant, kad su esamais darbuotojais pareiškėjas turi sudaryti pameistrystės mokymo sutartį ir (ar) pameistrystės darbo sutartį. Siūlome Aprašo 83 punktą išdėstyti tokia redakcija:</w:t>
            </w:r>
          </w:p>
          <w:p w14:paraId="3F40E82A" w14:textId="77777777" w:rsidR="00007DB3" w:rsidRPr="00007DB3" w:rsidRDefault="00007DB3" w:rsidP="00007DB3">
            <w:pPr>
              <w:rPr>
                <w:i/>
                <w:iCs/>
                <w:sz w:val="22"/>
                <w:szCs w:val="22"/>
                <w:lang w:bidi="lt-LT"/>
              </w:rPr>
            </w:pPr>
            <w:r w:rsidRPr="00AA24A4">
              <w:rPr>
                <w:i/>
                <w:iCs/>
                <w:sz w:val="22"/>
                <w:szCs w:val="22"/>
                <w:lang w:bidi="lt-LT"/>
              </w:rPr>
              <w:t xml:space="preserve">Su mokomu asmeniu pareiškėjas ir partneris(-iai) (jei projektas įgyvendinamas kartu su partneriu(-iais), kuris yra privatusis juridinis asmuo) turi sudaryti pameistrystės darbo sutartį </w:t>
            </w:r>
            <w:r w:rsidRPr="00AA24A4">
              <w:rPr>
                <w:b/>
                <w:bCs/>
                <w:i/>
                <w:iCs/>
                <w:sz w:val="22"/>
                <w:szCs w:val="22"/>
                <w:lang w:bidi="lt-LT"/>
              </w:rPr>
              <w:t xml:space="preserve">ir (ar) pameistrystės mokymosi sutartį </w:t>
            </w:r>
            <w:r w:rsidRPr="00AA24A4">
              <w:rPr>
                <w:i/>
                <w:iCs/>
                <w:sz w:val="22"/>
                <w:szCs w:val="22"/>
                <w:lang w:bidi="lt-LT"/>
              </w:rPr>
              <w:t xml:space="preserve">(taikoma, kai vykdoma Aprašo 10.1 papunktyje nurodyta veikla). Pameistrystės darbo sutartis </w:t>
            </w:r>
            <w:r w:rsidRPr="00AA24A4">
              <w:rPr>
                <w:b/>
                <w:bCs/>
                <w:i/>
                <w:iCs/>
                <w:sz w:val="22"/>
                <w:szCs w:val="22"/>
                <w:lang w:bidi="lt-LT"/>
              </w:rPr>
              <w:t xml:space="preserve">ir (ar) pameistrystės mokymosi sutartis </w:t>
            </w:r>
            <w:r w:rsidRPr="00AA24A4">
              <w:rPr>
                <w:i/>
                <w:iCs/>
                <w:sz w:val="22"/>
                <w:szCs w:val="22"/>
                <w:lang w:bidi="lt-LT"/>
              </w:rPr>
              <w:t>gali būti sudaroma tiek su projekto veiklų įgyvendinimo metu pradėjusiu dirbti asmeniu, tiek su esamu darbuotoju.</w:t>
            </w:r>
          </w:p>
          <w:p w14:paraId="38175DAA" w14:textId="77777777" w:rsidR="00857300" w:rsidRPr="00007DB3" w:rsidRDefault="00857300" w:rsidP="00F40574">
            <w:pPr>
              <w:rPr>
                <w:sz w:val="22"/>
                <w:szCs w:val="22"/>
              </w:rPr>
            </w:pPr>
          </w:p>
        </w:tc>
        <w:tc>
          <w:tcPr>
            <w:tcW w:w="3605" w:type="dxa"/>
          </w:tcPr>
          <w:p w14:paraId="73710464" w14:textId="00E625CA" w:rsidR="00857300" w:rsidRPr="00431BAB" w:rsidRDefault="00D978DE" w:rsidP="00335D39">
            <w:pPr>
              <w:rPr>
                <w:b/>
                <w:sz w:val="22"/>
                <w:szCs w:val="22"/>
              </w:rPr>
            </w:pPr>
            <w:r w:rsidRPr="00431BAB">
              <w:rPr>
                <w:b/>
                <w:sz w:val="22"/>
                <w:szCs w:val="22"/>
              </w:rPr>
              <w:t>Iš dalies a</w:t>
            </w:r>
            <w:r w:rsidR="00191340" w:rsidRPr="00431BAB">
              <w:rPr>
                <w:b/>
                <w:sz w:val="22"/>
                <w:szCs w:val="22"/>
              </w:rPr>
              <w:t>tsižvelgta.</w:t>
            </w:r>
          </w:p>
          <w:p w14:paraId="52F213B9" w14:textId="77777777" w:rsidR="00191340" w:rsidRDefault="00191340" w:rsidP="00431BAB">
            <w:pPr>
              <w:rPr>
                <w:sz w:val="22"/>
                <w:szCs w:val="22"/>
              </w:rPr>
            </w:pPr>
            <w:r w:rsidRPr="00431BAB">
              <w:rPr>
                <w:sz w:val="22"/>
                <w:szCs w:val="22"/>
              </w:rPr>
              <w:t>Apr</w:t>
            </w:r>
            <w:r w:rsidR="004567CF" w:rsidRPr="00431BAB">
              <w:rPr>
                <w:sz w:val="22"/>
                <w:szCs w:val="22"/>
              </w:rPr>
              <w:t xml:space="preserve">ašo 83 punktas bus pakoreguotas </w:t>
            </w:r>
            <w:r w:rsidR="00855259" w:rsidRPr="00431BAB">
              <w:rPr>
                <w:sz w:val="22"/>
                <w:szCs w:val="22"/>
              </w:rPr>
              <w:t xml:space="preserve">atitinkamai: </w:t>
            </w:r>
          </w:p>
          <w:p w14:paraId="0183F463" w14:textId="5536BB12" w:rsidR="00431BAB" w:rsidRPr="009F3997" w:rsidRDefault="00431BAB" w:rsidP="00431BAB">
            <w:pPr>
              <w:rPr>
                <w:iCs/>
                <w:sz w:val="22"/>
                <w:szCs w:val="22"/>
                <w:lang w:bidi="lt-LT"/>
              </w:rPr>
            </w:pPr>
            <w:r w:rsidRPr="009F3997">
              <w:rPr>
                <w:iCs/>
                <w:sz w:val="22"/>
                <w:szCs w:val="22"/>
                <w:lang w:bidi="lt-LT"/>
              </w:rPr>
              <w:t xml:space="preserve">Su mokomu asmeniu pareiškėjas ir partneris(-iai) (jei projektas įgyvendinamas kartu su partneriu(-iais), kuris yra privatusis juridinis asmuo) turi sudaryti </w:t>
            </w:r>
            <w:r w:rsidR="006D146C" w:rsidRPr="009F3997">
              <w:rPr>
                <w:iCs/>
                <w:sz w:val="22"/>
                <w:szCs w:val="22"/>
                <w:lang w:bidi="lt-LT"/>
              </w:rPr>
              <w:t xml:space="preserve">pameistrystės darbo sutartį </w:t>
            </w:r>
            <w:r w:rsidR="006D146C" w:rsidRPr="009F3997">
              <w:rPr>
                <w:bCs/>
                <w:iCs/>
                <w:sz w:val="22"/>
                <w:szCs w:val="22"/>
                <w:lang w:bidi="lt-LT"/>
              </w:rPr>
              <w:t xml:space="preserve">ir (ar) </w:t>
            </w:r>
            <w:r w:rsidR="0084667B" w:rsidRPr="009F3997">
              <w:rPr>
                <w:iCs/>
                <w:sz w:val="22"/>
                <w:szCs w:val="22"/>
                <w:lang w:bidi="lt-LT"/>
              </w:rPr>
              <w:t xml:space="preserve">mokymosi </w:t>
            </w:r>
            <w:r w:rsidRPr="009F3997">
              <w:rPr>
                <w:iCs/>
                <w:sz w:val="22"/>
                <w:szCs w:val="22"/>
                <w:lang w:bidi="lt-LT"/>
              </w:rPr>
              <w:t>sutartį (taikoma, kai vykdoma Aprašo 10.1 papun</w:t>
            </w:r>
            <w:r w:rsidR="002C4F32" w:rsidRPr="009F3997">
              <w:rPr>
                <w:iCs/>
                <w:sz w:val="22"/>
                <w:szCs w:val="22"/>
                <w:lang w:bidi="lt-LT"/>
              </w:rPr>
              <w:t xml:space="preserve">ktyje nurodyta veikla). </w:t>
            </w:r>
            <w:r w:rsidR="006D146C" w:rsidRPr="009F3997">
              <w:rPr>
                <w:iCs/>
                <w:sz w:val="22"/>
                <w:szCs w:val="22"/>
                <w:lang w:bidi="lt-LT"/>
              </w:rPr>
              <w:t>Pameistrystės darbo sutartis ir (ar) m</w:t>
            </w:r>
            <w:r w:rsidR="002C4F32" w:rsidRPr="009F3997">
              <w:rPr>
                <w:iCs/>
                <w:sz w:val="22"/>
                <w:szCs w:val="22"/>
                <w:lang w:bidi="lt-LT"/>
              </w:rPr>
              <w:t xml:space="preserve">okymosi </w:t>
            </w:r>
            <w:r w:rsidRPr="009F3997">
              <w:rPr>
                <w:iCs/>
                <w:sz w:val="22"/>
                <w:szCs w:val="22"/>
                <w:lang w:bidi="lt-LT"/>
              </w:rPr>
              <w:t>sutartis gali būti sudaroma tiek su projekto veiklų įgyvendinimo metu pradėjusiu dirbti asmeniu, tiek su esamu darbuotoju.</w:t>
            </w:r>
          </w:p>
          <w:p w14:paraId="51C27506" w14:textId="1640E732" w:rsidR="00431BAB" w:rsidRPr="00007DB3" w:rsidRDefault="00431BAB" w:rsidP="00431BAB">
            <w:pPr>
              <w:rPr>
                <w:sz w:val="22"/>
                <w:szCs w:val="22"/>
              </w:rPr>
            </w:pPr>
          </w:p>
        </w:tc>
      </w:tr>
      <w:tr w:rsidR="00857300" w:rsidRPr="00007DB3" w14:paraId="52D93376" w14:textId="77777777" w:rsidTr="00E747C2">
        <w:tc>
          <w:tcPr>
            <w:tcW w:w="567" w:type="dxa"/>
            <w:vMerge/>
          </w:tcPr>
          <w:p w14:paraId="0A8F00F8" w14:textId="77777777" w:rsidR="00857300" w:rsidRPr="00007DB3" w:rsidRDefault="00857300" w:rsidP="0036662A">
            <w:pPr>
              <w:pStyle w:val="ListParagraph"/>
              <w:numPr>
                <w:ilvl w:val="0"/>
                <w:numId w:val="1"/>
              </w:numPr>
              <w:jc w:val="both"/>
              <w:rPr>
                <w:sz w:val="22"/>
                <w:szCs w:val="22"/>
              </w:rPr>
            </w:pPr>
          </w:p>
        </w:tc>
        <w:tc>
          <w:tcPr>
            <w:tcW w:w="1985" w:type="dxa"/>
            <w:vMerge/>
          </w:tcPr>
          <w:p w14:paraId="2B24E451" w14:textId="77777777" w:rsidR="00857300" w:rsidRPr="00007DB3" w:rsidRDefault="00857300" w:rsidP="00335D39">
            <w:pPr>
              <w:rPr>
                <w:sz w:val="22"/>
                <w:szCs w:val="22"/>
              </w:rPr>
            </w:pPr>
          </w:p>
        </w:tc>
        <w:tc>
          <w:tcPr>
            <w:tcW w:w="8585" w:type="dxa"/>
          </w:tcPr>
          <w:p w14:paraId="4157B012" w14:textId="77777777" w:rsidR="00007DB3" w:rsidRPr="00007DB3" w:rsidRDefault="00007DB3" w:rsidP="00007DB3">
            <w:pPr>
              <w:rPr>
                <w:sz w:val="22"/>
                <w:szCs w:val="22"/>
                <w:lang w:bidi="lt-LT"/>
              </w:rPr>
            </w:pPr>
            <w:r w:rsidRPr="00007DB3">
              <w:rPr>
                <w:sz w:val="22"/>
                <w:szCs w:val="22"/>
                <w:lang w:bidi="lt-LT"/>
              </w:rPr>
              <w:t>Aprašo 13 punkte numatyta, kad galimi projekto partneriai yra licencijuoti profesinio mokymo teikėjai, verslo asociacijos, privatieji juridiniai asmenys, prekybos, pramonės ir amatų rūmai. Tuo tarpu Aprašo 18.6 punktas numato, jog „Projekto partneris (verslo asociacija) veikia ne mažiau nei 5 metus iki paraiškos pateikimo ir vienija ne mažiau nei 20 nuolatinę ūkinę komercinę veiklą vykdančių juridinių asmenų“.</w:t>
            </w:r>
          </w:p>
          <w:p w14:paraId="5C0A88AA" w14:textId="77777777" w:rsidR="00007DB3" w:rsidRPr="000C2663" w:rsidRDefault="00007DB3" w:rsidP="00007DB3">
            <w:pPr>
              <w:rPr>
                <w:sz w:val="22"/>
                <w:szCs w:val="22"/>
                <w:lang w:bidi="lt-LT"/>
              </w:rPr>
            </w:pPr>
            <w:r w:rsidRPr="00007DB3">
              <w:rPr>
                <w:sz w:val="22"/>
                <w:szCs w:val="22"/>
                <w:lang w:bidi="lt-LT"/>
              </w:rPr>
              <w:t xml:space="preserve">Investuok Lietuvoje vertinimu 18.6. punkte numatytas reikalavimas taikomas tik projekto partneriams, kurie yra verslo asociacijos, todėl </w:t>
            </w:r>
            <w:r w:rsidRPr="00007DB3">
              <w:rPr>
                <w:b/>
                <w:bCs/>
                <w:sz w:val="22"/>
                <w:szCs w:val="22"/>
                <w:lang w:bidi="lt-LT"/>
              </w:rPr>
              <w:t>siūlome patikslinti Aprašo 18.6 p. formuluotę ir išdėstyti tokia redakcija:</w:t>
            </w:r>
          </w:p>
          <w:p w14:paraId="1B29D1B4" w14:textId="77777777" w:rsidR="00007DB3" w:rsidRPr="00007DB3" w:rsidRDefault="00007DB3" w:rsidP="00007DB3">
            <w:pPr>
              <w:rPr>
                <w:i/>
                <w:iCs/>
                <w:sz w:val="22"/>
                <w:szCs w:val="22"/>
                <w:lang w:bidi="lt-LT"/>
              </w:rPr>
            </w:pPr>
            <w:r w:rsidRPr="00007DB3">
              <w:rPr>
                <w:i/>
                <w:iCs/>
                <w:sz w:val="22"/>
                <w:szCs w:val="22"/>
                <w:lang w:bidi="lt-LT"/>
              </w:rPr>
              <w:t xml:space="preserve">Projekto partneris (verslo asociacija) veikia ne mažiau nei 5 metus iki paraiškos pateikimo ir vienija ne mažiau nei 20 nuolatinę ūkinę komercinę veiklą vykdančių juridinių asmenų (vertinama, ar projekto partneris (verslo asociacija) ne trumpiau kaip 5 metus iki paraiškos pateikimo mėnesio kiekvieną mėnesį turėjo apdraustųjų asmenų ir vienija ne mažiau nei 20 nuolatinę ūkinę komercinę veiklą vykdančių juridinių asmenų). Kriterijus taikomas įmonių darbuotojų mokymui darbo vietoje, skirtam kvalifikacijai tobulinti. Kriterijus taikomas Aprašo </w:t>
            </w:r>
            <w:r w:rsidRPr="00007DB3">
              <w:rPr>
                <w:b/>
                <w:bCs/>
                <w:i/>
                <w:iCs/>
                <w:sz w:val="22"/>
                <w:szCs w:val="22"/>
                <w:lang w:bidi="lt-LT"/>
              </w:rPr>
              <w:t xml:space="preserve">10.1 </w:t>
            </w:r>
            <w:r w:rsidRPr="00007DB3">
              <w:rPr>
                <w:i/>
                <w:iCs/>
                <w:sz w:val="22"/>
                <w:szCs w:val="22"/>
                <w:lang w:bidi="lt-LT"/>
              </w:rPr>
              <w:t xml:space="preserve">ir </w:t>
            </w:r>
            <w:r w:rsidRPr="00007DB3">
              <w:rPr>
                <w:b/>
                <w:bCs/>
                <w:i/>
                <w:iCs/>
                <w:sz w:val="22"/>
                <w:szCs w:val="22"/>
                <w:lang w:bidi="lt-LT"/>
              </w:rPr>
              <w:t xml:space="preserve">10.2 </w:t>
            </w:r>
            <w:r w:rsidRPr="00007DB3">
              <w:rPr>
                <w:i/>
                <w:iCs/>
                <w:sz w:val="22"/>
                <w:szCs w:val="22"/>
                <w:lang w:bidi="lt-LT"/>
              </w:rPr>
              <w:t xml:space="preserve">papunkčiuose nurodytoms veikloms, jei projekte </w:t>
            </w:r>
            <w:r w:rsidRPr="00007DB3">
              <w:rPr>
                <w:b/>
                <w:bCs/>
                <w:i/>
                <w:iCs/>
                <w:sz w:val="22"/>
                <w:szCs w:val="22"/>
                <w:lang w:bidi="lt-LT"/>
              </w:rPr>
              <w:t xml:space="preserve">partnerio teisėmis </w:t>
            </w:r>
            <w:r w:rsidRPr="00007DB3">
              <w:rPr>
                <w:i/>
                <w:iCs/>
                <w:sz w:val="22"/>
                <w:szCs w:val="22"/>
                <w:lang w:bidi="lt-LT"/>
              </w:rPr>
              <w:t xml:space="preserve">dalyvauja partneris </w:t>
            </w:r>
            <w:r w:rsidRPr="00007DB3">
              <w:rPr>
                <w:b/>
                <w:bCs/>
                <w:i/>
                <w:iCs/>
                <w:sz w:val="22"/>
                <w:szCs w:val="22"/>
                <w:lang w:bidi="lt-LT"/>
              </w:rPr>
              <w:t xml:space="preserve">verslo asociacija. </w:t>
            </w:r>
            <w:r w:rsidRPr="00007DB3">
              <w:rPr>
                <w:i/>
                <w:iCs/>
                <w:sz w:val="22"/>
                <w:szCs w:val="22"/>
                <w:lang w:bidi="lt-LT"/>
              </w:rPr>
              <w:t>Šis projektų atrankos kriterijus taikomas tik projekto vertinimo metu.</w:t>
            </w:r>
          </w:p>
          <w:p w14:paraId="2E5EA81B" w14:textId="77777777" w:rsidR="00857300" w:rsidRPr="00007DB3" w:rsidRDefault="00857300" w:rsidP="00F40574">
            <w:pPr>
              <w:rPr>
                <w:sz w:val="22"/>
                <w:szCs w:val="22"/>
              </w:rPr>
            </w:pPr>
          </w:p>
        </w:tc>
        <w:tc>
          <w:tcPr>
            <w:tcW w:w="3605" w:type="dxa"/>
          </w:tcPr>
          <w:p w14:paraId="0063D2C1" w14:textId="77777777" w:rsidR="001B17C9" w:rsidRPr="00007DB3" w:rsidRDefault="001B17C9" w:rsidP="001B17C9">
            <w:pPr>
              <w:rPr>
                <w:b/>
                <w:sz w:val="22"/>
                <w:szCs w:val="22"/>
              </w:rPr>
            </w:pPr>
            <w:r w:rsidRPr="00007DB3">
              <w:rPr>
                <w:b/>
                <w:sz w:val="22"/>
                <w:szCs w:val="22"/>
              </w:rPr>
              <w:t xml:space="preserve">Neatsižvelgta. </w:t>
            </w:r>
          </w:p>
          <w:p w14:paraId="1098D968" w14:textId="77777777" w:rsidR="00857300" w:rsidRPr="00007DB3" w:rsidRDefault="001B17C9" w:rsidP="00130B78">
            <w:pPr>
              <w:rPr>
                <w:sz w:val="22"/>
                <w:szCs w:val="22"/>
              </w:rPr>
            </w:pPr>
            <w:r>
              <w:rPr>
                <w:sz w:val="22"/>
                <w:szCs w:val="22"/>
              </w:rPr>
              <w:t>Pastabas dėl projektų atrankos kriterijų galima buvo teikti tuomet, kai jie buvo derinami ir paskelbti viešam aptarimui. Šie kriterijai yra patvirtinti 2014–2020 metų Europos S</w:t>
            </w:r>
            <w:r w:rsidRPr="00060330">
              <w:rPr>
                <w:sz w:val="22"/>
                <w:szCs w:val="22"/>
              </w:rPr>
              <w:t>ąjungos fondų investicijų veiksmų programos stebėsenos komiteto</w:t>
            </w:r>
            <w:r>
              <w:rPr>
                <w:sz w:val="22"/>
                <w:szCs w:val="22"/>
              </w:rPr>
              <w:t xml:space="preserve"> </w:t>
            </w:r>
            <w:r w:rsidRPr="00DF5345">
              <w:rPr>
                <w:sz w:val="22"/>
                <w:szCs w:val="22"/>
              </w:rPr>
              <w:t>2016 m. birželio 16 d. nutarimu Nr. 44P-16.1 (18), 2017 m. birželio 15 d. nutarimu Nr. 44P-3.1 (25) ir 2018 m. rugsėjo 20 d. protokoliniu sprendimu Nr. 44P-4 (34)</w:t>
            </w:r>
            <w:r w:rsidR="00130B78">
              <w:rPr>
                <w:sz w:val="22"/>
                <w:szCs w:val="22"/>
              </w:rPr>
              <w:t>.</w:t>
            </w:r>
          </w:p>
        </w:tc>
      </w:tr>
      <w:tr w:rsidR="001B17C9" w:rsidRPr="00007DB3" w14:paraId="727ACD54" w14:textId="77777777" w:rsidTr="00E747C2">
        <w:trPr>
          <w:trHeight w:val="4319"/>
        </w:trPr>
        <w:tc>
          <w:tcPr>
            <w:tcW w:w="567" w:type="dxa"/>
            <w:vMerge/>
          </w:tcPr>
          <w:p w14:paraId="7198256A" w14:textId="77777777" w:rsidR="001B17C9" w:rsidRPr="00007DB3" w:rsidRDefault="001B17C9" w:rsidP="001B17C9">
            <w:pPr>
              <w:pStyle w:val="ListParagraph"/>
              <w:numPr>
                <w:ilvl w:val="0"/>
                <w:numId w:val="1"/>
              </w:numPr>
              <w:jc w:val="both"/>
              <w:rPr>
                <w:sz w:val="22"/>
                <w:szCs w:val="22"/>
              </w:rPr>
            </w:pPr>
          </w:p>
        </w:tc>
        <w:tc>
          <w:tcPr>
            <w:tcW w:w="1985" w:type="dxa"/>
            <w:vMerge/>
          </w:tcPr>
          <w:p w14:paraId="74E046F8" w14:textId="77777777" w:rsidR="001B17C9" w:rsidRPr="00007DB3" w:rsidRDefault="001B17C9" w:rsidP="001B17C9">
            <w:pPr>
              <w:rPr>
                <w:sz w:val="22"/>
                <w:szCs w:val="22"/>
              </w:rPr>
            </w:pPr>
          </w:p>
        </w:tc>
        <w:tc>
          <w:tcPr>
            <w:tcW w:w="8585" w:type="dxa"/>
          </w:tcPr>
          <w:p w14:paraId="5B0F94D9" w14:textId="77777777" w:rsidR="001B17C9" w:rsidRPr="00E747C2" w:rsidRDefault="001B17C9" w:rsidP="001B17C9">
            <w:pPr>
              <w:rPr>
                <w:sz w:val="22"/>
                <w:szCs w:val="22"/>
                <w:lang w:bidi="lt-LT"/>
              </w:rPr>
            </w:pPr>
            <w:r w:rsidRPr="00E747C2">
              <w:rPr>
                <w:sz w:val="22"/>
                <w:szCs w:val="22"/>
                <w:lang w:bidi="lt-LT"/>
              </w:rPr>
              <w:t>Aprašo 18.3 punkte numatyti pareiškėjui ir partneriui (kai partneris yra privatus juridinis asmuo) taikomi reikalavimai, kad įmonė būtų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 iki paraiškos pateikimo yra ne mažesnės kaip 50 000 Eur (penkiasdešimt tūkstančių eurų).</w:t>
            </w:r>
          </w:p>
          <w:p w14:paraId="7FCE334D" w14:textId="77777777" w:rsidR="001B17C9" w:rsidRPr="00E747C2" w:rsidRDefault="001B17C9" w:rsidP="001B17C9">
            <w:pPr>
              <w:rPr>
                <w:sz w:val="22"/>
                <w:szCs w:val="22"/>
                <w:lang w:bidi="lt-LT"/>
              </w:rPr>
            </w:pPr>
            <w:r w:rsidRPr="00E747C2">
              <w:rPr>
                <w:sz w:val="22"/>
                <w:szCs w:val="22"/>
                <w:lang w:bidi="lt-LT"/>
              </w:rPr>
              <w:t>Investuok Lietuvoje vertinimu tokio reikalavimo tikslas užtikrinti, kad pareiškėjai būtų tinkamus pajėgumus turinčios įmonės. Tačiau svarbu paminėti, kad minimas reikalavimas iš pareiškėjų tarpo eliminuotų neseniai savo veiklą pradėjusius užsienio investuotojus. Investuok Lietuvoje vertinimu pameistrystės mokymo forma ir dalyvavimas tokio pobūdžio projektuose yra labiausiai aktualus būtent naujai savo veiklą pradėjusiems investuotojams, kurie gali turėti didelį poveikį sėkmingam ne tik pilotinio, tačiau ir ilgalaikio pameistrystės modelio įgyvendinimui Lietuvoje. Pažymime, jog tokie investuotojai yra finansiškai pajėgūs ir visas investicijas šiuo metu yra nukreipę į gamybinės infrastruktūros kūrimą, tačiau dar nėra pradėję generuoti pajamų iš gamybos veiklos.</w:t>
            </w:r>
          </w:p>
          <w:p w14:paraId="24931573" w14:textId="77777777" w:rsidR="001B17C9" w:rsidRPr="00E747C2" w:rsidRDefault="001B17C9" w:rsidP="001B17C9">
            <w:pPr>
              <w:rPr>
                <w:b/>
                <w:bCs/>
                <w:sz w:val="22"/>
                <w:szCs w:val="22"/>
                <w:lang w:bidi="lt-LT"/>
              </w:rPr>
            </w:pPr>
            <w:r w:rsidRPr="00E747C2">
              <w:rPr>
                <w:b/>
                <w:bCs/>
                <w:sz w:val="22"/>
                <w:szCs w:val="22"/>
                <w:lang w:bidi="lt-LT"/>
              </w:rPr>
              <w:t xml:space="preserve">Atsižvelgiant į tai Investuok Lietuvoje siūlo papildyti 18.3 punktą numatant alternatyvius kriterijus pareiškėjui ir partneriui (kai partneris yra privatus juridinis asmuo) užtikrinančius, kad pareiškėjai bus tinkami tiek įgyvendinti projektą, tiek </w:t>
            </w:r>
            <w:r w:rsidRPr="00E747C2">
              <w:rPr>
                <w:b/>
                <w:bCs/>
                <w:sz w:val="22"/>
                <w:szCs w:val="22"/>
                <w:lang w:bidi="lt-LT"/>
              </w:rPr>
              <w:lastRenderedPageBreak/>
              <w:t>užtikrinti kokybišką profesinį mokymą pameistrystės mokymo forma. Siūlome Aprašo 18.3 punktą išdėstyti tokia redakcija:</w:t>
            </w:r>
          </w:p>
          <w:p w14:paraId="39AA95A6" w14:textId="77777777" w:rsidR="001B17C9" w:rsidRDefault="001B17C9" w:rsidP="001B17C9">
            <w:pPr>
              <w:rPr>
                <w:sz w:val="22"/>
                <w:szCs w:val="22"/>
              </w:rPr>
            </w:pPr>
            <w:r w:rsidRPr="00E747C2">
              <w:rPr>
                <w:sz w:val="22"/>
                <w:szCs w:val="22"/>
                <w:lang w:bidi="lt-LT"/>
              </w:rPr>
              <w:t xml:space="preserve">Pareiškėjas ir partneris (kai partneris yra privatusis juridinis asmuo) yra įmonė,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 iki paraiškos pateikimo yra ne mažesnės kaip 50 000 Eur (penkiasdešimt tūkstančių eurų) </w:t>
            </w:r>
            <w:r w:rsidRPr="00E747C2">
              <w:rPr>
                <w:b/>
                <w:bCs/>
                <w:i/>
                <w:iCs/>
                <w:sz w:val="22"/>
                <w:szCs w:val="22"/>
                <w:lang w:bidi="lt-LT"/>
              </w:rPr>
              <w:t xml:space="preserve">arba pareiškėjas ir partneris (kai partneris yra privatusis juridinis asmuo) yra įmonė, kiekviena veikianti ne trumpiau kaip vienus metus iki paraiškos pateikimo ir kurių kiekvienos privačių investicijų dydis į Lietuvos Respublikoje per trejus metus iki paraiškos registravimo įgyvendinančiojoje institucijoje dienos įgyvendintą, šiuo metu įgyvendinamą ar planuojamą per ne ilgesnį nei 24 mėnesių laikotarpį nuo projekto sutarties pasirašymo dienos įgyvendinti investicijų projektą gamybos sektoriuje yra ne mažesnis kaip 3 000 000 Eur (trys milijonai eurų) </w:t>
            </w:r>
            <w:r w:rsidRPr="00E747C2">
              <w:rPr>
                <w:sz w:val="22"/>
                <w:szCs w:val="22"/>
                <w:lang w:bidi="lt-LT"/>
              </w:rPr>
              <w:t xml:space="preserve">(vertinama, ar pareiškėjas ir partneris (privatusis juridinis asmuo) yra įmonė, kuri turi pakankamai patirties įgyvendinti projekte numatytas veiklas. Pakankamai patirties turinčia įmone laikoma įmonė, kuri veikia ne trumpiau kaip vienus metus iki paraiškos pateikimo ir yra finansiškai pajėgi, t. y. kurios vidutinės metinės pajamos pagal pastarųjų trejų finansinių metų iki paraiškos pateikimo arba perlaiką nuo įmonės įregistravimo dienos (jeigu įmonė vykdė veiklą mažiau nei trejus finansinius metus) iki paraiškos pateikimo pagal patvirtintus metinių finansinių ataskaitų rinkinius yra ne mažesnės kaip 50 000 Eur (penkiasdešimt tūkstančių eurų) </w:t>
            </w:r>
            <w:r w:rsidRPr="00E747C2">
              <w:rPr>
                <w:b/>
                <w:bCs/>
                <w:i/>
                <w:iCs/>
                <w:sz w:val="22"/>
                <w:szCs w:val="22"/>
                <w:lang w:bidi="lt-LT"/>
              </w:rPr>
              <w:t xml:space="preserve">arba kurios privačių investicijų dydis į Lietuvos Respublikoje per trejus metus iki paraiškos registravimo įgyvendinančiojoje institucijoje dienos įgyvendintą, šiuo metu įgyvendinamą ar planuojamą per ne ilgesnį nei 24 mėnesių laikotarpį nuo projekto sutarties pasirašymo dienos įgyvendinti investicijų projektą gamybos sektoriuje yra ne mažesnis kaip 3 000 000 Eur (trys milijonai eurų). </w:t>
            </w:r>
            <w:r w:rsidRPr="00E747C2">
              <w:rPr>
                <w:sz w:val="22"/>
                <w:szCs w:val="22"/>
                <w:lang w:bidi="lt-LT"/>
              </w:rPr>
              <w:t>Kriterijus taikomas Aprašo 10.1 ir 10.2 papunkčiuose nurodytoms veikloms. Šis projektų atrankos kriterijus taikomas tik projek</w:t>
            </w:r>
            <w:r>
              <w:rPr>
                <w:sz w:val="22"/>
                <w:szCs w:val="22"/>
                <w:lang w:bidi="lt-LT"/>
              </w:rPr>
              <w:t>to vertinimo metu.</w:t>
            </w:r>
          </w:p>
          <w:p w14:paraId="603BD5F9" w14:textId="77777777" w:rsidR="001B17C9" w:rsidRPr="00007DB3" w:rsidRDefault="001B17C9" w:rsidP="001B17C9">
            <w:pPr>
              <w:rPr>
                <w:sz w:val="22"/>
                <w:szCs w:val="22"/>
              </w:rPr>
            </w:pPr>
          </w:p>
        </w:tc>
        <w:tc>
          <w:tcPr>
            <w:tcW w:w="3605" w:type="dxa"/>
          </w:tcPr>
          <w:p w14:paraId="728C9509" w14:textId="77777777" w:rsidR="001B17C9" w:rsidRPr="00007DB3" w:rsidRDefault="001B17C9" w:rsidP="001B17C9">
            <w:pPr>
              <w:rPr>
                <w:b/>
                <w:sz w:val="22"/>
                <w:szCs w:val="22"/>
              </w:rPr>
            </w:pPr>
            <w:r w:rsidRPr="00007DB3">
              <w:rPr>
                <w:b/>
                <w:sz w:val="22"/>
                <w:szCs w:val="22"/>
              </w:rPr>
              <w:lastRenderedPageBreak/>
              <w:t xml:space="preserve">Neatsižvelgta. </w:t>
            </w:r>
          </w:p>
          <w:p w14:paraId="163E6379" w14:textId="77777777" w:rsidR="001B17C9" w:rsidRPr="00007DB3" w:rsidRDefault="001B17C9" w:rsidP="001B17C9">
            <w:pPr>
              <w:rPr>
                <w:sz w:val="22"/>
                <w:szCs w:val="22"/>
              </w:rPr>
            </w:pPr>
            <w:r>
              <w:rPr>
                <w:sz w:val="22"/>
                <w:szCs w:val="22"/>
              </w:rPr>
              <w:t>Pastabas dėl projektų atrankos kriterijų galima buvo teikti tuomet, kai jie buvo derinami ir paskelbti viešam aptarimui. Šie kriterijai yra patvirtinti 2014–2020 metų Europos S</w:t>
            </w:r>
            <w:r w:rsidRPr="00060330">
              <w:rPr>
                <w:sz w:val="22"/>
                <w:szCs w:val="22"/>
              </w:rPr>
              <w:t>ąjungos fondų investicijų veiksmų programos stebėsenos komiteto</w:t>
            </w:r>
            <w:r>
              <w:rPr>
                <w:sz w:val="22"/>
                <w:szCs w:val="22"/>
              </w:rPr>
              <w:t xml:space="preserve"> </w:t>
            </w:r>
            <w:r w:rsidRPr="00DF5345">
              <w:rPr>
                <w:sz w:val="22"/>
                <w:szCs w:val="22"/>
              </w:rPr>
              <w:t>2016 m. birželio 16 d. nutarimu Nr. 44P-16.1 (18), 2017 m. birželio 15 d. nutarimu Nr. 44P-3.1 (25) ir 2018 m. rugsėjo 20 d. proto</w:t>
            </w:r>
            <w:r w:rsidR="00130B78">
              <w:rPr>
                <w:sz w:val="22"/>
                <w:szCs w:val="22"/>
              </w:rPr>
              <w:t>koliniu sprendimu Nr. 44P-4 (34).</w:t>
            </w:r>
          </w:p>
        </w:tc>
      </w:tr>
    </w:tbl>
    <w:p w14:paraId="6C240E71" w14:textId="77777777" w:rsidR="005C5ECB" w:rsidRPr="00007DB3" w:rsidRDefault="005C5ECB">
      <w:pPr>
        <w:rPr>
          <w:b/>
          <w:bCs/>
          <w:caps/>
          <w:sz w:val="22"/>
          <w:szCs w:val="22"/>
        </w:rPr>
      </w:pPr>
    </w:p>
    <w:sectPr w:rsidR="005C5ECB" w:rsidRPr="00007DB3"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2B5D"/>
    <w:multiLevelType w:val="multilevel"/>
    <w:tmpl w:val="7C346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8003DD"/>
    <w:multiLevelType w:val="multilevel"/>
    <w:tmpl w:val="B9300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983068"/>
    <w:multiLevelType w:val="hybridMultilevel"/>
    <w:tmpl w:val="21B437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8144BBE"/>
    <w:multiLevelType w:val="hybridMultilevel"/>
    <w:tmpl w:val="5B08AA44"/>
    <w:lvl w:ilvl="0" w:tplc="923ECB42">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7DB3"/>
    <w:rsid w:val="0001428A"/>
    <w:rsid w:val="00015B92"/>
    <w:rsid w:val="00016435"/>
    <w:rsid w:val="000240C4"/>
    <w:rsid w:val="00027481"/>
    <w:rsid w:val="00032985"/>
    <w:rsid w:val="00046A60"/>
    <w:rsid w:val="00046DFE"/>
    <w:rsid w:val="00050427"/>
    <w:rsid w:val="00053D41"/>
    <w:rsid w:val="000574D1"/>
    <w:rsid w:val="00060330"/>
    <w:rsid w:val="00060B4D"/>
    <w:rsid w:val="000651DC"/>
    <w:rsid w:val="00067E39"/>
    <w:rsid w:val="00070ED6"/>
    <w:rsid w:val="00081BC9"/>
    <w:rsid w:val="00082513"/>
    <w:rsid w:val="000A2507"/>
    <w:rsid w:val="000A3FD2"/>
    <w:rsid w:val="000B1AF5"/>
    <w:rsid w:val="000B2D7C"/>
    <w:rsid w:val="000C2663"/>
    <w:rsid w:val="000C4477"/>
    <w:rsid w:val="000D3EFE"/>
    <w:rsid w:val="000D56B5"/>
    <w:rsid w:val="000E1F0C"/>
    <w:rsid w:val="000E275C"/>
    <w:rsid w:val="000E7A99"/>
    <w:rsid w:val="000F5CE6"/>
    <w:rsid w:val="00105F91"/>
    <w:rsid w:val="00115372"/>
    <w:rsid w:val="00125A26"/>
    <w:rsid w:val="00130B78"/>
    <w:rsid w:val="001577E4"/>
    <w:rsid w:val="00164A45"/>
    <w:rsid w:val="0018373E"/>
    <w:rsid w:val="00184FC3"/>
    <w:rsid w:val="00191340"/>
    <w:rsid w:val="00194702"/>
    <w:rsid w:val="001A1A3A"/>
    <w:rsid w:val="001A5935"/>
    <w:rsid w:val="001B17C9"/>
    <w:rsid w:val="001C2F60"/>
    <w:rsid w:val="001C7B95"/>
    <w:rsid w:val="001D6507"/>
    <w:rsid w:val="001E4CE7"/>
    <w:rsid w:val="001E6748"/>
    <w:rsid w:val="001E67A5"/>
    <w:rsid w:val="0020434A"/>
    <w:rsid w:val="00231BDD"/>
    <w:rsid w:val="00234AE2"/>
    <w:rsid w:val="00240309"/>
    <w:rsid w:val="00241C69"/>
    <w:rsid w:val="00247BB5"/>
    <w:rsid w:val="00270AE5"/>
    <w:rsid w:val="0027477F"/>
    <w:rsid w:val="002923A6"/>
    <w:rsid w:val="002A27A2"/>
    <w:rsid w:val="002B2D22"/>
    <w:rsid w:val="002C19A7"/>
    <w:rsid w:val="002C42A2"/>
    <w:rsid w:val="002C4F32"/>
    <w:rsid w:val="002C79BA"/>
    <w:rsid w:val="002D4D56"/>
    <w:rsid w:val="002D6273"/>
    <w:rsid w:val="002E1B28"/>
    <w:rsid w:val="002E396B"/>
    <w:rsid w:val="002E6FC8"/>
    <w:rsid w:val="00330C85"/>
    <w:rsid w:val="00330EC9"/>
    <w:rsid w:val="00337F24"/>
    <w:rsid w:val="003529B3"/>
    <w:rsid w:val="00366151"/>
    <w:rsid w:val="0036662A"/>
    <w:rsid w:val="003865B8"/>
    <w:rsid w:val="00392494"/>
    <w:rsid w:val="003A1AD9"/>
    <w:rsid w:val="003B2FAE"/>
    <w:rsid w:val="003E77A4"/>
    <w:rsid w:val="003F5676"/>
    <w:rsid w:val="004136A8"/>
    <w:rsid w:val="00431BAB"/>
    <w:rsid w:val="004378EE"/>
    <w:rsid w:val="004433DF"/>
    <w:rsid w:val="00452AAF"/>
    <w:rsid w:val="004567CF"/>
    <w:rsid w:val="004634D6"/>
    <w:rsid w:val="00475197"/>
    <w:rsid w:val="00475E13"/>
    <w:rsid w:val="00482B56"/>
    <w:rsid w:val="0048380C"/>
    <w:rsid w:val="004903D3"/>
    <w:rsid w:val="00493EFD"/>
    <w:rsid w:val="004A5F41"/>
    <w:rsid w:val="004B5E0D"/>
    <w:rsid w:val="004C44BD"/>
    <w:rsid w:val="004D11D5"/>
    <w:rsid w:val="004D753C"/>
    <w:rsid w:val="004E6B69"/>
    <w:rsid w:val="005004F3"/>
    <w:rsid w:val="00506C9D"/>
    <w:rsid w:val="0051302F"/>
    <w:rsid w:val="00525BFD"/>
    <w:rsid w:val="0054453C"/>
    <w:rsid w:val="00547C74"/>
    <w:rsid w:val="005516A5"/>
    <w:rsid w:val="005533C2"/>
    <w:rsid w:val="00571253"/>
    <w:rsid w:val="00581B51"/>
    <w:rsid w:val="00593EE0"/>
    <w:rsid w:val="005B1293"/>
    <w:rsid w:val="005B6964"/>
    <w:rsid w:val="005B79FB"/>
    <w:rsid w:val="005C5B4A"/>
    <w:rsid w:val="005C5ECB"/>
    <w:rsid w:val="005E0604"/>
    <w:rsid w:val="005F038F"/>
    <w:rsid w:val="005F0F88"/>
    <w:rsid w:val="00603C1C"/>
    <w:rsid w:val="006106A7"/>
    <w:rsid w:val="00665BE2"/>
    <w:rsid w:val="0066611A"/>
    <w:rsid w:val="00677B1E"/>
    <w:rsid w:val="006824CC"/>
    <w:rsid w:val="006A0BBC"/>
    <w:rsid w:val="006A1E78"/>
    <w:rsid w:val="006A22E2"/>
    <w:rsid w:val="006A5B69"/>
    <w:rsid w:val="006B0D85"/>
    <w:rsid w:val="006B526A"/>
    <w:rsid w:val="006B75D2"/>
    <w:rsid w:val="006C0163"/>
    <w:rsid w:val="006D146C"/>
    <w:rsid w:val="006D620E"/>
    <w:rsid w:val="006D6BF1"/>
    <w:rsid w:val="006E16C9"/>
    <w:rsid w:val="00707C95"/>
    <w:rsid w:val="0072623F"/>
    <w:rsid w:val="00741C32"/>
    <w:rsid w:val="00742585"/>
    <w:rsid w:val="00747BC9"/>
    <w:rsid w:val="007537EC"/>
    <w:rsid w:val="00755E48"/>
    <w:rsid w:val="00761496"/>
    <w:rsid w:val="00766FAB"/>
    <w:rsid w:val="00775311"/>
    <w:rsid w:val="007769FC"/>
    <w:rsid w:val="00776B50"/>
    <w:rsid w:val="007B3E81"/>
    <w:rsid w:val="007B53CB"/>
    <w:rsid w:val="007D3038"/>
    <w:rsid w:val="007F5F38"/>
    <w:rsid w:val="0080172F"/>
    <w:rsid w:val="008359DC"/>
    <w:rsid w:val="008365D2"/>
    <w:rsid w:val="0084667B"/>
    <w:rsid w:val="0085384B"/>
    <w:rsid w:val="00855259"/>
    <w:rsid w:val="00856EDA"/>
    <w:rsid w:val="00857300"/>
    <w:rsid w:val="008576A6"/>
    <w:rsid w:val="00865C80"/>
    <w:rsid w:val="008663E3"/>
    <w:rsid w:val="00883780"/>
    <w:rsid w:val="00885C3D"/>
    <w:rsid w:val="008A53CB"/>
    <w:rsid w:val="008A73D6"/>
    <w:rsid w:val="008C3DAE"/>
    <w:rsid w:val="008D5F38"/>
    <w:rsid w:val="008E3C68"/>
    <w:rsid w:val="008E492B"/>
    <w:rsid w:val="008E6A72"/>
    <w:rsid w:val="008F38C3"/>
    <w:rsid w:val="00926630"/>
    <w:rsid w:val="00933886"/>
    <w:rsid w:val="00936F2F"/>
    <w:rsid w:val="00947C9D"/>
    <w:rsid w:val="00954EEB"/>
    <w:rsid w:val="00956C1E"/>
    <w:rsid w:val="00960972"/>
    <w:rsid w:val="0097341D"/>
    <w:rsid w:val="0098619D"/>
    <w:rsid w:val="0099342A"/>
    <w:rsid w:val="009A662F"/>
    <w:rsid w:val="009B1D47"/>
    <w:rsid w:val="009B3957"/>
    <w:rsid w:val="009B4714"/>
    <w:rsid w:val="009C2F50"/>
    <w:rsid w:val="009D3B8E"/>
    <w:rsid w:val="009D3BAD"/>
    <w:rsid w:val="009D5B96"/>
    <w:rsid w:val="009E1857"/>
    <w:rsid w:val="009E564D"/>
    <w:rsid w:val="009E69E2"/>
    <w:rsid w:val="009F3997"/>
    <w:rsid w:val="00A00DB1"/>
    <w:rsid w:val="00A24DB0"/>
    <w:rsid w:val="00A2721F"/>
    <w:rsid w:val="00A35603"/>
    <w:rsid w:val="00A37373"/>
    <w:rsid w:val="00A4128B"/>
    <w:rsid w:val="00A47552"/>
    <w:rsid w:val="00A47E71"/>
    <w:rsid w:val="00A52C00"/>
    <w:rsid w:val="00A54BBD"/>
    <w:rsid w:val="00A617BF"/>
    <w:rsid w:val="00A6632E"/>
    <w:rsid w:val="00A76EF2"/>
    <w:rsid w:val="00A80ADA"/>
    <w:rsid w:val="00A845D7"/>
    <w:rsid w:val="00A91F0C"/>
    <w:rsid w:val="00AA24A4"/>
    <w:rsid w:val="00AA30C9"/>
    <w:rsid w:val="00AC3705"/>
    <w:rsid w:val="00AC4B6C"/>
    <w:rsid w:val="00AD5789"/>
    <w:rsid w:val="00AE5A66"/>
    <w:rsid w:val="00AF0A0D"/>
    <w:rsid w:val="00AF25D0"/>
    <w:rsid w:val="00AF2A89"/>
    <w:rsid w:val="00B0591B"/>
    <w:rsid w:val="00B06DF8"/>
    <w:rsid w:val="00B14AA0"/>
    <w:rsid w:val="00B26628"/>
    <w:rsid w:val="00B46548"/>
    <w:rsid w:val="00B57E37"/>
    <w:rsid w:val="00B7378D"/>
    <w:rsid w:val="00B75709"/>
    <w:rsid w:val="00B76799"/>
    <w:rsid w:val="00B9676C"/>
    <w:rsid w:val="00BA3F54"/>
    <w:rsid w:val="00BA61BB"/>
    <w:rsid w:val="00BA7441"/>
    <w:rsid w:val="00BB138B"/>
    <w:rsid w:val="00BC4286"/>
    <w:rsid w:val="00BC5BDA"/>
    <w:rsid w:val="00BD17AE"/>
    <w:rsid w:val="00BE1E8F"/>
    <w:rsid w:val="00BE4F88"/>
    <w:rsid w:val="00BE6468"/>
    <w:rsid w:val="00BE6CC1"/>
    <w:rsid w:val="00BF2E8C"/>
    <w:rsid w:val="00BF587A"/>
    <w:rsid w:val="00C0105F"/>
    <w:rsid w:val="00C07197"/>
    <w:rsid w:val="00C14917"/>
    <w:rsid w:val="00C25B44"/>
    <w:rsid w:val="00C3317D"/>
    <w:rsid w:val="00C33E49"/>
    <w:rsid w:val="00C35591"/>
    <w:rsid w:val="00C41BD5"/>
    <w:rsid w:val="00C41EDB"/>
    <w:rsid w:val="00C50274"/>
    <w:rsid w:val="00C535B1"/>
    <w:rsid w:val="00C6260A"/>
    <w:rsid w:val="00C656DD"/>
    <w:rsid w:val="00C72AC6"/>
    <w:rsid w:val="00C916C8"/>
    <w:rsid w:val="00C92A4B"/>
    <w:rsid w:val="00C94B40"/>
    <w:rsid w:val="00C97E60"/>
    <w:rsid w:val="00CA2E85"/>
    <w:rsid w:val="00CA6AE7"/>
    <w:rsid w:val="00CB16E1"/>
    <w:rsid w:val="00CB25CF"/>
    <w:rsid w:val="00CB2790"/>
    <w:rsid w:val="00CB505F"/>
    <w:rsid w:val="00CC51E2"/>
    <w:rsid w:val="00CD05AC"/>
    <w:rsid w:val="00CE53AB"/>
    <w:rsid w:val="00CF2C5D"/>
    <w:rsid w:val="00CF7C87"/>
    <w:rsid w:val="00D01C8F"/>
    <w:rsid w:val="00D34B40"/>
    <w:rsid w:val="00D4245B"/>
    <w:rsid w:val="00D548C8"/>
    <w:rsid w:val="00D54ED4"/>
    <w:rsid w:val="00D66763"/>
    <w:rsid w:val="00D81BBC"/>
    <w:rsid w:val="00D90303"/>
    <w:rsid w:val="00D978DE"/>
    <w:rsid w:val="00DB3586"/>
    <w:rsid w:val="00DC52F8"/>
    <w:rsid w:val="00DC5385"/>
    <w:rsid w:val="00DC7728"/>
    <w:rsid w:val="00DC7AB7"/>
    <w:rsid w:val="00DD1835"/>
    <w:rsid w:val="00DE1BD0"/>
    <w:rsid w:val="00DE693B"/>
    <w:rsid w:val="00DE74EE"/>
    <w:rsid w:val="00DF5345"/>
    <w:rsid w:val="00E15B0F"/>
    <w:rsid w:val="00E266FE"/>
    <w:rsid w:val="00E307F8"/>
    <w:rsid w:val="00E314FC"/>
    <w:rsid w:val="00E47926"/>
    <w:rsid w:val="00E52101"/>
    <w:rsid w:val="00E53DCA"/>
    <w:rsid w:val="00E6399A"/>
    <w:rsid w:val="00E747C2"/>
    <w:rsid w:val="00E8704A"/>
    <w:rsid w:val="00E877EC"/>
    <w:rsid w:val="00E9566A"/>
    <w:rsid w:val="00E95B1A"/>
    <w:rsid w:val="00EC036E"/>
    <w:rsid w:val="00EC0828"/>
    <w:rsid w:val="00EC42CF"/>
    <w:rsid w:val="00EC6B07"/>
    <w:rsid w:val="00ED76BF"/>
    <w:rsid w:val="00EE0541"/>
    <w:rsid w:val="00EE7478"/>
    <w:rsid w:val="00EF0A83"/>
    <w:rsid w:val="00EF1861"/>
    <w:rsid w:val="00EF5D3D"/>
    <w:rsid w:val="00F052C9"/>
    <w:rsid w:val="00F15C25"/>
    <w:rsid w:val="00F16636"/>
    <w:rsid w:val="00F17A0F"/>
    <w:rsid w:val="00F2612F"/>
    <w:rsid w:val="00F40574"/>
    <w:rsid w:val="00F43952"/>
    <w:rsid w:val="00F449CA"/>
    <w:rsid w:val="00F45F44"/>
    <w:rsid w:val="00F46B15"/>
    <w:rsid w:val="00F56078"/>
    <w:rsid w:val="00F6345D"/>
    <w:rsid w:val="00F635E8"/>
    <w:rsid w:val="00F735B5"/>
    <w:rsid w:val="00F74AD4"/>
    <w:rsid w:val="00F7759E"/>
    <w:rsid w:val="00F8394C"/>
    <w:rsid w:val="00FA1C73"/>
    <w:rsid w:val="00FA2FE9"/>
    <w:rsid w:val="00FA604A"/>
    <w:rsid w:val="00FB20A0"/>
    <w:rsid w:val="00FC4DE2"/>
    <w:rsid w:val="00FD0EAB"/>
    <w:rsid w:val="00FD1478"/>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36E1"/>
  <w15:docId w15:val="{85455E32-7F34-4216-8557-81AF1607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007DB3"/>
    <w:rPr>
      <w:color w:val="0000FF" w:themeColor="hyperlink"/>
      <w:u w:val="single"/>
    </w:rPr>
  </w:style>
  <w:style w:type="character" w:styleId="CommentReference">
    <w:name w:val="annotation reference"/>
    <w:basedOn w:val="DefaultParagraphFont"/>
    <w:uiPriority w:val="99"/>
    <w:semiHidden/>
    <w:unhideWhenUsed/>
    <w:rsid w:val="00EE7478"/>
    <w:rPr>
      <w:sz w:val="16"/>
      <w:szCs w:val="16"/>
    </w:rPr>
  </w:style>
  <w:style w:type="paragraph" w:styleId="CommentText">
    <w:name w:val="annotation text"/>
    <w:basedOn w:val="Normal"/>
    <w:link w:val="CommentTextChar"/>
    <w:uiPriority w:val="99"/>
    <w:semiHidden/>
    <w:unhideWhenUsed/>
    <w:rsid w:val="00EE7478"/>
    <w:rPr>
      <w:sz w:val="20"/>
    </w:rPr>
  </w:style>
  <w:style w:type="character" w:customStyle="1" w:styleId="CommentTextChar">
    <w:name w:val="Comment Text Char"/>
    <w:basedOn w:val="DefaultParagraphFont"/>
    <w:link w:val="CommentText"/>
    <w:uiPriority w:val="99"/>
    <w:semiHidden/>
    <w:rsid w:val="00EE7478"/>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E7478"/>
    <w:rPr>
      <w:b/>
      <w:bCs/>
    </w:rPr>
  </w:style>
  <w:style w:type="character" w:customStyle="1" w:styleId="CommentSubjectChar">
    <w:name w:val="Comment Subject Char"/>
    <w:basedOn w:val="CommentTextChar"/>
    <w:link w:val="CommentSubject"/>
    <w:uiPriority w:val="99"/>
    <w:semiHidden/>
    <w:rsid w:val="00EE7478"/>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0228">
      <w:bodyDiv w:val="1"/>
      <w:marLeft w:val="0"/>
      <w:marRight w:val="0"/>
      <w:marTop w:val="0"/>
      <w:marBottom w:val="0"/>
      <w:divBdr>
        <w:top w:val="none" w:sz="0" w:space="0" w:color="auto"/>
        <w:left w:val="none" w:sz="0" w:space="0" w:color="auto"/>
        <w:bottom w:val="none" w:sz="0" w:space="0" w:color="auto"/>
        <w:right w:val="none" w:sz="0" w:space="0" w:color="auto"/>
      </w:divBdr>
    </w:div>
    <w:div w:id="602153996">
      <w:bodyDiv w:val="1"/>
      <w:marLeft w:val="0"/>
      <w:marRight w:val="0"/>
      <w:marTop w:val="0"/>
      <w:marBottom w:val="0"/>
      <w:divBdr>
        <w:top w:val="none" w:sz="0" w:space="0" w:color="auto"/>
        <w:left w:val="none" w:sz="0" w:space="0" w:color="auto"/>
        <w:bottom w:val="none" w:sz="0" w:space="0" w:color="auto"/>
        <w:right w:val="none" w:sz="0" w:space="0" w:color="auto"/>
      </w:divBdr>
    </w:div>
    <w:div w:id="718288827">
      <w:bodyDiv w:val="1"/>
      <w:marLeft w:val="0"/>
      <w:marRight w:val="0"/>
      <w:marTop w:val="0"/>
      <w:marBottom w:val="0"/>
      <w:divBdr>
        <w:top w:val="none" w:sz="0" w:space="0" w:color="auto"/>
        <w:left w:val="none" w:sz="0" w:space="0" w:color="auto"/>
        <w:bottom w:val="none" w:sz="0" w:space="0" w:color="auto"/>
        <w:right w:val="none" w:sz="0" w:space="0" w:color="auto"/>
      </w:divBdr>
    </w:div>
    <w:div w:id="787703015">
      <w:bodyDiv w:val="1"/>
      <w:marLeft w:val="0"/>
      <w:marRight w:val="0"/>
      <w:marTop w:val="0"/>
      <w:marBottom w:val="0"/>
      <w:divBdr>
        <w:top w:val="none" w:sz="0" w:space="0" w:color="auto"/>
        <w:left w:val="none" w:sz="0" w:space="0" w:color="auto"/>
        <w:bottom w:val="none" w:sz="0" w:space="0" w:color="auto"/>
        <w:right w:val="none" w:sz="0" w:space="0" w:color="auto"/>
      </w:divBdr>
    </w:div>
    <w:div w:id="1125150347">
      <w:bodyDiv w:val="1"/>
      <w:marLeft w:val="0"/>
      <w:marRight w:val="0"/>
      <w:marTop w:val="0"/>
      <w:marBottom w:val="0"/>
      <w:divBdr>
        <w:top w:val="none" w:sz="0" w:space="0" w:color="auto"/>
        <w:left w:val="none" w:sz="0" w:space="0" w:color="auto"/>
        <w:bottom w:val="none" w:sz="0" w:space="0" w:color="auto"/>
        <w:right w:val="none" w:sz="0" w:space="0" w:color="auto"/>
      </w:divBdr>
    </w:div>
    <w:div w:id="1433286063">
      <w:bodyDiv w:val="1"/>
      <w:marLeft w:val="0"/>
      <w:marRight w:val="0"/>
      <w:marTop w:val="0"/>
      <w:marBottom w:val="0"/>
      <w:divBdr>
        <w:top w:val="none" w:sz="0" w:space="0" w:color="auto"/>
        <w:left w:val="none" w:sz="0" w:space="0" w:color="auto"/>
        <w:bottom w:val="none" w:sz="0" w:space="0" w:color="auto"/>
        <w:right w:val="none" w:sz="0" w:space="0" w:color="auto"/>
      </w:divBdr>
    </w:div>
    <w:div w:id="1673146029">
      <w:bodyDiv w:val="1"/>
      <w:marLeft w:val="0"/>
      <w:marRight w:val="0"/>
      <w:marTop w:val="0"/>
      <w:marBottom w:val="0"/>
      <w:divBdr>
        <w:top w:val="none" w:sz="0" w:space="0" w:color="auto"/>
        <w:left w:val="none" w:sz="0" w:space="0" w:color="auto"/>
        <w:bottom w:val="none" w:sz="0" w:space="0" w:color="auto"/>
        <w:right w:val="none" w:sz="0" w:space="0" w:color="auto"/>
      </w:divBdr>
    </w:div>
    <w:div w:id="210017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755A-A10C-41AF-9309-DF973DEC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9943</Words>
  <Characters>5668</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2020-01-21T06:58:00Z</dcterms:created>
  <dcterms:modified xsi:type="dcterms:W3CDTF">2020-01-21T06:58:00Z</dcterms:modified>
</cp:coreProperties>
</file>