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76957" w14:textId="14318D24" w:rsidR="00BF1A54" w:rsidRPr="00117D8D" w:rsidRDefault="005118DC" w:rsidP="005118DC">
      <w:pPr>
        <w:ind w:left="6480" w:firstLine="1296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Projektas</w:t>
      </w:r>
    </w:p>
    <w:p w14:paraId="453D8955" w14:textId="77777777" w:rsidR="00311AF9" w:rsidRDefault="00311AF9" w:rsidP="00725E94">
      <w:pPr>
        <w:jc w:val="center"/>
        <w:rPr>
          <w:b/>
          <w:szCs w:val="24"/>
          <w:lang w:eastAsia="lt-LT"/>
        </w:rPr>
      </w:pPr>
    </w:p>
    <w:p w14:paraId="18A03DA7" w14:textId="659E0A43" w:rsidR="003A0008" w:rsidRDefault="003118A0" w:rsidP="00725E94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 ENERGETIKOS MINISTRAS</w:t>
      </w:r>
    </w:p>
    <w:p w14:paraId="5669F55A" w14:textId="77777777" w:rsidR="003A0008" w:rsidRDefault="003A0008" w:rsidP="00725E94">
      <w:pPr>
        <w:keepLines/>
        <w:suppressAutoHyphens/>
        <w:jc w:val="center"/>
        <w:textAlignment w:val="center"/>
        <w:rPr>
          <w:b/>
          <w:szCs w:val="24"/>
        </w:rPr>
      </w:pPr>
    </w:p>
    <w:p w14:paraId="39F654B0" w14:textId="77777777" w:rsidR="003A0008" w:rsidRDefault="003118A0" w:rsidP="00725E94">
      <w:pPr>
        <w:keepLines/>
        <w:suppressAutoHyphens/>
        <w:jc w:val="center"/>
        <w:textAlignment w:val="center"/>
        <w:rPr>
          <w:b/>
          <w:caps/>
          <w:szCs w:val="24"/>
        </w:rPr>
      </w:pPr>
      <w:r>
        <w:rPr>
          <w:b/>
          <w:caps/>
          <w:szCs w:val="24"/>
        </w:rPr>
        <w:t>įsakymas</w:t>
      </w:r>
    </w:p>
    <w:p w14:paraId="25776562" w14:textId="4E8E9224" w:rsidR="003A0008" w:rsidRDefault="003118A0" w:rsidP="00725E94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ENERGET</w:t>
      </w:r>
      <w:r w:rsidR="00725E94">
        <w:rPr>
          <w:b/>
          <w:bCs/>
          <w:szCs w:val="24"/>
          <w:lang w:eastAsia="lt-LT"/>
        </w:rPr>
        <w:t>IKOS MINISTRO 2018 M. LIEPOS 17 </w:t>
      </w:r>
      <w:r>
        <w:rPr>
          <w:b/>
          <w:bCs/>
          <w:szCs w:val="24"/>
          <w:lang w:eastAsia="lt-LT"/>
        </w:rPr>
        <w:t>D. ĮSAKYMO NR. 1-204 „DĖL 2014–2020 METŲ EUROPOS SĄJUNGOS FONDŲ INVESTICIJŲ VEIKSMŲ PRO</w:t>
      </w:r>
      <w:r w:rsidR="00725E94">
        <w:rPr>
          <w:b/>
          <w:bCs/>
          <w:szCs w:val="24"/>
          <w:lang w:eastAsia="lt-LT"/>
        </w:rPr>
        <w:t xml:space="preserve">GRAMOS 4 PRIORITETO „ENERGIJOS </w:t>
      </w:r>
      <w:r>
        <w:rPr>
          <w:b/>
          <w:bCs/>
          <w:szCs w:val="24"/>
          <w:lang w:eastAsia="lt-LT"/>
        </w:rPr>
        <w:t>EFEKTYVUMO IR ATSINAUJINANČIŲ IŠTEKLIŲ ENERGIJOS GAMYBOS IR NAUDOJIMO SKATINIMAS“ 04.3.1-VIPA-T-113 PRIEMONĖS „VALSTYBEI NUOSAVYBĖS TEISE PRIKLAUSANČIŲ PASTATŲ ATNAUJINIMAS (II)“ PROJEKTŲ FINANSAVIMO SĄLYGŲ APRAŠO NR. 1 PATVIRTINIMO“ PAKEITIMO</w:t>
      </w:r>
    </w:p>
    <w:p w14:paraId="54A2B498" w14:textId="77777777" w:rsidR="003A0008" w:rsidRDefault="003A0008" w:rsidP="00725E94">
      <w:pPr>
        <w:suppressAutoHyphens/>
        <w:jc w:val="center"/>
        <w:textAlignment w:val="center"/>
        <w:rPr>
          <w:szCs w:val="24"/>
        </w:rPr>
      </w:pPr>
    </w:p>
    <w:p w14:paraId="00F71193" w14:textId="503ACFB0" w:rsidR="003A0008" w:rsidRDefault="003118A0" w:rsidP="00725E94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20</w:t>
      </w:r>
      <w:r w:rsidR="00375DD2">
        <w:rPr>
          <w:szCs w:val="24"/>
        </w:rPr>
        <w:t>20</w:t>
      </w:r>
      <w:r>
        <w:rPr>
          <w:szCs w:val="24"/>
        </w:rPr>
        <w:t xml:space="preserve"> m. </w:t>
      </w:r>
      <w:r w:rsidR="00375DD2">
        <w:rPr>
          <w:szCs w:val="24"/>
        </w:rPr>
        <w:t xml:space="preserve">               </w:t>
      </w:r>
      <w:r>
        <w:rPr>
          <w:szCs w:val="24"/>
        </w:rPr>
        <w:t xml:space="preserve"> d. Nr. </w:t>
      </w:r>
      <w:r w:rsidR="00375DD2">
        <w:rPr>
          <w:szCs w:val="24"/>
        </w:rPr>
        <w:t xml:space="preserve"> </w:t>
      </w:r>
    </w:p>
    <w:p w14:paraId="2169EC87" w14:textId="77777777" w:rsidR="003A0008" w:rsidRDefault="003118A0" w:rsidP="00725E94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Vilnius</w:t>
      </w:r>
    </w:p>
    <w:p w14:paraId="77A3AC64" w14:textId="77777777" w:rsidR="003A0008" w:rsidRDefault="003A0008" w:rsidP="00725E94">
      <w:pPr>
        <w:suppressAutoHyphens/>
        <w:jc w:val="center"/>
        <w:textAlignment w:val="center"/>
        <w:rPr>
          <w:szCs w:val="24"/>
        </w:rPr>
      </w:pPr>
    </w:p>
    <w:p w14:paraId="74507A8A" w14:textId="77777777" w:rsidR="003118A0" w:rsidRDefault="003118A0" w:rsidP="00725E94">
      <w:pPr>
        <w:suppressAutoHyphens/>
        <w:jc w:val="center"/>
        <w:textAlignment w:val="center"/>
        <w:rPr>
          <w:szCs w:val="24"/>
        </w:rPr>
      </w:pPr>
    </w:p>
    <w:p w14:paraId="465B8D1E" w14:textId="7CDF4DBF" w:rsidR="003A0008" w:rsidRDefault="003118A0">
      <w:pPr>
        <w:overflowPunct w:val="0"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 a k e i č i u </w:t>
      </w:r>
      <w:r>
        <w:rPr>
          <w:color w:val="000000"/>
          <w:szCs w:val="24"/>
        </w:rPr>
        <w:t>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</w:t>
      </w:r>
      <w:r w:rsidR="00BD7204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 Nr.1, patvirtint</w:t>
      </w:r>
      <w:r w:rsidR="00BD7204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lang w:eastAsia="lt-LT"/>
        </w:rPr>
        <w:t>Lietuvos Respublikos energetikos ministro 2018 m. liepos 17 d. įsakymu Nr. 1-204 „Dėl 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aprašo Nr. 1 patvirtinimo“</w:t>
      </w:r>
      <w:r w:rsidR="00BD7204">
        <w:rPr>
          <w:color w:val="000000"/>
          <w:szCs w:val="24"/>
          <w:lang w:eastAsia="lt-LT"/>
        </w:rPr>
        <w:t xml:space="preserve">, 66 punktą ir jį išdėstau taip: </w:t>
      </w:r>
    </w:p>
    <w:p w14:paraId="0A757D5D" w14:textId="69F51B0D" w:rsidR="003A0008" w:rsidRDefault="00BD7204" w:rsidP="001622C0">
      <w:pPr>
        <w:jc w:val="both"/>
        <w:rPr>
          <w:i/>
          <w:color w:val="000000"/>
          <w:szCs w:val="24"/>
        </w:rPr>
      </w:pPr>
      <w:r w:rsidDel="00BD7204">
        <w:rPr>
          <w:color w:val="000000"/>
          <w:szCs w:val="24"/>
        </w:rPr>
        <w:t xml:space="preserve"> </w:t>
      </w:r>
      <w:bookmarkStart w:id="1" w:name="_Hlk29883736"/>
      <w:r w:rsidR="003118A0">
        <w:rPr>
          <w:color w:val="000000"/>
          <w:szCs w:val="24"/>
        </w:rPr>
        <w:t>„</w:t>
      </w:r>
      <w:r w:rsidR="00375DD2">
        <w:rPr>
          <w:color w:val="000000"/>
          <w:szCs w:val="24"/>
        </w:rPr>
        <w:t>66</w:t>
      </w:r>
      <w:r w:rsidR="003118A0">
        <w:rPr>
          <w:color w:val="000000"/>
          <w:szCs w:val="24"/>
        </w:rPr>
        <w:t xml:space="preserve">. </w:t>
      </w:r>
      <w:r w:rsidR="00375DD2">
        <w:t>Siekdamas gauti finansavimą, pareiškėjas turi užpildyti paraišką, kurios iš dalies užpildyta forma (.</w:t>
      </w:r>
      <w:proofErr w:type="spellStart"/>
      <w:r w:rsidR="00375DD2">
        <w:t>pdf</w:t>
      </w:r>
      <w:proofErr w:type="spellEnd"/>
      <w:r w:rsidR="00375DD2">
        <w:t xml:space="preserve"> formatu) skelbiama ES struktūrinių fondų svetainės skyriuje „Dokumentai“, srityje „Finansavimas“ paskelbto kvietimo teikti paraiškas dalyje „Susiję dokumentai. </w:t>
      </w:r>
      <w:r w:rsidR="001622C0" w:rsidRPr="005118DC">
        <w:t>Paraiškoje turi būti prašoma finansuoti tokią (-į) energijos vartojimo audito ataskaitoje pateiktą energijos taupymo priemonių grupę (paketą), kurios (-</w:t>
      </w:r>
      <w:proofErr w:type="spellStart"/>
      <w:r w:rsidR="001622C0" w:rsidRPr="005118DC">
        <w:t>io</w:t>
      </w:r>
      <w:proofErr w:type="spellEnd"/>
      <w:r w:rsidR="001622C0" w:rsidRPr="005118DC">
        <w:t>), skaičiuojant SVA metodu (vadovaujantis Investicijų projektų rengimo metodikos, patvirtintos 2019 m. rugpjūčio 14 d. VšĮ CPVA Direktoriaus įsakymu Nr. 2019/8-214), sąnaudų efektyvumo/veiksmingumo rodiklis (grynųjų išlaidų kartu su likutine verte pokyčio ir paslaugos pokyčio rezultato santykis) būtų mažiausias.</w:t>
      </w:r>
      <w:r w:rsidR="005118DC" w:rsidRPr="005118DC">
        <w:t>“</w:t>
      </w:r>
    </w:p>
    <w:bookmarkEnd w:id="1"/>
    <w:p w14:paraId="31C386DE" w14:textId="1DFB9EFE" w:rsidR="003118A0" w:rsidRDefault="003118A0"/>
    <w:p w14:paraId="590F28D9" w14:textId="359EFDFA" w:rsidR="00F40B23" w:rsidRDefault="00F40B23"/>
    <w:p w14:paraId="3A8FDFCF" w14:textId="743A34FD" w:rsidR="003A0008" w:rsidRDefault="00375DD2">
      <w:pPr>
        <w:rPr>
          <w:bCs/>
          <w:iCs/>
        </w:rPr>
      </w:pPr>
      <w:r>
        <w:t>Energetikos ministras</w:t>
      </w:r>
    </w:p>
    <w:p w14:paraId="347A905B" w14:textId="0F5215E1" w:rsidR="003A0008" w:rsidRDefault="003A0008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tbl>
      <w:tblPr>
        <w:tblW w:w="873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4109"/>
      </w:tblGrid>
      <w:tr w:rsidR="003A0008" w14:paraId="02EAE203" w14:textId="77777777" w:rsidTr="00BF1A54">
        <w:trPr>
          <w:trHeight w:val="1441"/>
        </w:trPr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5141" w14:textId="77777777" w:rsidR="003A0008" w:rsidRDefault="003118A0">
            <w:pPr>
              <w:overflowPunct w:val="0"/>
              <w:jc w:val="both"/>
              <w:textAlignment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SUDERINTA</w:t>
            </w:r>
          </w:p>
          <w:p w14:paraId="36492293" w14:textId="77777777" w:rsidR="003A0008" w:rsidRDefault="003118A0">
            <w:pPr>
              <w:overflowPunct w:val="0"/>
              <w:jc w:val="both"/>
              <w:textAlignment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Lietuvos Respublikos finansų ministerijos</w:t>
            </w:r>
          </w:p>
          <w:p w14:paraId="2EC033D3" w14:textId="1F08F173" w:rsidR="003A0008" w:rsidRDefault="003118A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  <w:r w:rsidR="00375DD2">
              <w:rPr>
                <w:color w:val="000000"/>
                <w:szCs w:val="24"/>
                <w:lang w:eastAsia="lt-LT"/>
              </w:rPr>
              <w:t xml:space="preserve">        </w:t>
            </w:r>
            <w:r>
              <w:rPr>
                <w:color w:val="000000"/>
                <w:szCs w:val="24"/>
                <w:lang w:eastAsia="lt-LT"/>
              </w:rPr>
              <w:t xml:space="preserve"> m. </w:t>
            </w:r>
            <w:r w:rsidR="00375DD2">
              <w:rPr>
                <w:color w:val="000000"/>
                <w:szCs w:val="24"/>
                <w:lang w:eastAsia="lt-LT"/>
              </w:rPr>
              <w:t xml:space="preserve">             </w:t>
            </w:r>
            <w:r>
              <w:rPr>
                <w:color w:val="000000"/>
                <w:szCs w:val="24"/>
                <w:lang w:eastAsia="lt-LT"/>
              </w:rPr>
              <w:t xml:space="preserve"> d. raštu</w:t>
            </w:r>
          </w:p>
          <w:p w14:paraId="1E90F800" w14:textId="2E23329F" w:rsidR="003A0008" w:rsidRDefault="003118A0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Nr. </w:t>
            </w:r>
            <w:r w:rsidR="00375DD2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41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E361" w14:textId="77777777" w:rsidR="003A0008" w:rsidRDefault="003118A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SUDERINTA</w:t>
            </w:r>
          </w:p>
          <w:p w14:paraId="03D3AAB8" w14:textId="77777777" w:rsidR="00725E94" w:rsidRDefault="003118A0" w:rsidP="00725E94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Uždarosios akcinės bendrovės </w:t>
            </w:r>
          </w:p>
          <w:p w14:paraId="63CDCFBC" w14:textId="6A49094B" w:rsidR="003A0008" w:rsidRDefault="003118A0" w:rsidP="00725E94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Viešųjų investicijų plėtros agentūros</w:t>
            </w:r>
          </w:p>
          <w:p w14:paraId="69A754C8" w14:textId="17AFF876" w:rsidR="003A0008" w:rsidRDefault="003118A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  <w:r w:rsidR="00375DD2">
              <w:rPr>
                <w:color w:val="000000"/>
                <w:szCs w:val="24"/>
                <w:lang w:eastAsia="lt-LT"/>
              </w:rPr>
              <w:t xml:space="preserve">      </w:t>
            </w:r>
            <w:r>
              <w:rPr>
                <w:color w:val="000000"/>
                <w:szCs w:val="24"/>
                <w:lang w:eastAsia="lt-LT"/>
              </w:rPr>
              <w:t xml:space="preserve"> m.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375DD2">
              <w:rPr>
                <w:bCs/>
                <w:color w:val="000000"/>
                <w:szCs w:val="24"/>
              </w:rPr>
              <w:t xml:space="preserve">             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 xml:space="preserve">d. raštu </w:t>
            </w:r>
          </w:p>
          <w:p w14:paraId="536C75AA" w14:textId="7E84041F" w:rsidR="003A0008" w:rsidRDefault="003118A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Nr.</w:t>
            </w:r>
          </w:p>
        </w:tc>
      </w:tr>
    </w:tbl>
    <w:p w14:paraId="02C73BFA" w14:textId="77777777" w:rsidR="003A0008" w:rsidRDefault="003A0008">
      <w:pPr>
        <w:tabs>
          <w:tab w:val="left" w:pos="7371"/>
        </w:tabs>
        <w:jc w:val="both"/>
        <w:rPr>
          <w:szCs w:val="24"/>
        </w:rPr>
      </w:pPr>
    </w:p>
    <w:sectPr w:rsidR="003A0008" w:rsidSect="003118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5BD88" w14:textId="77777777" w:rsidR="00490888" w:rsidRDefault="00490888">
      <w:r>
        <w:separator/>
      </w:r>
    </w:p>
  </w:endnote>
  <w:endnote w:type="continuationSeparator" w:id="0">
    <w:p w14:paraId="65A9B82E" w14:textId="77777777" w:rsidR="00490888" w:rsidRDefault="0049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7491F" w14:textId="77777777" w:rsidR="003118A0" w:rsidRDefault="00311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179EA" w14:textId="77777777" w:rsidR="003118A0" w:rsidRDefault="003118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9BA2" w14:textId="77777777" w:rsidR="003118A0" w:rsidRDefault="00311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8FB9A" w14:textId="77777777" w:rsidR="00490888" w:rsidRDefault="00490888">
      <w:r>
        <w:separator/>
      </w:r>
    </w:p>
  </w:footnote>
  <w:footnote w:type="continuationSeparator" w:id="0">
    <w:p w14:paraId="00049F78" w14:textId="77777777" w:rsidR="00490888" w:rsidRDefault="0049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32A19" w14:textId="77777777" w:rsidR="003118A0" w:rsidRDefault="00311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144865"/>
      <w:docPartObj>
        <w:docPartGallery w:val="Page Numbers (Top of Page)"/>
        <w:docPartUnique/>
      </w:docPartObj>
    </w:sdtPr>
    <w:sdtEndPr/>
    <w:sdtContent>
      <w:p w14:paraId="0F3F6FC5" w14:textId="5D03CF03" w:rsidR="003118A0" w:rsidRDefault="003118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E94">
          <w:rPr>
            <w:noProof/>
          </w:rPr>
          <w:t>4</w:t>
        </w:r>
        <w:r>
          <w:fldChar w:fldCharType="end"/>
        </w:r>
      </w:p>
    </w:sdtContent>
  </w:sdt>
  <w:p w14:paraId="41FA32CB" w14:textId="77777777" w:rsidR="003118A0" w:rsidRDefault="003118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64B14" w14:textId="77777777" w:rsidR="003118A0" w:rsidRDefault="003118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0A"/>
    <w:rsid w:val="000844A4"/>
    <w:rsid w:val="001379CE"/>
    <w:rsid w:val="001622C0"/>
    <w:rsid w:val="002E4AC6"/>
    <w:rsid w:val="003118A0"/>
    <w:rsid w:val="00311AF9"/>
    <w:rsid w:val="003333F3"/>
    <w:rsid w:val="00375DD2"/>
    <w:rsid w:val="003A0008"/>
    <w:rsid w:val="00490888"/>
    <w:rsid w:val="005118DC"/>
    <w:rsid w:val="00535B32"/>
    <w:rsid w:val="00725E94"/>
    <w:rsid w:val="00AA7E0A"/>
    <w:rsid w:val="00BD7204"/>
    <w:rsid w:val="00BF1A54"/>
    <w:rsid w:val="00C84D72"/>
    <w:rsid w:val="00F4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31C3"/>
  <w15:docId w15:val="{70389A97-0B76-451B-83F6-DAD89DF2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3118A0"/>
    <w:rPr>
      <w:color w:val="808080"/>
    </w:rPr>
  </w:style>
  <w:style w:type="paragraph" w:styleId="Header">
    <w:name w:val="header"/>
    <w:basedOn w:val="Normal"/>
    <w:link w:val="HeaderChar"/>
    <w:uiPriority w:val="99"/>
    <w:rsid w:val="003118A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8A0"/>
  </w:style>
  <w:style w:type="paragraph" w:styleId="Footer">
    <w:name w:val="footer"/>
    <w:basedOn w:val="Normal"/>
    <w:link w:val="FooterChar"/>
    <w:rsid w:val="003118A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118A0"/>
  </w:style>
  <w:style w:type="paragraph" w:styleId="ListParagraph">
    <w:name w:val="List Paragraph"/>
    <w:basedOn w:val="Normal"/>
    <w:rsid w:val="00375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0" ma:contentTypeDescription="Kurkite naują dokumentą." ma:contentTypeScope="" ma:versionID="23e54c6ce135ee4ba4d7dfb9b012ed70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d2be9fdedd70a5a91514088e571606ea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4F7F1-6DA0-49EA-868B-8FC8F12FD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D2E327-3DA9-4E9A-8D42-F311CD4A4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5A07C-6708-4E40-8D60-C7159AE87D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5968C-12F9-4B80-BB61-86A1B936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Blakunovaite</dc:creator>
  <cp:lastModifiedBy>Ineta Blakunovaite</cp:lastModifiedBy>
  <cp:revision>2</cp:revision>
  <cp:lastPrinted>2018-09-13T07:18:00Z</cp:lastPrinted>
  <dcterms:created xsi:type="dcterms:W3CDTF">2020-01-21T11:41:00Z</dcterms:created>
  <dcterms:modified xsi:type="dcterms:W3CDTF">2020-01-21T11:41:00Z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