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FA4FA" w14:textId="77777777" w:rsidR="0036662A" w:rsidRDefault="0036662A" w:rsidP="0036662A">
      <w:pPr>
        <w:jc w:val="center"/>
        <w:rPr>
          <w:b/>
          <w:bCs/>
        </w:rPr>
      </w:pPr>
      <w:r>
        <w:rPr>
          <w:b/>
          <w:bCs/>
        </w:rPr>
        <w:t>LIET</w:t>
      </w:r>
      <w:r w:rsidR="00BE2051">
        <w:rPr>
          <w:b/>
          <w:bCs/>
        </w:rPr>
        <w:t>UVOS RESPUBLIKOS ŠVIETIMO,</w:t>
      </w:r>
      <w:r w:rsidR="009E02DD">
        <w:rPr>
          <w:b/>
          <w:bCs/>
        </w:rPr>
        <w:t xml:space="preserve"> MOKSLO IR SPORTO</w:t>
      </w:r>
      <w:r>
        <w:rPr>
          <w:b/>
          <w:bCs/>
        </w:rPr>
        <w:t xml:space="preserve"> MINISTERIJA</w:t>
      </w:r>
    </w:p>
    <w:p w14:paraId="0718EB42" w14:textId="77777777" w:rsidR="0036662A" w:rsidRDefault="0036662A" w:rsidP="0036662A">
      <w:pPr>
        <w:jc w:val="center"/>
        <w:rPr>
          <w:b/>
          <w:bCs/>
        </w:rPr>
      </w:pPr>
    </w:p>
    <w:p w14:paraId="6205EDAF" w14:textId="77777777" w:rsidR="004749AC" w:rsidRDefault="0036662A" w:rsidP="0036662A">
      <w:pPr>
        <w:jc w:val="center"/>
        <w:rPr>
          <w:b/>
          <w:bCs/>
        </w:rPr>
      </w:pPr>
      <w:r>
        <w:rPr>
          <w:b/>
          <w:bCs/>
        </w:rPr>
        <w:t>SOCIALINIŲ IR EKONOMINIŲ PARTNERIŲ PA</w:t>
      </w:r>
      <w:r w:rsidR="004749AC">
        <w:rPr>
          <w:b/>
          <w:bCs/>
        </w:rPr>
        <w:t xml:space="preserve">TEIKTŲ PASTABŲ IR PASIŪLYMŲ DĖL </w:t>
      </w:r>
      <w:r w:rsidR="004749AC" w:rsidRPr="004749AC">
        <w:rPr>
          <w:b/>
          <w:bCs/>
        </w:rPr>
        <w:t>2014–2020 METŲ EUROPOS SĄJUNGOS FONDŲ INVESTICIJŲ VEIKSMŲ PROGRAMOS 9 PRIORITETO „VISUOMENĖS ŠVIETIMAS IR ŽMOGIŠKŲJŲ IŠTEKLIŲ POTENCIALO DIDINIMAS“ 09.4.1-ESFA-T-736 PRIEMONĖS „PRAKTINIŲ ĮGŪDŽIŲ ĮGIJIMO RĖMIMAS IR SKATINIMAS“ PROJEKTŲ FINANSAVIMO SĄLYGŲ AP</w:t>
      </w:r>
      <w:r w:rsidR="004749AC">
        <w:rPr>
          <w:b/>
          <w:bCs/>
        </w:rPr>
        <w:t>RAŠO</w:t>
      </w:r>
      <w:r w:rsidR="004749AC" w:rsidRPr="004749AC">
        <w:rPr>
          <w:b/>
          <w:bCs/>
        </w:rPr>
        <w:t xml:space="preserve"> NR. 1</w:t>
      </w:r>
      <w:r w:rsidR="004749AC">
        <w:rPr>
          <w:b/>
          <w:bCs/>
        </w:rPr>
        <w:t xml:space="preserve"> DERINIMAS</w:t>
      </w:r>
    </w:p>
    <w:p w14:paraId="187C40F2" w14:textId="77777777"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14:paraId="6E58C14D" w14:textId="77777777" w:rsidTr="00335D39">
        <w:tc>
          <w:tcPr>
            <w:tcW w:w="6804" w:type="dxa"/>
          </w:tcPr>
          <w:p w14:paraId="71D44CBE"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8910424" w14:textId="77777777" w:rsidR="0036662A" w:rsidRDefault="009E02DD" w:rsidP="00335D39">
            <w:pPr>
              <w:rPr>
                <w:szCs w:val="24"/>
              </w:rPr>
            </w:pPr>
            <w:r w:rsidRPr="009E02DD">
              <w:rPr>
                <w:szCs w:val="24"/>
              </w:rPr>
              <w:t>2019-11-25</w:t>
            </w:r>
          </w:p>
        </w:tc>
      </w:tr>
      <w:tr w:rsidR="0036662A" w14:paraId="2BCF2E7F" w14:textId="77777777" w:rsidTr="00335D39">
        <w:tc>
          <w:tcPr>
            <w:tcW w:w="6804" w:type="dxa"/>
          </w:tcPr>
          <w:p w14:paraId="5DFC9A49"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3EB7D157"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2CE6C2E2" w14:textId="77777777" w:rsidR="0036662A" w:rsidRPr="007070FE" w:rsidRDefault="001129F7" w:rsidP="009E02DD">
            <w:sdt>
              <w:sdtPr>
                <w:id w:val="1312749902"/>
              </w:sdtPr>
              <w:sdtEndPr/>
              <w:sdtContent>
                <w:r w:rsidR="009E02DD" w:rsidRPr="00D30B14">
                  <w:rPr>
                    <w:b/>
                  </w:rPr>
                  <w:t>X</w:t>
                </w:r>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5F4D587A" w14:textId="77777777" w:rsidTr="00335D39">
        <w:tc>
          <w:tcPr>
            <w:tcW w:w="6804" w:type="dxa"/>
          </w:tcPr>
          <w:p w14:paraId="4637822C"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5A89A920"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6E2A13FA" w14:textId="77777777" w:rsidR="0036662A" w:rsidRDefault="001129F7" w:rsidP="009E02DD">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9E02DD" w:rsidRPr="009E02DD">
                  <w:rPr>
                    <w:b/>
                  </w:rPr>
                  <w:t>X</w:t>
                </w:r>
              </w:sdtContent>
            </w:sdt>
            <w:r w:rsidR="0036662A">
              <w:rPr>
                <w:szCs w:val="24"/>
              </w:rPr>
              <w:t xml:space="preserve"> Ne </w:t>
            </w:r>
          </w:p>
        </w:tc>
      </w:tr>
    </w:tbl>
    <w:p w14:paraId="3548277F" w14:textId="77777777" w:rsidR="0036662A" w:rsidRDefault="0036662A" w:rsidP="0036662A">
      <w:pPr>
        <w:rPr>
          <w:szCs w:val="24"/>
        </w:rPr>
      </w:pPr>
    </w:p>
    <w:p w14:paraId="2C20118C" w14:textId="77777777" w:rsidR="001647E3" w:rsidRPr="00781CA4" w:rsidRDefault="001647E3"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4CDC61B0" w14:textId="77777777" w:rsidTr="00335D39">
        <w:tc>
          <w:tcPr>
            <w:tcW w:w="567" w:type="dxa"/>
          </w:tcPr>
          <w:p w14:paraId="654DFC9A" w14:textId="77777777" w:rsidR="0036662A" w:rsidRPr="00781CA4" w:rsidRDefault="0036662A" w:rsidP="00335D39">
            <w:pPr>
              <w:jc w:val="center"/>
              <w:rPr>
                <w:b/>
                <w:szCs w:val="24"/>
              </w:rPr>
            </w:pPr>
            <w:r w:rsidRPr="00781CA4">
              <w:rPr>
                <w:b/>
                <w:szCs w:val="24"/>
              </w:rPr>
              <w:t>Nr.</w:t>
            </w:r>
          </w:p>
        </w:tc>
        <w:tc>
          <w:tcPr>
            <w:tcW w:w="1985" w:type="dxa"/>
          </w:tcPr>
          <w:p w14:paraId="7BE08A7D" w14:textId="77777777" w:rsidR="0036662A" w:rsidRPr="00781CA4" w:rsidRDefault="0036662A" w:rsidP="00335D39">
            <w:pPr>
              <w:jc w:val="center"/>
              <w:rPr>
                <w:b/>
                <w:szCs w:val="24"/>
              </w:rPr>
            </w:pPr>
            <w:r w:rsidRPr="00781CA4">
              <w:rPr>
                <w:b/>
                <w:szCs w:val="24"/>
              </w:rPr>
              <w:t>Institucija</w:t>
            </w:r>
          </w:p>
        </w:tc>
        <w:tc>
          <w:tcPr>
            <w:tcW w:w="5386" w:type="dxa"/>
          </w:tcPr>
          <w:p w14:paraId="702DE8D9" w14:textId="77777777" w:rsidR="0036662A" w:rsidRPr="00781CA4" w:rsidRDefault="0036662A" w:rsidP="00335D39">
            <w:pPr>
              <w:jc w:val="center"/>
              <w:rPr>
                <w:b/>
                <w:szCs w:val="24"/>
              </w:rPr>
            </w:pPr>
            <w:r>
              <w:rPr>
                <w:b/>
                <w:bCs/>
              </w:rPr>
              <w:t>Pastabos ir pasiūlymai</w:t>
            </w:r>
          </w:p>
        </w:tc>
        <w:tc>
          <w:tcPr>
            <w:tcW w:w="6804" w:type="dxa"/>
          </w:tcPr>
          <w:p w14:paraId="2C4ACE62"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84064D" w:rsidRPr="00C70D14" w14:paraId="1DD82087" w14:textId="77777777" w:rsidTr="00073526">
        <w:tc>
          <w:tcPr>
            <w:tcW w:w="567" w:type="dxa"/>
          </w:tcPr>
          <w:p w14:paraId="0C45C720" w14:textId="77777777" w:rsidR="0084064D" w:rsidRPr="0038099D" w:rsidRDefault="0084064D" w:rsidP="009E02DD">
            <w:pPr>
              <w:pStyle w:val="Sraopastraipa"/>
              <w:numPr>
                <w:ilvl w:val="0"/>
                <w:numId w:val="1"/>
              </w:numPr>
              <w:jc w:val="both"/>
            </w:pPr>
          </w:p>
        </w:tc>
        <w:tc>
          <w:tcPr>
            <w:tcW w:w="1985" w:type="dxa"/>
          </w:tcPr>
          <w:p w14:paraId="6BF4BC8A" w14:textId="77777777" w:rsidR="0084064D" w:rsidRPr="00520A00" w:rsidRDefault="00520A00" w:rsidP="009E02DD">
            <w:pPr>
              <w:rPr>
                <w:b/>
              </w:rPr>
            </w:pPr>
            <w:r w:rsidRPr="00520A00">
              <w:rPr>
                <w:b/>
              </w:rPr>
              <w:t>Lietuvos pramoninkų konfederacija</w:t>
            </w:r>
          </w:p>
          <w:p w14:paraId="26F1DC07" w14:textId="77777777" w:rsidR="00520A00" w:rsidRPr="00BD4A42" w:rsidRDefault="00520A00" w:rsidP="009E02DD">
            <w:r>
              <w:t>Raimundas Balčiūnaitis (pateikta 2019-12-18 renginio dėl pameistrystės modelio įgyvendinimo metu)</w:t>
            </w:r>
          </w:p>
        </w:tc>
        <w:tc>
          <w:tcPr>
            <w:tcW w:w="5386" w:type="dxa"/>
          </w:tcPr>
          <w:p w14:paraId="2792CB57" w14:textId="77777777" w:rsidR="0084064D" w:rsidRPr="00E722C8" w:rsidRDefault="00520A00" w:rsidP="008251AC">
            <w:pPr>
              <w:pStyle w:val="KTpstrnum"/>
              <w:numPr>
                <w:ilvl w:val="0"/>
                <w:numId w:val="0"/>
              </w:numPr>
            </w:pPr>
            <w:r w:rsidRPr="00E722C8">
              <w:t>R. Balčiūnaitis klausė, kaip bus užtikrinta, kad projektuose (tiek EIM, tiek ŠMSM administruojamų priemonių) pameistriai bus realūs.</w:t>
            </w:r>
          </w:p>
          <w:p w14:paraId="458F976E" w14:textId="77777777" w:rsidR="00520A00" w:rsidRPr="00E722C8" w:rsidRDefault="00520A00" w:rsidP="008251AC">
            <w:pPr>
              <w:pStyle w:val="KTpstrnum"/>
              <w:numPr>
                <w:ilvl w:val="0"/>
                <w:numId w:val="0"/>
              </w:numPr>
            </w:pPr>
            <w:r w:rsidRPr="00E722C8">
              <w:t xml:space="preserve">Buvo paaiškinta, kad pameistrystės atveju turi būti sudaromos tiek mokymosi, tiek darbo sutartys. </w:t>
            </w:r>
          </w:p>
          <w:p w14:paraId="19287475" w14:textId="1D152087" w:rsidR="00F6169C" w:rsidRPr="00E722C8" w:rsidRDefault="00520A00" w:rsidP="008251AC">
            <w:pPr>
              <w:pStyle w:val="KTpstrnum"/>
              <w:numPr>
                <w:ilvl w:val="0"/>
                <w:numId w:val="0"/>
              </w:numPr>
            </w:pPr>
            <w:r w:rsidRPr="00E722C8">
              <w:t>R. Balčiūnaitis pasiūlė įtraukti į Aprašą nuostatą, kad su paraiška turi būti pateikiamos darbo sutarčių kopijos.</w:t>
            </w:r>
          </w:p>
        </w:tc>
        <w:tc>
          <w:tcPr>
            <w:tcW w:w="6804" w:type="dxa"/>
            <w:shd w:val="clear" w:color="auto" w:fill="auto"/>
          </w:tcPr>
          <w:p w14:paraId="32CEE497" w14:textId="0D7059B5" w:rsidR="00351F7C" w:rsidRDefault="00351F7C" w:rsidP="008425EB">
            <w:pPr>
              <w:jc w:val="both"/>
            </w:pPr>
            <w:r>
              <w:t>Atsižvelgta iš dalie</w:t>
            </w:r>
            <w:r w:rsidR="00600F3F">
              <w:t>s</w:t>
            </w:r>
            <w:r>
              <w:t xml:space="preserve">. </w:t>
            </w:r>
          </w:p>
          <w:p w14:paraId="4AE94D27" w14:textId="76F82312" w:rsidR="00600F3F" w:rsidRDefault="00600F3F" w:rsidP="005C68F2">
            <w:pPr>
              <w:jc w:val="both"/>
            </w:pPr>
            <w:r>
              <w:t xml:space="preserve">Pameistrystės darbo sutarčių bus prašoma ne paraiškos teikimo, bet projekto įgyvendinimo metu. </w:t>
            </w:r>
          </w:p>
          <w:p w14:paraId="15A103B9" w14:textId="2A2E3D10" w:rsidR="0084064D" w:rsidRDefault="005C68F2" w:rsidP="005C68F2">
            <w:pPr>
              <w:jc w:val="both"/>
              <w:rPr>
                <w:color w:val="000000" w:themeColor="text1"/>
              </w:rPr>
            </w:pPr>
            <w:r w:rsidRPr="00851473">
              <w:t>Profesinio mokymo organizavimo pam</w:t>
            </w:r>
            <w:r>
              <w:t>eistrystės forma tvarkos aprašo 10 punkte rašoma, kad „</w:t>
            </w:r>
            <w:r w:rsidRPr="00F6169C">
              <w:rPr>
                <w:i/>
                <w:color w:val="000000" w:themeColor="text1"/>
              </w:rPr>
              <w:t xml:space="preserve">Į profesinio mokymo programą ar jos modulį priimto asmens &lt;...&gt; profesinis mokymas pameistrystės forma vykdomas su juo pasirašius </w:t>
            </w:r>
            <w:r w:rsidRPr="00F6169C">
              <w:rPr>
                <w:b/>
                <w:i/>
                <w:color w:val="000000" w:themeColor="text1"/>
              </w:rPr>
              <w:t>pameistrystės darbo</w:t>
            </w:r>
            <w:r w:rsidRPr="00F6169C">
              <w:rPr>
                <w:i/>
                <w:color w:val="000000" w:themeColor="text1"/>
              </w:rPr>
              <w:t xml:space="preserve"> ir profesinio mokymo </w:t>
            </w:r>
            <w:r w:rsidRPr="00F6169C">
              <w:rPr>
                <w:b/>
                <w:i/>
                <w:color w:val="000000" w:themeColor="text1"/>
              </w:rPr>
              <w:t>sutartis</w:t>
            </w:r>
            <w:r w:rsidRPr="00F6169C">
              <w:rPr>
                <w:i/>
                <w:color w:val="000000" w:themeColor="text1"/>
              </w:rPr>
              <w:t>...“</w:t>
            </w:r>
            <w:r>
              <w:rPr>
                <w:i/>
                <w:color w:val="000000" w:themeColor="text1"/>
              </w:rPr>
              <w:t xml:space="preserve">. </w:t>
            </w:r>
            <w:r w:rsidRPr="005C68F2">
              <w:rPr>
                <w:color w:val="000000" w:themeColor="text1"/>
              </w:rPr>
              <w:t xml:space="preserve">Pameistrystės darbo sutartis, skirtingai nuo įprastinės darbo </w:t>
            </w:r>
            <w:r>
              <w:rPr>
                <w:color w:val="000000" w:themeColor="text1"/>
              </w:rPr>
              <w:t xml:space="preserve">sutarties, </w:t>
            </w:r>
            <w:r w:rsidRPr="005C68F2">
              <w:rPr>
                <w:color w:val="000000" w:themeColor="text1"/>
              </w:rPr>
              <w:t>yra terminuota darbo sutartis, ji trunka tiek, kiek trunka atitink</w:t>
            </w:r>
            <w:r>
              <w:rPr>
                <w:color w:val="000000" w:themeColor="text1"/>
              </w:rPr>
              <w:t>ama profesinio mokymo programa.</w:t>
            </w:r>
          </w:p>
          <w:p w14:paraId="6DD1AF81" w14:textId="77777777" w:rsidR="00B82602" w:rsidRDefault="005C68F2" w:rsidP="005C68F2">
            <w:pPr>
              <w:jc w:val="both"/>
              <w:rPr>
                <w:color w:val="000000" w:themeColor="text1"/>
              </w:rPr>
            </w:pPr>
            <w:r>
              <w:rPr>
                <w:color w:val="000000" w:themeColor="text1"/>
              </w:rPr>
              <w:t>Pameistrystė darbo s</w:t>
            </w:r>
            <w:r w:rsidR="00B82602">
              <w:rPr>
                <w:color w:val="000000" w:themeColor="text1"/>
              </w:rPr>
              <w:t xml:space="preserve">utarčių paraiškos teikimo metu ESFA nereikalaus. Tai būtų papildoma administracinė našta darbdaviams, nes jie turėtų įdarbinti planuojamus mokyti asmenis dar iki projekto pradžios net nežinodami ar projektui bus skirtas finansavimas ar ne. Kad paraiškoje pagrįsti išlaidas pakaks informacijos apie projekte planuojančios dalyvauti įmonės mokamą darbo užmokestį. </w:t>
            </w:r>
          </w:p>
          <w:p w14:paraId="5438D7FE" w14:textId="7932A6A3" w:rsidR="00B82602" w:rsidRPr="00B82602" w:rsidRDefault="00600F3F" w:rsidP="005C68F2">
            <w:pPr>
              <w:jc w:val="both"/>
              <w:rPr>
                <w:color w:val="000000" w:themeColor="text1"/>
              </w:rPr>
            </w:pPr>
            <w:r>
              <w:rPr>
                <w:color w:val="000000" w:themeColor="text1"/>
              </w:rPr>
              <w:lastRenderedPageBreak/>
              <w:t xml:space="preserve">Pameistrystės darbo sutarčių kopijos bus reikalingos teikiant mokėjimo prašymus, tam kad pagrįsti darbdavių realiai patirtas išlaidas. </w:t>
            </w:r>
          </w:p>
        </w:tc>
      </w:tr>
      <w:tr w:rsidR="00F77BA3" w:rsidRPr="00C70D14" w14:paraId="482E3230" w14:textId="77777777" w:rsidTr="00073526">
        <w:tc>
          <w:tcPr>
            <w:tcW w:w="567" w:type="dxa"/>
          </w:tcPr>
          <w:p w14:paraId="0764A54D" w14:textId="77777777" w:rsidR="00F77BA3" w:rsidRPr="0038099D" w:rsidRDefault="00F77BA3" w:rsidP="009E02DD">
            <w:pPr>
              <w:pStyle w:val="Sraopastraipa"/>
              <w:numPr>
                <w:ilvl w:val="0"/>
                <w:numId w:val="1"/>
              </w:numPr>
              <w:jc w:val="both"/>
            </w:pPr>
          </w:p>
        </w:tc>
        <w:tc>
          <w:tcPr>
            <w:tcW w:w="1985" w:type="dxa"/>
            <w:vMerge w:val="restart"/>
          </w:tcPr>
          <w:p w14:paraId="3B262EAC" w14:textId="77777777" w:rsidR="00F77BA3" w:rsidRPr="007A474A" w:rsidRDefault="00F77BA3" w:rsidP="009E02DD">
            <w:pPr>
              <w:rPr>
                <w:b/>
              </w:rPr>
            </w:pPr>
            <w:r w:rsidRPr="007A474A">
              <w:rPr>
                <w:b/>
              </w:rPr>
              <w:t xml:space="preserve">Socialiniai partneriai </w:t>
            </w:r>
          </w:p>
          <w:p w14:paraId="42D96310" w14:textId="77777777" w:rsidR="00F77BA3" w:rsidRPr="00BD4A42" w:rsidRDefault="00F77BA3" w:rsidP="009E02DD">
            <w:r>
              <w:t>(pateikta 2019-12-18 renginio dėl pameistrystės modelio įgyvendinimo metu)</w:t>
            </w:r>
          </w:p>
          <w:p w14:paraId="28BA29D7" w14:textId="77777777" w:rsidR="00F77BA3" w:rsidRPr="00BD4A42" w:rsidRDefault="00F77BA3" w:rsidP="007A474A"/>
        </w:tc>
        <w:tc>
          <w:tcPr>
            <w:tcW w:w="5386" w:type="dxa"/>
          </w:tcPr>
          <w:p w14:paraId="08E3EC75" w14:textId="77777777" w:rsidR="00F77BA3" w:rsidRDefault="00F77BA3" w:rsidP="00712AF1">
            <w:pPr>
              <w:pStyle w:val="KTpstrnum"/>
              <w:numPr>
                <w:ilvl w:val="0"/>
                <w:numId w:val="0"/>
              </w:numPr>
            </w:pPr>
            <w:r>
              <w:t xml:space="preserve">Kodėl Aprašo 44.3 papunkčiu kartu su paraiška prašoma pateikti </w:t>
            </w:r>
            <w:r w:rsidRPr="00712AF1">
              <w:t>profesinio mokymo sutarties, kuria įforminamas asmens priėmimas mokytis pagal prof</w:t>
            </w:r>
            <w:r>
              <w:t xml:space="preserve">esinio mokymo programą, kopiją, jeigu šias sutartis galima rasti Mokinių registre? </w:t>
            </w:r>
          </w:p>
        </w:tc>
        <w:tc>
          <w:tcPr>
            <w:tcW w:w="6804" w:type="dxa"/>
            <w:shd w:val="clear" w:color="auto" w:fill="auto"/>
          </w:tcPr>
          <w:p w14:paraId="61EB1D7E" w14:textId="64990F1D" w:rsidR="00320906" w:rsidRDefault="00320906" w:rsidP="008425EB">
            <w:pPr>
              <w:jc w:val="both"/>
            </w:pPr>
            <w:r>
              <w:t xml:space="preserve">Aprašo tikslinimas nereikalingas. </w:t>
            </w:r>
          </w:p>
          <w:p w14:paraId="2AF305B1" w14:textId="68495FBF" w:rsidR="00F77BA3" w:rsidRDefault="00E01A23" w:rsidP="008425EB">
            <w:pPr>
              <w:jc w:val="both"/>
            </w:pPr>
            <w:r>
              <w:t xml:space="preserve">Mokinių registre galima rasti tik Mokymo sutarties registravimo numerį. Šiuo metu Mokinių registras yra perkrautas duomenimis ir nėra galimybės jame talpinti pačias sutartis, kurias turi profesinio mokymo teikėjas. </w:t>
            </w:r>
          </w:p>
        </w:tc>
      </w:tr>
      <w:tr w:rsidR="00F77BA3" w:rsidRPr="00C70D14" w14:paraId="1C45A307" w14:textId="77777777" w:rsidTr="00073526">
        <w:tc>
          <w:tcPr>
            <w:tcW w:w="567" w:type="dxa"/>
          </w:tcPr>
          <w:p w14:paraId="2F4841F1" w14:textId="77777777" w:rsidR="00F77BA3" w:rsidRPr="0038099D" w:rsidRDefault="00F77BA3" w:rsidP="009E02DD">
            <w:pPr>
              <w:pStyle w:val="Sraopastraipa"/>
              <w:numPr>
                <w:ilvl w:val="0"/>
                <w:numId w:val="1"/>
              </w:numPr>
              <w:jc w:val="both"/>
            </w:pPr>
          </w:p>
        </w:tc>
        <w:tc>
          <w:tcPr>
            <w:tcW w:w="1985" w:type="dxa"/>
            <w:vMerge/>
          </w:tcPr>
          <w:p w14:paraId="0216809D" w14:textId="77777777" w:rsidR="00F77BA3" w:rsidRPr="00BD4A42" w:rsidRDefault="00F77BA3" w:rsidP="007A474A"/>
        </w:tc>
        <w:tc>
          <w:tcPr>
            <w:tcW w:w="5386" w:type="dxa"/>
          </w:tcPr>
          <w:p w14:paraId="3450B425" w14:textId="77777777" w:rsidR="00F77BA3" w:rsidRDefault="00F77BA3" w:rsidP="008251AC">
            <w:pPr>
              <w:pStyle w:val="KTpstrnum"/>
              <w:numPr>
                <w:ilvl w:val="0"/>
                <w:numId w:val="0"/>
              </w:numPr>
            </w:pPr>
            <w:r>
              <w:t>Ar gali dalyvauti projekte suaugęs dirbantis asmuo, jeigu įstoja mokytis į profesinio mokymo įstaigą pagal pilną formaliojo profesinio mokymo programą?</w:t>
            </w:r>
          </w:p>
        </w:tc>
        <w:tc>
          <w:tcPr>
            <w:tcW w:w="6804" w:type="dxa"/>
            <w:shd w:val="clear" w:color="auto" w:fill="auto"/>
          </w:tcPr>
          <w:p w14:paraId="2B1A44A5" w14:textId="08B398FC" w:rsidR="00320906" w:rsidRDefault="00320906" w:rsidP="008425EB">
            <w:pPr>
              <w:jc w:val="both"/>
            </w:pPr>
            <w:r>
              <w:t xml:space="preserve">Aprašo tikslinimas nereikalingas. </w:t>
            </w:r>
          </w:p>
          <w:p w14:paraId="171BB042" w14:textId="5EE5A5E6" w:rsidR="00F77BA3" w:rsidRDefault="00E01A23" w:rsidP="008425EB">
            <w:pPr>
              <w:jc w:val="both"/>
            </w:pPr>
            <w:r>
              <w:t>Gali, jei tokio asmens statusas iš darbuotojo (pagal terminuotą pameistrystės darbo sutartį) keičiamas į pameistrio.</w:t>
            </w:r>
          </w:p>
        </w:tc>
      </w:tr>
      <w:tr w:rsidR="00F77BA3" w:rsidRPr="00C70D14" w14:paraId="310BB8F7" w14:textId="77777777" w:rsidTr="00073526">
        <w:tc>
          <w:tcPr>
            <w:tcW w:w="567" w:type="dxa"/>
          </w:tcPr>
          <w:p w14:paraId="368C0F39" w14:textId="77777777" w:rsidR="00F77BA3" w:rsidRPr="0038099D" w:rsidRDefault="00F77BA3" w:rsidP="009E02DD">
            <w:pPr>
              <w:pStyle w:val="Sraopastraipa"/>
              <w:numPr>
                <w:ilvl w:val="0"/>
                <w:numId w:val="1"/>
              </w:numPr>
              <w:jc w:val="both"/>
            </w:pPr>
          </w:p>
        </w:tc>
        <w:tc>
          <w:tcPr>
            <w:tcW w:w="1985" w:type="dxa"/>
            <w:vMerge/>
          </w:tcPr>
          <w:p w14:paraId="3630C2B8" w14:textId="77777777" w:rsidR="00F77BA3" w:rsidRPr="007A474A" w:rsidRDefault="00F77BA3" w:rsidP="007A474A">
            <w:pPr>
              <w:rPr>
                <w:b/>
              </w:rPr>
            </w:pPr>
          </w:p>
        </w:tc>
        <w:tc>
          <w:tcPr>
            <w:tcW w:w="5386" w:type="dxa"/>
          </w:tcPr>
          <w:p w14:paraId="07AACB7D" w14:textId="77777777" w:rsidR="00F77BA3" w:rsidRPr="00E722C8" w:rsidRDefault="00F77BA3" w:rsidP="008251AC">
            <w:pPr>
              <w:pStyle w:val="KTpstrnum"/>
              <w:numPr>
                <w:ilvl w:val="0"/>
                <w:numId w:val="0"/>
              </w:numPr>
            </w:pPr>
            <w:r w:rsidRPr="00E722C8">
              <w:t>Pagal Aprašą mokomų asmenų, mokytojų ir kito mokymo įstaigų personalo kelionių išlaidos nefinansuojamos jeigu asmuo gyvena tame pačiame mieste, kuriame yra įmonė, kurioje vykdoma pameistrystė. Ar finansuojamas atvykimas į įmonę, jeigu ji yra miesto</w:t>
            </w:r>
            <w:r w:rsidR="006929F0" w:rsidRPr="00E722C8">
              <w:t>, kuriame gyvena mokomas asmuo ar mokytojas,</w:t>
            </w:r>
            <w:r w:rsidRPr="00E722C8">
              <w:t xml:space="preserve"> priemiestyje </w:t>
            </w:r>
            <w:r w:rsidR="006929F0" w:rsidRPr="00E722C8">
              <w:t>ar rajone?</w:t>
            </w:r>
          </w:p>
        </w:tc>
        <w:tc>
          <w:tcPr>
            <w:tcW w:w="6804" w:type="dxa"/>
            <w:shd w:val="clear" w:color="auto" w:fill="auto"/>
          </w:tcPr>
          <w:p w14:paraId="1D496282" w14:textId="1DAEB52F" w:rsidR="004437E5" w:rsidRPr="004437E5" w:rsidRDefault="004437E5" w:rsidP="008425EB">
            <w:pPr>
              <w:jc w:val="both"/>
            </w:pPr>
            <w:r w:rsidRPr="004437E5">
              <w:t xml:space="preserve">Atsižvelgta. </w:t>
            </w:r>
          </w:p>
          <w:p w14:paraId="4F04DB50" w14:textId="00A5CED5" w:rsidR="008167CC" w:rsidRDefault="008167CC" w:rsidP="00FD2468">
            <w:pPr>
              <w:jc w:val="both"/>
            </w:pPr>
            <w:r>
              <w:t>ŠMSM pozicija visada</w:t>
            </w:r>
            <w:r>
              <w:t xml:space="preserve"> buvo tokia, kad atvykimo</w:t>
            </w:r>
            <w:r w:rsidR="001129F7">
              <w:t xml:space="preserve"> į įmonę, kuri</w:t>
            </w:r>
            <w:bookmarkStart w:id="0" w:name="_GoBack"/>
            <w:bookmarkEnd w:id="0"/>
            <w:r w:rsidRPr="00E722C8">
              <w:t xml:space="preserve"> yra</w:t>
            </w:r>
            <w:r w:rsidR="001129F7">
              <w:t xml:space="preserve"> už</w:t>
            </w:r>
            <w:r w:rsidRPr="00E722C8">
              <w:t xml:space="preserve"> miesto, kuriame gyvena mokomas asmuo ar mokytojas,</w:t>
            </w:r>
            <w:r w:rsidR="001129F7">
              <w:t xml:space="preserve"> ribų</w:t>
            </w:r>
            <w:r>
              <w:t>, išlaidos yra tinkamos finansuoti.</w:t>
            </w:r>
          </w:p>
          <w:p w14:paraId="5EF8DF71" w14:textId="3D0DA1CC" w:rsidR="00FD2468" w:rsidRDefault="00FD2468" w:rsidP="00FD2468">
            <w:pPr>
              <w:jc w:val="both"/>
            </w:pPr>
            <w:r>
              <w:t>Apraše buvo įvardinta, kad t</w:t>
            </w:r>
            <w:r w:rsidRPr="00FD2468">
              <w:t>inkamos finansuoti tik to</w:t>
            </w:r>
            <w:r>
              <w:t xml:space="preserve">s kelionių </w:t>
            </w:r>
            <w:r w:rsidRPr="00FD2468">
              <w:t xml:space="preserve">išlaidos, kai </w:t>
            </w:r>
            <w:r w:rsidR="008167CC">
              <w:t>mokomo asmens ar mokytojo</w:t>
            </w:r>
            <w:r>
              <w:t xml:space="preserve"> </w:t>
            </w:r>
            <w:r w:rsidRPr="00FD2468">
              <w:t>gyvenamoji vieta yra ne toje pačioje gyvenamojoje vietovėje, kurioje yra pame</w:t>
            </w:r>
            <w:r>
              <w:t xml:space="preserve">istrystės vykdymo vieta (įmonė). </w:t>
            </w:r>
          </w:p>
          <w:p w14:paraId="3E4D2831" w14:textId="1FD073E2" w:rsidR="00E01A23" w:rsidRDefault="008167CC" w:rsidP="008425EB">
            <w:pPr>
              <w:jc w:val="both"/>
            </w:pPr>
            <w:r>
              <w:t>A</w:t>
            </w:r>
            <w:r w:rsidR="00092A6D">
              <w:t>tsižvelgiant į tai, kad teisės aktuose randama</w:t>
            </w:r>
            <w:r w:rsidR="00FD2468">
              <w:t xml:space="preserve"> tokia gyvenamosios vietovės</w:t>
            </w:r>
            <w:r w:rsidR="00092A6D">
              <w:t xml:space="preserve"> </w:t>
            </w:r>
            <w:r w:rsidR="00FD2468">
              <w:t>sąvoka „</w:t>
            </w:r>
            <w:r w:rsidR="00FD2468" w:rsidRPr="00FD2468">
              <w:rPr>
                <w:b/>
              </w:rPr>
              <w:t>gyvenamoji vietovė</w:t>
            </w:r>
            <w:r w:rsidR="00FD2468" w:rsidRPr="00FD2468">
              <w:t xml:space="preserve"> – žmonių gyvenimo ir veiklos vieta, apimant</w:t>
            </w:r>
            <w:r w:rsidR="00FD2468">
              <w:t>i miestus, miestelius ir kaimus“</w:t>
            </w:r>
            <w:r>
              <w:t>, Aprašas buvo patikslintas papildomai: t</w:t>
            </w:r>
            <w:r w:rsidR="00FD2468" w:rsidRPr="00FD2468">
              <w:t>inkamos finansuoti tik tos kelionių į pameistrystės vykdymo vietą (įmonę) ir grįžimo iš jos išlaidos, kai mokomo asmens</w:t>
            </w:r>
            <w:r>
              <w:t xml:space="preserve"> ar mokytojo</w:t>
            </w:r>
            <w:r w:rsidR="00FD2468" w:rsidRPr="00FD2468">
              <w:t xml:space="preserve"> gyvenamoji vieta yra ne tame pačiame mieste/miestelyje/kaime, kur yra pameist</w:t>
            </w:r>
            <w:r>
              <w:t>rystės vykdymo vieta (įmonė).</w:t>
            </w:r>
          </w:p>
        </w:tc>
      </w:tr>
      <w:tr w:rsidR="00302056" w:rsidRPr="00C70D14" w14:paraId="70A2EF8C" w14:textId="77777777" w:rsidTr="00073526">
        <w:tc>
          <w:tcPr>
            <w:tcW w:w="567" w:type="dxa"/>
          </w:tcPr>
          <w:p w14:paraId="29C3BB6A" w14:textId="5B5A73D6" w:rsidR="00302056" w:rsidRPr="0038099D" w:rsidRDefault="00302056" w:rsidP="009E02DD">
            <w:pPr>
              <w:pStyle w:val="Sraopastraipa"/>
              <w:numPr>
                <w:ilvl w:val="0"/>
                <w:numId w:val="1"/>
              </w:numPr>
              <w:jc w:val="both"/>
            </w:pPr>
          </w:p>
        </w:tc>
        <w:tc>
          <w:tcPr>
            <w:tcW w:w="1985" w:type="dxa"/>
          </w:tcPr>
          <w:p w14:paraId="54F9A99F" w14:textId="77777777" w:rsidR="00694DBC" w:rsidRDefault="00694DBC" w:rsidP="00694DBC">
            <w:pPr>
              <w:rPr>
                <w:b/>
                <w:bCs/>
              </w:rPr>
            </w:pPr>
            <w:r>
              <w:rPr>
                <w:b/>
                <w:bCs/>
              </w:rPr>
              <w:t xml:space="preserve">LRV kanceliarija, </w:t>
            </w:r>
          </w:p>
          <w:p w14:paraId="08ED29FB" w14:textId="77777777" w:rsidR="00694DBC" w:rsidRPr="00694DBC" w:rsidRDefault="00694DBC" w:rsidP="00694DBC">
            <w:r w:rsidRPr="00694DBC">
              <w:rPr>
                <w:bCs/>
              </w:rPr>
              <w:t xml:space="preserve">Aistė Zedelytė-Kaminskė </w:t>
            </w:r>
          </w:p>
          <w:p w14:paraId="0D704745" w14:textId="77777777" w:rsidR="00302056" w:rsidRPr="00BD4A42" w:rsidRDefault="00694DBC" w:rsidP="00694DBC">
            <w:r>
              <w:t xml:space="preserve">Socialinės politikos grupės </w:t>
            </w:r>
            <w:r>
              <w:lastRenderedPageBreak/>
              <w:t>patarėja (2019-12-31; el. paštu)</w:t>
            </w:r>
          </w:p>
        </w:tc>
        <w:tc>
          <w:tcPr>
            <w:tcW w:w="5386" w:type="dxa"/>
          </w:tcPr>
          <w:p w14:paraId="276AE7AD" w14:textId="77777777" w:rsidR="003902F7" w:rsidRPr="00BD4A42" w:rsidRDefault="00694DBC" w:rsidP="00E378A9">
            <w:pPr>
              <w:jc w:val="both"/>
            </w:pPr>
            <w:r>
              <w:lastRenderedPageBreak/>
              <w:t>K</w:t>
            </w:r>
            <w:r w:rsidR="00BD4A42" w:rsidRPr="00BD4A42">
              <w:t xml:space="preserve">ilo klausimų kaip būtų su atitinkamų išlaidų padengimu, jei mokinys atsisako tęsti mokymąsi pameistrystės būdu. </w:t>
            </w:r>
          </w:p>
        </w:tc>
        <w:tc>
          <w:tcPr>
            <w:tcW w:w="6804" w:type="dxa"/>
            <w:shd w:val="clear" w:color="auto" w:fill="auto"/>
          </w:tcPr>
          <w:p w14:paraId="185DA2D2" w14:textId="5E6B1D93" w:rsidR="00D10CA8" w:rsidRDefault="00D10CA8" w:rsidP="00A048F9">
            <w:pPr>
              <w:jc w:val="both"/>
            </w:pPr>
            <w:r>
              <w:t>Aprašo tikslinimas nereikalingas.</w:t>
            </w:r>
          </w:p>
          <w:p w14:paraId="4B46A7DF" w14:textId="45383532" w:rsidR="00302056" w:rsidRPr="00BD4A42" w:rsidRDefault="0055137C" w:rsidP="00A048F9">
            <w:pPr>
              <w:jc w:val="both"/>
            </w:pPr>
            <w:r>
              <w:t>Aprašo</w:t>
            </w:r>
            <w:r w:rsidRPr="0055137C">
              <w:t xml:space="preserve"> 24.2 p. numatytas rezultato rodiklis „Mokinių, kurie pagal veiksmų programą ESF lėšomis baigę profesinio mokymo programos dalį darbo vietoje įgijo kvalifikaciją, dalis“ (rodiklio kodas R.S.390). Minimali siektina reikšmė – 80 procentų, o tai reiškia, kad dalis mokinių gali nebaigti mokymų, tačiau išlaidos, numatytos mokiniui, </w:t>
            </w:r>
            <w:r w:rsidRPr="0055137C">
              <w:lastRenderedPageBreak/>
              <w:t>bus tinkamos kompensuoti tik už tą laiką, kurį mokinys pagal pameistrystės su</w:t>
            </w:r>
            <w:r>
              <w:t>tartį dirbs pameistriu įmonėje.</w:t>
            </w:r>
          </w:p>
        </w:tc>
      </w:tr>
      <w:tr w:rsidR="001979EE" w:rsidRPr="00C70D14" w14:paraId="1183AE9C" w14:textId="77777777" w:rsidTr="00073526">
        <w:tc>
          <w:tcPr>
            <w:tcW w:w="567" w:type="dxa"/>
          </w:tcPr>
          <w:p w14:paraId="35CCD063" w14:textId="77777777" w:rsidR="001979EE" w:rsidRPr="0038099D" w:rsidRDefault="001979EE" w:rsidP="009E02DD">
            <w:pPr>
              <w:pStyle w:val="Sraopastraipa"/>
              <w:numPr>
                <w:ilvl w:val="0"/>
                <w:numId w:val="1"/>
              </w:numPr>
              <w:jc w:val="both"/>
            </w:pPr>
          </w:p>
        </w:tc>
        <w:tc>
          <w:tcPr>
            <w:tcW w:w="1985" w:type="dxa"/>
            <w:vMerge w:val="restart"/>
          </w:tcPr>
          <w:p w14:paraId="7324714E" w14:textId="77777777" w:rsidR="001979EE" w:rsidRDefault="001979EE" w:rsidP="009E02DD">
            <w:pPr>
              <w:rPr>
                <w:b/>
              </w:rPr>
            </w:pPr>
            <w:r w:rsidRPr="000704D4">
              <w:rPr>
                <w:b/>
              </w:rPr>
              <w:t>Lietuvos verslo konfederacijos ir Lietuvos pramo</w:t>
            </w:r>
            <w:r>
              <w:rPr>
                <w:b/>
              </w:rPr>
              <w:t>nininkų konfederacijos atstovai</w:t>
            </w:r>
          </w:p>
          <w:p w14:paraId="0D6329A1" w14:textId="662E2886" w:rsidR="001979EE" w:rsidRPr="000704D4" w:rsidRDefault="001979EE" w:rsidP="009E02DD">
            <w:r>
              <w:t>(pateikta 2020-01-15; pasitarimo ŠMSM dėl pameistrystės priemonės metu)</w:t>
            </w:r>
          </w:p>
        </w:tc>
        <w:tc>
          <w:tcPr>
            <w:tcW w:w="5386" w:type="dxa"/>
          </w:tcPr>
          <w:p w14:paraId="3040B9CA" w14:textId="5DC36BEC" w:rsidR="001979EE" w:rsidRPr="00BD4A42" w:rsidRDefault="001979EE" w:rsidP="001979EE">
            <w:pPr>
              <w:jc w:val="both"/>
            </w:pPr>
            <w:r>
              <w:t>Privalomas projekto partneris turi b</w:t>
            </w:r>
            <w:r w:rsidR="002A57C6">
              <w:t>ūti verslo asoc</w:t>
            </w:r>
            <w:r w:rsidR="00940CA4">
              <w:t>ijuota struktūra</w:t>
            </w:r>
            <w:r w:rsidR="002A57C6">
              <w:t>.</w:t>
            </w:r>
          </w:p>
        </w:tc>
        <w:tc>
          <w:tcPr>
            <w:tcW w:w="6804" w:type="dxa"/>
            <w:shd w:val="clear" w:color="auto" w:fill="auto"/>
          </w:tcPr>
          <w:p w14:paraId="1748CC94" w14:textId="582D5BB0" w:rsidR="00EF5220" w:rsidRPr="00EF5220" w:rsidRDefault="00EF5220" w:rsidP="000B0A94">
            <w:pPr>
              <w:jc w:val="both"/>
            </w:pPr>
            <w:r>
              <w:t>Aprašo tikslinimas nereikalingas.</w:t>
            </w:r>
          </w:p>
          <w:p w14:paraId="166EA7F6" w14:textId="1D87B01A" w:rsidR="000B0A94" w:rsidRPr="00940CA4" w:rsidRDefault="00940CA4" w:rsidP="000B0A94">
            <w:pPr>
              <w:jc w:val="both"/>
            </w:pPr>
            <w:r w:rsidRPr="00940CA4">
              <w:t>Apraše</w:t>
            </w:r>
            <w:r w:rsidR="000B0A94" w:rsidRPr="00940CA4">
              <w:t xml:space="preserve"> kaip galimi partneriai yra įvardinti – viešieji juridiniai asmenys, veikiantys švietimo srityje, privatieji juridiniai asmenys, va</w:t>
            </w:r>
            <w:r w:rsidRPr="00940CA4">
              <w:t xml:space="preserve">lstybės ir savivaldybės įmonės. </w:t>
            </w:r>
            <w:r w:rsidR="000B0A94" w:rsidRPr="00940CA4">
              <w:t xml:space="preserve">Partnerystė projekte privaloma bent su viena įmone, nes įmonėse realiai ir bus vykdoma pameistrystė. </w:t>
            </w:r>
          </w:p>
          <w:p w14:paraId="3E244BFB" w14:textId="56BE410E" w:rsidR="001979EE" w:rsidRPr="00940CA4" w:rsidRDefault="00940CA4" w:rsidP="000B0A94">
            <w:pPr>
              <w:jc w:val="both"/>
              <w:rPr>
                <w:highlight w:val="yellow"/>
              </w:rPr>
            </w:pPr>
            <w:r w:rsidRPr="00940CA4">
              <w:t>V</w:t>
            </w:r>
            <w:r w:rsidR="000B0A94" w:rsidRPr="00940CA4">
              <w:t>erslo asociacijos patenka į „viešųjų juridinių asmenų“ sąvoką. Tai reiškia, kad verslo asociacijos turi galimybę dalyvauti ŠMSM projektuose k</w:t>
            </w:r>
            <w:r w:rsidRPr="00940CA4">
              <w:t xml:space="preserve">aip partneriai. Įrašius į Aprašą </w:t>
            </w:r>
            <w:r w:rsidR="000B0A94" w:rsidRPr="00940CA4">
              <w:t>nuostatą, kad partnerystė privaloma su verslo asociacijomis, be</w:t>
            </w:r>
            <w:r w:rsidRPr="00940CA4">
              <w:t xml:space="preserve">t kuri projektą pagal ŠMSM Aprašą </w:t>
            </w:r>
            <w:r w:rsidR="000B0A94" w:rsidRPr="00940CA4">
              <w:t>teikianti profesinio mokymo įstaiga kaip projekto partnerį privalės įtraukti verslo asociaciją, kitu atveju projektas bus netink</w:t>
            </w:r>
            <w:r w:rsidRPr="00940CA4">
              <w:t>amas finansuoti. Atsižvelgiant į tai</w:t>
            </w:r>
            <w:r w:rsidR="000B0A94" w:rsidRPr="00940CA4">
              <w:t>, kad pagal šią priemonę finansuojami projektai bus nedideli, dažniausiai skirti pameistrystės būdu konkrečiose įmonėse apmokint</w:t>
            </w:r>
            <w:r w:rsidRPr="00940CA4">
              <w:t>i iki 12 asmenų,</w:t>
            </w:r>
            <w:r w:rsidR="000B0A94" w:rsidRPr="00940CA4">
              <w:t xml:space="preserve"> reikalavimas turėti verslo asociaciją kaip privalomą partnerį būtų perteklinis.</w:t>
            </w:r>
          </w:p>
        </w:tc>
      </w:tr>
      <w:tr w:rsidR="001979EE" w:rsidRPr="00C70D14" w14:paraId="13A5AB8A" w14:textId="77777777" w:rsidTr="00073526">
        <w:tc>
          <w:tcPr>
            <w:tcW w:w="567" w:type="dxa"/>
          </w:tcPr>
          <w:p w14:paraId="6EC00AD0" w14:textId="77777777" w:rsidR="001979EE" w:rsidRPr="0038099D" w:rsidRDefault="001979EE" w:rsidP="009E02DD">
            <w:pPr>
              <w:pStyle w:val="Sraopastraipa"/>
              <w:numPr>
                <w:ilvl w:val="0"/>
                <w:numId w:val="1"/>
              </w:numPr>
              <w:jc w:val="both"/>
            </w:pPr>
          </w:p>
        </w:tc>
        <w:tc>
          <w:tcPr>
            <w:tcW w:w="1985" w:type="dxa"/>
            <w:vMerge/>
          </w:tcPr>
          <w:p w14:paraId="586BCE37" w14:textId="77777777" w:rsidR="001979EE" w:rsidRPr="000704D4" w:rsidRDefault="001979EE" w:rsidP="009E02DD">
            <w:pPr>
              <w:rPr>
                <w:b/>
              </w:rPr>
            </w:pPr>
          </w:p>
        </w:tc>
        <w:tc>
          <w:tcPr>
            <w:tcW w:w="5386" w:type="dxa"/>
          </w:tcPr>
          <w:p w14:paraId="3AD2E92D" w14:textId="3431232B" w:rsidR="001979EE" w:rsidRPr="00BD4A42" w:rsidRDefault="001979EE" w:rsidP="00876DBD">
            <w:pPr>
              <w:jc w:val="both"/>
            </w:pPr>
            <w:r>
              <w:t>Didžiausią galimą</w:t>
            </w:r>
            <w:r w:rsidRPr="001979EE">
              <w:t xml:space="preserve"> projek</w:t>
            </w:r>
            <w:r>
              <w:t xml:space="preserve">tui skirti finansavimo lėšų sumą mažinti iki 200 000 eurų, kad kvietime galėtų dalyvauti kuo daugiau projektų. </w:t>
            </w:r>
          </w:p>
        </w:tc>
        <w:tc>
          <w:tcPr>
            <w:tcW w:w="6804" w:type="dxa"/>
            <w:shd w:val="clear" w:color="auto" w:fill="auto"/>
          </w:tcPr>
          <w:p w14:paraId="694119BA" w14:textId="40BCED0E" w:rsidR="00EF5220" w:rsidRDefault="00EF5220" w:rsidP="00CC78B0">
            <w:pPr>
              <w:jc w:val="both"/>
            </w:pPr>
            <w:r w:rsidRPr="00EF5220">
              <w:t xml:space="preserve">Atsižvelgta. </w:t>
            </w:r>
          </w:p>
          <w:p w14:paraId="48482AFB" w14:textId="1465139A" w:rsidR="001979EE" w:rsidRPr="00BD4A42" w:rsidRDefault="001C3507" w:rsidP="001C3507">
            <w:pPr>
              <w:jc w:val="both"/>
            </w:pPr>
            <w:r w:rsidRPr="001C3507">
              <w:t>Pažymėtina, kad konfederacijų atstovams buvo argumentuota, kad d</w:t>
            </w:r>
            <w:r w:rsidR="000B0A94" w:rsidRPr="001C3507">
              <w:t>idžiausia galima projektui skirti finansavimo lėšų suma – 360 000 Eur</w:t>
            </w:r>
            <w:r w:rsidRPr="001C3507">
              <w:t xml:space="preserve"> buvo įrašyta į Aprašą po </w:t>
            </w:r>
            <w:r w:rsidR="000B0A94" w:rsidRPr="001C3507">
              <w:t>disk</w:t>
            </w:r>
            <w:r w:rsidRPr="001C3507">
              <w:t>usijų su EIM ir FM bei nuspręsta</w:t>
            </w:r>
            <w:r w:rsidR="000B0A94" w:rsidRPr="001C3507">
              <w:t>, kad ši suma turi būti</w:t>
            </w:r>
            <w:r w:rsidRPr="001C3507">
              <w:t xml:space="preserve"> vienoda abiejų ministerijų aprašuose</w:t>
            </w:r>
            <w:r w:rsidR="000B0A94" w:rsidRPr="001C3507">
              <w:t>. Taip pat, tikėtina kad sumažinus sumą priemonė būtų nepatraukli didesnė</w:t>
            </w:r>
            <w:r>
              <w:t>m</w:t>
            </w:r>
            <w:r w:rsidR="000B0A94" w:rsidRPr="001C3507">
              <w:t>s į</w:t>
            </w:r>
            <w:r w:rsidRPr="001C3507">
              <w:t>monėms.</w:t>
            </w:r>
          </w:p>
        </w:tc>
      </w:tr>
    </w:tbl>
    <w:p w14:paraId="03CE42A9"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16FA"/>
    <w:rsid w:val="00046DFE"/>
    <w:rsid w:val="00050427"/>
    <w:rsid w:val="00053D41"/>
    <w:rsid w:val="000704D4"/>
    <w:rsid w:val="00070ED6"/>
    <w:rsid w:val="00073526"/>
    <w:rsid w:val="00092A6D"/>
    <w:rsid w:val="0009628D"/>
    <w:rsid w:val="000A0B01"/>
    <w:rsid w:val="000A3FD2"/>
    <w:rsid w:val="000B0A94"/>
    <w:rsid w:val="000B1AF5"/>
    <w:rsid w:val="000B2D7C"/>
    <w:rsid w:val="000D3EFE"/>
    <w:rsid w:val="000E1F0C"/>
    <w:rsid w:val="000E275C"/>
    <w:rsid w:val="000E34FF"/>
    <w:rsid w:val="000E7A99"/>
    <w:rsid w:val="000F5CE6"/>
    <w:rsid w:val="00105F91"/>
    <w:rsid w:val="001129F7"/>
    <w:rsid w:val="00115372"/>
    <w:rsid w:val="00132B65"/>
    <w:rsid w:val="001427D5"/>
    <w:rsid w:val="001577E4"/>
    <w:rsid w:val="001647E3"/>
    <w:rsid w:val="0018373E"/>
    <w:rsid w:val="00184FC3"/>
    <w:rsid w:val="00194702"/>
    <w:rsid w:val="001979EE"/>
    <w:rsid w:val="001A5935"/>
    <w:rsid w:val="001B35F0"/>
    <w:rsid w:val="001C2F60"/>
    <w:rsid w:val="001C3507"/>
    <w:rsid w:val="001D6507"/>
    <w:rsid w:val="001E4CE7"/>
    <w:rsid w:val="001E5536"/>
    <w:rsid w:val="001E6748"/>
    <w:rsid w:val="001E67A5"/>
    <w:rsid w:val="001F340B"/>
    <w:rsid w:val="0020434A"/>
    <w:rsid w:val="00210F85"/>
    <w:rsid w:val="00234AE2"/>
    <w:rsid w:val="00241C69"/>
    <w:rsid w:val="00247BB5"/>
    <w:rsid w:val="00250498"/>
    <w:rsid w:val="00270AE5"/>
    <w:rsid w:val="002923A6"/>
    <w:rsid w:val="00296F21"/>
    <w:rsid w:val="002A0097"/>
    <w:rsid w:val="002A27A2"/>
    <w:rsid w:val="002A57C6"/>
    <w:rsid w:val="002A7760"/>
    <w:rsid w:val="002C79BA"/>
    <w:rsid w:val="002D4D56"/>
    <w:rsid w:val="002E1B28"/>
    <w:rsid w:val="002E249F"/>
    <w:rsid w:val="00302056"/>
    <w:rsid w:val="00320906"/>
    <w:rsid w:val="003226E0"/>
    <w:rsid w:val="00330EC9"/>
    <w:rsid w:val="00351F7C"/>
    <w:rsid w:val="003529B3"/>
    <w:rsid w:val="00366151"/>
    <w:rsid w:val="0036662A"/>
    <w:rsid w:val="003767FC"/>
    <w:rsid w:val="003865B8"/>
    <w:rsid w:val="003902F7"/>
    <w:rsid w:val="00397073"/>
    <w:rsid w:val="003A1AD9"/>
    <w:rsid w:val="003B2FAE"/>
    <w:rsid w:val="003E77A4"/>
    <w:rsid w:val="003F5676"/>
    <w:rsid w:val="004117D8"/>
    <w:rsid w:val="004136A8"/>
    <w:rsid w:val="004378EE"/>
    <w:rsid w:val="004437E5"/>
    <w:rsid w:val="00452AAF"/>
    <w:rsid w:val="004749AC"/>
    <w:rsid w:val="00475E13"/>
    <w:rsid w:val="00482B56"/>
    <w:rsid w:val="00491290"/>
    <w:rsid w:val="004A1B9F"/>
    <w:rsid w:val="004A5F41"/>
    <w:rsid w:val="004C44BD"/>
    <w:rsid w:val="004D11D5"/>
    <w:rsid w:val="004E6B69"/>
    <w:rsid w:val="005004F3"/>
    <w:rsid w:val="00520A00"/>
    <w:rsid w:val="0054453C"/>
    <w:rsid w:val="00547C74"/>
    <w:rsid w:val="0055137C"/>
    <w:rsid w:val="005516A5"/>
    <w:rsid w:val="005533C2"/>
    <w:rsid w:val="00571253"/>
    <w:rsid w:val="00581B51"/>
    <w:rsid w:val="00593EE0"/>
    <w:rsid w:val="005B1293"/>
    <w:rsid w:val="005B6112"/>
    <w:rsid w:val="005B79FB"/>
    <w:rsid w:val="005C5B4A"/>
    <w:rsid w:val="005C5ECB"/>
    <w:rsid w:val="005C68F2"/>
    <w:rsid w:val="005C7DEE"/>
    <w:rsid w:val="005E0604"/>
    <w:rsid w:val="005F038F"/>
    <w:rsid w:val="005F0F88"/>
    <w:rsid w:val="00600F3F"/>
    <w:rsid w:val="006106A7"/>
    <w:rsid w:val="00615B1F"/>
    <w:rsid w:val="00665BE2"/>
    <w:rsid w:val="00677B1E"/>
    <w:rsid w:val="006824CC"/>
    <w:rsid w:val="006929F0"/>
    <w:rsid w:val="00694DBC"/>
    <w:rsid w:val="006A1E78"/>
    <w:rsid w:val="006A22E2"/>
    <w:rsid w:val="006B0D85"/>
    <w:rsid w:val="006B526A"/>
    <w:rsid w:val="006B75D2"/>
    <w:rsid w:val="006C0163"/>
    <w:rsid w:val="006E16C9"/>
    <w:rsid w:val="00707C95"/>
    <w:rsid w:val="00712AF1"/>
    <w:rsid w:val="00717B29"/>
    <w:rsid w:val="0072623F"/>
    <w:rsid w:val="00741C32"/>
    <w:rsid w:val="00742585"/>
    <w:rsid w:val="00747BC9"/>
    <w:rsid w:val="007537EC"/>
    <w:rsid w:val="00755C21"/>
    <w:rsid w:val="00761496"/>
    <w:rsid w:val="007769FC"/>
    <w:rsid w:val="00785A98"/>
    <w:rsid w:val="007A12FD"/>
    <w:rsid w:val="007A474A"/>
    <w:rsid w:val="007B3E81"/>
    <w:rsid w:val="007D3038"/>
    <w:rsid w:val="007F5F38"/>
    <w:rsid w:val="0080172F"/>
    <w:rsid w:val="008167CC"/>
    <w:rsid w:val="008251AC"/>
    <w:rsid w:val="008359DC"/>
    <w:rsid w:val="0084064D"/>
    <w:rsid w:val="008425EB"/>
    <w:rsid w:val="0085384B"/>
    <w:rsid w:val="00856EDA"/>
    <w:rsid w:val="008576A6"/>
    <w:rsid w:val="00860D08"/>
    <w:rsid w:val="00865C80"/>
    <w:rsid w:val="008663E3"/>
    <w:rsid w:val="0086799E"/>
    <w:rsid w:val="00876DBD"/>
    <w:rsid w:val="00885C3D"/>
    <w:rsid w:val="008933F5"/>
    <w:rsid w:val="008A53CB"/>
    <w:rsid w:val="008C3DAE"/>
    <w:rsid w:val="008D3690"/>
    <w:rsid w:val="008D5F38"/>
    <w:rsid w:val="008E3C68"/>
    <w:rsid w:val="008F38C3"/>
    <w:rsid w:val="00926630"/>
    <w:rsid w:val="00933886"/>
    <w:rsid w:val="00940CA4"/>
    <w:rsid w:val="00947C9D"/>
    <w:rsid w:val="00954EEB"/>
    <w:rsid w:val="00956C1E"/>
    <w:rsid w:val="0097341D"/>
    <w:rsid w:val="0099342A"/>
    <w:rsid w:val="009A662F"/>
    <w:rsid w:val="009B3957"/>
    <w:rsid w:val="009B4714"/>
    <w:rsid w:val="009D3B8E"/>
    <w:rsid w:val="009D3BAD"/>
    <w:rsid w:val="009E02DD"/>
    <w:rsid w:val="009E1857"/>
    <w:rsid w:val="009E2199"/>
    <w:rsid w:val="009E69E2"/>
    <w:rsid w:val="009F159A"/>
    <w:rsid w:val="009F43EB"/>
    <w:rsid w:val="00A00DB1"/>
    <w:rsid w:val="00A048F9"/>
    <w:rsid w:val="00A24DB0"/>
    <w:rsid w:val="00A2721F"/>
    <w:rsid w:val="00A35603"/>
    <w:rsid w:val="00A4128B"/>
    <w:rsid w:val="00A47552"/>
    <w:rsid w:val="00A47E71"/>
    <w:rsid w:val="00A52C00"/>
    <w:rsid w:val="00A54BBD"/>
    <w:rsid w:val="00A6632E"/>
    <w:rsid w:val="00A80ADA"/>
    <w:rsid w:val="00A845D7"/>
    <w:rsid w:val="00A91F0C"/>
    <w:rsid w:val="00A96BF2"/>
    <w:rsid w:val="00AC4B6C"/>
    <w:rsid w:val="00AC60D9"/>
    <w:rsid w:val="00AD5789"/>
    <w:rsid w:val="00AF0A0D"/>
    <w:rsid w:val="00AF25D0"/>
    <w:rsid w:val="00AF2A89"/>
    <w:rsid w:val="00B0591B"/>
    <w:rsid w:val="00B06DF8"/>
    <w:rsid w:val="00B13B89"/>
    <w:rsid w:val="00B14AA0"/>
    <w:rsid w:val="00B26628"/>
    <w:rsid w:val="00B46548"/>
    <w:rsid w:val="00B7378D"/>
    <w:rsid w:val="00B75709"/>
    <w:rsid w:val="00B82602"/>
    <w:rsid w:val="00B9676C"/>
    <w:rsid w:val="00BA3F54"/>
    <w:rsid w:val="00BB138B"/>
    <w:rsid w:val="00BC5BDA"/>
    <w:rsid w:val="00BD17AE"/>
    <w:rsid w:val="00BD4A42"/>
    <w:rsid w:val="00BE1E8F"/>
    <w:rsid w:val="00BE2051"/>
    <w:rsid w:val="00BE6468"/>
    <w:rsid w:val="00BE6CC1"/>
    <w:rsid w:val="00BF587A"/>
    <w:rsid w:val="00C25B44"/>
    <w:rsid w:val="00C3317D"/>
    <w:rsid w:val="00C33E49"/>
    <w:rsid w:val="00C35591"/>
    <w:rsid w:val="00C41BD5"/>
    <w:rsid w:val="00C41EDB"/>
    <w:rsid w:val="00C535B1"/>
    <w:rsid w:val="00C6260A"/>
    <w:rsid w:val="00C916C8"/>
    <w:rsid w:val="00C94B40"/>
    <w:rsid w:val="00C97E60"/>
    <w:rsid w:val="00CA2E85"/>
    <w:rsid w:val="00CA6AE7"/>
    <w:rsid w:val="00CB2790"/>
    <w:rsid w:val="00CB505F"/>
    <w:rsid w:val="00CC5F04"/>
    <w:rsid w:val="00CC78B0"/>
    <w:rsid w:val="00CD61F5"/>
    <w:rsid w:val="00CE53AB"/>
    <w:rsid w:val="00CF105F"/>
    <w:rsid w:val="00CF2C5D"/>
    <w:rsid w:val="00CF68ED"/>
    <w:rsid w:val="00CF7C87"/>
    <w:rsid w:val="00D05FBD"/>
    <w:rsid w:val="00D10CA8"/>
    <w:rsid w:val="00D30B14"/>
    <w:rsid w:val="00D36CB5"/>
    <w:rsid w:val="00D548C8"/>
    <w:rsid w:val="00D54ED4"/>
    <w:rsid w:val="00D66763"/>
    <w:rsid w:val="00DB3586"/>
    <w:rsid w:val="00DC5385"/>
    <w:rsid w:val="00DC7728"/>
    <w:rsid w:val="00DC7AB7"/>
    <w:rsid w:val="00DE1BD0"/>
    <w:rsid w:val="00DE693B"/>
    <w:rsid w:val="00E01A23"/>
    <w:rsid w:val="00E0262A"/>
    <w:rsid w:val="00E307F8"/>
    <w:rsid w:val="00E314FC"/>
    <w:rsid w:val="00E378A9"/>
    <w:rsid w:val="00E4515A"/>
    <w:rsid w:val="00E47926"/>
    <w:rsid w:val="00E53DCA"/>
    <w:rsid w:val="00E6399A"/>
    <w:rsid w:val="00E642E4"/>
    <w:rsid w:val="00E71627"/>
    <w:rsid w:val="00E722C8"/>
    <w:rsid w:val="00E83C1C"/>
    <w:rsid w:val="00E95B1A"/>
    <w:rsid w:val="00EC036E"/>
    <w:rsid w:val="00EC0828"/>
    <w:rsid w:val="00EC6B07"/>
    <w:rsid w:val="00EF0A83"/>
    <w:rsid w:val="00EF5220"/>
    <w:rsid w:val="00EF5D3D"/>
    <w:rsid w:val="00F067AD"/>
    <w:rsid w:val="00F16636"/>
    <w:rsid w:val="00F17A0F"/>
    <w:rsid w:val="00F43952"/>
    <w:rsid w:val="00F449CA"/>
    <w:rsid w:val="00F45F44"/>
    <w:rsid w:val="00F46B15"/>
    <w:rsid w:val="00F56078"/>
    <w:rsid w:val="00F6169C"/>
    <w:rsid w:val="00F74AD4"/>
    <w:rsid w:val="00F7759E"/>
    <w:rsid w:val="00F77BA3"/>
    <w:rsid w:val="00F8394C"/>
    <w:rsid w:val="00F85CC2"/>
    <w:rsid w:val="00FA1C73"/>
    <w:rsid w:val="00FA2FE9"/>
    <w:rsid w:val="00FA3BF4"/>
    <w:rsid w:val="00FB5749"/>
    <w:rsid w:val="00FD0EAB"/>
    <w:rsid w:val="00FD2468"/>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375A5"/>
  <w15:docId w15:val="{22621DE0-12CE-47FE-9ED4-9E550B1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05FBD"/>
    <w:rPr>
      <w:sz w:val="16"/>
      <w:szCs w:val="16"/>
    </w:rPr>
  </w:style>
  <w:style w:type="paragraph" w:styleId="Komentarotekstas">
    <w:name w:val="annotation text"/>
    <w:basedOn w:val="prastasis"/>
    <w:link w:val="KomentarotekstasDiagrama"/>
    <w:uiPriority w:val="99"/>
    <w:semiHidden/>
    <w:unhideWhenUsed/>
    <w:rsid w:val="00D05FBD"/>
    <w:rPr>
      <w:sz w:val="20"/>
    </w:rPr>
  </w:style>
  <w:style w:type="character" w:customStyle="1" w:styleId="KomentarotekstasDiagrama">
    <w:name w:val="Komentaro tekstas Diagrama"/>
    <w:basedOn w:val="Numatytasispastraiposriftas"/>
    <w:link w:val="Komentarotekstas"/>
    <w:uiPriority w:val="99"/>
    <w:semiHidden/>
    <w:rsid w:val="00D05FBD"/>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5FBD"/>
    <w:rPr>
      <w:b/>
      <w:bCs/>
    </w:rPr>
  </w:style>
  <w:style w:type="character" w:customStyle="1" w:styleId="KomentarotemaDiagrama">
    <w:name w:val="Komentaro tema Diagrama"/>
    <w:basedOn w:val="KomentarotekstasDiagrama"/>
    <w:link w:val="Komentarotema"/>
    <w:uiPriority w:val="99"/>
    <w:semiHidden/>
    <w:rsid w:val="00D05FBD"/>
    <w:rPr>
      <w:rFonts w:eastAsia="Times New Roman"/>
      <w:b/>
      <w:bCs/>
      <w:sz w:val="20"/>
      <w:szCs w:val="20"/>
      <w:lang w:eastAsia="lt-LT"/>
    </w:rPr>
  </w:style>
  <w:style w:type="character" w:styleId="Hipersaitas">
    <w:name w:val="Hyperlink"/>
    <w:basedOn w:val="Numatytasispastraiposriftas"/>
    <w:uiPriority w:val="99"/>
    <w:unhideWhenUsed/>
    <w:rsid w:val="00D05FBD"/>
    <w:rPr>
      <w:color w:val="0000FF" w:themeColor="hyperlink"/>
      <w:u w:val="single"/>
    </w:rPr>
  </w:style>
  <w:style w:type="paragraph" w:customStyle="1" w:styleId="KTpstrnum">
    <w:name w:val="KT pstr num"/>
    <w:basedOn w:val="prastasis"/>
    <w:link w:val="KTpstrnumChar"/>
    <w:qFormat/>
    <w:rsid w:val="009F159A"/>
    <w:pPr>
      <w:numPr>
        <w:numId w:val="2"/>
      </w:numPr>
      <w:jc w:val="both"/>
    </w:pPr>
    <w:rPr>
      <w:rFonts w:eastAsiaTheme="minorHAnsi" w:cstheme="minorBidi"/>
      <w:szCs w:val="24"/>
      <w:lang w:eastAsia="en-US"/>
    </w:rPr>
  </w:style>
  <w:style w:type="character" w:customStyle="1" w:styleId="KTpstrnumChar">
    <w:name w:val="KT pstr num Char"/>
    <w:basedOn w:val="Numatytasispastraiposriftas"/>
    <w:link w:val="KTpstrnum"/>
    <w:rsid w:val="009F159A"/>
    <w:rPr>
      <w:rFonts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8686">
      <w:bodyDiv w:val="1"/>
      <w:marLeft w:val="0"/>
      <w:marRight w:val="0"/>
      <w:marTop w:val="0"/>
      <w:marBottom w:val="0"/>
      <w:divBdr>
        <w:top w:val="none" w:sz="0" w:space="0" w:color="auto"/>
        <w:left w:val="none" w:sz="0" w:space="0" w:color="auto"/>
        <w:bottom w:val="none" w:sz="0" w:space="0" w:color="auto"/>
        <w:right w:val="none" w:sz="0" w:space="0" w:color="auto"/>
      </w:divBdr>
    </w:div>
    <w:div w:id="435488286">
      <w:bodyDiv w:val="1"/>
      <w:marLeft w:val="0"/>
      <w:marRight w:val="0"/>
      <w:marTop w:val="0"/>
      <w:marBottom w:val="0"/>
      <w:divBdr>
        <w:top w:val="none" w:sz="0" w:space="0" w:color="auto"/>
        <w:left w:val="none" w:sz="0" w:space="0" w:color="auto"/>
        <w:bottom w:val="none" w:sz="0" w:space="0" w:color="auto"/>
        <w:right w:val="none" w:sz="0" w:space="0" w:color="auto"/>
      </w:divBdr>
    </w:div>
    <w:div w:id="658465466">
      <w:bodyDiv w:val="1"/>
      <w:marLeft w:val="0"/>
      <w:marRight w:val="0"/>
      <w:marTop w:val="0"/>
      <w:marBottom w:val="0"/>
      <w:divBdr>
        <w:top w:val="none" w:sz="0" w:space="0" w:color="auto"/>
        <w:left w:val="none" w:sz="0" w:space="0" w:color="auto"/>
        <w:bottom w:val="none" w:sz="0" w:space="0" w:color="auto"/>
        <w:right w:val="none" w:sz="0" w:space="0" w:color="auto"/>
      </w:divBdr>
    </w:div>
    <w:div w:id="897397646">
      <w:bodyDiv w:val="1"/>
      <w:marLeft w:val="0"/>
      <w:marRight w:val="0"/>
      <w:marTop w:val="0"/>
      <w:marBottom w:val="0"/>
      <w:divBdr>
        <w:top w:val="none" w:sz="0" w:space="0" w:color="auto"/>
        <w:left w:val="none" w:sz="0" w:space="0" w:color="auto"/>
        <w:bottom w:val="none" w:sz="0" w:space="0" w:color="auto"/>
        <w:right w:val="none" w:sz="0" w:space="0" w:color="auto"/>
      </w:divBdr>
    </w:div>
    <w:div w:id="969091394">
      <w:bodyDiv w:val="1"/>
      <w:marLeft w:val="0"/>
      <w:marRight w:val="0"/>
      <w:marTop w:val="0"/>
      <w:marBottom w:val="0"/>
      <w:divBdr>
        <w:top w:val="none" w:sz="0" w:space="0" w:color="auto"/>
        <w:left w:val="none" w:sz="0" w:space="0" w:color="auto"/>
        <w:bottom w:val="none" w:sz="0" w:space="0" w:color="auto"/>
        <w:right w:val="none" w:sz="0" w:space="0" w:color="auto"/>
      </w:divBdr>
    </w:div>
    <w:div w:id="1723629074">
      <w:bodyDiv w:val="1"/>
      <w:marLeft w:val="0"/>
      <w:marRight w:val="0"/>
      <w:marTop w:val="0"/>
      <w:marBottom w:val="0"/>
      <w:divBdr>
        <w:top w:val="none" w:sz="0" w:space="0" w:color="auto"/>
        <w:left w:val="none" w:sz="0" w:space="0" w:color="auto"/>
        <w:bottom w:val="none" w:sz="0" w:space="0" w:color="auto"/>
        <w:right w:val="none" w:sz="0" w:space="0" w:color="auto"/>
      </w:divBdr>
    </w:div>
    <w:div w:id="1895237783">
      <w:bodyDiv w:val="1"/>
      <w:marLeft w:val="0"/>
      <w:marRight w:val="0"/>
      <w:marTop w:val="0"/>
      <w:marBottom w:val="0"/>
      <w:divBdr>
        <w:top w:val="none" w:sz="0" w:space="0" w:color="auto"/>
        <w:left w:val="none" w:sz="0" w:space="0" w:color="auto"/>
        <w:bottom w:val="none" w:sz="0" w:space="0" w:color="auto"/>
        <w:right w:val="none" w:sz="0" w:space="0" w:color="auto"/>
      </w:divBdr>
    </w:div>
    <w:div w:id="20280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4443</Words>
  <Characters>2534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Gervienė Giedrė</cp:lastModifiedBy>
  <cp:revision>26</cp:revision>
  <dcterms:created xsi:type="dcterms:W3CDTF">2020-01-27T11:40:00Z</dcterms:created>
  <dcterms:modified xsi:type="dcterms:W3CDTF">2020-01-28T09:13:00Z</dcterms:modified>
</cp:coreProperties>
</file>