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F79ED" w14:textId="77777777" w:rsidR="0036662A" w:rsidRDefault="0036662A" w:rsidP="0036662A">
      <w:pPr>
        <w:jc w:val="center"/>
        <w:rPr>
          <w:b/>
          <w:bCs/>
        </w:rPr>
      </w:pPr>
      <w:bookmarkStart w:id="0" w:name="_GoBack"/>
      <w:bookmarkEnd w:id="0"/>
      <w:r>
        <w:rPr>
          <w:b/>
          <w:bCs/>
        </w:rPr>
        <w:t xml:space="preserve">LIETUVOS RESPUBLIKOS </w:t>
      </w:r>
      <w:r w:rsidR="00FC1D93">
        <w:rPr>
          <w:b/>
          <w:bCs/>
        </w:rPr>
        <w:t>EKONOMIKOS IR INOVACIJŲ</w:t>
      </w:r>
      <w:r>
        <w:rPr>
          <w:b/>
          <w:bCs/>
        </w:rPr>
        <w:t xml:space="preserve"> MINISTERIJA</w:t>
      </w:r>
    </w:p>
    <w:p w14:paraId="37C56692" w14:textId="77777777" w:rsidR="0036662A" w:rsidRDefault="0036662A" w:rsidP="0036662A">
      <w:pPr>
        <w:jc w:val="center"/>
        <w:rPr>
          <w:b/>
          <w:bCs/>
        </w:rPr>
      </w:pPr>
    </w:p>
    <w:p w14:paraId="2AFCB0FA" w14:textId="77777777" w:rsidR="0036662A" w:rsidRDefault="0036662A" w:rsidP="0036662A">
      <w:pPr>
        <w:jc w:val="center"/>
        <w:rPr>
          <w:b/>
          <w:bCs/>
        </w:rPr>
      </w:pPr>
      <w:r>
        <w:rPr>
          <w:b/>
          <w:bCs/>
        </w:rPr>
        <w:t xml:space="preserve">SOCIALINIŲ IR EKONOMINIŲ PARTNERIŲ PATEIKTŲ PASTABŲ IR PASIŪLYMŲ DĖL 2014–2020 METŲ EUROPOS SĄJUNGOS FONDŲ INVESTICIJŲ VEIKSMŲ </w:t>
      </w:r>
      <w:r w:rsidRPr="00FC1D93">
        <w:rPr>
          <w:b/>
          <w:bCs/>
          <w:caps/>
        </w:rPr>
        <w:t xml:space="preserve">PROGRAMOS </w:t>
      </w:r>
      <w:r w:rsidR="00FC1D93" w:rsidRPr="00FC1D93">
        <w:rPr>
          <w:b/>
          <w:bCs/>
          <w:caps/>
        </w:rPr>
        <w:t>3 prioriteto „SMULKIOJO IR VIDUTINIO VERSLO KONKURENCINGUMO SKATINIMAS“</w:t>
      </w:r>
      <w:r w:rsidRPr="00FC1D93">
        <w:rPr>
          <w:b/>
          <w:bCs/>
          <w:caps/>
        </w:rPr>
        <w:t xml:space="preserve"> PRIEMONĖS </w:t>
      </w:r>
      <w:r w:rsidR="00530B13">
        <w:rPr>
          <w:b/>
          <w:color w:val="000000"/>
          <w:szCs w:val="24"/>
        </w:rPr>
        <w:t>NR. 03.2.1-LVPA-K-801 „NAUJOS GALIMYBĖS LT“</w:t>
      </w:r>
      <w:r w:rsidR="00FC1D93" w:rsidRPr="00FC1D93">
        <w:rPr>
          <w:caps/>
          <w:szCs w:val="24"/>
        </w:rPr>
        <w:t xml:space="preserve"> </w:t>
      </w:r>
      <w:r>
        <w:rPr>
          <w:b/>
          <w:bCs/>
        </w:rPr>
        <w:t xml:space="preserve">PROJEKTŲ FINANSAVIMO SĄLYGŲ APRAŠO </w:t>
      </w:r>
      <w:r w:rsidR="00530B13">
        <w:rPr>
          <w:b/>
          <w:bCs/>
        </w:rPr>
        <w:t>NR. 3</w:t>
      </w:r>
      <w:r w:rsidR="00FC1D93">
        <w:rPr>
          <w:b/>
          <w:bCs/>
        </w:rPr>
        <w:t xml:space="preserve"> </w:t>
      </w:r>
      <w:r>
        <w:rPr>
          <w:b/>
          <w:bCs/>
        </w:rPr>
        <w:t>DERINIMAS</w:t>
      </w:r>
    </w:p>
    <w:p w14:paraId="3B1E3AAA"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4FBA76AE" w14:textId="77777777" w:rsidTr="00335D39">
        <w:tc>
          <w:tcPr>
            <w:tcW w:w="6804" w:type="dxa"/>
          </w:tcPr>
          <w:p w14:paraId="11BD6F6A"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2B67FF50" w14:textId="77777777" w:rsidR="0036662A" w:rsidRDefault="00AA24BA" w:rsidP="00335D39">
            <w:pPr>
              <w:rPr>
                <w:szCs w:val="24"/>
              </w:rPr>
            </w:pPr>
            <w:r>
              <w:rPr>
                <w:szCs w:val="24"/>
              </w:rPr>
              <w:t>2020-01-22</w:t>
            </w:r>
          </w:p>
        </w:tc>
      </w:tr>
      <w:tr w:rsidR="0036662A" w14:paraId="79F9986B" w14:textId="77777777" w:rsidTr="00335D39">
        <w:tc>
          <w:tcPr>
            <w:tcW w:w="6804" w:type="dxa"/>
          </w:tcPr>
          <w:p w14:paraId="3F67CA27"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0BC304F3"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53A19C64" w14:textId="77777777" w:rsidR="0036662A" w:rsidRPr="007070FE" w:rsidRDefault="00BE1F39" w:rsidP="00530B13">
            <w:sdt>
              <w:sdtPr>
                <w:id w:val="1312749902"/>
              </w:sdtPr>
              <w:sdtEndPr/>
              <w:sdtContent>
                <w:r w:rsidR="00530B13">
                  <w:rPr>
                    <w:szCs w:val="24"/>
                  </w:rPr>
                  <w:fldChar w:fldCharType="begin">
                    <w:ffData>
                      <w:name w:val=""/>
                      <w:enabled/>
                      <w:calcOnExit w:val="0"/>
                      <w:checkBox>
                        <w:sizeAuto/>
                        <w:default w:val="1"/>
                      </w:checkBox>
                    </w:ffData>
                  </w:fldChar>
                </w:r>
                <w:r w:rsidR="00530B13">
                  <w:rPr>
                    <w:szCs w:val="24"/>
                  </w:rPr>
                  <w:instrText xml:space="preserve"> FORMCHECKBOX </w:instrText>
                </w:r>
                <w:r>
                  <w:rPr>
                    <w:szCs w:val="24"/>
                  </w:rPr>
                </w:r>
                <w:r>
                  <w:rPr>
                    <w:szCs w:val="24"/>
                  </w:rPr>
                  <w:fldChar w:fldCharType="separate"/>
                </w:r>
                <w:r w:rsidR="00530B13">
                  <w:rPr>
                    <w:szCs w:val="24"/>
                  </w:rPr>
                  <w:fldChar w:fldCharType="end"/>
                </w:r>
                <w:r w:rsidR="0036662A">
                  <w:t xml:space="preserve"> </w:t>
                </w:r>
              </w:sdtContent>
            </w:sdt>
            <w:r w:rsidR="0036662A">
              <w:rPr>
                <w:szCs w:val="24"/>
              </w:rPr>
              <w:t xml:space="preserve">Taip </w:t>
            </w:r>
            <w:sdt>
              <w:sdtPr>
                <w:rPr>
                  <w:szCs w:val="24"/>
                </w:rPr>
                <w:id w:val="164368749"/>
              </w:sdtPr>
              <w:sdtEndPr/>
              <w:sdtContent>
                <w:sdt>
                  <w:sdtPr>
                    <w:rPr>
                      <w:szCs w:val="24"/>
                    </w:rPr>
                    <w:id w:val="-1878914393"/>
                  </w:sdtPr>
                  <w:sdtEndPr/>
                  <w:sdtContent>
                    <w:sdt>
                      <w:sdtPr>
                        <w:id w:val="-918473358"/>
                      </w:sdtPr>
                      <w:sdtEndPr/>
                      <w:sdtContent>
                        <w:r w:rsidR="00530B13">
                          <w:fldChar w:fldCharType="begin">
                            <w:ffData>
                              <w:name w:val="Check1"/>
                              <w:enabled/>
                              <w:calcOnExit w:val="0"/>
                              <w:checkBox>
                                <w:sizeAuto/>
                                <w:default w:val="0"/>
                              </w:checkBox>
                            </w:ffData>
                          </w:fldChar>
                        </w:r>
                        <w:r w:rsidR="00530B13">
                          <w:instrText xml:space="preserve"> FORMCHECKBOX </w:instrText>
                        </w:r>
                        <w:r>
                          <w:fldChar w:fldCharType="separate"/>
                        </w:r>
                        <w:r w:rsidR="00530B13">
                          <w:fldChar w:fldCharType="end"/>
                        </w:r>
                      </w:sdtContent>
                    </w:sdt>
                    <w:r w:rsidR="00FF41B5" w:rsidRPr="0036662A">
                      <w:rPr>
                        <w:szCs w:val="24"/>
                      </w:rPr>
                      <w:t xml:space="preserve"> </w:t>
                    </w:r>
                  </w:sdtContent>
                </w:sdt>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1A2A0729" w14:textId="77777777" w:rsidTr="00335D39">
        <w:tc>
          <w:tcPr>
            <w:tcW w:w="6804" w:type="dxa"/>
          </w:tcPr>
          <w:p w14:paraId="775936E1"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349B593D"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6BB4A9B" w14:textId="77777777" w:rsidR="0036662A" w:rsidRDefault="00BE1F39" w:rsidP="00530B13">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sdt>
                  <w:sdtPr>
                    <w:id w:val="1758166658"/>
                  </w:sdtPr>
                  <w:sdtEndPr/>
                  <w:sdtContent>
                    <w:r w:rsidR="00530B13">
                      <w:rPr>
                        <w:szCs w:val="24"/>
                      </w:rPr>
                      <w:fldChar w:fldCharType="begin">
                        <w:ffData>
                          <w:name w:val=""/>
                          <w:enabled/>
                          <w:calcOnExit w:val="0"/>
                          <w:checkBox>
                            <w:sizeAuto/>
                            <w:default w:val="1"/>
                          </w:checkBox>
                        </w:ffData>
                      </w:fldChar>
                    </w:r>
                    <w:r w:rsidR="00530B13">
                      <w:rPr>
                        <w:szCs w:val="24"/>
                      </w:rPr>
                      <w:instrText xml:space="preserve"> FORMCHECKBOX </w:instrText>
                    </w:r>
                    <w:r>
                      <w:rPr>
                        <w:szCs w:val="24"/>
                      </w:rPr>
                    </w:r>
                    <w:r>
                      <w:rPr>
                        <w:szCs w:val="24"/>
                      </w:rPr>
                      <w:fldChar w:fldCharType="separate"/>
                    </w:r>
                    <w:r w:rsidR="00530B13">
                      <w:rPr>
                        <w:szCs w:val="24"/>
                      </w:rPr>
                      <w:fldChar w:fldCharType="end"/>
                    </w:r>
                    <w:r w:rsidR="00530B13">
                      <w:t xml:space="preserve"> </w:t>
                    </w:r>
                  </w:sdtContent>
                </w:sdt>
              </w:sdtContent>
            </w:sdt>
            <w:r w:rsidR="0036662A">
              <w:rPr>
                <w:szCs w:val="24"/>
              </w:rPr>
              <w:t xml:space="preserve">Ne </w:t>
            </w:r>
          </w:p>
        </w:tc>
      </w:tr>
    </w:tbl>
    <w:p w14:paraId="5961641E" w14:textId="77777777" w:rsidR="0036662A" w:rsidRPr="00781CA4" w:rsidRDefault="0036662A" w:rsidP="0036662A">
      <w:pPr>
        <w:rPr>
          <w:szCs w:val="24"/>
        </w:rPr>
      </w:pPr>
    </w:p>
    <w:tbl>
      <w:tblPr>
        <w:tblStyle w:val="TableGrid"/>
        <w:tblW w:w="14913" w:type="dxa"/>
        <w:tblInd w:w="279" w:type="dxa"/>
        <w:tblLayout w:type="fixed"/>
        <w:tblLook w:val="04A0" w:firstRow="1" w:lastRow="0" w:firstColumn="1" w:lastColumn="0" w:noHBand="0" w:noVBand="1"/>
      </w:tblPr>
      <w:tblGrid>
        <w:gridCol w:w="567"/>
        <w:gridCol w:w="1985"/>
        <w:gridCol w:w="6833"/>
        <w:gridCol w:w="5528"/>
      </w:tblGrid>
      <w:tr w:rsidR="0036662A" w:rsidRPr="00781CA4" w14:paraId="1F0F5505" w14:textId="77777777" w:rsidTr="00CB0032">
        <w:tc>
          <w:tcPr>
            <w:tcW w:w="567" w:type="dxa"/>
          </w:tcPr>
          <w:p w14:paraId="084AC3E5" w14:textId="77777777" w:rsidR="0036662A" w:rsidRPr="00781CA4" w:rsidRDefault="0036662A" w:rsidP="00335D39">
            <w:pPr>
              <w:jc w:val="center"/>
              <w:rPr>
                <w:b/>
                <w:szCs w:val="24"/>
              </w:rPr>
            </w:pPr>
            <w:r w:rsidRPr="00781CA4">
              <w:rPr>
                <w:b/>
                <w:szCs w:val="24"/>
              </w:rPr>
              <w:t>Nr.</w:t>
            </w:r>
          </w:p>
        </w:tc>
        <w:tc>
          <w:tcPr>
            <w:tcW w:w="1985" w:type="dxa"/>
          </w:tcPr>
          <w:p w14:paraId="3749D85F" w14:textId="77777777" w:rsidR="0036662A" w:rsidRPr="00781CA4" w:rsidRDefault="0036662A" w:rsidP="00335D39">
            <w:pPr>
              <w:jc w:val="center"/>
              <w:rPr>
                <w:b/>
                <w:szCs w:val="24"/>
              </w:rPr>
            </w:pPr>
            <w:r w:rsidRPr="00781CA4">
              <w:rPr>
                <w:b/>
                <w:szCs w:val="24"/>
              </w:rPr>
              <w:t>Institucija</w:t>
            </w:r>
          </w:p>
        </w:tc>
        <w:tc>
          <w:tcPr>
            <w:tcW w:w="6833" w:type="dxa"/>
          </w:tcPr>
          <w:p w14:paraId="26FE867C" w14:textId="77777777" w:rsidR="0036662A" w:rsidRPr="00781CA4" w:rsidRDefault="0036662A" w:rsidP="00335D39">
            <w:pPr>
              <w:jc w:val="center"/>
              <w:rPr>
                <w:b/>
                <w:szCs w:val="24"/>
              </w:rPr>
            </w:pPr>
            <w:r>
              <w:rPr>
                <w:b/>
                <w:bCs/>
              </w:rPr>
              <w:t>Pastabos ir pasiūlymai</w:t>
            </w:r>
          </w:p>
        </w:tc>
        <w:tc>
          <w:tcPr>
            <w:tcW w:w="5528" w:type="dxa"/>
          </w:tcPr>
          <w:p w14:paraId="0D7A11F3"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7723B5" w:rsidRPr="00781CA4" w14:paraId="05BBEB9F" w14:textId="77777777" w:rsidTr="00CB0032">
        <w:tc>
          <w:tcPr>
            <w:tcW w:w="567" w:type="dxa"/>
          </w:tcPr>
          <w:p w14:paraId="2A3D6E12" w14:textId="77777777" w:rsidR="007723B5" w:rsidRPr="0038099D" w:rsidRDefault="007723B5" w:rsidP="0036662A">
            <w:pPr>
              <w:pStyle w:val="ListParagraph"/>
              <w:numPr>
                <w:ilvl w:val="0"/>
                <w:numId w:val="1"/>
              </w:numPr>
              <w:jc w:val="both"/>
            </w:pPr>
          </w:p>
        </w:tc>
        <w:tc>
          <w:tcPr>
            <w:tcW w:w="1985" w:type="dxa"/>
            <w:vMerge w:val="restart"/>
          </w:tcPr>
          <w:p w14:paraId="11B4666F" w14:textId="77777777" w:rsidR="007723B5" w:rsidRPr="00E85B2A" w:rsidRDefault="007723B5" w:rsidP="00E85B2A">
            <w:pPr>
              <w:tabs>
                <w:tab w:val="left" w:pos="0"/>
                <w:tab w:val="left" w:pos="1843"/>
              </w:tabs>
              <w:rPr>
                <w:b/>
                <w:szCs w:val="24"/>
              </w:rPr>
            </w:pPr>
            <w:r w:rsidRPr="00E85B2A">
              <w:rPr>
                <w:b/>
                <w:szCs w:val="24"/>
              </w:rPr>
              <w:t>Lietuvos prekybos, pramonės ir</w:t>
            </w:r>
          </w:p>
          <w:p w14:paraId="50CA6526" w14:textId="77777777" w:rsidR="007723B5" w:rsidRPr="0038099D" w:rsidRDefault="007723B5" w:rsidP="00E85B2A">
            <w:r w:rsidRPr="00E85B2A">
              <w:rPr>
                <w:b/>
                <w:szCs w:val="24"/>
              </w:rPr>
              <w:t>amatų rūmų asociacija</w:t>
            </w:r>
          </w:p>
        </w:tc>
        <w:tc>
          <w:tcPr>
            <w:tcW w:w="6833" w:type="dxa"/>
          </w:tcPr>
          <w:p w14:paraId="7F973ED0" w14:textId="77777777" w:rsidR="007723B5" w:rsidRPr="001F58BC" w:rsidRDefault="007723B5" w:rsidP="001F58BC">
            <w:pPr>
              <w:pStyle w:val="ListParagraph"/>
              <w:numPr>
                <w:ilvl w:val="0"/>
                <w:numId w:val="7"/>
              </w:numPr>
              <w:tabs>
                <w:tab w:val="left" w:pos="175"/>
                <w:tab w:val="left" w:pos="600"/>
              </w:tabs>
              <w:ind w:left="33" w:firstLine="0"/>
              <w:jc w:val="both"/>
              <w:rPr>
                <w:szCs w:val="24"/>
              </w:rPr>
            </w:pPr>
            <w:r w:rsidRPr="001F58BC">
              <w:rPr>
                <w:szCs w:val="24"/>
              </w:rPr>
              <w:t>Norima keisti reikalavimus Aprašo, pagal kurį jau buvo paskelbtas kvietimas. Projekto vykdytojai yra pasirašę projekto administravimo ir finansavimo sutartis su VšĮ Lietuvos verslo paramos agentūra. Jose įrašyti konkretūs (pagal esamo Aprašo sąlygas) dalyvavimo verslo misijose ir tarptautinėse parodose fiksuotieji įkainiai. Dauguma projektų jau baigiami vykdyti, todėl projektų vykdytojai reiškia nerimą ir nori žinoti konkrečią informaciją, kaip (kokiu dydžiu) sumanyta keisti patvirtintus fiksuotuosius įkainius.</w:t>
            </w:r>
          </w:p>
          <w:p w14:paraId="6851B3DC" w14:textId="77777777" w:rsidR="007723B5" w:rsidRPr="003625E6" w:rsidRDefault="007723B5" w:rsidP="00FE08AA">
            <w:pPr>
              <w:tabs>
                <w:tab w:val="left" w:pos="709"/>
              </w:tabs>
              <w:jc w:val="both"/>
              <w:rPr>
                <w:szCs w:val="24"/>
              </w:rPr>
            </w:pPr>
            <w:r w:rsidRPr="003625E6">
              <w:rPr>
                <w:szCs w:val="24"/>
              </w:rPr>
              <w:t>Pakeisti dalyvavimo tarptautinėse parodose, mugėse ir verslo misijose išlaidų fiksuotieji įkainiai ir naujo išlaidų apmokėjimo būd</w:t>
            </w:r>
            <w:r>
              <w:rPr>
                <w:szCs w:val="24"/>
              </w:rPr>
              <w:t xml:space="preserve">ai bus taikomi tik nuo įsakymo </w:t>
            </w:r>
            <w:r w:rsidRPr="003625E6">
              <w:rPr>
                <w:szCs w:val="24"/>
              </w:rPr>
              <w:t>dėl šio Aprašo pakeitimo įsigaliojimo dienos.</w:t>
            </w:r>
          </w:p>
          <w:p w14:paraId="216DFA55" w14:textId="77777777" w:rsidR="007723B5" w:rsidRPr="0038099D" w:rsidRDefault="007723B5" w:rsidP="00892B39">
            <w:pPr>
              <w:jc w:val="both"/>
            </w:pPr>
            <w:r>
              <w:rPr>
                <w:szCs w:val="24"/>
              </w:rPr>
              <w:t>P</w:t>
            </w:r>
            <w:r w:rsidRPr="003625E6">
              <w:rPr>
                <w:szCs w:val="24"/>
              </w:rPr>
              <w:t xml:space="preserve">rašome nestabdyti ir nekeisti pasirašytų sutarčių, nepasirašyti įsakymo dėl Aprašo keitimo ir taikymo pasirašytoms sutartims, </w:t>
            </w:r>
            <w:r w:rsidRPr="003625E6">
              <w:rPr>
                <w:szCs w:val="24"/>
              </w:rPr>
              <w:lastRenderedPageBreak/>
              <w:t xml:space="preserve">kadangi veiklos yra suplanuotos, vykdomos, investuoti projektų vykdytojų bei, daugiausia, projektų dalyvių – MVĮ pinigai. Sutartys buvo pasirašytos abiejų šalių ir </w:t>
            </w:r>
            <w:r>
              <w:rPr>
                <w:szCs w:val="24"/>
              </w:rPr>
              <w:t>visiškai</w:t>
            </w:r>
            <w:r w:rsidRPr="003625E6">
              <w:rPr>
                <w:szCs w:val="24"/>
              </w:rPr>
              <w:t xml:space="preserve"> atitinka galiojančio Aprašo reikalavimus. Lietuvos Respublikos valstybės kontrolės Europos Sąjungos investicijų audito departamento tarpines audito rekom</w:t>
            </w:r>
            <w:r>
              <w:rPr>
                <w:szCs w:val="24"/>
              </w:rPr>
              <w:t>e</w:t>
            </w:r>
            <w:r w:rsidRPr="003625E6">
              <w:rPr>
                <w:szCs w:val="24"/>
              </w:rPr>
              <w:t>ndacijas taikyti naujiems šaukimams.</w:t>
            </w:r>
          </w:p>
        </w:tc>
        <w:tc>
          <w:tcPr>
            <w:tcW w:w="5528" w:type="dxa"/>
            <w:vMerge w:val="restart"/>
          </w:tcPr>
          <w:p w14:paraId="13294894" w14:textId="77777777" w:rsidR="007723B5" w:rsidRDefault="007723B5" w:rsidP="00335D39">
            <w:r>
              <w:lastRenderedPageBreak/>
              <w:t xml:space="preserve">Neatsižvelgta. </w:t>
            </w:r>
          </w:p>
          <w:p w14:paraId="31D203FF" w14:textId="3DFEF05A" w:rsidR="007723B5" w:rsidRDefault="007723B5" w:rsidP="002F2EE5">
            <w:pPr>
              <w:jc w:val="both"/>
            </w:pPr>
            <w:r>
              <w:t xml:space="preserve">Priemonės </w:t>
            </w:r>
            <w:r w:rsidR="00571296">
              <w:t>„</w:t>
            </w:r>
            <w:r>
              <w:t>Naujos galimybės LT” projektų finansavimo sąlygų aprašo Nr. 3 (toliau – Aprašas), skirto labai mažų, mažų ir vidutinių įmonių grupiniam dalyvavimui tarptautinėse parodose, mugėse ir verslo misijose, keitimai atliekami, gavus LR valstybės kontrolės Europos Sąjungos investicijų audito departamento tarpinius audito rezultatus ir Finansų ministerijos raštišką nurodymą atlikti Aprašo pakeitimus, vadovaujantis Projektų administravimo ir finansavimo taisyklių</w:t>
            </w:r>
            <w:r>
              <w:rPr>
                <w:rStyle w:val="FootnoteReference"/>
              </w:rPr>
              <w:footnoteReference w:customMarkFollows="1" w:id="1"/>
              <w:t>[1]</w:t>
            </w:r>
            <w:r>
              <w:t xml:space="preserve"> 428</w:t>
            </w:r>
            <w:r>
              <w:rPr>
                <w:vertAlign w:val="superscript"/>
              </w:rPr>
              <w:t>1</w:t>
            </w:r>
            <w:r>
              <w:t xml:space="preserve"> punkto nuostatomis, teigiančiomis, kad supaprastintai apmokamų išlaidų dydžiai, jų taikymo sąlygos (įskaitant galimybę juos keisti sudarius projekto sutartį) yra nustatomi projektų finansavimo sąlygų apraše (arba dokumente, kuriuo </w:t>
            </w:r>
            <w:r>
              <w:lastRenderedPageBreak/>
              <w:t xml:space="preserve">apraše nurodyta vadovautis), o </w:t>
            </w:r>
            <w:r w:rsidR="00571296">
              <w:t xml:space="preserve">vadovaujančiai institucijai </w:t>
            </w:r>
            <w:r>
              <w:t xml:space="preserve">arba </w:t>
            </w:r>
            <w:r w:rsidR="00571296">
              <w:t>a</w:t>
            </w:r>
            <w:r>
              <w:t>udito institucijai nustačius, kad supaprastintai apmokamų išlaidų dydis ar jo taikymo sąlygos buvo netinkamai nustatyti (tais atvejais, kai dydis turėjo būti mažesnis arba kitaip taikomas), patikslintas dydis ar jo taikymo sąlygos turi būti taikomi jau įgyvendinamų projektų veiksmų, vykdomų nuo dydžio ar jo taikymo sąlygų patikslinimo įsigaliojimo dienos, išlaidoms apmokėti.</w:t>
            </w:r>
          </w:p>
          <w:p w14:paraId="60F02A3F" w14:textId="198B0469" w:rsidR="007723B5" w:rsidRDefault="007723B5" w:rsidP="002F2EE5">
            <w:pPr>
              <w:jc w:val="both"/>
            </w:pPr>
            <w:r>
              <w:t xml:space="preserve">Informuojame, kad Aprašo keitimas </w:t>
            </w:r>
            <w:r w:rsidR="007D4406">
              <w:t xml:space="preserve">2020-02-07 </w:t>
            </w:r>
            <w:r>
              <w:t xml:space="preserve">oficialiu raštu išsiųstas derinti vadovaujančiajai institucijai – Finansų ministerijai, tačiau atsakymas dar negautas. </w:t>
            </w:r>
          </w:p>
          <w:p w14:paraId="7891A034" w14:textId="77777777" w:rsidR="007723B5" w:rsidRPr="0038099D" w:rsidRDefault="007723B5" w:rsidP="00414DB9">
            <w:pPr>
              <w:jc w:val="both"/>
            </w:pPr>
            <w:r>
              <w:t xml:space="preserve">Taip pat pažymime, kad </w:t>
            </w:r>
            <w:r w:rsidR="00414DB9">
              <w:t xml:space="preserve">pasibaigus priemonei „Naujos galimybės LT“ skirtai ES fondų lėšų sumai, </w:t>
            </w:r>
            <w:r w:rsidR="00414DB9" w:rsidRPr="00414DB9">
              <w:t xml:space="preserve">šiuo 2014-2020 metų programavimo laikotarpiu daugiau kvietimų teikti paraiškas </w:t>
            </w:r>
            <w:r w:rsidR="00414DB9">
              <w:t>pagal priemonę</w:t>
            </w:r>
            <w:r w:rsidR="00414DB9" w:rsidRPr="00414DB9">
              <w:t xml:space="preserve"> neplanuojama skelbti</w:t>
            </w:r>
            <w:r w:rsidR="00414DB9">
              <w:t xml:space="preserve">. </w:t>
            </w:r>
          </w:p>
        </w:tc>
      </w:tr>
      <w:tr w:rsidR="007723B5" w:rsidRPr="00781CA4" w14:paraId="319A84FB" w14:textId="77777777" w:rsidTr="00CB0032">
        <w:tc>
          <w:tcPr>
            <w:tcW w:w="567" w:type="dxa"/>
          </w:tcPr>
          <w:p w14:paraId="154AE8A3" w14:textId="77777777" w:rsidR="007723B5" w:rsidRPr="0038099D" w:rsidRDefault="007723B5" w:rsidP="0036662A">
            <w:pPr>
              <w:pStyle w:val="ListParagraph"/>
              <w:numPr>
                <w:ilvl w:val="0"/>
                <w:numId w:val="1"/>
              </w:numPr>
              <w:jc w:val="both"/>
            </w:pPr>
          </w:p>
        </w:tc>
        <w:tc>
          <w:tcPr>
            <w:tcW w:w="1985" w:type="dxa"/>
            <w:vMerge/>
          </w:tcPr>
          <w:p w14:paraId="75CB7FB1" w14:textId="77777777" w:rsidR="007723B5" w:rsidRPr="0038099D" w:rsidRDefault="007723B5" w:rsidP="00335D39"/>
        </w:tc>
        <w:tc>
          <w:tcPr>
            <w:tcW w:w="6833" w:type="dxa"/>
          </w:tcPr>
          <w:p w14:paraId="1AEE9846" w14:textId="77777777" w:rsidR="007723B5" w:rsidRPr="001F58BC" w:rsidRDefault="007723B5" w:rsidP="001F58BC">
            <w:pPr>
              <w:pStyle w:val="ListParagraph"/>
              <w:numPr>
                <w:ilvl w:val="0"/>
                <w:numId w:val="7"/>
              </w:numPr>
              <w:tabs>
                <w:tab w:val="left" w:pos="33"/>
                <w:tab w:val="left" w:pos="469"/>
              </w:tabs>
              <w:ind w:left="33" w:firstLine="0"/>
              <w:jc w:val="both"/>
              <w:rPr>
                <w:szCs w:val="24"/>
              </w:rPr>
            </w:pPr>
            <w:r w:rsidRPr="001F58BC">
              <w:rPr>
                <w:szCs w:val="24"/>
              </w:rPr>
              <w:t xml:space="preserve">Aprašą norima keisti jau pasirašytoms sutartims. Visi Lietuvos regionų prekybos, pramonės ir amatų rūmai (toliau – Rūmai) vykdo projektus pagal šį kvietimą. </w:t>
            </w:r>
          </w:p>
          <w:p w14:paraId="4E54695B" w14:textId="77777777" w:rsidR="007723B5" w:rsidRDefault="007723B5" w:rsidP="00E85B2A">
            <w:pPr>
              <w:tabs>
                <w:tab w:val="left" w:pos="709"/>
              </w:tabs>
              <w:jc w:val="both"/>
              <w:rPr>
                <w:szCs w:val="24"/>
              </w:rPr>
            </w:pPr>
            <w:r w:rsidRPr="003D08D9">
              <w:rPr>
                <w:szCs w:val="24"/>
              </w:rPr>
              <w:t>Visų Rūmų</w:t>
            </w:r>
            <w:r>
              <w:rPr>
                <w:szCs w:val="24"/>
              </w:rPr>
              <w:t xml:space="preserve"> – projektų vykdytojų</w:t>
            </w:r>
            <w:r w:rsidRPr="003D08D9">
              <w:rPr>
                <w:szCs w:val="24"/>
              </w:rPr>
              <w:t xml:space="preserve"> n</w:t>
            </w:r>
            <w:r>
              <w:rPr>
                <w:szCs w:val="24"/>
              </w:rPr>
              <w:t>uomone, keisti įkainius projektų</w:t>
            </w:r>
            <w:r w:rsidRPr="003D08D9">
              <w:rPr>
                <w:szCs w:val="24"/>
              </w:rPr>
              <w:t xml:space="preserve"> įgyvendinimo</w:t>
            </w:r>
            <w:r>
              <w:rPr>
                <w:szCs w:val="24"/>
              </w:rPr>
              <w:t xml:space="preserve"> pabaigoje </w:t>
            </w:r>
            <w:r w:rsidRPr="003D08D9">
              <w:rPr>
                <w:szCs w:val="24"/>
              </w:rPr>
              <w:t>yra nepagrį</w:t>
            </w:r>
            <w:r>
              <w:rPr>
                <w:szCs w:val="24"/>
              </w:rPr>
              <w:t>sta ir</w:t>
            </w:r>
            <w:r w:rsidRPr="003D08D9">
              <w:rPr>
                <w:szCs w:val="24"/>
              </w:rPr>
              <w:t xml:space="preserve"> neracionalu. Tai sukeltų papildomą administracinę naštą </w:t>
            </w:r>
            <w:r>
              <w:rPr>
                <w:szCs w:val="24"/>
              </w:rPr>
              <w:t>ir</w:t>
            </w:r>
            <w:r w:rsidRPr="003D08D9">
              <w:rPr>
                <w:szCs w:val="24"/>
              </w:rPr>
              <w:t xml:space="preserve"> projekto įgyvendintojams, ir galutiniams naudos gavėjams. Iki projekto įgyvendinimo pabaigos (2020</w:t>
            </w:r>
            <w:r>
              <w:rPr>
                <w:szCs w:val="24"/>
              </w:rPr>
              <w:t xml:space="preserve"> m.</w:t>
            </w:r>
            <w:r w:rsidRPr="003D08D9">
              <w:rPr>
                <w:szCs w:val="24"/>
              </w:rPr>
              <w:t xml:space="preserve"> rugpjūčio mėnesio, jeigu nėra pratęsiama) liko pusė metų. Tarptautiniai renginiai (</w:t>
            </w:r>
            <w:r>
              <w:rPr>
                <w:szCs w:val="24"/>
              </w:rPr>
              <w:t>ir</w:t>
            </w:r>
            <w:r w:rsidRPr="003D08D9">
              <w:rPr>
                <w:szCs w:val="24"/>
              </w:rPr>
              <w:t xml:space="preserve"> parodos, </w:t>
            </w:r>
            <w:r>
              <w:rPr>
                <w:szCs w:val="24"/>
              </w:rPr>
              <w:t>ir</w:t>
            </w:r>
            <w:r w:rsidRPr="003D08D9">
              <w:rPr>
                <w:szCs w:val="24"/>
              </w:rPr>
              <w:t xml:space="preserve"> verslo misijos) planuojami bent 5-6 mėnesius prieš renginį, rezervuojami stendai, sumokami avansai</w:t>
            </w:r>
            <w:r>
              <w:rPr>
                <w:szCs w:val="24"/>
              </w:rPr>
              <w:t>, derinami renginiai ir susitikimai su užsienio organizacijomis, planuojami B2B susitikimai kviečiant potencialius partnerius-užsienio kompanijas</w:t>
            </w:r>
            <w:r w:rsidRPr="003D08D9">
              <w:rPr>
                <w:szCs w:val="24"/>
              </w:rPr>
              <w:t xml:space="preserve">. Taigi praktiškai visi projekto renginiai jau yra suplanuoti ir pasirašytos sutartys su galutiniais naudos gavėjais dėl dalyvavimo juose. Sutartyse su galutiniais naudos gavėjais nurodyti konkretūs fiksuoti įkainiai pagal renginio tipą ir šalį (kaip buvo numatyta projekto sutartyje su </w:t>
            </w:r>
            <w:r>
              <w:rPr>
                <w:szCs w:val="24"/>
              </w:rPr>
              <w:t xml:space="preserve">VšĮ </w:t>
            </w:r>
            <w:r w:rsidRPr="003D08D9">
              <w:rPr>
                <w:szCs w:val="24"/>
              </w:rPr>
              <w:t xml:space="preserve">LVPA). </w:t>
            </w:r>
          </w:p>
          <w:p w14:paraId="175A9D2E" w14:textId="77777777" w:rsidR="007723B5" w:rsidRPr="003D08D9" w:rsidRDefault="007723B5" w:rsidP="00E85B2A">
            <w:pPr>
              <w:tabs>
                <w:tab w:val="left" w:pos="709"/>
              </w:tabs>
              <w:jc w:val="both"/>
              <w:rPr>
                <w:szCs w:val="24"/>
              </w:rPr>
            </w:pPr>
            <w:r w:rsidRPr="003D08D9">
              <w:rPr>
                <w:szCs w:val="24"/>
              </w:rPr>
              <w:t xml:space="preserve">Pakeitus finansavimo įkainius, galutiniai naudos gavėjai turėtų būti informuoti apie pasikeitusį finansavimą, sudarytos sutartys turėtų būti keičiamos. Netgi atskirų įkainių padidėjimo atveju, tektų mažinti kitas sutartyje numatytas išlaidas (bendra </w:t>
            </w:r>
            <w:r>
              <w:rPr>
                <w:szCs w:val="24"/>
              </w:rPr>
              <w:t>skirto biudžeto suma, numatyta sutartyje su LVPA</w:t>
            </w:r>
            <w:r w:rsidRPr="003D08D9">
              <w:rPr>
                <w:szCs w:val="24"/>
              </w:rPr>
              <w:t xml:space="preserve"> neturi keistis), arba mažinti renginių dalyvių, su kuriais jau pasirašytos sutartys, skaičių.</w:t>
            </w:r>
          </w:p>
          <w:p w14:paraId="0A4CAE61" w14:textId="77777777" w:rsidR="007723B5" w:rsidRPr="003D08D9" w:rsidRDefault="007723B5" w:rsidP="00E85B2A">
            <w:pPr>
              <w:tabs>
                <w:tab w:val="left" w:pos="709"/>
              </w:tabs>
              <w:jc w:val="both"/>
              <w:rPr>
                <w:szCs w:val="24"/>
              </w:rPr>
            </w:pPr>
            <w:r w:rsidRPr="003D08D9">
              <w:rPr>
                <w:szCs w:val="24"/>
              </w:rPr>
              <w:t xml:space="preserve">Finansavimo sumažėjimo atveju, galutiniai naudos gavėjai (įmonės) gali atsisakyti dalyvauti tarptautiniuose renginiuose, nors renginiai jau suplanuoti ir stendai ar bilietai jau rezervuoti. Tai sukeltų finansinius nuostolius projekto vykdytojui (kuris jau sumokėjęs avansus už parodų stendus, kelionės bilietus ir kt.). </w:t>
            </w:r>
          </w:p>
          <w:p w14:paraId="3ACA6959" w14:textId="77777777" w:rsidR="007723B5" w:rsidRPr="003D08D9" w:rsidRDefault="007723B5" w:rsidP="00E85B2A">
            <w:pPr>
              <w:tabs>
                <w:tab w:val="left" w:pos="709"/>
              </w:tabs>
              <w:jc w:val="both"/>
              <w:rPr>
                <w:szCs w:val="24"/>
              </w:rPr>
            </w:pPr>
            <w:r w:rsidRPr="003D08D9">
              <w:rPr>
                <w:szCs w:val="24"/>
              </w:rPr>
              <w:lastRenderedPageBreak/>
              <w:t>Nauji fiksuoti</w:t>
            </w:r>
            <w:r>
              <w:rPr>
                <w:szCs w:val="24"/>
              </w:rPr>
              <w:t>eji</w:t>
            </w:r>
            <w:r w:rsidRPr="003D08D9">
              <w:rPr>
                <w:szCs w:val="24"/>
              </w:rPr>
              <w:t xml:space="preserve"> įkainiai dažnai (ypač dalyvavimo parodose atveju) yra ir didesni už fiksuotus įkainius, numatytus projekto sutartyje. Kadangi biudžetas (projektui skirtos finansavimo išlaidos) yra fiksuotas dydis, iškyla grėsmė neįvykdyti projekto įsipareigoj</w:t>
            </w:r>
            <w:r>
              <w:rPr>
                <w:szCs w:val="24"/>
              </w:rPr>
              <w:t>imų (įgyvendinti visų renginių) ir pasiekti stebėsenos rodiklių bei iš esmės sugriauti projekto logiką. O</w:t>
            </w:r>
            <w:r w:rsidRPr="003D08D9">
              <w:rPr>
                <w:szCs w:val="24"/>
              </w:rPr>
              <w:t xml:space="preserve"> paskutin</w:t>
            </w:r>
            <w:r>
              <w:rPr>
                <w:szCs w:val="24"/>
              </w:rPr>
              <w:t>iams renginiams tiesiog galimai nebeliktų</w:t>
            </w:r>
            <w:r w:rsidRPr="003D08D9">
              <w:rPr>
                <w:szCs w:val="24"/>
              </w:rPr>
              <w:t xml:space="preserve"> </w:t>
            </w:r>
            <w:r>
              <w:rPr>
                <w:szCs w:val="24"/>
              </w:rPr>
              <w:t>biudžeto lėšų. Tai sukeltų</w:t>
            </w:r>
            <w:r w:rsidRPr="003D08D9">
              <w:rPr>
                <w:szCs w:val="24"/>
              </w:rPr>
              <w:t xml:space="preserve"> grėsmę neįvykdyti projekto įsipareigojimų sumažėjus tarptautinio renginio dalyvių skaičiui iki mažiau nei 5.</w:t>
            </w:r>
          </w:p>
          <w:p w14:paraId="02385852" w14:textId="77777777" w:rsidR="007723B5" w:rsidRPr="003D08D9" w:rsidRDefault="007723B5" w:rsidP="00E85B2A">
            <w:pPr>
              <w:tabs>
                <w:tab w:val="left" w:pos="709"/>
              </w:tabs>
              <w:jc w:val="both"/>
              <w:rPr>
                <w:szCs w:val="24"/>
              </w:rPr>
            </w:pPr>
            <w:r w:rsidRPr="003D08D9">
              <w:rPr>
                <w:szCs w:val="24"/>
              </w:rPr>
              <w:t>Rūmai atkreipia dėmesį, kad visose sutartyse yra toks punktas:</w:t>
            </w:r>
            <w:r>
              <w:rPr>
                <w:szCs w:val="24"/>
              </w:rPr>
              <w:t xml:space="preserve"> „</w:t>
            </w:r>
            <w:r w:rsidRPr="003D08D9">
              <w:rPr>
                <w:szCs w:val="24"/>
              </w:rPr>
              <w:t>3.12. Sutarties 3 priede nustatytieji fiksuotieji įkainiai ir fiksuotųjų įkainių dydžiai yra galutiniai ir jie negali keistis projekto įgyvendinimo metu</w:t>
            </w:r>
            <w:r>
              <w:rPr>
                <w:szCs w:val="24"/>
              </w:rPr>
              <w:t>“</w:t>
            </w:r>
            <w:r w:rsidRPr="003D08D9">
              <w:rPr>
                <w:szCs w:val="24"/>
              </w:rPr>
              <w:t>. Mūsų nuomone, tai yra esminė sutarčių nuostata, neleisianti keisti</w:t>
            </w:r>
            <w:r>
              <w:rPr>
                <w:szCs w:val="24"/>
              </w:rPr>
              <w:t xml:space="preserve"> </w:t>
            </w:r>
            <w:r w:rsidRPr="003D08D9">
              <w:rPr>
                <w:szCs w:val="24"/>
              </w:rPr>
              <w:t>įkaini</w:t>
            </w:r>
            <w:r>
              <w:rPr>
                <w:szCs w:val="24"/>
              </w:rPr>
              <w:t>ų</w:t>
            </w:r>
            <w:r w:rsidRPr="003D08D9">
              <w:rPr>
                <w:szCs w:val="24"/>
              </w:rPr>
              <w:t xml:space="preserve"> jau pasirašytoms sutartims.</w:t>
            </w:r>
          </w:p>
          <w:p w14:paraId="46A10539" w14:textId="77777777" w:rsidR="007723B5" w:rsidRPr="0038099D" w:rsidRDefault="007723B5" w:rsidP="001F58BC">
            <w:pPr>
              <w:tabs>
                <w:tab w:val="left" w:pos="709"/>
              </w:tabs>
              <w:jc w:val="both"/>
            </w:pPr>
            <w:r>
              <w:rPr>
                <w:szCs w:val="24"/>
              </w:rPr>
              <w:t>Vadovaudamiesi aukščiau išdėstytu ir siekdami sėkmingai įgyvendinti projektus, s</w:t>
            </w:r>
            <w:r w:rsidRPr="003D08D9">
              <w:rPr>
                <w:szCs w:val="24"/>
              </w:rPr>
              <w:t xml:space="preserve">iūlome naujus finansavimo įkainius taikyti </w:t>
            </w:r>
            <w:r>
              <w:rPr>
                <w:szCs w:val="24"/>
              </w:rPr>
              <w:t xml:space="preserve">tik </w:t>
            </w:r>
            <w:r w:rsidRPr="003D08D9">
              <w:rPr>
                <w:szCs w:val="24"/>
              </w:rPr>
              <w:t>naujiems kvietimams.</w:t>
            </w:r>
          </w:p>
        </w:tc>
        <w:tc>
          <w:tcPr>
            <w:tcW w:w="5528" w:type="dxa"/>
            <w:vMerge/>
          </w:tcPr>
          <w:p w14:paraId="2A5247D5" w14:textId="77777777" w:rsidR="007723B5" w:rsidRPr="0038099D" w:rsidRDefault="007723B5" w:rsidP="00335D39"/>
        </w:tc>
      </w:tr>
      <w:tr w:rsidR="00EC3A17" w:rsidRPr="00C70D14" w14:paraId="1340F332" w14:textId="77777777" w:rsidTr="00CB0032">
        <w:tc>
          <w:tcPr>
            <w:tcW w:w="567" w:type="dxa"/>
          </w:tcPr>
          <w:p w14:paraId="0FEC596B" w14:textId="77777777" w:rsidR="00EC3A17" w:rsidRPr="0038099D" w:rsidRDefault="00EC3A17" w:rsidP="0036662A">
            <w:pPr>
              <w:pStyle w:val="ListParagraph"/>
              <w:numPr>
                <w:ilvl w:val="0"/>
                <w:numId w:val="1"/>
              </w:numPr>
              <w:jc w:val="both"/>
            </w:pPr>
          </w:p>
        </w:tc>
        <w:tc>
          <w:tcPr>
            <w:tcW w:w="1985" w:type="dxa"/>
            <w:vMerge w:val="restart"/>
          </w:tcPr>
          <w:p w14:paraId="792F153D" w14:textId="77777777" w:rsidR="00EC3A17" w:rsidRPr="00232C76" w:rsidRDefault="00EC3A17" w:rsidP="00335D39">
            <w:pPr>
              <w:rPr>
                <w:b/>
              </w:rPr>
            </w:pPr>
            <w:r w:rsidRPr="00232C76">
              <w:rPr>
                <w:b/>
                <w:szCs w:val="24"/>
              </w:rPr>
              <w:t>Lietuvos verslo konfederacija</w:t>
            </w:r>
          </w:p>
        </w:tc>
        <w:tc>
          <w:tcPr>
            <w:tcW w:w="6833" w:type="dxa"/>
          </w:tcPr>
          <w:p w14:paraId="1E4ECE48" w14:textId="77777777" w:rsidR="00EC3A17" w:rsidRPr="0059479F" w:rsidRDefault="00EC3A17" w:rsidP="0059479F">
            <w:pPr>
              <w:pStyle w:val="ListParagraph"/>
              <w:numPr>
                <w:ilvl w:val="0"/>
                <w:numId w:val="8"/>
              </w:numPr>
              <w:tabs>
                <w:tab w:val="left" w:pos="460"/>
              </w:tabs>
              <w:ind w:left="33" w:firstLine="0"/>
              <w:jc w:val="both"/>
              <w:rPr>
                <w:rFonts w:eastAsia="Calibri"/>
              </w:rPr>
            </w:pPr>
            <w:r>
              <w:t xml:space="preserve">Keičiamas Aprašo </w:t>
            </w:r>
            <w:r w:rsidR="00D809D0">
              <w:t>13</w:t>
            </w:r>
            <w:r>
              <w:t xml:space="preserve"> punktas:</w:t>
            </w:r>
            <w:r w:rsidRPr="005A3099">
              <w:t xml:space="preserve"> </w:t>
            </w:r>
            <w:r>
              <w:t>„</w:t>
            </w:r>
            <w:r w:rsidRPr="0059479F">
              <w:rPr>
                <w:rFonts w:eastAsia="Calibri"/>
              </w:rPr>
              <w:t xml:space="preserve">Kiekvieną MVĮ tarptautinėje parodoje, mugėje ar verslo misijoje turi atstovauti skirtingi atstovai, kurie negali būti projekto vykdytojo atstovais (jei tarptautinėje parodoje, mugėje ar verslo misijoje dalyvauja penkios MVĮ, tai turi vykti ne mažiau negu penki šių MVĮ atstovai, </w:t>
            </w:r>
            <w:r w:rsidRPr="0059479F">
              <w:rPr>
                <w:rFonts w:eastAsia="Calibri"/>
                <w:b/>
              </w:rPr>
              <w:t>kurie turi būti MVĮ darbuotojais</w:t>
            </w:r>
            <w:r w:rsidRPr="0059479F">
              <w:rPr>
                <w:rFonts w:eastAsia="Calibri"/>
              </w:rPr>
              <w:t>). Vienas darbuotojas tos pačios tarptautinės parodos, mugės ar verslo misijos metu negali atstovauti daugiau nei vienos MVĮ. Projekto vykdytojo atstovas gali vykti kaip kelionės organizatorius – lydintis asmuo“.</w:t>
            </w:r>
          </w:p>
          <w:p w14:paraId="504C6337" w14:textId="77777777" w:rsidR="00EC3A17" w:rsidRPr="005A3099" w:rsidRDefault="00EC3A17" w:rsidP="00232C76">
            <w:pPr>
              <w:jc w:val="both"/>
            </w:pPr>
            <w:r w:rsidRPr="005A3099">
              <w:t>Atsižvelgiant į tai, kad projekte vykstantys renginiai suplanuoti</w:t>
            </w:r>
            <w:r>
              <w:t xml:space="preserve"> mažiausiai</w:t>
            </w:r>
            <w:r w:rsidRPr="005A3099">
              <w:t xml:space="preserve"> pusmečiui į priekį (nupirkti lėktuvo bilietai, apgyvendinimas, parodų bilietai), o pagal ankstesnę praktiką galutinis naudos gavėjas nuo savęs galėjo deleguoti nebūtinai darbo santykiais susijusį asmenį, bet ir atstovą – asmenį, kuris nėra LR darbo kodekso pagrindais susijęs su įmone darbo santykiais, tačiau atstovavimo sutarties pagrindu atstovauja</w:t>
            </w:r>
            <w:r>
              <w:t xml:space="preserve"> įmonę ir veikia jos interesais, tokie galutiniai naudos gavėjai su deleguojamais atstovais buvo vertinami </w:t>
            </w:r>
            <w:r>
              <w:lastRenderedPageBreak/>
              <w:t>kaip atitinkantys projekto kriterijus. Be to, galutinius naudos gavėjus dažnai atstovauja akcininkai, MB atveju – vadovai, kurie nėra darbo santykiais susiję su įmone.</w:t>
            </w:r>
          </w:p>
          <w:p w14:paraId="1D8724A0" w14:textId="77777777" w:rsidR="00EC3A17" w:rsidRPr="00C70D14" w:rsidRDefault="00EC3A17" w:rsidP="000B7997">
            <w:pPr>
              <w:jc w:val="both"/>
            </w:pPr>
            <w:r w:rsidRPr="005A3099">
              <w:t xml:space="preserve">Lietuvos verslo paramos agentūros buvo raštu paaiškinta, jog galutinio naudos gavėjo atstovas (ne darbuotojas) yra tinkamas verslo misijos dalyvis, todėl nesibaiminant, jog </w:t>
            </w:r>
            <w:r>
              <w:t>teisės aktas</w:t>
            </w:r>
            <w:r w:rsidRPr="005A3099">
              <w:t xml:space="preserve"> gali pradėti galioti atgal, tokie atstovai buvo priimti į projektą. Atsižvelgiant į tai, kad nemaža dalis bilietų (o tai sudaro didesnę dalį verslo misijos kaštų) šia</w:t>
            </w:r>
            <w:r>
              <w:t>i dienai jau išpirkta, prašytume šią nuostatą taikyti tik naujiems šios Priemonės projektams arba dar nesuplanuotiems šio projekto renginiams.</w:t>
            </w:r>
          </w:p>
        </w:tc>
        <w:tc>
          <w:tcPr>
            <w:tcW w:w="5528" w:type="dxa"/>
          </w:tcPr>
          <w:p w14:paraId="6494DA53" w14:textId="77777777" w:rsidR="00EC3A17" w:rsidRDefault="00EC3A17" w:rsidP="00335D39">
            <w:r>
              <w:lastRenderedPageBreak/>
              <w:t>Neatsižvelgta.</w:t>
            </w:r>
          </w:p>
          <w:p w14:paraId="3D8897F1" w14:textId="77777777" w:rsidR="00EC3A17" w:rsidRDefault="00EC3A17" w:rsidP="00B51869">
            <w:pPr>
              <w:tabs>
                <w:tab w:val="left" w:pos="9356"/>
              </w:tabs>
              <w:ind w:right="65"/>
              <w:jc w:val="both"/>
              <w:rPr>
                <w:szCs w:val="24"/>
              </w:rPr>
            </w:pPr>
            <w:r>
              <w:rPr>
                <w:szCs w:val="24"/>
              </w:rPr>
              <w:t>Grupinio d</w:t>
            </w:r>
            <w:r w:rsidRPr="0058338E">
              <w:rPr>
                <w:szCs w:val="24"/>
              </w:rPr>
              <w:t xml:space="preserve">alyvavimo tarptautinėse parodose </w:t>
            </w:r>
            <w:r>
              <w:rPr>
                <w:szCs w:val="24"/>
              </w:rPr>
              <w:t>ir mugėse f</w:t>
            </w:r>
            <w:r w:rsidRPr="0058338E">
              <w:rPr>
                <w:szCs w:val="24"/>
              </w:rPr>
              <w:t xml:space="preserve">iksuotojo įkainio </w:t>
            </w:r>
            <w:r>
              <w:rPr>
                <w:szCs w:val="24"/>
              </w:rPr>
              <w:t xml:space="preserve">(toliau – fiksuotasis įkainis) </w:t>
            </w:r>
            <w:r w:rsidRPr="0058338E">
              <w:rPr>
                <w:szCs w:val="24"/>
              </w:rPr>
              <w:t xml:space="preserve">dydžio skaičiavimui buvo naudoti duomenys </w:t>
            </w:r>
            <w:r>
              <w:rPr>
                <w:szCs w:val="24"/>
              </w:rPr>
              <w:t>apie šį</w:t>
            </w:r>
            <w:r w:rsidRPr="0058338E">
              <w:rPr>
                <w:szCs w:val="24"/>
              </w:rPr>
              <w:t xml:space="preserve"> iš</w:t>
            </w:r>
            <w:r>
              <w:rPr>
                <w:szCs w:val="24"/>
              </w:rPr>
              <w:t>laidų tipą – vieno p</w:t>
            </w:r>
            <w:r w:rsidRPr="00C76006">
              <w:rPr>
                <w:szCs w:val="24"/>
              </w:rPr>
              <w:t xml:space="preserve">arodos </w:t>
            </w:r>
            <w:r>
              <w:rPr>
                <w:szCs w:val="24"/>
              </w:rPr>
              <w:t xml:space="preserve">ar mugės </w:t>
            </w:r>
            <w:r w:rsidRPr="00C76006">
              <w:rPr>
                <w:szCs w:val="24"/>
              </w:rPr>
              <w:t>dalyvi</w:t>
            </w:r>
            <w:r>
              <w:rPr>
                <w:szCs w:val="24"/>
              </w:rPr>
              <w:t>o</w:t>
            </w:r>
            <w:r w:rsidRPr="00C76006">
              <w:rPr>
                <w:szCs w:val="24"/>
              </w:rPr>
              <w:t xml:space="preserve"> kelionės</w:t>
            </w:r>
            <w:r>
              <w:rPr>
                <w:szCs w:val="24"/>
              </w:rPr>
              <w:t xml:space="preserve">, </w:t>
            </w:r>
            <w:r w:rsidRPr="00C76006">
              <w:rPr>
                <w:szCs w:val="24"/>
              </w:rPr>
              <w:t>apgyvendinimo</w:t>
            </w:r>
            <w:r>
              <w:rPr>
                <w:szCs w:val="24"/>
              </w:rPr>
              <w:t xml:space="preserve"> ir dienpinigių</w:t>
            </w:r>
            <w:r w:rsidRPr="00C76006">
              <w:rPr>
                <w:szCs w:val="24"/>
              </w:rPr>
              <w:t xml:space="preserve"> išlaidos.</w:t>
            </w:r>
            <w:r>
              <w:rPr>
                <w:szCs w:val="24"/>
              </w:rPr>
              <w:t xml:space="preserve"> </w:t>
            </w:r>
            <w:r w:rsidRPr="0058338E">
              <w:rPr>
                <w:szCs w:val="24"/>
              </w:rPr>
              <w:t>Apgyvendinimo</w:t>
            </w:r>
            <w:r>
              <w:rPr>
                <w:szCs w:val="24"/>
              </w:rPr>
              <w:t xml:space="preserve"> ir dienpinigių</w:t>
            </w:r>
            <w:r w:rsidRPr="0058338E">
              <w:rPr>
                <w:szCs w:val="24"/>
              </w:rPr>
              <w:t xml:space="preserve"> išlaidos </w:t>
            </w:r>
            <w:r>
              <w:rPr>
                <w:szCs w:val="24"/>
              </w:rPr>
              <w:t xml:space="preserve">buvo </w:t>
            </w:r>
            <w:r w:rsidRPr="0058338E">
              <w:rPr>
                <w:szCs w:val="24"/>
              </w:rPr>
              <w:t xml:space="preserve">nustatytos </w:t>
            </w:r>
            <w:r>
              <w:rPr>
                <w:szCs w:val="24"/>
              </w:rPr>
              <w:t>pagal Lietuvos Respublikos Vyriausybės 2004 m. balandžio 29 d. nutarimą Nr. 526 „D</w:t>
            </w:r>
            <w:r w:rsidRPr="00EC7995">
              <w:rPr>
                <w:szCs w:val="24"/>
              </w:rPr>
              <w:t>ėl dienpinigių ir kitų tarnybinių k</w:t>
            </w:r>
            <w:r>
              <w:rPr>
                <w:szCs w:val="24"/>
              </w:rPr>
              <w:t xml:space="preserve">omandiruočių išlaidų apmokėjimo“ ir pagal Lietuvos Respublikos finansų ministerijos </w:t>
            </w:r>
            <w:r w:rsidRPr="00B0152B">
              <w:rPr>
                <w:szCs w:val="24"/>
              </w:rPr>
              <w:t>Apgyvendinimo užsienio valstybėse išlaidų fiksuotųjų įkainių nustatymo tyrimo ataskait</w:t>
            </w:r>
            <w:r>
              <w:rPr>
                <w:szCs w:val="24"/>
              </w:rPr>
              <w:t xml:space="preserve">ą. </w:t>
            </w:r>
          </w:p>
          <w:p w14:paraId="3C39C0B5" w14:textId="77777777" w:rsidR="00EC3A17" w:rsidRDefault="00EC3A17" w:rsidP="000F0406">
            <w:pPr>
              <w:tabs>
                <w:tab w:val="left" w:pos="9356"/>
              </w:tabs>
              <w:ind w:right="65"/>
              <w:jc w:val="both"/>
            </w:pPr>
            <w:r>
              <w:rPr>
                <w:szCs w:val="24"/>
              </w:rPr>
              <w:t xml:space="preserve">Pažymėtina, kad </w:t>
            </w:r>
            <w:r>
              <w:t xml:space="preserve">Dienpinigių mokėjimo tvarkos apraše, patvirtintame </w:t>
            </w:r>
            <w:r>
              <w:rPr>
                <w:lang w:eastAsia="ar-SA"/>
              </w:rPr>
              <w:t xml:space="preserve">Lietuvos Respublikos Vyriausybės </w:t>
            </w:r>
            <w:r>
              <w:t xml:space="preserve">2017 m. birželio 28 d. </w:t>
            </w:r>
            <w:r>
              <w:rPr>
                <w:lang w:eastAsia="ar-SA"/>
              </w:rPr>
              <w:t xml:space="preserve">nutarimu </w:t>
            </w:r>
            <w:r>
              <w:t xml:space="preserve">Nr. 526, nustatoma dienpinigių į komandiruotę vykstančiam </w:t>
            </w:r>
            <w:r>
              <w:lastRenderedPageBreak/>
              <w:t xml:space="preserve">valstybės politikui arba valstybės pareigūnui, arba teisėjui, arba valstybės tarnautojui, arba </w:t>
            </w:r>
            <w:r w:rsidRPr="000F0406">
              <w:rPr>
                <w:b/>
              </w:rPr>
              <w:t>darbuotojui, dirbančiam pagal darbo sutartį</w:t>
            </w:r>
            <w:r>
              <w:t xml:space="preserve"> (toliau kartu – darbuotojas), mokėjimo tvarka.</w:t>
            </w:r>
          </w:p>
          <w:p w14:paraId="0EA2B686" w14:textId="77777777" w:rsidR="00EC3A17" w:rsidRPr="00C70D14" w:rsidRDefault="00EC3A17" w:rsidP="000F0406">
            <w:pPr>
              <w:tabs>
                <w:tab w:val="left" w:pos="9356"/>
              </w:tabs>
              <w:ind w:right="65"/>
              <w:jc w:val="both"/>
            </w:pPr>
            <w:r>
              <w:t xml:space="preserve">Taigi, atsižvelgiant į tai, kad viena iš fiksuotojo įkainio sudedamųjų dalių yra </w:t>
            </w:r>
            <w:r>
              <w:rPr>
                <w:szCs w:val="24"/>
              </w:rPr>
              <w:t>vieno p</w:t>
            </w:r>
            <w:r w:rsidRPr="00C76006">
              <w:rPr>
                <w:szCs w:val="24"/>
              </w:rPr>
              <w:t xml:space="preserve">arodos </w:t>
            </w:r>
            <w:r>
              <w:rPr>
                <w:szCs w:val="24"/>
              </w:rPr>
              <w:t xml:space="preserve">ar mugės </w:t>
            </w:r>
            <w:r w:rsidRPr="00C76006">
              <w:rPr>
                <w:szCs w:val="24"/>
              </w:rPr>
              <w:t>dalyvi</w:t>
            </w:r>
            <w:r>
              <w:rPr>
                <w:szCs w:val="24"/>
              </w:rPr>
              <w:t>o</w:t>
            </w:r>
            <w:r w:rsidRPr="00C76006">
              <w:rPr>
                <w:szCs w:val="24"/>
              </w:rPr>
              <w:t xml:space="preserve"> kelionės</w:t>
            </w:r>
            <w:r>
              <w:rPr>
                <w:szCs w:val="24"/>
              </w:rPr>
              <w:t xml:space="preserve">, </w:t>
            </w:r>
            <w:r w:rsidRPr="00C76006">
              <w:rPr>
                <w:szCs w:val="24"/>
              </w:rPr>
              <w:t>apgyvendinimo</w:t>
            </w:r>
            <w:r>
              <w:rPr>
                <w:szCs w:val="24"/>
              </w:rPr>
              <w:t xml:space="preserve"> ir dienpinigių</w:t>
            </w:r>
            <w:r w:rsidRPr="00C76006">
              <w:rPr>
                <w:szCs w:val="24"/>
              </w:rPr>
              <w:t xml:space="preserve"> išlaidos</w:t>
            </w:r>
            <w:r>
              <w:rPr>
                <w:szCs w:val="24"/>
              </w:rPr>
              <w:t xml:space="preserve">, o dienpinigių išlaidoms apskaičiuoti taikomas </w:t>
            </w:r>
            <w:r>
              <w:t>Dienpinigių mokėjimo tvarkos aprašas, kuriuo nustatoma dienpinigių mokėjimo tvarka tik dirbantiems pagal darbo sutartį darbuotojams, dalyvauti tarptautinėse parodose, mugėse gali tik MVĮ atstovai, kurie yra MVĮ darbuotojai.</w:t>
            </w:r>
          </w:p>
        </w:tc>
      </w:tr>
      <w:tr w:rsidR="00EC3A17" w:rsidRPr="00C70D14" w14:paraId="4EB79807" w14:textId="77777777" w:rsidTr="00CB0032">
        <w:tc>
          <w:tcPr>
            <w:tcW w:w="567" w:type="dxa"/>
          </w:tcPr>
          <w:p w14:paraId="3DBE87B3" w14:textId="77777777" w:rsidR="00EC3A17" w:rsidRPr="0038099D" w:rsidRDefault="00EC3A17" w:rsidP="0036662A">
            <w:pPr>
              <w:pStyle w:val="ListParagraph"/>
              <w:numPr>
                <w:ilvl w:val="0"/>
                <w:numId w:val="1"/>
              </w:numPr>
              <w:jc w:val="both"/>
            </w:pPr>
          </w:p>
        </w:tc>
        <w:tc>
          <w:tcPr>
            <w:tcW w:w="1985" w:type="dxa"/>
            <w:vMerge/>
          </w:tcPr>
          <w:p w14:paraId="5168C341" w14:textId="77777777" w:rsidR="00EC3A17" w:rsidRPr="00232C76" w:rsidRDefault="00EC3A17" w:rsidP="00335D39">
            <w:pPr>
              <w:rPr>
                <w:b/>
                <w:szCs w:val="24"/>
              </w:rPr>
            </w:pPr>
          </w:p>
        </w:tc>
        <w:tc>
          <w:tcPr>
            <w:tcW w:w="6833" w:type="dxa"/>
          </w:tcPr>
          <w:p w14:paraId="3B177DAA" w14:textId="77777777" w:rsidR="00EC3A17" w:rsidRDefault="00EC3A17" w:rsidP="0059479F">
            <w:pPr>
              <w:pStyle w:val="ListParagraph"/>
              <w:numPr>
                <w:ilvl w:val="0"/>
                <w:numId w:val="8"/>
              </w:numPr>
              <w:tabs>
                <w:tab w:val="left" w:pos="441"/>
              </w:tabs>
              <w:ind w:left="33" w:firstLine="0"/>
              <w:jc w:val="both"/>
            </w:pPr>
            <w:r>
              <w:t>Keičiamas Aprašo 44 punktas: „</w:t>
            </w:r>
            <w:r w:rsidRPr="008E324D">
              <w:t>Įgyvendinant projekto veiklas patirtos žemiau išvardytos dalyvavimo tarptautinėse parodose, mugėse ir verslo misijose išlaidos apmokamos</w:t>
            </w:r>
            <w:r>
              <w:t xml:space="preserve"> taikant fiksuotuosius įkainius“.</w:t>
            </w:r>
          </w:p>
          <w:p w14:paraId="0F3CAF90" w14:textId="77777777" w:rsidR="00EC3A17" w:rsidRDefault="00EC3A17" w:rsidP="0093691E">
            <w:pPr>
              <w:jc w:val="both"/>
            </w:pPr>
            <w:r>
              <w:t xml:space="preserve">Teigiama, jog Europos Komisija </w:t>
            </w:r>
            <w:r w:rsidRPr="008E324D">
              <w:t>Finansų ministerijai, kaip Veiksmų programos</w:t>
            </w:r>
            <w:r>
              <w:t xml:space="preserve"> vadovaujančiajai institucijai pateikė</w:t>
            </w:r>
            <w:r w:rsidRPr="008E324D">
              <w:t xml:space="preserve"> galutinę </w:t>
            </w:r>
            <w:r>
              <w:t xml:space="preserve">Europos Komisijos </w:t>
            </w:r>
            <w:r w:rsidRPr="008E324D">
              <w:rPr>
                <w:b/>
              </w:rPr>
              <w:t>2016 m. gruodžio 5–16 d.</w:t>
            </w:r>
            <w:r>
              <w:t xml:space="preserve"> atlikto Veiksmų programos</w:t>
            </w:r>
            <w:r w:rsidRPr="008E324D">
              <w:t xml:space="preserve"> jungtinio audito Nr. REGC2214LT0049 ataskaitą</w:t>
            </w:r>
            <w:r>
              <w:t xml:space="preserve">. Atkreipiamas dėmesys, jog dabar galiojančio PFSA redakcija buvo patvirtinta </w:t>
            </w:r>
            <w:r w:rsidRPr="005C0502">
              <w:rPr>
                <w:b/>
              </w:rPr>
              <w:t>2017 m. gruodžio 29 d.</w:t>
            </w:r>
            <w:r>
              <w:t xml:space="preserve"> su iki šiol galiojusiais įkainiais, todėl jau PFSA formavimo metu turėjo būti žinomos tokios audito išvados, kurios būtų turėjusios ir turės (jei bus priimtas pakeitimas) lemiamą įtaką projekto finansavimui bei rodiklių pasiekimui.</w:t>
            </w:r>
          </w:p>
          <w:p w14:paraId="2627E1C2" w14:textId="77777777" w:rsidR="00EC3A17" w:rsidRDefault="00EC3A17" w:rsidP="00C66A60">
            <w:pPr>
              <w:jc w:val="both"/>
            </w:pPr>
            <w:r>
              <w:t>Kaip ir minėta ankstesniame punkte, renginiai suplanuoti mažiausiai</w:t>
            </w:r>
            <w:r w:rsidRPr="005A3099">
              <w:t xml:space="preserve"> pusmečiui į priekį</w:t>
            </w:r>
            <w:r>
              <w:t>, tai atitinkamai reiškia, jog ir pinigai išleisti pagal galiojančius fiksuotus įkainius.</w:t>
            </w:r>
          </w:p>
          <w:p w14:paraId="630C9D07" w14:textId="77777777" w:rsidR="00EC3A17" w:rsidRDefault="00EC3A17" w:rsidP="009A06C9">
            <w:pPr>
              <w:jc w:val="both"/>
            </w:pPr>
            <w:r>
              <w:t xml:space="preserve">Norime atkreipti dėmesį, jog šios Priemonės projektai bus pabaigti per kelis artimiausius mėnesius, todėl dabar iškraipyti suplanuotą biudžetą neracionalu, juolab, kad biudžetas paskaičiuotas ir išdėstytas </w:t>
            </w:r>
            <w:r>
              <w:lastRenderedPageBreak/>
              <w:t>taip, kad būtų pasiekti tiek rodikliai (renginių ir galutinių naudos gavėjų skaičius), tiek ES skiriamos paramos dydis.</w:t>
            </w:r>
          </w:p>
          <w:p w14:paraId="75F0EF4E" w14:textId="77777777" w:rsidR="00EC3A17" w:rsidRDefault="00EC3A17" w:rsidP="009A06C9">
            <w:pPr>
              <w:jc w:val="both"/>
            </w:pPr>
            <w:r>
              <w:t>Šiuo atveju pareiškėjų atžvilgiu pažeidžiamas vienas esminių t</w:t>
            </w:r>
            <w:r w:rsidRPr="000C134D">
              <w:t>eisės princip</w:t>
            </w:r>
            <w:r>
              <w:t>ų</w:t>
            </w:r>
            <w:r w:rsidRPr="000C134D">
              <w:t xml:space="preserve"> </w:t>
            </w:r>
            <w:r w:rsidRPr="000C134D">
              <w:rPr>
                <w:i/>
              </w:rPr>
              <w:t>lex retro non agit</w:t>
            </w:r>
            <w:r>
              <w:rPr>
                <w:i/>
              </w:rPr>
              <w:t xml:space="preserve">. </w:t>
            </w:r>
            <w:r w:rsidRPr="000C134D">
              <w:t xml:space="preserve">Nors </w:t>
            </w:r>
            <w:r>
              <w:t>š</w:t>
            </w:r>
            <w:r w:rsidRPr="000C134D">
              <w:t xml:space="preserve">iuo principu siekiama užtikrinti teisinio reguliavimo bei </w:t>
            </w:r>
            <w:r>
              <w:t xml:space="preserve">asmenų teisinio statuso aiškumą bei stabilumą, tačiau iš to išplaukia išvada, kad pakeitus PFSA, </w:t>
            </w:r>
            <w:r w:rsidRPr="000C134D">
              <w:t xml:space="preserve">teisės normos </w:t>
            </w:r>
            <w:r>
              <w:t xml:space="preserve">bus </w:t>
            </w:r>
            <w:r w:rsidRPr="000C134D">
              <w:t>taikomos juridiniams faktams, įvykusi</w:t>
            </w:r>
            <w:r>
              <w:t>ems dar iki šio akto įsigaliojimo.</w:t>
            </w:r>
          </w:p>
        </w:tc>
        <w:tc>
          <w:tcPr>
            <w:tcW w:w="5528" w:type="dxa"/>
          </w:tcPr>
          <w:p w14:paraId="37197467" w14:textId="77777777" w:rsidR="00EC3A17" w:rsidRDefault="00EC3A17" w:rsidP="00375B81">
            <w:pPr>
              <w:jc w:val="both"/>
            </w:pPr>
            <w:r>
              <w:lastRenderedPageBreak/>
              <w:t>Neatsižvelgta.</w:t>
            </w:r>
          </w:p>
          <w:p w14:paraId="66937100" w14:textId="72BB131C" w:rsidR="00EC3A17" w:rsidRDefault="00EC3A17" w:rsidP="00375B81">
            <w:pPr>
              <w:jc w:val="both"/>
            </w:pPr>
            <w:r>
              <w:t xml:space="preserve">Pažymime, kad Aprašo keitimai atliekami, gavus ne Europos Komisijos </w:t>
            </w:r>
            <w:r w:rsidRPr="008E324D">
              <w:t xml:space="preserve">audito </w:t>
            </w:r>
            <w:r>
              <w:t>a</w:t>
            </w:r>
            <w:r w:rsidRPr="008E324D">
              <w:t>taskaitą</w:t>
            </w:r>
            <w:r>
              <w:t xml:space="preserve">, </w:t>
            </w:r>
            <w:r w:rsidR="004B65D4">
              <w:t xml:space="preserve">o </w:t>
            </w:r>
            <w:r w:rsidRPr="00AF0010">
              <w:rPr>
                <w:b/>
              </w:rPr>
              <w:t>LR valstybės kontrolės</w:t>
            </w:r>
            <w:r>
              <w:t xml:space="preserve"> Europos Sąjungos investicijų audito departamento tarpinius audito rezultatus ir vadovaujančiosios institucijos – </w:t>
            </w:r>
            <w:r w:rsidRPr="00AF0010">
              <w:rPr>
                <w:b/>
              </w:rPr>
              <w:t>Finansų ministerijos raštišką nurodymą</w:t>
            </w:r>
            <w:r>
              <w:t> atlikti Aprašo pakeitimus, vadovaujantis Projektų administravimo ir finansavimo taisyklių</w:t>
            </w:r>
            <w:r>
              <w:rPr>
                <w:rStyle w:val="FootnoteReference"/>
              </w:rPr>
              <w:footnoteReference w:customMarkFollows="1" w:id="2"/>
              <w:t>[1]</w:t>
            </w:r>
            <w:r>
              <w:t xml:space="preserve"> 428</w:t>
            </w:r>
            <w:r>
              <w:rPr>
                <w:vertAlign w:val="superscript"/>
              </w:rPr>
              <w:t>1</w:t>
            </w:r>
            <w:r>
              <w:t xml:space="preserve"> punkto nuostatomis, teigiančiomis, kad supaprastintai apmokamų išlaidų dydžiai, jų taikymo sąlygos (įskaitant galimybę juos keisti sudarius projekto sutartį) yra nustatomi projektų finansavimo sąlygų apraše (arba dokumente, kuriuo apraše nurodyta vadovautis), o </w:t>
            </w:r>
            <w:r w:rsidR="00571296">
              <w:t>vadovaujančiai institucijai</w:t>
            </w:r>
            <w:r>
              <w:t xml:space="preserve"> arba </w:t>
            </w:r>
            <w:r w:rsidR="00571296">
              <w:t>a</w:t>
            </w:r>
            <w:r>
              <w:t xml:space="preserve">udito institucijai nustačius, kad supaprastintai apmokamų išlaidų dydis ar jo taikymo sąlygos buvo netinkamai nustatyti (tais atvejais, kai dydis turėjo būti mažesnis arba kitaip taikomas), patikslintas dydis ar jo taikymo sąlygos turi būti taikomi jau įgyvendinamų projektų </w:t>
            </w:r>
            <w:r>
              <w:lastRenderedPageBreak/>
              <w:t>veiksmų, vykdomų nuo dydžio ar jo taikymo sąlygų patikslinimo įsigaliojimo dienos, išlaidoms apmokėti.</w:t>
            </w:r>
          </w:p>
          <w:p w14:paraId="4163082F" w14:textId="77777777" w:rsidR="00EC3A17" w:rsidRDefault="00EC3A17" w:rsidP="00375B81">
            <w:pPr>
              <w:jc w:val="both"/>
            </w:pPr>
            <w:r>
              <w:t xml:space="preserve">Informuojame, kad Aprašo keitimas oficialiu raštu išsiųstas derinti vadovaujančiajai institucijai – Finansų ministerijai, tačiau atsakymas dar negautas. </w:t>
            </w:r>
          </w:p>
          <w:p w14:paraId="0F3DBE3B" w14:textId="77777777" w:rsidR="00EC3A17" w:rsidRDefault="00EC3A17" w:rsidP="00AF0010">
            <w:pPr>
              <w:jc w:val="both"/>
            </w:pPr>
          </w:p>
        </w:tc>
      </w:tr>
      <w:tr w:rsidR="00F65461" w:rsidRPr="00C70D14" w14:paraId="144F55F2" w14:textId="77777777" w:rsidTr="00CB0032">
        <w:tc>
          <w:tcPr>
            <w:tcW w:w="567" w:type="dxa"/>
          </w:tcPr>
          <w:p w14:paraId="74502007" w14:textId="77777777" w:rsidR="00F65461" w:rsidRPr="0038099D" w:rsidRDefault="00F65461" w:rsidP="0036662A">
            <w:pPr>
              <w:pStyle w:val="ListParagraph"/>
              <w:numPr>
                <w:ilvl w:val="0"/>
                <w:numId w:val="1"/>
              </w:numPr>
              <w:jc w:val="both"/>
            </w:pPr>
          </w:p>
        </w:tc>
        <w:tc>
          <w:tcPr>
            <w:tcW w:w="1985" w:type="dxa"/>
          </w:tcPr>
          <w:p w14:paraId="40E9A46E" w14:textId="77777777" w:rsidR="00F65461" w:rsidRPr="00232C76" w:rsidRDefault="00F65461" w:rsidP="00335D39">
            <w:pPr>
              <w:rPr>
                <w:b/>
                <w:szCs w:val="24"/>
              </w:rPr>
            </w:pPr>
            <w:r>
              <w:rPr>
                <w:b/>
                <w:szCs w:val="24"/>
              </w:rPr>
              <w:t>Asociacija Infobalt</w:t>
            </w:r>
          </w:p>
        </w:tc>
        <w:tc>
          <w:tcPr>
            <w:tcW w:w="6833" w:type="dxa"/>
          </w:tcPr>
          <w:p w14:paraId="5E55DB6A" w14:textId="77777777" w:rsidR="00F65461" w:rsidRDefault="00F65461" w:rsidP="00CE1B92">
            <w:pPr>
              <w:pStyle w:val="ListParagraph"/>
              <w:numPr>
                <w:ilvl w:val="0"/>
                <w:numId w:val="4"/>
              </w:numPr>
              <w:tabs>
                <w:tab w:val="left" w:pos="553"/>
              </w:tabs>
              <w:ind w:left="201" w:hanging="142"/>
              <w:jc w:val="both"/>
            </w:pPr>
            <w:r w:rsidRPr="00CE1B92">
              <w:t>Naudos gavėjo vienos įmonės deklaraciją ir SVV deklaraciją teikti tik vieną kartą, t.</w:t>
            </w:r>
            <w:r w:rsidR="00CE1B92" w:rsidRPr="00CE1B92">
              <w:t xml:space="preserve"> </w:t>
            </w:r>
            <w:r w:rsidRPr="00CE1B92">
              <w:t>y. kai įmonė yra įtraukiama į projektą. Kaip ir turėjo taip būti, tačiau vis tiek teikiame ki</w:t>
            </w:r>
            <w:r w:rsidR="00CE1B92">
              <w:t>ekvienais kalendoriniais metais;</w:t>
            </w:r>
          </w:p>
          <w:p w14:paraId="1ECF47FA" w14:textId="77777777" w:rsidR="00CE1B92" w:rsidRPr="00CE1B92" w:rsidRDefault="00CE1B92" w:rsidP="00CE1B92">
            <w:pPr>
              <w:numPr>
                <w:ilvl w:val="0"/>
                <w:numId w:val="4"/>
              </w:numPr>
              <w:tabs>
                <w:tab w:val="left" w:pos="553"/>
              </w:tabs>
              <w:ind w:left="201" w:hanging="142"/>
              <w:jc w:val="both"/>
            </w:pPr>
            <w:r w:rsidRPr="00CE1B92">
              <w:t>Jei vis dėlto to nebūtų galima to pakeisti ir minėtas deklaracijas privaloma teikti kasmet, tai padaryti perėjimo periodą. Pvz.</w:t>
            </w:r>
            <w:r w:rsidR="00571296">
              <w:t>,</w:t>
            </w:r>
            <w:r w:rsidRPr="00CE1B92">
              <w:t xml:space="preserve"> jei misija yra sausio mėnesį, tai fiziškai nėra įmanoma turėti tikslių duomenų už praėjusius metus ir gebėti nustatyti rodiklius, pagal kuriuos sprendžiama</w:t>
            </w:r>
            <w:r>
              <w:t>,</w:t>
            </w:r>
            <w:r w:rsidRPr="00CE1B92">
              <w:t xml:space="preserve"> ar įmonė gali dalyvauti projekte. Įmonių buhalterija tuo metu yra užsiėmusi metinėmis deklaracijoms ar kitais darbais ir neskaičiuoja įmonės pelnų ar kitų duomenų, todėl kartais yra rizikuojama, kad misija nebus patvirtina, nes įmonė nebeatitiks sąlygų. Ypač, jei į misiją važiuoja 5 įmonės. Būtų labai gerai, kad būtų numatyta, jog iki balandžio 1 d. įmonės gali važiuoti į misijas ir būtų vertinamos pagal užpraėjusių metų duomenis arba kitaip išvengiama ši rizika.</w:t>
            </w:r>
          </w:p>
        </w:tc>
        <w:tc>
          <w:tcPr>
            <w:tcW w:w="5528" w:type="dxa"/>
          </w:tcPr>
          <w:p w14:paraId="11090CD4" w14:textId="77777777" w:rsidR="00B16CC9" w:rsidRDefault="00C04212" w:rsidP="009A3A82">
            <w:pPr>
              <w:suppressAutoHyphens/>
              <w:jc w:val="both"/>
              <w:textAlignment w:val="center"/>
              <w:rPr>
                <w:szCs w:val="24"/>
              </w:rPr>
            </w:pPr>
            <w:r>
              <w:rPr>
                <w:szCs w:val="24"/>
              </w:rPr>
              <w:t>Paaiškinta.</w:t>
            </w:r>
          </w:p>
          <w:p w14:paraId="233DCDAD" w14:textId="77777777" w:rsidR="00B16CC9" w:rsidRDefault="009A3A82" w:rsidP="009A3A82">
            <w:pPr>
              <w:jc w:val="both"/>
              <w:rPr>
                <w:szCs w:val="24"/>
              </w:rPr>
            </w:pPr>
            <w:r>
              <w:rPr>
                <w:szCs w:val="24"/>
              </w:rPr>
              <w:t xml:space="preserve">Aprašo </w:t>
            </w:r>
            <w:r w:rsidR="00B16CC9">
              <w:rPr>
                <w:szCs w:val="24"/>
              </w:rPr>
              <w:t>60</w:t>
            </w:r>
            <w:r>
              <w:rPr>
                <w:szCs w:val="24"/>
              </w:rPr>
              <w:t xml:space="preserve"> punktas nurodo, kad „k</w:t>
            </w:r>
            <w:r w:rsidR="00B16CC9">
              <w:rPr>
                <w:rFonts w:eastAsia="Calibri"/>
                <w:szCs w:val="24"/>
              </w:rPr>
              <w:t>artu su mokėjimo prašymu, kai deklaruojamos išlaidos, pareiškėjas turi pateikti šiuos priedus:</w:t>
            </w:r>
          </w:p>
          <w:p w14:paraId="15082338" w14:textId="77777777" w:rsidR="00B16CC9" w:rsidRDefault="00B16CC9" w:rsidP="009A3A82">
            <w:pPr>
              <w:jc w:val="both"/>
              <w:rPr>
                <w:szCs w:val="24"/>
              </w:rPr>
            </w:pPr>
            <w:r>
              <w:rPr>
                <w:rFonts w:eastAsia="Calibri"/>
                <w:szCs w:val="24"/>
              </w:rPr>
              <w:t xml:space="preserve">60.1. </w:t>
            </w:r>
            <w:r>
              <w:rPr>
                <w:szCs w:val="24"/>
              </w:rPr>
              <w:t>galutinių naudos gavėjų Smulkiojo ar vidutinio verslo subjekto statuso deklaracijas;</w:t>
            </w:r>
          </w:p>
          <w:p w14:paraId="743BC5C0" w14:textId="77777777" w:rsidR="00B16CC9" w:rsidRDefault="00B16CC9" w:rsidP="009A3A82">
            <w:pPr>
              <w:jc w:val="both"/>
              <w:rPr>
                <w:szCs w:val="24"/>
              </w:rPr>
            </w:pPr>
            <w:r>
              <w:rPr>
                <w:rFonts w:eastAsia="Calibri"/>
                <w:szCs w:val="24"/>
              </w:rPr>
              <w:t xml:space="preserve">60.2. informaciją dėl įmonių tarpusavio santykių, nurodytų </w:t>
            </w:r>
            <w:r>
              <w:rPr>
                <w:rFonts w:eastAsia="Calibri"/>
                <w:i/>
                <w:iCs/>
                <w:szCs w:val="24"/>
              </w:rPr>
              <w:t xml:space="preserve">de minimis </w:t>
            </w:r>
            <w:r>
              <w:rPr>
                <w:rFonts w:eastAsia="Calibri"/>
                <w:szCs w:val="24"/>
              </w:rPr>
              <w:t xml:space="preserve">reglamento 2 straipsnio 2 dalyje, reikalingą vienos įmonės, kaip nurodyta </w:t>
            </w:r>
            <w:r>
              <w:rPr>
                <w:rFonts w:eastAsia="Calibri"/>
                <w:i/>
                <w:iCs/>
                <w:szCs w:val="24"/>
              </w:rPr>
              <w:t xml:space="preserve">de minimis </w:t>
            </w:r>
            <w:r>
              <w:rPr>
                <w:rFonts w:eastAsia="Calibri"/>
                <w:szCs w:val="24"/>
              </w:rPr>
              <w:t>reglamente, apimčiai nustatyti (pildoma „Vienos įmonės“ deklaracija pagal Ministerijos parengtą ir interneto svetainėse http://www.esinvesticijos.lt/lt/dokumentai/vienos-imones-deklaracijos-pagal-komisijos-reglamenta-es-nr-1407-2013 ir http://eimin.lrv.lt/lt/veiklos-sritys/es-fondu-investicijos/2014-2020-m-programavimo-laikotarpis/naujos-galimybes-lt paskelbtą rekomenduojamą formą);</w:t>
            </w:r>
          </w:p>
          <w:p w14:paraId="341E4F9C" w14:textId="77777777" w:rsidR="00B16CC9" w:rsidRDefault="00B16CC9" w:rsidP="009A3A82">
            <w:pPr>
              <w:jc w:val="both"/>
              <w:rPr>
                <w:szCs w:val="24"/>
              </w:rPr>
            </w:pPr>
            <w:r>
              <w:rPr>
                <w:szCs w:val="24"/>
              </w:rPr>
              <w:t xml:space="preserve">60.3. pareiškėjo ir galutinių naudos gavėjų </w:t>
            </w:r>
            <w:r w:rsidRPr="009A3A82">
              <w:rPr>
                <w:b/>
                <w:szCs w:val="24"/>
              </w:rPr>
              <w:t>patvirtintų paskutinių finansinių metų m</w:t>
            </w:r>
            <w:r w:rsidRPr="009A3A82">
              <w:rPr>
                <w:rFonts w:eastAsia="Calibri"/>
                <w:b/>
                <w:szCs w:val="24"/>
              </w:rPr>
              <w:t>etinių finansinių ataskaitų rinkinius</w:t>
            </w:r>
            <w:r>
              <w:rPr>
                <w:rFonts w:eastAsia="Calibri"/>
                <w:bCs/>
                <w:szCs w:val="24"/>
              </w:rPr>
              <w:t xml:space="preserve"> </w:t>
            </w:r>
            <w:r>
              <w:rPr>
                <w:szCs w:val="24"/>
              </w:rPr>
              <w:t>(jei įgyvendinančioji institucija patvirtintų paskutinių finansinių metų metinių finansinių ataskaitų rinkinių negali g</w:t>
            </w:r>
            <w:r w:rsidR="00C04212">
              <w:rPr>
                <w:szCs w:val="24"/>
              </w:rPr>
              <w:t>auti Juridinių asmenų registre).</w:t>
            </w:r>
          </w:p>
          <w:p w14:paraId="09E0ED11" w14:textId="77777777" w:rsidR="006C62C9" w:rsidRDefault="00C04212" w:rsidP="009A3A82">
            <w:pPr>
              <w:jc w:val="both"/>
              <w:rPr>
                <w:szCs w:val="24"/>
              </w:rPr>
            </w:pPr>
            <w:r>
              <w:rPr>
                <w:szCs w:val="24"/>
              </w:rPr>
              <w:t xml:space="preserve">Pažymėtina, kad </w:t>
            </w:r>
            <w:r w:rsidR="008F1934">
              <w:rPr>
                <w:szCs w:val="24"/>
              </w:rPr>
              <w:t xml:space="preserve">Aprašo 60.3 papunktis nustato prievolę pateikti pareiškėjo ir galutinių naudos gavėjų </w:t>
            </w:r>
            <w:r w:rsidR="008F1934" w:rsidRPr="009A3A82">
              <w:rPr>
                <w:b/>
                <w:szCs w:val="24"/>
              </w:rPr>
              <w:lastRenderedPageBreak/>
              <w:t xml:space="preserve">patvirtintų </w:t>
            </w:r>
            <w:r w:rsidR="008F1934" w:rsidRPr="008F1934">
              <w:rPr>
                <w:szCs w:val="24"/>
              </w:rPr>
              <w:t xml:space="preserve">paskutinių finansinių metų metinių finansinių ataskaitų rinkinius. </w:t>
            </w:r>
          </w:p>
          <w:p w14:paraId="14F34D0A" w14:textId="77777777" w:rsidR="00C04212" w:rsidRPr="0048023D" w:rsidRDefault="008F1934" w:rsidP="009A3A82">
            <w:pPr>
              <w:jc w:val="both"/>
              <w:rPr>
                <w:szCs w:val="24"/>
              </w:rPr>
            </w:pPr>
            <w:r>
              <w:rPr>
                <w:szCs w:val="24"/>
              </w:rPr>
              <w:t xml:space="preserve">Atsižvelgiant į tai, </w:t>
            </w:r>
            <w:r w:rsidR="00CC0077">
              <w:rPr>
                <w:szCs w:val="24"/>
              </w:rPr>
              <w:t xml:space="preserve">jeigu dar nėra suėjęs </w:t>
            </w:r>
            <w:r w:rsidR="0048023D">
              <w:rPr>
                <w:szCs w:val="24"/>
              </w:rPr>
              <w:t xml:space="preserve">finansinių ataskaitų pateikimo Registrų centrui terminas </w:t>
            </w:r>
            <w:r w:rsidR="0048023D" w:rsidRPr="00CC0077">
              <w:rPr>
                <w:rFonts w:eastAsia="Calibri"/>
                <w:szCs w:val="24"/>
              </w:rPr>
              <w:t>(j</w:t>
            </w:r>
            <w:r w:rsidR="0048023D" w:rsidRPr="00CC0077">
              <w:rPr>
                <w:szCs w:val="24"/>
              </w:rPr>
              <w:t>uridiniai</w:t>
            </w:r>
            <w:r w:rsidR="0048023D" w:rsidRPr="008F1934">
              <w:rPr>
                <w:szCs w:val="24"/>
              </w:rPr>
              <w:t xml:space="preserve"> asmenys, kurių finansiniai metai sutampa su kalendoriniais metais, metines finansines ataskaitas Registrų centrui turi pateikti ne vėliau kaip kasmet iki gegužės 31 d.</w:t>
            </w:r>
            <w:r w:rsidR="0048023D">
              <w:rPr>
                <w:szCs w:val="24"/>
              </w:rPr>
              <w:t>) ir</w:t>
            </w:r>
            <w:r w:rsidR="00CC0077">
              <w:rPr>
                <w:szCs w:val="24"/>
              </w:rPr>
              <w:t xml:space="preserve"> galutinis naudos gavėjas dar nėra pateikęs </w:t>
            </w:r>
            <w:r w:rsidR="00CC0077" w:rsidRPr="009A3A82">
              <w:rPr>
                <w:b/>
                <w:szCs w:val="24"/>
              </w:rPr>
              <w:t>paskutinių finansinių metų m</w:t>
            </w:r>
            <w:r w:rsidR="00CC0077" w:rsidRPr="009A3A82">
              <w:rPr>
                <w:rFonts w:eastAsia="Calibri"/>
                <w:b/>
                <w:szCs w:val="24"/>
              </w:rPr>
              <w:t>etinių finansinių ataskaitų rinkinius</w:t>
            </w:r>
            <w:r w:rsidR="00CC0077">
              <w:rPr>
                <w:rFonts w:eastAsia="Calibri"/>
                <w:b/>
                <w:szCs w:val="24"/>
              </w:rPr>
              <w:t xml:space="preserve"> </w:t>
            </w:r>
            <w:r w:rsidR="00CC0077" w:rsidRPr="00CC0077">
              <w:rPr>
                <w:rFonts w:eastAsia="Calibri"/>
                <w:szCs w:val="24"/>
              </w:rPr>
              <w:t>Registrų centrui</w:t>
            </w:r>
            <w:r w:rsidR="0048023D">
              <w:rPr>
                <w:rFonts w:eastAsia="Calibri"/>
                <w:szCs w:val="24"/>
              </w:rPr>
              <w:t xml:space="preserve">, yra vertinami </w:t>
            </w:r>
            <w:r w:rsidR="006C62C9">
              <w:rPr>
                <w:rFonts w:eastAsia="Calibri"/>
                <w:szCs w:val="24"/>
              </w:rPr>
              <w:t xml:space="preserve">duomenys pagal </w:t>
            </w:r>
            <w:r w:rsidR="0048023D">
              <w:rPr>
                <w:rFonts w:eastAsia="Calibri"/>
                <w:szCs w:val="24"/>
              </w:rPr>
              <w:t xml:space="preserve">užpraėjusių metų </w:t>
            </w:r>
            <w:r w:rsidR="0048023D" w:rsidRPr="0048023D">
              <w:rPr>
                <w:szCs w:val="24"/>
              </w:rPr>
              <w:t>m</w:t>
            </w:r>
            <w:r w:rsidR="0048023D" w:rsidRPr="0048023D">
              <w:rPr>
                <w:rFonts w:eastAsia="Calibri"/>
                <w:szCs w:val="24"/>
              </w:rPr>
              <w:t>etini</w:t>
            </w:r>
            <w:r w:rsidR="006C62C9">
              <w:rPr>
                <w:rFonts w:eastAsia="Calibri"/>
                <w:szCs w:val="24"/>
              </w:rPr>
              <w:t>ų finansinių ataskaitų rinkinius</w:t>
            </w:r>
            <w:r w:rsidR="0048023D" w:rsidRPr="0048023D">
              <w:rPr>
                <w:rFonts w:eastAsia="Calibri"/>
                <w:szCs w:val="24"/>
              </w:rPr>
              <w:t>.</w:t>
            </w:r>
          </w:p>
          <w:p w14:paraId="54DF4462" w14:textId="77777777" w:rsidR="00F65461" w:rsidRDefault="00F65461" w:rsidP="00375B81">
            <w:pPr>
              <w:jc w:val="both"/>
            </w:pPr>
          </w:p>
        </w:tc>
      </w:tr>
      <w:tr w:rsidR="00867037" w:rsidRPr="00C70D14" w14:paraId="3D247231" w14:textId="77777777" w:rsidTr="00CB0032">
        <w:tc>
          <w:tcPr>
            <w:tcW w:w="567" w:type="dxa"/>
          </w:tcPr>
          <w:p w14:paraId="42A0DF6F" w14:textId="77777777" w:rsidR="00867037" w:rsidRPr="0038099D" w:rsidRDefault="00867037" w:rsidP="0036662A">
            <w:pPr>
              <w:pStyle w:val="ListParagraph"/>
              <w:numPr>
                <w:ilvl w:val="0"/>
                <w:numId w:val="1"/>
              </w:numPr>
              <w:jc w:val="both"/>
            </w:pPr>
          </w:p>
        </w:tc>
        <w:tc>
          <w:tcPr>
            <w:tcW w:w="1985" w:type="dxa"/>
            <w:vMerge w:val="restart"/>
          </w:tcPr>
          <w:p w14:paraId="30A879D8" w14:textId="77777777" w:rsidR="00867037" w:rsidRDefault="00867037" w:rsidP="00AD28CE">
            <w:pPr>
              <w:rPr>
                <w:b/>
                <w:szCs w:val="24"/>
              </w:rPr>
            </w:pPr>
            <w:r w:rsidRPr="00AD28CE">
              <w:rPr>
                <w:b/>
                <w:szCs w:val="24"/>
              </w:rPr>
              <w:t>Liet</w:t>
            </w:r>
            <w:r>
              <w:rPr>
                <w:b/>
                <w:szCs w:val="24"/>
              </w:rPr>
              <w:t>uvos pramonininkų konfederacija, Lietuvos inovacijų  centras</w:t>
            </w:r>
            <w:r w:rsidRPr="00AD28CE">
              <w:rPr>
                <w:b/>
                <w:szCs w:val="24"/>
              </w:rPr>
              <w:t xml:space="preserve">, Lietuvos </w:t>
            </w:r>
            <w:r>
              <w:rPr>
                <w:b/>
                <w:szCs w:val="24"/>
              </w:rPr>
              <w:t>inžinerinės pramonės asociacija, asociacija</w:t>
            </w:r>
            <w:r w:rsidRPr="00AD28CE">
              <w:rPr>
                <w:b/>
                <w:szCs w:val="24"/>
              </w:rPr>
              <w:t xml:space="preserve"> „Žinių ekonomikos foruma</w:t>
            </w:r>
            <w:r>
              <w:rPr>
                <w:b/>
                <w:szCs w:val="24"/>
              </w:rPr>
              <w:t>s“, Lietuvos lazerių asociacija</w:t>
            </w:r>
            <w:r w:rsidRPr="00AD28CE">
              <w:rPr>
                <w:b/>
                <w:szCs w:val="24"/>
              </w:rPr>
              <w:t xml:space="preserve">, Lietuvos </w:t>
            </w:r>
            <w:r>
              <w:rPr>
                <w:b/>
                <w:szCs w:val="24"/>
              </w:rPr>
              <w:t>maisto eksportuotojų asociacija</w:t>
            </w:r>
            <w:r w:rsidRPr="00AD28CE">
              <w:rPr>
                <w:b/>
                <w:szCs w:val="24"/>
              </w:rPr>
              <w:t>, Li</w:t>
            </w:r>
            <w:r>
              <w:rPr>
                <w:b/>
                <w:szCs w:val="24"/>
              </w:rPr>
              <w:t>etuvos spaustuvininkų asociacija</w:t>
            </w:r>
            <w:r w:rsidRPr="00AD28CE">
              <w:rPr>
                <w:b/>
                <w:szCs w:val="24"/>
              </w:rPr>
              <w:t xml:space="preserve">, Technologijų ir </w:t>
            </w:r>
            <w:r w:rsidRPr="00AD28CE">
              <w:rPr>
                <w:b/>
                <w:szCs w:val="24"/>
              </w:rPr>
              <w:lastRenderedPageBreak/>
              <w:t>inova</w:t>
            </w:r>
            <w:r>
              <w:rPr>
                <w:b/>
                <w:szCs w:val="24"/>
              </w:rPr>
              <w:t>cijų paramos verslui asociacija</w:t>
            </w:r>
            <w:r w:rsidRPr="00AD28CE">
              <w:rPr>
                <w:b/>
                <w:szCs w:val="24"/>
              </w:rPr>
              <w:t>, Vilnia</w:t>
            </w:r>
            <w:r>
              <w:rPr>
                <w:b/>
                <w:szCs w:val="24"/>
              </w:rPr>
              <w:t>us pramonės ir verslo asociacija</w:t>
            </w:r>
            <w:r w:rsidRPr="00AD28CE">
              <w:rPr>
                <w:b/>
                <w:szCs w:val="24"/>
              </w:rPr>
              <w:t>, Lietuvos aprangos</w:t>
            </w:r>
            <w:r>
              <w:rPr>
                <w:b/>
                <w:szCs w:val="24"/>
              </w:rPr>
              <w:t xml:space="preserve"> ir tekstilės įmonių asociacija</w:t>
            </w:r>
          </w:p>
        </w:tc>
        <w:tc>
          <w:tcPr>
            <w:tcW w:w="6833" w:type="dxa"/>
          </w:tcPr>
          <w:p w14:paraId="4A57291D" w14:textId="77777777" w:rsidR="00867037" w:rsidRPr="00A9005A" w:rsidRDefault="00867037" w:rsidP="00A9005A">
            <w:pPr>
              <w:pStyle w:val="ListParagraph"/>
              <w:numPr>
                <w:ilvl w:val="0"/>
                <w:numId w:val="9"/>
              </w:numPr>
              <w:tabs>
                <w:tab w:val="left" w:pos="385"/>
              </w:tabs>
              <w:ind w:left="0" w:firstLine="0"/>
              <w:jc w:val="both"/>
              <w:rPr>
                <w:rFonts w:eastAsia="Calibri"/>
                <w:szCs w:val="24"/>
              </w:rPr>
            </w:pPr>
            <w:r w:rsidRPr="00A9005A">
              <w:rPr>
                <w:rFonts w:eastAsia="Calibri"/>
                <w:szCs w:val="24"/>
              </w:rPr>
              <w:lastRenderedPageBreak/>
              <w:t>Dėl Aprašo 13 punkto nuostatų. Pareiškėjai, rengdami paraiškas bei priimdami sprendimus dėl galimybių pasinaudoti  valstybės investicijomis ir įsipareigojimus dėl privalomų stebėsenos siektinų rodiklių reikšmių, teisėtai vadovavosi nuostata, kad parodose gali dalyvauti „MVĮ atstovai“, kurie nebūtinai turi būti pačių MVĮ darbuotojai, o, pavyzdžiui, gali būti kitų kompanijų darbuotojais, kurie teisėtais pagrindais atstovauja konkrečias VMĮ.</w:t>
            </w:r>
          </w:p>
          <w:p w14:paraId="0CD1089E" w14:textId="77777777" w:rsidR="00867037" w:rsidRPr="00643DEF" w:rsidRDefault="00867037" w:rsidP="002D4066">
            <w:pPr>
              <w:jc w:val="both"/>
              <w:rPr>
                <w:rFonts w:eastAsia="Calibri"/>
                <w:szCs w:val="24"/>
              </w:rPr>
            </w:pPr>
            <w:r w:rsidRPr="00643DEF">
              <w:rPr>
                <w:rFonts w:eastAsia="Calibri"/>
                <w:szCs w:val="24"/>
              </w:rPr>
              <w:t>PFSA keitimas, kad „MVĮ atstovai, privalomai turi būti pačių MVĮ darbuotojais, iš esmės keičia veiklas ir darbus, kuriuos planuodamos taikyti įmonės įsipareigojo pasiekti atitinkamus stebėsenos rodiklius (pvz. išorinis darbuotojo, turinčio didesnę kompetenciją, dalyvavimas projekto veiklose ženkliai padidina stebėsenos rodiklių pasiekimo tikimybę) rengdamos paraiškas.</w:t>
            </w:r>
          </w:p>
          <w:p w14:paraId="4A444906" w14:textId="77777777" w:rsidR="00867037" w:rsidRPr="00643DEF" w:rsidRDefault="00867037" w:rsidP="002D4066">
            <w:pPr>
              <w:jc w:val="both"/>
            </w:pPr>
            <w:r w:rsidRPr="00643DEF">
              <w:rPr>
                <w:rFonts w:eastAsia="Calibri"/>
                <w:szCs w:val="24"/>
              </w:rPr>
              <w:t>Šios PFSA nuostatos atsiradimas laikytinas veiksniu (force majore), kurio pareiškėjai (pirmoji sutarties šalis) negalėjo žinoti rengdami paraišką ir prisiimdami įsipareigojimus. Pagrįstas abejones kelia ir tai, jog šį pakeitimą daro Ministerija (EIM), tiesiogiai kontroliuojanti Įgyvendinančiąją instituciją (LVPA), kuri yra antra sutarties šalis.</w:t>
            </w:r>
          </w:p>
        </w:tc>
        <w:tc>
          <w:tcPr>
            <w:tcW w:w="5528" w:type="dxa"/>
          </w:tcPr>
          <w:p w14:paraId="38B24ACA" w14:textId="77777777" w:rsidR="00867037" w:rsidRDefault="00867037" w:rsidP="00715CD0">
            <w:r>
              <w:t>Neatsižvelgta.</w:t>
            </w:r>
          </w:p>
          <w:p w14:paraId="2AEBF888" w14:textId="77777777" w:rsidR="00867037" w:rsidRDefault="00867037" w:rsidP="00715CD0">
            <w:pPr>
              <w:tabs>
                <w:tab w:val="left" w:pos="9356"/>
              </w:tabs>
              <w:ind w:right="65"/>
              <w:jc w:val="both"/>
              <w:rPr>
                <w:szCs w:val="24"/>
              </w:rPr>
            </w:pPr>
            <w:r>
              <w:rPr>
                <w:szCs w:val="24"/>
              </w:rPr>
              <w:t>Grupinio d</w:t>
            </w:r>
            <w:r w:rsidRPr="0058338E">
              <w:rPr>
                <w:szCs w:val="24"/>
              </w:rPr>
              <w:t xml:space="preserve">alyvavimo tarptautinėse parodose </w:t>
            </w:r>
            <w:r>
              <w:rPr>
                <w:szCs w:val="24"/>
              </w:rPr>
              <w:t>ir mugėse f</w:t>
            </w:r>
            <w:r w:rsidRPr="0058338E">
              <w:rPr>
                <w:szCs w:val="24"/>
              </w:rPr>
              <w:t xml:space="preserve">iksuotojo įkainio </w:t>
            </w:r>
            <w:r>
              <w:rPr>
                <w:szCs w:val="24"/>
              </w:rPr>
              <w:t xml:space="preserve">(toliau – fiksuotasis įkainis) </w:t>
            </w:r>
            <w:r w:rsidRPr="0058338E">
              <w:rPr>
                <w:szCs w:val="24"/>
              </w:rPr>
              <w:t xml:space="preserve">dydžio skaičiavimui buvo naudoti duomenys </w:t>
            </w:r>
            <w:r>
              <w:rPr>
                <w:szCs w:val="24"/>
              </w:rPr>
              <w:t>apie šį</w:t>
            </w:r>
            <w:r w:rsidRPr="0058338E">
              <w:rPr>
                <w:szCs w:val="24"/>
              </w:rPr>
              <w:t xml:space="preserve"> iš</w:t>
            </w:r>
            <w:r>
              <w:rPr>
                <w:szCs w:val="24"/>
              </w:rPr>
              <w:t>laidų tipą – vieno p</w:t>
            </w:r>
            <w:r w:rsidRPr="00C76006">
              <w:rPr>
                <w:szCs w:val="24"/>
              </w:rPr>
              <w:t xml:space="preserve">arodos </w:t>
            </w:r>
            <w:r>
              <w:rPr>
                <w:szCs w:val="24"/>
              </w:rPr>
              <w:t xml:space="preserve">ar mugės </w:t>
            </w:r>
            <w:r w:rsidRPr="00C76006">
              <w:rPr>
                <w:szCs w:val="24"/>
              </w:rPr>
              <w:t>dalyvi</w:t>
            </w:r>
            <w:r>
              <w:rPr>
                <w:szCs w:val="24"/>
              </w:rPr>
              <w:t>o</w:t>
            </w:r>
            <w:r w:rsidRPr="00C76006">
              <w:rPr>
                <w:szCs w:val="24"/>
              </w:rPr>
              <w:t xml:space="preserve"> kelionės</w:t>
            </w:r>
            <w:r>
              <w:rPr>
                <w:szCs w:val="24"/>
              </w:rPr>
              <w:t xml:space="preserve">, </w:t>
            </w:r>
            <w:r w:rsidRPr="00C76006">
              <w:rPr>
                <w:szCs w:val="24"/>
              </w:rPr>
              <w:t>apgyvendinimo</w:t>
            </w:r>
            <w:r>
              <w:rPr>
                <w:szCs w:val="24"/>
              </w:rPr>
              <w:t xml:space="preserve"> ir dienpinigių</w:t>
            </w:r>
            <w:r w:rsidRPr="00C76006">
              <w:rPr>
                <w:szCs w:val="24"/>
              </w:rPr>
              <w:t xml:space="preserve"> išlaidos.</w:t>
            </w:r>
            <w:r>
              <w:rPr>
                <w:szCs w:val="24"/>
              </w:rPr>
              <w:t xml:space="preserve"> </w:t>
            </w:r>
            <w:r w:rsidRPr="0058338E">
              <w:rPr>
                <w:szCs w:val="24"/>
              </w:rPr>
              <w:t>Apgyvendinimo</w:t>
            </w:r>
            <w:r>
              <w:rPr>
                <w:szCs w:val="24"/>
              </w:rPr>
              <w:t xml:space="preserve"> ir dienpinigių</w:t>
            </w:r>
            <w:r w:rsidRPr="0058338E">
              <w:rPr>
                <w:szCs w:val="24"/>
              </w:rPr>
              <w:t xml:space="preserve"> išlaidos </w:t>
            </w:r>
            <w:r>
              <w:rPr>
                <w:szCs w:val="24"/>
              </w:rPr>
              <w:t xml:space="preserve">buvo </w:t>
            </w:r>
            <w:r w:rsidRPr="0058338E">
              <w:rPr>
                <w:szCs w:val="24"/>
              </w:rPr>
              <w:t xml:space="preserve">nustatytos </w:t>
            </w:r>
            <w:r>
              <w:rPr>
                <w:szCs w:val="24"/>
              </w:rPr>
              <w:t>pagal Lietuvos Respublikos Vyriausybės 2004 m. balandžio 29 d. nutarimą Nr. 526 „D</w:t>
            </w:r>
            <w:r w:rsidRPr="00EC7995">
              <w:rPr>
                <w:szCs w:val="24"/>
              </w:rPr>
              <w:t>ėl dienpinigių ir kitų tarnybinių k</w:t>
            </w:r>
            <w:r>
              <w:rPr>
                <w:szCs w:val="24"/>
              </w:rPr>
              <w:t xml:space="preserve">omandiruočių išlaidų apmokėjimo“ ir pagal Lietuvos Respublikos finansų ministerijos </w:t>
            </w:r>
            <w:r w:rsidRPr="00B0152B">
              <w:rPr>
                <w:szCs w:val="24"/>
              </w:rPr>
              <w:t>Apgyvendinimo užsienio valstybėse išlaidų fiksuotųjų įkainių nustatymo tyrimo ataskait</w:t>
            </w:r>
            <w:r>
              <w:rPr>
                <w:szCs w:val="24"/>
              </w:rPr>
              <w:t xml:space="preserve">ą. </w:t>
            </w:r>
          </w:p>
          <w:p w14:paraId="39AA4862" w14:textId="77777777" w:rsidR="00867037" w:rsidRDefault="00867037" w:rsidP="00715CD0">
            <w:pPr>
              <w:tabs>
                <w:tab w:val="left" w:pos="9356"/>
              </w:tabs>
              <w:ind w:right="65"/>
              <w:jc w:val="both"/>
            </w:pPr>
            <w:r>
              <w:rPr>
                <w:szCs w:val="24"/>
              </w:rPr>
              <w:t xml:space="preserve">Pažymėtina, kad </w:t>
            </w:r>
            <w:r>
              <w:t xml:space="preserve">Dienpinigių mokėjimo tvarkos apraše, patvirtintame </w:t>
            </w:r>
            <w:r>
              <w:rPr>
                <w:lang w:eastAsia="ar-SA"/>
              </w:rPr>
              <w:t xml:space="preserve">Lietuvos Respublikos Vyriausybės </w:t>
            </w:r>
            <w:r>
              <w:t xml:space="preserve">2017 m. birželio 28 d. </w:t>
            </w:r>
            <w:r>
              <w:rPr>
                <w:lang w:eastAsia="ar-SA"/>
              </w:rPr>
              <w:t xml:space="preserve">nutarimu </w:t>
            </w:r>
            <w:r>
              <w:t xml:space="preserve">Nr. 526, nustatoma dienpinigių į komandiruotę vykstančiam valstybės politikui arba valstybės pareigūnui, arba teisėjui, arba valstybės tarnautojui, arba </w:t>
            </w:r>
            <w:r w:rsidRPr="000F0406">
              <w:rPr>
                <w:b/>
              </w:rPr>
              <w:t>darbuotojui, dirbančiam pagal darbo sutartį</w:t>
            </w:r>
            <w:r>
              <w:t xml:space="preserve"> (toliau kartu – darbuotojas), mokėjimo tvarka.</w:t>
            </w:r>
          </w:p>
          <w:p w14:paraId="54A79C4F" w14:textId="77777777" w:rsidR="00867037" w:rsidRDefault="00867037" w:rsidP="00715CD0">
            <w:pPr>
              <w:jc w:val="both"/>
            </w:pPr>
            <w:r>
              <w:lastRenderedPageBreak/>
              <w:t xml:space="preserve">Taigi, atsižvelgiant į tai, kad viena iš fiksuotojo įkainio sudedamųjų dalių yra </w:t>
            </w:r>
            <w:r>
              <w:rPr>
                <w:szCs w:val="24"/>
              </w:rPr>
              <w:t>vieno p</w:t>
            </w:r>
            <w:r w:rsidRPr="00C76006">
              <w:rPr>
                <w:szCs w:val="24"/>
              </w:rPr>
              <w:t xml:space="preserve">arodos </w:t>
            </w:r>
            <w:r>
              <w:rPr>
                <w:szCs w:val="24"/>
              </w:rPr>
              <w:t xml:space="preserve">ar mugės </w:t>
            </w:r>
            <w:r w:rsidRPr="00C76006">
              <w:rPr>
                <w:szCs w:val="24"/>
              </w:rPr>
              <w:t>dalyvi</w:t>
            </w:r>
            <w:r>
              <w:rPr>
                <w:szCs w:val="24"/>
              </w:rPr>
              <w:t>o</w:t>
            </w:r>
            <w:r w:rsidRPr="00C76006">
              <w:rPr>
                <w:szCs w:val="24"/>
              </w:rPr>
              <w:t xml:space="preserve"> kelionės</w:t>
            </w:r>
            <w:r>
              <w:rPr>
                <w:szCs w:val="24"/>
              </w:rPr>
              <w:t xml:space="preserve">, </w:t>
            </w:r>
            <w:r w:rsidRPr="00C76006">
              <w:rPr>
                <w:szCs w:val="24"/>
              </w:rPr>
              <w:t>apgyvendinimo</w:t>
            </w:r>
            <w:r>
              <w:rPr>
                <w:szCs w:val="24"/>
              </w:rPr>
              <w:t xml:space="preserve"> ir dienpinigių</w:t>
            </w:r>
            <w:r w:rsidRPr="00C76006">
              <w:rPr>
                <w:szCs w:val="24"/>
              </w:rPr>
              <w:t xml:space="preserve"> išlaidos</w:t>
            </w:r>
            <w:r>
              <w:rPr>
                <w:szCs w:val="24"/>
              </w:rPr>
              <w:t xml:space="preserve">, o dienpinigių išlaidoms apskaičiuoti taikomas </w:t>
            </w:r>
            <w:r>
              <w:t>Dienpinigių mokėjimo tvarkos aprašas, kuriuo nustatoma dienpinigių mokėjimo tvarka tik dirbantiems pagal darbo sutartį darbuotojams, dalyvauti tarptautinėse parodose, mugėse gali tik MVĮ atstovai, kurie yra MVĮ darbuotojai.</w:t>
            </w:r>
          </w:p>
        </w:tc>
      </w:tr>
      <w:tr w:rsidR="00867037" w:rsidRPr="00C70D14" w14:paraId="4BED9C25" w14:textId="77777777" w:rsidTr="00CB0032">
        <w:trPr>
          <w:trHeight w:val="1975"/>
        </w:trPr>
        <w:tc>
          <w:tcPr>
            <w:tcW w:w="567" w:type="dxa"/>
          </w:tcPr>
          <w:p w14:paraId="3A3DA66E" w14:textId="77777777" w:rsidR="00867037" w:rsidRPr="0038099D" w:rsidRDefault="00867037" w:rsidP="0036662A">
            <w:pPr>
              <w:pStyle w:val="ListParagraph"/>
              <w:numPr>
                <w:ilvl w:val="0"/>
                <w:numId w:val="1"/>
              </w:numPr>
              <w:jc w:val="both"/>
            </w:pPr>
          </w:p>
        </w:tc>
        <w:tc>
          <w:tcPr>
            <w:tcW w:w="1985" w:type="dxa"/>
            <w:vMerge/>
          </w:tcPr>
          <w:p w14:paraId="6A26A1A0" w14:textId="77777777" w:rsidR="00867037" w:rsidRPr="00AD28CE" w:rsidRDefault="00867037" w:rsidP="00AD28CE">
            <w:pPr>
              <w:rPr>
                <w:b/>
                <w:szCs w:val="24"/>
              </w:rPr>
            </w:pPr>
          </w:p>
        </w:tc>
        <w:tc>
          <w:tcPr>
            <w:tcW w:w="6833" w:type="dxa"/>
          </w:tcPr>
          <w:p w14:paraId="671364E5" w14:textId="77777777" w:rsidR="00867037" w:rsidRPr="00643DEF" w:rsidRDefault="00867037" w:rsidP="00A9005A">
            <w:pPr>
              <w:pStyle w:val="ListParagraph"/>
              <w:numPr>
                <w:ilvl w:val="0"/>
                <w:numId w:val="9"/>
              </w:numPr>
              <w:tabs>
                <w:tab w:val="left" w:pos="458"/>
              </w:tabs>
              <w:ind w:left="33" w:firstLine="0"/>
              <w:jc w:val="both"/>
            </w:pPr>
            <w:r w:rsidRPr="00643DEF">
              <w:t>Šis PFSA keitimas iš esmės keičia valstybės investicijų  kiekvieno projekto atžvilgiu dydį.</w:t>
            </w:r>
          </w:p>
          <w:p w14:paraId="6E128300" w14:textId="77777777" w:rsidR="00867037" w:rsidRPr="00643DEF" w:rsidRDefault="00867037" w:rsidP="00643DEF">
            <w:pPr>
              <w:jc w:val="both"/>
            </w:pPr>
            <w:r w:rsidRPr="00643DEF">
              <w:t>Tai ne tik pažeidžia teisėtus projekto vykdytojų lūkesčius dėl planuojamų savo tikslams pritraukti viešųjų investicijų dydžio, bet ir diskredituoja viešųjų investicijų skatinamąjį pobūdį bei  tvarų poveikį Lietuvos ekonomikai, kadangi:</w:t>
            </w:r>
          </w:p>
          <w:p w14:paraId="573880B9" w14:textId="77777777" w:rsidR="00867037" w:rsidRPr="00643DEF" w:rsidRDefault="00867037" w:rsidP="00643DEF">
            <w:pPr>
              <w:pStyle w:val="ListParagraph"/>
              <w:numPr>
                <w:ilvl w:val="0"/>
                <w:numId w:val="6"/>
              </w:numPr>
              <w:jc w:val="both"/>
            </w:pPr>
            <w:r w:rsidRPr="00643DEF">
              <w:t>Sumažėjus viešosioms investicijoms padidėjo projekto vykdymo rizika iš pareiškėjo pusės, bei planuotų rezultatų pasiekimo tikimybė.</w:t>
            </w:r>
          </w:p>
          <w:p w14:paraId="2DAF1E70" w14:textId="77777777" w:rsidR="00867037" w:rsidRPr="00643DEF" w:rsidRDefault="00867037" w:rsidP="00643DEF">
            <w:pPr>
              <w:pStyle w:val="ListParagraph"/>
              <w:numPr>
                <w:ilvl w:val="0"/>
                <w:numId w:val="6"/>
              </w:numPr>
              <w:jc w:val="both"/>
            </w:pPr>
            <w:r w:rsidRPr="00643DEF">
              <w:t>Sumažėjusios viešosios investicijos mažina bendras projekte numatytas investicijas, kadangi tiesiogiai sąlygoja planuotų rezultatų pasiekimo apimtis ne tik trumpuoju, bet ir ilguoju periodu.</w:t>
            </w:r>
          </w:p>
          <w:p w14:paraId="322F7160" w14:textId="77777777" w:rsidR="00867037" w:rsidRPr="00643DEF" w:rsidRDefault="00867037" w:rsidP="00643DEF">
            <w:pPr>
              <w:jc w:val="both"/>
            </w:pPr>
            <w:r w:rsidRPr="00643DEF">
              <w:t xml:space="preserve">Įkainių keitimas grindžiamas „teorija“ įrodinėjančia, kad nustatyti fiksuotieji įkainiai buvo „per dideli“, bet remiasi tais pačiais nustatytais fiksuotais įkainiais, imant juos už pagrindą savo skaičiavimams. Realiai išlaidos įmonėms dalyvaujančioms parodose yra žymiai didesnės, negu galima priskirti pagal dabartinį tinkamų išlaidų aprašą. Parodose dalyvauja ne vienas ir ne du atstovai įmonių iš įmonių, parodoms ruošiama specialūs leidiniai, katalogai, užsakoma padalomoji medžiaga yra papildomi kaštai, jei įmonė nori būti tinkamai įtraukta į parodos dalyvių katalogą, nes kitaip ten įrašytas tik įmonės pavadinimas, kuris nieko nesako parodos </w:t>
            </w:r>
            <w:r w:rsidRPr="00643DEF">
              <w:lastRenderedPageBreak/>
              <w:t>lankytojams. Tai yra, taikomi fiksuoti įkainiai ir dabar tik dalimi padengia realius kaštus.</w:t>
            </w:r>
          </w:p>
          <w:p w14:paraId="611D3CAD" w14:textId="77777777" w:rsidR="00867037" w:rsidRPr="00643DEF" w:rsidRDefault="00867037" w:rsidP="00643DEF">
            <w:pPr>
              <w:jc w:val="both"/>
            </w:pPr>
            <w:r w:rsidRPr="00643DEF">
              <w:t xml:space="preserve">Įmonių darbuotojų dienpinigių, kelionės, apgyvendinimo išlaidas prilyginant su mokslinėse konferencijose dalyvaujančių išlaidomis yra netinkama, vien todėl, kad ten dalyvauja labai daug studentų ir dėstytojų, kurie turi ir naudojasi visa eile lengvatų, tame tarpe ir mokslinėse konferencijose dalyvaujantys asmenys irgi turi organizatorių taikomų lengvatų – spec. apgyvendinimas, papildomas maitinimas konferencijų metu, etc. </w:t>
            </w:r>
          </w:p>
          <w:p w14:paraId="39AD99A8" w14:textId="77777777" w:rsidR="00867037" w:rsidRPr="00643DEF" w:rsidRDefault="00867037" w:rsidP="00643DEF">
            <w:pPr>
              <w:jc w:val="both"/>
            </w:pPr>
            <w:r w:rsidRPr="00643DEF">
              <w:t>PFSA nuostatos nr.44 atsiradimas laikytinas veiksniu (force majore), kurio pareiškėjai (pirmoji sutarties šalis) negalėjo žinoti rengdami paraišką ir prisiimdami įsipareigojimus. Pagrįstas abejones kelia ir tai, jog šį pakeitimą daro Ministerija (EIM), tiesiogiai kontroliuojanti Įgyvendinančiąją instituciją (LVPA), kuri yra antra sutarties šalis.</w:t>
            </w:r>
          </w:p>
          <w:p w14:paraId="53EC8F95" w14:textId="77777777" w:rsidR="00867037" w:rsidRPr="00643DEF" w:rsidRDefault="00867037" w:rsidP="00643DEF">
            <w:pPr>
              <w:jc w:val="both"/>
            </w:pPr>
            <w:r w:rsidRPr="00643DEF">
              <w:t>Vadovaujantis šio pakeitimo (jei jis būtų padarytas) analogija būtų neatmetama tikimybė, kad vieną dieną viešosios investicijos būtų sumažinamos iki nulio, tuo pačiu reikalaujant pareiškėjus pasiekti numatytus rezultatus visai be viešųjų investicijų.</w:t>
            </w:r>
          </w:p>
          <w:p w14:paraId="354D20E5" w14:textId="77777777" w:rsidR="00867037" w:rsidRPr="00643DEF" w:rsidRDefault="00867037" w:rsidP="002D4066">
            <w:pPr>
              <w:jc w:val="both"/>
              <w:rPr>
                <w:rFonts w:eastAsia="Calibri"/>
                <w:szCs w:val="24"/>
              </w:rPr>
            </w:pPr>
          </w:p>
        </w:tc>
        <w:tc>
          <w:tcPr>
            <w:tcW w:w="5528" w:type="dxa"/>
          </w:tcPr>
          <w:p w14:paraId="6AF3BBE5" w14:textId="77777777" w:rsidR="00867037" w:rsidRDefault="00867037" w:rsidP="006C7554">
            <w:r>
              <w:lastRenderedPageBreak/>
              <w:t xml:space="preserve">Neatsižvelgta. </w:t>
            </w:r>
          </w:p>
          <w:p w14:paraId="237C1DB4" w14:textId="4C70E8BB" w:rsidR="00867037" w:rsidRDefault="00867037" w:rsidP="006C7554">
            <w:pPr>
              <w:jc w:val="both"/>
            </w:pPr>
            <w:r>
              <w:t>Pažymime, kad Aprašo keitimai atliekami, gavus LR valstybės kontrolės Europos Sąjungos investicijų audito departamento tarpinius audito rezultatus ir vadovaujančiosios institucijos – Finansų ministerijos raštišką nurodymą atlikti Aprašo pakeitimus, vadovaujantis Projektų administravimo ir finansavimo taisyklių</w:t>
            </w:r>
            <w:r>
              <w:rPr>
                <w:rStyle w:val="FootnoteReference"/>
              </w:rPr>
              <w:footnoteReference w:customMarkFollows="1" w:id="3"/>
              <w:t>[1]</w:t>
            </w:r>
            <w:r>
              <w:t xml:space="preserve"> 428</w:t>
            </w:r>
            <w:r>
              <w:rPr>
                <w:vertAlign w:val="superscript"/>
              </w:rPr>
              <w:t>1</w:t>
            </w:r>
            <w:r>
              <w:t xml:space="preserve"> punkto nuostatomis, teigiančiomis, kad supaprastintai apmokamų išlaidų dydžiai, jų taikymo sąlygos (įskaitant galimybę juos keisti sudarius projekto sutartį) yra nustatomi projektų finansavimo sąlygų apraše (arba dokumente, kuriuo apraše nurodyta vadovautis), o </w:t>
            </w:r>
            <w:r w:rsidR="00571296">
              <w:t>vadovaujančiai institucijai</w:t>
            </w:r>
            <w:r>
              <w:t xml:space="preserve"> arba </w:t>
            </w:r>
            <w:r w:rsidR="00571296">
              <w:t>a</w:t>
            </w:r>
            <w:r>
              <w:t>udito institucijai nustačius, kad supaprastintai apmokamų išlaidų dydis ar jo taikymo sąlygos buvo netinkamai nustatyti (tais atvejais, kai dydis turėjo būti mažesnis arba kitaip taikomas), patikslintas dydis ar jo taikymo sąlygos turi būti taikomi jau įgyvendinamų projektų veiksmų, vykdomų nuo dydžio ar jo taikymo sąlygų patikslinimo įsigaliojimo dienos, išlaidoms apmokėti.</w:t>
            </w:r>
          </w:p>
          <w:p w14:paraId="6B8C503D" w14:textId="77777777" w:rsidR="00867037" w:rsidRDefault="00867037" w:rsidP="006C7554">
            <w:pPr>
              <w:jc w:val="both"/>
            </w:pPr>
            <w:r>
              <w:t xml:space="preserve">Informuojame, kad Aprašo keitimas oficialiu raštu išsiųstas derinti vadovaujančiajai institucijai – Finansų ministerijai, tačiau atsakymas dar negautas. </w:t>
            </w:r>
          </w:p>
          <w:p w14:paraId="00EF29CD" w14:textId="50EBE39F" w:rsidR="00867037" w:rsidRDefault="00867037" w:rsidP="00C07AF7">
            <w:pPr>
              <w:ind w:firstLine="458"/>
              <w:jc w:val="both"/>
            </w:pPr>
            <w:r>
              <w:lastRenderedPageBreak/>
              <w:t xml:space="preserve">Taip pat pažymime, kad </w:t>
            </w:r>
            <w:r w:rsidRPr="00C90DED">
              <w:t>Europos Komisija (toliau – EK) Finansų ministerijai, kaip Veiksmų programos</w:t>
            </w:r>
            <w:r w:rsidRPr="00C90DED">
              <w:rPr>
                <w:rStyle w:val="FootnoteReference"/>
              </w:rPr>
              <w:footnoteReference w:id="4"/>
            </w:r>
            <w:r w:rsidRPr="00C90DED">
              <w:t xml:space="preserve"> vadovaujančiajai institucijai, pateikė</w:t>
            </w:r>
            <w:r w:rsidRPr="00C90DED">
              <w:rPr>
                <w:rStyle w:val="FootnoteReference"/>
              </w:rPr>
              <w:footnoteReference w:id="5"/>
            </w:r>
            <w:r w:rsidRPr="00C90DED">
              <w:t xml:space="preserve"> galutinę EK 2016 m. gruodžio 5–16 d. atlikto Veiksmų programos</w:t>
            </w:r>
            <w:r w:rsidRPr="00C90DED">
              <w:rPr>
                <w:rStyle w:val="FootnoteReference"/>
              </w:rPr>
              <w:t>2</w:t>
            </w:r>
            <w:r w:rsidRPr="00C90DED">
              <w:t xml:space="preserve"> jungtinio audito Nr. REGC2214LT0049 ataskaitą, kurioje EK konstatavo, kad skrydžių į užsienio šalis fiksuotieji įkainiai, nustatyti Lietuvos mokslo tarybos 2014 m. spalio 6 d. Mokslinių išvykų išlaidų fiksuotųjų įkainių apskaičiavimo tyrimo ataskaitoje, nebuvo apskaičiuoti sąžiningu, teisingu ir patikimu metodu, kaip tai nustatyta Reglamento (ES) 1303/2013</w:t>
            </w:r>
            <w:r w:rsidRPr="00C90DED">
              <w:rPr>
                <w:rStyle w:val="FootnoteReference"/>
              </w:rPr>
              <w:footnoteReference w:id="6"/>
            </w:r>
            <w:r w:rsidRPr="00C90DED">
              <w:t xml:space="preserve"> 67 straipsnio 5 dalyje. </w:t>
            </w:r>
          </w:p>
          <w:p w14:paraId="722357D7" w14:textId="04882D85" w:rsidR="00867037" w:rsidRDefault="00867037" w:rsidP="00C07AF7">
            <w:pPr>
              <w:ind w:firstLine="458"/>
              <w:jc w:val="both"/>
            </w:pPr>
            <w:r>
              <w:t xml:space="preserve">Taip pat </w:t>
            </w:r>
            <w:r w:rsidRPr="00C90DED">
              <w:t xml:space="preserve">EK </w:t>
            </w:r>
            <w:r>
              <w:t>nurodė</w:t>
            </w:r>
            <w:r w:rsidRPr="00C90DED">
              <w:t xml:space="preserve"> </w:t>
            </w:r>
            <w:r w:rsidR="00571296">
              <w:t>vadovaujančiai institucijai</w:t>
            </w:r>
            <w:r w:rsidRPr="00C90DED">
              <w:t xml:space="preserve"> pateikto pastebėjimo finansinį poveikį įvertinti kiekybiškai pagal realias išlaidas arba </w:t>
            </w:r>
            <w:r w:rsidRPr="00C07AF7">
              <w:rPr>
                <w:b/>
              </w:rPr>
              <w:t>„Erasmus+“ sistemą</w:t>
            </w:r>
            <w:r w:rsidRPr="00C90DED">
              <w:t xml:space="preserve"> ir taikyti finansines pataisas, užtikrinant, kad EK bus deklaruotos tik tinkamos finansuoti (t. y. perskaičiuotos) išlaidos.</w:t>
            </w:r>
          </w:p>
          <w:p w14:paraId="50EDC00D" w14:textId="7FC39336" w:rsidR="00867037" w:rsidRDefault="00867037" w:rsidP="00C07AF7">
            <w:pPr>
              <w:ind w:firstLine="458"/>
              <w:jc w:val="both"/>
            </w:pPr>
            <w:r>
              <w:t xml:space="preserve">Atsižvelgus į </w:t>
            </w:r>
            <w:r w:rsidR="004B65D4">
              <w:t xml:space="preserve">šį </w:t>
            </w:r>
            <w:r>
              <w:t xml:space="preserve">pateiktą EK pastebėjimą, buvo perskaičiuoti </w:t>
            </w:r>
            <w:r>
              <w:rPr>
                <w:rFonts w:eastAsia="AngsanaUPC"/>
              </w:rPr>
              <w:t xml:space="preserve">tarptautinės parodos, mugės dalyvių kelionių </w:t>
            </w:r>
            <w:r>
              <w:t>fiksuotieji įkainiai.</w:t>
            </w:r>
          </w:p>
        </w:tc>
      </w:tr>
      <w:tr w:rsidR="00867037" w:rsidRPr="00C70D14" w14:paraId="0AAF96D7" w14:textId="77777777" w:rsidTr="00CB0032">
        <w:tc>
          <w:tcPr>
            <w:tcW w:w="567" w:type="dxa"/>
          </w:tcPr>
          <w:p w14:paraId="758C2715" w14:textId="77777777" w:rsidR="00867037" w:rsidRPr="0038099D" w:rsidRDefault="00867037" w:rsidP="0036662A">
            <w:pPr>
              <w:pStyle w:val="ListParagraph"/>
              <w:numPr>
                <w:ilvl w:val="0"/>
                <w:numId w:val="1"/>
              </w:numPr>
              <w:jc w:val="both"/>
            </w:pPr>
          </w:p>
        </w:tc>
        <w:tc>
          <w:tcPr>
            <w:tcW w:w="1985" w:type="dxa"/>
            <w:vMerge/>
          </w:tcPr>
          <w:p w14:paraId="1CC44332" w14:textId="77777777" w:rsidR="00867037" w:rsidRPr="00AD28CE" w:rsidRDefault="00867037" w:rsidP="00AD28CE">
            <w:pPr>
              <w:rPr>
                <w:b/>
                <w:szCs w:val="24"/>
              </w:rPr>
            </w:pPr>
          </w:p>
        </w:tc>
        <w:tc>
          <w:tcPr>
            <w:tcW w:w="6833" w:type="dxa"/>
          </w:tcPr>
          <w:p w14:paraId="3052A4AA" w14:textId="77777777" w:rsidR="00867037" w:rsidRPr="00A9005A" w:rsidRDefault="00867037" w:rsidP="00A9005A">
            <w:pPr>
              <w:pStyle w:val="ListParagraph"/>
              <w:numPr>
                <w:ilvl w:val="0"/>
                <w:numId w:val="9"/>
              </w:numPr>
              <w:tabs>
                <w:tab w:val="left" w:pos="432"/>
              </w:tabs>
              <w:ind w:left="33" w:firstLine="0"/>
              <w:jc w:val="both"/>
              <w:rPr>
                <w:i/>
              </w:rPr>
            </w:pPr>
            <w:r w:rsidRPr="00BB72F2">
              <w:t xml:space="preserve">Dėl Aprašo 45.4 papunkčio: </w:t>
            </w:r>
            <w:r>
              <w:t>„</w:t>
            </w:r>
            <w:r w:rsidRPr="00A9005A">
              <w:rPr>
                <w:i/>
              </w:rPr>
              <w:t xml:space="preserve">projekto įgyvendinimo metu vadovaujančiajai ar audito institucijoms nustačius, kad fiksuotasis </w:t>
            </w:r>
            <w:r w:rsidRPr="00A9005A">
              <w:rPr>
                <w:i/>
              </w:rPr>
              <w:lastRenderedPageBreak/>
              <w:t xml:space="preserve">įkainis buvo nustatytas netinkamai, patikslintas fiksuotojo įkainio dydis ar jo taikymo sąlygos taikomas projekto veiksmų (tarptautinių parodų, mugių ar verslo misijų atveju projekto veiksmu laikoma tarptautinės parodos, mugės ar verslo misijos data), vykdomų nuo fiksuotojo įkainio dydžio ar jo taikymo sąlygų patikslinimo įsigaliojimo dienos, išlaidoms apmokėti“ </w:t>
            </w:r>
          </w:p>
          <w:p w14:paraId="6D83DCE1" w14:textId="77777777" w:rsidR="00867037" w:rsidRPr="00BB72F2" w:rsidRDefault="00867037" w:rsidP="00BB72F2">
            <w:pPr>
              <w:jc w:val="both"/>
            </w:pPr>
            <w:r w:rsidRPr="00BB72F2">
              <w:t>Lietuvos Respublikos ūkio ministro  2017 m. gruodžio 29 d. įsakymu Nr. 4-724 patvirtintame šios priemonės PFSA, kuriuo vadovaujantis pareiškėjai teikė paraiškas, šios nuostatos nebuvo.</w:t>
            </w:r>
          </w:p>
          <w:p w14:paraId="76BD9CBF" w14:textId="77777777" w:rsidR="00867037" w:rsidRPr="00BB72F2" w:rsidRDefault="00867037" w:rsidP="00BB72F2">
            <w:pPr>
              <w:jc w:val="both"/>
              <w:rPr>
                <w:i/>
                <w:iCs/>
              </w:rPr>
            </w:pPr>
            <w:r w:rsidRPr="00BB72F2">
              <w:t xml:space="preserve">Projektų administravimo ir finansavimo taisyklėse, patvirtintose Lietuvos Respublikos finansų ministro 2014 m. spalio 8 d. įsakymu Nr. 1K-316 „Dėl Projektų administravimo ir finansavimo taisyklių patvirtinimo“ (toliau – Projektų taisyklės), naujas punktas buvo įtrauktas tik </w:t>
            </w:r>
            <w:r w:rsidRPr="00BB72F2">
              <w:rPr>
                <w:i/>
                <w:iCs/>
              </w:rPr>
              <w:t>2018-01-25, paskelbta TAR 2018-01-29:</w:t>
            </w:r>
          </w:p>
          <w:p w14:paraId="633332B6" w14:textId="77777777" w:rsidR="00867037" w:rsidRPr="00BB72F2" w:rsidRDefault="00867037" w:rsidP="00BB72F2">
            <w:pPr>
              <w:jc w:val="both"/>
            </w:pPr>
            <w:r w:rsidRPr="00BB72F2">
              <w:t>428</w:t>
            </w:r>
            <w:r w:rsidRPr="00BB72F2">
              <w:rPr>
                <w:vertAlign w:val="superscript"/>
              </w:rPr>
              <w:t>1</w:t>
            </w:r>
            <w:r w:rsidRPr="00BB72F2">
              <w:t>. Supaprastintai apmokamų išlaidų dydžiai, jų taikymo sąlygos (įskaitant galimybę juos keisti sudarius projekto sutartį) nustatomi projektų finansavimo sąlygų apraše (arba dokumente, kuriuo apraše nurodyta vadovautis). Vadovaujančiajai arba audito institucijoms nustačius, kad supaprastintai apmokamų išlaidų dydis ar jo taikymo sąlygos buvo netinkamai nustatyti (tais atvejais, kai dydis turėjo būti mažesnis arba kitaip taikomas), patikslintas dydis ar jo taikymo sąlygos turi būti taikomi jau įgyvendinamų projektų veiksmų, vykdomų nuo dydžio ar jo taikymo sąlygų patikslinimo .</w:t>
            </w:r>
          </w:p>
          <w:p w14:paraId="3E2D5C8A" w14:textId="77777777" w:rsidR="00867037" w:rsidRPr="00BB72F2" w:rsidRDefault="00867037" w:rsidP="00BB72F2">
            <w:pPr>
              <w:jc w:val="both"/>
            </w:pPr>
            <w:r w:rsidRPr="00BB72F2">
              <w:t>428</w:t>
            </w:r>
            <w:r w:rsidRPr="00BB72F2">
              <w:rPr>
                <w:vertAlign w:val="superscript"/>
              </w:rPr>
              <w:t>1</w:t>
            </w:r>
            <w:r w:rsidRPr="00BB72F2">
              <w:t>   punkto antra dalis vienareikšmiškai sako, kad fiksuoto įkainio &lt;..&gt; patikslintas dydis ar jo taikymo sąlygos turi būti taikomi jau įgyvendinamų projektų veiksmų, vykdomų nuo dydžio ar jo taikymo sąlygų patikslinimo.</w:t>
            </w:r>
          </w:p>
          <w:p w14:paraId="6D43ED9A" w14:textId="77777777" w:rsidR="00867037" w:rsidRPr="00BB72F2" w:rsidRDefault="00867037" w:rsidP="00BB72F2">
            <w:pPr>
              <w:jc w:val="both"/>
            </w:pPr>
            <w:r w:rsidRPr="00BB72F2">
              <w:t xml:space="preserve">Pagal PFSA remiama veikla – grupinis MVĮ ir jų produkcijos pristatymas užsienyje ir (ar) Lietuvos Respublikoje vykstančiose tarptautinėse parodose, mugėse ir verslo misijose. Akivaizdu, kad projekto veiksmai, tiesiogiai susiję su dalyvavimu konkrečiuose tarptautinėse parodose, mugėse ir verslo misijose pradedami daryti gerokai anksčiau prieš  tarptautinės parodos, mugėse ar verslo misijos </w:t>
            </w:r>
            <w:r w:rsidRPr="00BB72F2">
              <w:lastRenderedPageBreak/>
              <w:t>datą (pasirašomos sutartys, gaunamos sąskaitos, sumokama) ir patiriamos faktinės išlaidos:</w:t>
            </w:r>
          </w:p>
          <w:p w14:paraId="61FF141F" w14:textId="77777777" w:rsidR="00867037" w:rsidRPr="00BB72F2" w:rsidRDefault="00867037" w:rsidP="00BB72F2">
            <w:pPr>
              <w:jc w:val="both"/>
            </w:pPr>
            <w:r w:rsidRPr="00BB72F2">
              <w:t xml:space="preserve">5.2. Dalyvavimo tarptautinėse parodose atveju: </w:t>
            </w:r>
          </w:p>
          <w:p w14:paraId="11B3C7C0" w14:textId="77777777" w:rsidR="00867037" w:rsidRPr="00BB72F2" w:rsidRDefault="00867037" w:rsidP="00BB72F2">
            <w:pPr>
              <w:jc w:val="both"/>
            </w:pPr>
            <w:r w:rsidRPr="00BB72F2">
              <w:t xml:space="preserve">5.2.1. stendo gamybos arba nuomos, sukūrimo, eksploatavimo ir pervežimo išlaidos, </w:t>
            </w:r>
          </w:p>
          <w:p w14:paraId="3902C61A" w14:textId="77777777" w:rsidR="00867037" w:rsidRPr="00BB72F2" w:rsidRDefault="00867037" w:rsidP="00BB72F2">
            <w:pPr>
              <w:jc w:val="both"/>
            </w:pPr>
            <w:r w:rsidRPr="00BB72F2">
              <w:t xml:space="preserve">5.2.2. tarptautinės parodos, mugės ploto nuomos išlaidos, </w:t>
            </w:r>
          </w:p>
          <w:p w14:paraId="3A769382" w14:textId="77777777" w:rsidR="00867037" w:rsidRPr="00BB72F2" w:rsidRDefault="00867037" w:rsidP="00BB72F2">
            <w:pPr>
              <w:jc w:val="both"/>
            </w:pPr>
            <w:r w:rsidRPr="00BB72F2">
              <w:t xml:space="preserve">5.2.3. dalyvio registracijos mokesčio išlaidos, </w:t>
            </w:r>
          </w:p>
          <w:p w14:paraId="7205C7AD" w14:textId="77777777" w:rsidR="00867037" w:rsidRPr="00BB72F2" w:rsidRDefault="00867037" w:rsidP="00BB72F2">
            <w:pPr>
              <w:jc w:val="both"/>
            </w:pPr>
            <w:r w:rsidRPr="00BB72F2">
              <w:t>5.2.4. tarptautinės parodos, mugės dalyvių kelionės, apgyvendinimo išlaidos;</w:t>
            </w:r>
          </w:p>
          <w:p w14:paraId="62CA35CD" w14:textId="77777777" w:rsidR="00867037" w:rsidRPr="00BB72F2" w:rsidRDefault="00867037" w:rsidP="00BB72F2">
            <w:pPr>
              <w:jc w:val="both"/>
            </w:pPr>
            <w:r w:rsidRPr="00BB72F2">
              <w:t>5.3. Išvykstamųjų verslo misijų atveju:</w:t>
            </w:r>
          </w:p>
          <w:p w14:paraId="027EE05A" w14:textId="77777777" w:rsidR="00867037" w:rsidRPr="00BB72F2" w:rsidRDefault="00867037" w:rsidP="00BB72F2">
            <w:pPr>
              <w:jc w:val="both"/>
            </w:pPr>
            <w:r w:rsidRPr="00BB72F2">
              <w:t>5.3.1. konsultavimo ir partnerių užsienyje paieškos išlaidos,</w:t>
            </w:r>
          </w:p>
          <w:p w14:paraId="58719F3B" w14:textId="77777777" w:rsidR="00867037" w:rsidRPr="00BB72F2" w:rsidRDefault="00867037" w:rsidP="00BB72F2">
            <w:pPr>
              <w:jc w:val="both"/>
            </w:pPr>
            <w:r w:rsidRPr="00BB72F2">
              <w:t>5.3.2. patalpų ir įrangos nuomos išlaidos,</w:t>
            </w:r>
          </w:p>
          <w:p w14:paraId="19F67FAB" w14:textId="77777777" w:rsidR="00867037" w:rsidRPr="00BB72F2" w:rsidRDefault="00867037" w:rsidP="00BB72F2">
            <w:pPr>
              <w:jc w:val="both"/>
              <w:rPr>
                <w:i/>
                <w:iCs/>
              </w:rPr>
            </w:pPr>
            <w:r w:rsidRPr="00BB72F2">
              <w:t>5.3.3. išvykstamosios verslo misijos dalyvių kelionės, apgyvendinimo išlaidos.</w:t>
            </w:r>
          </w:p>
          <w:p w14:paraId="208C7673" w14:textId="77777777" w:rsidR="00867037" w:rsidRPr="00BB72F2" w:rsidRDefault="00867037" w:rsidP="00BB72F2">
            <w:pPr>
              <w:jc w:val="both"/>
            </w:pPr>
            <w:r w:rsidRPr="00BB72F2">
              <w:t xml:space="preserve">Siūloma PFSA punkto 45.4. nuostata, kad  „tarptautinių parodų, mugių ar verslo misijų atveju projekto veiksmu laikoma tarptautinės parodos, mugės ar verslo misijos data“ – prieštarauja dalyvavimo tarptautinėse parodose, mugėse ar verslo misijose veiksmų praktikai ir logikai. </w:t>
            </w:r>
          </w:p>
          <w:p w14:paraId="47A8DD83" w14:textId="77777777" w:rsidR="00867037" w:rsidRPr="00643DEF" w:rsidRDefault="00867037" w:rsidP="00BB72F2">
            <w:pPr>
              <w:jc w:val="both"/>
            </w:pPr>
            <w:r w:rsidRPr="00BB72F2">
              <w:t>Praktiškai kiekviena įmonė patvirtins, kad parodoms pradedame ruoštis ir išlaidas susijusias su pasiruošimu parodai ir dalyvavimu joje patiriame gerokai anksčiau negu vyksta pati paroda. Plotai pvz. užsakinėjami 12 mėnesių iki parodos, stendo įranga irgi projektuojama ir gaminama gerokai anksčiau ir t.t.</w:t>
            </w:r>
          </w:p>
        </w:tc>
        <w:tc>
          <w:tcPr>
            <w:tcW w:w="5528" w:type="dxa"/>
          </w:tcPr>
          <w:p w14:paraId="3446CC39" w14:textId="77777777" w:rsidR="00867037" w:rsidRDefault="00867037" w:rsidP="004A4035">
            <w:pPr>
              <w:jc w:val="both"/>
            </w:pPr>
            <w:r>
              <w:lastRenderedPageBreak/>
              <w:t xml:space="preserve">Vadovaujantis Projektų taisyklių </w:t>
            </w:r>
            <w:r w:rsidRPr="00BB72F2">
              <w:t>428</w:t>
            </w:r>
            <w:r w:rsidRPr="00BB72F2">
              <w:rPr>
                <w:vertAlign w:val="superscript"/>
              </w:rPr>
              <w:t>1</w:t>
            </w:r>
            <w:r>
              <w:t xml:space="preserve"> punkto nuostatomis, buvo keičiama Aprašo 45.4 papunkčio </w:t>
            </w:r>
            <w:r>
              <w:lastRenderedPageBreak/>
              <w:t>formuluotė į „</w:t>
            </w:r>
            <w:r w:rsidRPr="00D0178E">
              <w:rPr>
                <w:i/>
              </w:rPr>
              <w:t>projekto įgyvendinimo metu vadovaujančiajai ar audito institucijoms nustačius, kad fiksuotasis įkainis buvo nustatytas netinkamai, patikslintas fiksuotojo įkainio dydis ar jo taikymo sąlygos taikomas projekto veiksmų (tarptautinių parodų, mugių ar verslo misijų atveju projekto veiksmu laikoma tarptautinės parodos, mugės ar verslo misijos data), vykdomų nuo fiksuotojo įkainio dydžio ar jo taikymo sąlygų patikslinimo įsigaliojimo dienos, išlaidoms apmokėti</w:t>
            </w:r>
            <w:r>
              <w:rPr>
                <w:i/>
              </w:rPr>
              <w:t>“</w:t>
            </w:r>
            <w:r>
              <w:t>.</w:t>
            </w:r>
          </w:p>
          <w:p w14:paraId="1B15742F" w14:textId="77777777" w:rsidR="00867037" w:rsidRPr="008F273A" w:rsidRDefault="00867037" w:rsidP="00BD23AA">
            <w:pPr>
              <w:ind w:firstLine="851"/>
              <w:jc w:val="both"/>
              <w:rPr>
                <w:rFonts w:eastAsia="Calibri"/>
                <w:szCs w:val="24"/>
              </w:rPr>
            </w:pPr>
            <w:r>
              <w:t>Tačiau atsižvelgus į pateiktas įgyvendinančiosios institucijos ir socialinių ekonominių partnerių pastabas, nuostata dėl projekto veiksmo traktavimo buvo patikslinta į: „</w:t>
            </w:r>
            <w:r w:rsidRPr="00F56730">
              <w:rPr>
                <w:rFonts w:eastAsia="Calibri"/>
                <w:i/>
                <w:szCs w:val="24"/>
              </w:rPr>
              <w:t xml:space="preserve">Projekto veiksmų, </w:t>
            </w:r>
            <w:r w:rsidRPr="00F56730">
              <w:rPr>
                <w:rFonts w:eastAsiaTheme="minorHAnsi"/>
                <w:bCs/>
                <w:i/>
              </w:rPr>
              <w:t xml:space="preserve">vykdomų nuo fiksuotojo įkainio dydžio ar jo taikymo sąlygų patikslinimo įsigaliojimo dienos, pradžia laikoma sutarties dėl dalyvavimo tarptautinėje parodoje, mugėje sudarymo data arba </w:t>
            </w:r>
            <w:r w:rsidRPr="00F56730">
              <w:rPr>
                <w:rFonts w:ascii="Arno Pro" w:hAnsi="Arno Pro"/>
                <w:bCs/>
                <w:i/>
                <w:szCs w:val="24"/>
                <w:u w:val="single"/>
              </w:rPr>
              <w:t>projekto vykdytojo</w:t>
            </w:r>
            <w:r w:rsidRPr="00F56730">
              <w:rPr>
                <w:rFonts w:ascii="Arno Pro" w:hAnsi="Arno Pro"/>
                <w:i/>
                <w:szCs w:val="24"/>
              </w:rPr>
              <w:t xml:space="preserve"> sudaryto ir pasirašyto </w:t>
            </w:r>
            <w:r w:rsidRPr="00F56730">
              <w:rPr>
                <w:rFonts w:eastAsiaTheme="minorHAnsi"/>
                <w:bCs/>
                <w:i/>
              </w:rPr>
              <w:t xml:space="preserve">verslo misijos dalyvių (galutinių </w:t>
            </w:r>
            <w:r w:rsidRPr="00F56730">
              <w:rPr>
                <w:rFonts w:ascii="Arno Pro" w:hAnsi="Arno Pro"/>
                <w:i/>
                <w:szCs w:val="24"/>
              </w:rPr>
              <w:t>naudos gavėjų) sąrašo data</w:t>
            </w:r>
            <w:r w:rsidRPr="00F56730">
              <w:rPr>
                <w:rFonts w:eastAsiaTheme="minorHAnsi"/>
                <w:bCs/>
                <w:i/>
              </w:rPr>
              <w:t xml:space="preserve">. Projekto vykdytojui </w:t>
            </w:r>
            <w:r w:rsidRPr="00F56730">
              <w:rPr>
                <w:i/>
              </w:rPr>
              <w:t>neturint nurodytų dokumentų (</w:t>
            </w:r>
            <w:r w:rsidRPr="00F56730">
              <w:rPr>
                <w:rFonts w:eastAsiaTheme="minorHAnsi"/>
                <w:bCs/>
                <w:i/>
              </w:rPr>
              <w:t xml:space="preserve">sutarties dėl dalyvavimo tarptautinėje parodoje, mugėje arba verslo misijos dalyvių (galutinių </w:t>
            </w:r>
            <w:r w:rsidRPr="00F56730">
              <w:rPr>
                <w:rFonts w:ascii="Arno Pro" w:hAnsi="Arno Pro"/>
                <w:i/>
                <w:szCs w:val="24"/>
              </w:rPr>
              <w:t>naudos gavėjų) sąrašo</w:t>
            </w:r>
            <w:r w:rsidRPr="00F56730">
              <w:rPr>
                <w:i/>
              </w:rPr>
              <w:t xml:space="preserve">), projekto veiksmų, </w:t>
            </w:r>
            <w:r w:rsidRPr="00F56730">
              <w:rPr>
                <w:rFonts w:eastAsiaTheme="minorHAnsi"/>
                <w:bCs/>
                <w:i/>
              </w:rPr>
              <w:t xml:space="preserve">vykdomų nuo fiksuotojo įkainio dydžio ar jo taikymo sąlygų patikslinimo įsigaliojimo dienos, </w:t>
            </w:r>
            <w:r w:rsidRPr="00F56730">
              <w:rPr>
                <w:i/>
              </w:rPr>
              <w:t>pradžia laikoma tarptautinės parodos, mugės ar verslo misijos data</w:t>
            </w:r>
            <w:r>
              <w:rPr>
                <w:color w:val="1F4E79"/>
              </w:rPr>
              <w:t>.</w:t>
            </w:r>
          </w:p>
          <w:p w14:paraId="211701DF" w14:textId="77777777" w:rsidR="00867037" w:rsidRPr="00D0178E" w:rsidRDefault="00867037" w:rsidP="00BD23AA">
            <w:pPr>
              <w:jc w:val="both"/>
            </w:pPr>
          </w:p>
        </w:tc>
      </w:tr>
      <w:tr w:rsidR="00CB0032" w:rsidRPr="00C70D14" w14:paraId="06F5D8C5" w14:textId="77777777" w:rsidTr="00CB0032">
        <w:tc>
          <w:tcPr>
            <w:tcW w:w="567" w:type="dxa"/>
          </w:tcPr>
          <w:p w14:paraId="0D3A6CE2" w14:textId="77777777" w:rsidR="00CB0032" w:rsidRPr="0038099D" w:rsidRDefault="00CB0032" w:rsidP="00CB0032">
            <w:pPr>
              <w:pStyle w:val="ListParagraph"/>
              <w:numPr>
                <w:ilvl w:val="0"/>
                <w:numId w:val="1"/>
              </w:numPr>
              <w:jc w:val="both"/>
            </w:pPr>
          </w:p>
        </w:tc>
        <w:tc>
          <w:tcPr>
            <w:tcW w:w="1985" w:type="dxa"/>
            <w:vMerge/>
          </w:tcPr>
          <w:p w14:paraId="156FC51D" w14:textId="77777777" w:rsidR="00CB0032" w:rsidRPr="00AD28CE" w:rsidRDefault="00CB0032" w:rsidP="00CB0032">
            <w:pPr>
              <w:rPr>
                <w:b/>
                <w:szCs w:val="24"/>
              </w:rPr>
            </w:pPr>
          </w:p>
        </w:tc>
        <w:tc>
          <w:tcPr>
            <w:tcW w:w="6833" w:type="dxa"/>
          </w:tcPr>
          <w:p w14:paraId="7BE9A70C" w14:textId="77777777" w:rsidR="00CB0032" w:rsidRPr="00A9005A" w:rsidRDefault="00CB0032" w:rsidP="00A9005A">
            <w:pPr>
              <w:pStyle w:val="ListParagraph"/>
              <w:numPr>
                <w:ilvl w:val="0"/>
                <w:numId w:val="9"/>
              </w:numPr>
              <w:tabs>
                <w:tab w:val="left" w:pos="385"/>
              </w:tabs>
              <w:ind w:left="33" w:firstLine="0"/>
              <w:jc w:val="both"/>
              <w:rPr>
                <w:iCs/>
              </w:rPr>
            </w:pPr>
            <w:r w:rsidRPr="00A9005A">
              <w:rPr>
                <w:iCs/>
              </w:rPr>
              <w:t>Atkreipiame dėmesį, kad siūlomi Aprašo pakeitimai yra sąlygoti valdžios institucijų veiksmais, kurioms nei tiesioginės, nei netiesioginės įtakos negalėjo daryti projektų vykdytojai, teisėtais pagrindais įgyvendinantys projektus pagal pasirašytų projektų sutarčių sąlygas. Projektų sutarties sąlygų keitimas vienašališkai iš LVPA (tiesiogiai veikiamos Ministerijos ir Valdančiosios institucijos) pusės grubiai pažeidžia antrosios pusės  (projekto vykdytojų) teises.</w:t>
            </w:r>
          </w:p>
          <w:p w14:paraId="4DBA7C6E" w14:textId="77777777" w:rsidR="00CB0032" w:rsidRPr="00867037" w:rsidRDefault="00CB0032" w:rsidP="00CB0032">
            <w:pPr>
              <w:jc w:val="both"/>
              <w:rPr>
                <w:iCs/>
              </w:rPr>
            </w:pPr>
            <w:r w:rsidRPr="00867037">
              <w:rPr>
                <w:iCs/>
              </w:rPr>
              <w:t xml:space="preserve">Pažymėtina ir tai, kad projektų finansavimo sutartyse yra vienareikšmė ir aiški nuostata, kuri nurodo, kad: </w:t>
            </w:r>
            <w:r>
              <w:rPr>
                <w:iCs/>
              </w:rPr>
              <w:t>„</w:t>
            </w:r>
            <w:r w:rsidRPr="00867037">
              <w:rPr>
                <w:iCs/>
              </w:rPr>
              <w:t xml:space="preserve">3.12. Sutarties 3 </w:t>
            </w:r>
            <w:r w:rsidRPr="00867037">
              <w:rPr>
                <w:iCs/>
              </w:rPr>
              <w:lastRenderedPageBreak/>
              <w:t>priede nustatyti fiksuotieji įkainiai ir fiksuotųjų įkainių dydžiai yra galutiniai ir jie negali keis</w:t>
            </w:r>
            <w:r>
              <w:rPr>
                <w:iCs/>
              </w:rPr>
              <w:t>tis projekto įgyvendinimo metu.“</w:t>
            </w:r>
            <w:r w:rsidRPr="00867037">
              <w:rPr>
                <w:iCs/>
              </w:rPr>
              <w:t xml:space="preserve"> Esant galiojančioms tokioms sutarties nuostatoms, kiti ne sutarties šalių priimti fiksuotų įkainių pakeitimai negali būti tiesiogiai taikomi sutarties šalims. Pakeitimai galimi tik šalims susitarus ir tai tinkamai įforminus. Be to, visi šiuo metu aptariami ar anksčiau priimti įkainių dydžių nustatymo ir keitimo pakeitimai yra padaryti ar daromi, esant jau pasirašytoms ir galiojančioms projektų sutartims.</w:t>
            </w:r>
          </w:p>
          <w:p w14:paraId="06447895" w14:textId="77777777" w:rsidR="00CB0032" w:rsidRPr="00867037" w:rsidRDefault="00CB0032" w:rsidP="00CB0032">
            <w:pPr>
              <w:jc w:val="both"/>
              <w:rPr>
                <w:iCs/>
              </w:rPr>
            </w:pPr>
            <w:r w:rsidRPr="00867037">
              <w:rPr>
                <w:iCs/>
              </w:rPr>
              <w:t>Projektų sutarties sąlygų keitimai galimi tik teismui nustačius, kad sutartys sudarytos neteisėtai ir nesilaikant tuo metu galiojusių teisės aktų nuostatų arba abiejų pusių sutarimu, pavyzdžiui, vienai pusei sumažinus viešąsias investicijas, kitai pusei suteikiama teisė sumažinti siektinus rezultatus ar pan.</w:t>
            </w:r>
          </w:p>
          <w:p w14:paraId="0BD29FD5" w14:textId="77777777" w:rsidR="00CB0032" w:rsidRPr="00867037" w:rsidRDefault="00CB0032" w:rsidP="00CB0032">
            <w:pPr>
              <w:jc w:val="both"/>
              <w:rPr>
                <w:iCs/>
                <w:szCs w:val="24"/>
              </w:rPr>
            </w:pPr>
            <w:r w:rsidRPr="00867037">
              <w:rPr>
                <w:iCs/>
              </w:rPr>
              <w:t xml:space="preserve">Be to, toks pakeitimas prieštarauja viešai deklaruojamiems ministerijos siekiams mažinti administracinę naštą. Vietoje anksčiau galiojusių aiškių ir konkrečių fiksuotų įkainių, patvirtintų atitinkamais teisės aktais, dabar reikalaujama vadovautis kažkieno atliktais tyrimais ir parengta ataskaita, kuri net nežinia kieno buvo aprobuota ar patvirtinta. Pagal savo pobūdį tokios tyrimo ataskaitos yra rengiamos kaip pagalbinis dokumentas atsakingoms institucijoms sprendimams priimti, tačiau jos negali pakeisti privalomų priimti norminio pobūdžio teisės aktų. Nuoroda į tyrimo ataskaitas taip pat reiškia, kad pareiškėjams užkraunama pareiga ir atsakomybė nagrinėti keliasdešimties puslapių tyrimų ataskaitas, ieškoti visame tekste reikalingų lentelių ir formulių, suprasti, kaip jas tinkamai </w:t>
            </w:r>
            <w:r w:rsidRPr="00867037">
              <w:rPr>
                <w:iCs/>
                <w:szCs w:val="24"/>
              </w:rPr>
              <w:t>taikyti. Tai visiškai neatitinka gero ir efektyvaus viešojo administravimo principo.</w:t>
            </w:r>
          </w:p>
          <w:p w14:paraId="2A4A6E98" w14:textId="77777777" w:rsidR="00CB0032" w:rsidRPr="00867037" w:rsidRDefault="00CB0032" w:rsidP="00CB0032">
            <w:pPr>
              <w:jc w:val="both"/>
              <w:rPr>
                <w:iCs/>
                <w:szCs w:val="24"/>
              </w:rPr>
            </w:pPr>
          </w:p>
          <w:p w14:paraId="04818A40" w14:textId="77777777" w:rsidR="00CB0032" w:rsidRPr="00867037" w:rsidRDefault="00CB0032" w:rsidP="00CB0032">
            <w:pPr>
              <w:jc w:val="both"/>
              <w:rPr>
                <w:iCs/>
                <w:szCs w:val="24"/>
              </w:rPr>
            </w:pPr>
            <w:r w:rsidRPr="00867037">
              <w:rPr>
                <w:iCs/>
                <w:szCs w:val="24"/>
              </w:rPr>
              <w:t xml:space="preserve">Taip pat pastebėtina, kad Lietuvos Respublikos valstybės kontrolės Europos Sąjungos investicijų audito departamento pateiktos išvados liečia tik ES investicijų panaudojimą finansuojant projektus  pagal šį PFSA, tačiau ne pačios Lietuvos pastangas paskatinti MVĮ kuo </w:t>
            </w:r>
            <w:r w:rsidRPr="00867037">
              <w:rPr>
                <w:iCs/>
                <w:szCs w:val="24"/>
              </w:rPr>
              <w:lastRenderedPageBreak/>
              <w:t xml:space="preserve">daugiau dėmesio skirti naujų užsienio rinkų paieškai ir esamų rinkų plėtrai. </w:t>
            </w:r>
          </w:p>
          <w:p w14:paraId="78A1623C" w14:textId="77777777" w:rsidR="00CB0032" w:rsidRPr="00867037" w:rsidRDefault="00CB0032" w:rsidP="00CB0032">
            <w:pPr>
              <w:jc w:val="both"/>
              <w:rPr>
                <w:b/>
                <w:bCs/>
                <w:iCs/>
                <w:szCs w:val="24"/>
              </w:rPr>
            </w:pPr>
            <w:r w:rsidRPr="00867037">
              <w:rPr>
                <w:b/>
                <w:bCs/>
                <w:iCs/>
                <w:szCs w:val="24"/>
              </w:rPr>
              <w:t>Todėl siekiant:</w:t>
            </w:r>
          </w:p>
          <w:p w14:paraId="62427F59" w14:textId="77777777" w:rsidR="00CB0032" w:rsidRPr="00867037" w:rsidRDefault="00CB0032" w:rsidP="00CB0032">
            <w:pPr>
              <w:pStyle w:val="ListParagraph"/>
              <w:numPr>
                <w:ilvl w:val="0"/>
                <w:numId w:val="6"/>
              </w:numPr>
              <w:contextualSpacing w:val="0"/>
              <w:jc w:val="both"/>
              <w:rPr>
                <w:iCs/>
                <w:szCs w:val="24"/>
              </w:rPr>
            </w:pPr>
            <w:r w:rsidRPr="00867037">
              <w:rPr>
                <w:iCs/>
                <w:szCs w:val="24"/>
              </w:rPr>
              <w:t>išvengti galimų teisminių ginčų su projektų vykdytojais bei su tuo susijusių papildomų išlaidų;</w:t>
            </w:r>
          </w:p>
          <w:p w14:paraId="2C1C545F" w14:textId="77777777" w:rsidR="00CB0032" w:rsidRPr="00867037" w:rsidRDefault="00CB0032" w:rsidP="00CB0032">
            <w:pPr>
              <w:pStyle w:val="ListParagraph"/>
              <w:numPr>
                <w:ilvl w:val="0"/>
                <w:numId w:val="6"/>
              </w:numPr>
              <w:contextualSpacing w:val="0"/>
              <w:jc w:val="both"/>
              <w:rPr>
                <w:iCs/>
                <w:szCs w:val="24"/>
              </w:rPr>
            </w:pPr>
            <w:r w:rsidRPr="00867037">
              <w:rPr>
                <w:iCs/>
                <w:szCs w:val="24"/>
              </w:rPr>
              <w:t>nediskredituoti viešųjų investicijų skatinamojo pobūdžio;</w:t>
            </w:r>
          </w:p>
          <w:p w14:paraId="55DD8E96" w14:textId="77777777" w:rsidR="00CB0032" w:rsidRPr="00867037" w:rsidRDefault="00CB0032" w:rsidP="00CB0032">
            <w:pPr>
              <w:pStyle w:val="ListParagraph"/>
              <w:numPr>
                <w:ilvl w:val="0"/>
                <w:numId w:val="6"/>
              </w:numPr>
              <w:contextualSpacing w:val="0"/>
              <w:jc w:val="both"/>
              <w:rPr>
                <w:iCs/>
                <w:szCs w:val="24"/>
              </w:rPr>
            </w:pPr>
            <w:r w:rsidRPr="00867037">
              <w:rPr>
                <w:iCs/>
                <w:szCs w:val="24"/>
              </w:rPr>
              <w:t>užtikrinti tvarų poveikį Lietuvos ekonomikai;</w:t>
            </w:r>
          </w:p>
          <w:p w14:paraId="2FB3F4AC" w14:textId="77777777" w:rsidR="00CB0032" w:rsidRPr="00867037" w:rsidRDefault="00CB0032" w:rsidP="00CB0032">
            <w:pPr>
              <w:jc w:val="both"/>
              <w:rPr>
                <w:b/>
                <w:bCs/>
                <w:iCs/>
                <w:szCs w:val="24"/>
              </w:rPr>
            </w:pPr>
            <w:r w:rsidRPr="00867037">
              <w:rPr>
                <w:b/>
                <w:bCs/>
                <w:iCs/>
                <w:szCs w:val="24"/>
              </w:rPr>
              <w:t>siūlome numatyti, kad:</w:t>
            </w:r>
          </w:p>
          <w:p w14:paraId="25BE3EB5" w14:textId="77777777" w:rsidR="00CB0032" w:rsidRPr="00867037" w:rsidRDefault="00CB0032" w:rsidP="00CB0032">
            <w:pPr>
              <w:pStyle w:val="ListParagraph"/>
              <w:numPr>
                <w:ilvl w:val="0"/>
                <w:numId w:val="6"/>
              </w:numPr>
              <w:contextualSpacing w:val="0"/>
              <w:jc w:val="both"/>
              <w:rPr>
                <w:iCs/>
                <w:szCs w:val="24"/>
              </w:rPr>
            </w:pPr>
            <w:r w:rsidRPr="00867037">
              <w:rPr>
                <w:iCs/>
                <w:szCs w:val="24"/>
              </w:rPr>
              <w:t>PFSA pakeitimai taikomi tik naujiems projektams, kurie būtų teikiami pagal šį PFSA ateityje;</w:t>
            </w:r>
          </w:p>
          <w:p w14:paraId="0E785F87" w14:textId="77777777" w:rsidR="00CB0032" w:rsidRPr="00867037" w:rsidRDefault="00CB0032" w:rsidP="00CB0032">
            <w:pPr>
              <w:jc w:val="both"/>
            </w:pPr>
            <w:r w:rsidRPr="00867037">
              <w:rPr>
                <w:iCs/>
                <w:szCs w:val="24"/>
              </w:rPr>
              <w:t>Iš biudžeto lėšų finansuoti galimą skirtumą dėl fiksuotų įkainių taikymo pareiškėjams, vadovaujantis 2013 m. gruodžio 18 d. Komisijos reglamentą (ES) Nr. 1407/2013 dėl Sutarties dėl Europos Sąjungos veikimo 107 ir 108 straipsnių taikymo de minimis pagalbai (OL 2013 L 352, p. 1).</w:t>
            </w:r>
          </w:p>
        </w:tc>
        <w:tc>
          <w:tcPr>
            <w:tcW w:w="5528" w:type="dxa"/>
          </w:tcPr>
          <w:p w14:paraId="3AF5733E" w14:textId="77777777" w:rsidR="00CB0032" w:rsidRDefault="00CB0032" w:rsidP="00CB0032">
            <w:pPr>
              <w:jc w:val="both"/>
            </w:pPr>
            <w:r>
              <w:lastRenderedPageBreak/>
              <w:t>Neatsižvelgta.</w:t>
            </w:r>
          </w:p>
          <w:p w14:paraId="7552EA03" w14:textId="229D3723" w:rsidR="00CB0032" w:rsidRDefault="00CB0032" w:rsidP="00CB0032">
            <w:pPr>
              <w:jc w:val="both"/>
            </w:pPr>
            <w:r>
              <w:t xml:space="preserve">Pažymime, kad Aprašo keitimai atliekami, gavus ne Europos Komisijos </w:t>
            </w:r>
            <w:r w:rsidRPr="008E324D">
              <w:t xml:space="preserve">audito </w:t>
            </w:r>
            <w:r>
              <w:t>a</w:t>
            </w:r>
            <w:r w:rsidRPr="008E324D">
              <w:t>taskaitą</w:t>
            </w:r>
            <w:r>
              <w:t xml:space="preserve">, </w:t>
            </w:r>
            <w:r w:rsidRPr="00AF0010">
              <w:rPr>
                <w:b/>
              </w:rPr>
              <w:t>LR valstybės kontrolės</w:t>
            </w:r>
            <w:r>
              <w:t xml:space="preserve"> Europos Sąjungos investicijų audito departamento tarpinius audito rezultatus ir vadovaujančiosios institucijos – </w:t>
            </w:r>
            <w:r w:rsidRPr="00AF0010">
              <w:rPr>
                <w:b/>
              </w:rPr>
              <w:t>Finansų ministerijos raštišką nurodymą</w:t>
            </w:r>
            <w:r>
              <w:t xml:space="preserve"> atlikti Aprašo pakeitimus, vadovaujantis Projektų administravimo ir finansavimo </w:t>
            </w:r>
            <w:r>
              <w:lastRenderedPageBreak/>
              <w:t>taisyklių</w:t>
            </w:r>
            <w:r>
              <w:rPr>
                <w:rStyle w:val="FootnoteReference"/>
              </w:rPr>
              <w:footnoteReference w:customMarkFollows="1" w:id="7"/>
              <w:t>[1]</w:t>
            </w:r>
            <w:r>
              <w:t xml:space="preserve"> 428</w:t>
            </w:r>
            <w:r>
              <w:rPr>
                <w:vertAlign w:val="superscript"/>
              </w:rPr>
              <w:t>1</w:t>
            </w:r>
            <w:r>
              <w:t xml:space="preserve"> punkto nuostatomis, teigiančiomis, kad supaprastintai apmokamų išlaidų dydžiai, jų taikymo sąlygos (įskaitant galimybę juos keisti sudarius projekto sutartį) yra nustatomi projektų finansavimo sąlygų apraše (arba dokumente, kuriuo apraše nurodyta vadovautis), o </w:t>
            </w:r>
            <w:r w:rsidR="00571296">
              <w:t>vadovaujančiai institucijai</w:t>
            </w:r>
            <w:r>
              <w:t xml:space="preserve"> arba </w:t>
            </w:r>
            <w:r w:rsidR="00571296">
              <w:t>a</w:t>
            </w:r>
            <w:r>
              <w:t>udito institucijai nustačius, kad supaprastintai apmokamų išlaidų dydis ar jo taikymo sąlygos buvo netinkamai nustatyti (tais atvejais, kai dydis turėjo būti mažesnis arba kitaip taikomas), patikslintas dydis ar jo taikymo sąlygos turi būti taikomi jau įgyvendinamų projektų veiksmų, vykdomų nuo dydžio ar jo taikymo sąlygų patikslinimo įsigaliojimo dienos, išlaidoms apmokėti.</w:t>
            </w:r>
          </w:p>
          <w:p w14:paraId="08E862CA" w14:textId="77777777" w:rsidR="00CB0032" w:rsidRDefault="00CB0032" w:rsidP="00CB0032">
            <w:pPr>
              <w:jc w:val="both"/>
            </w:pPr>
            <w:r>
              <w:t xml:space="preserve">Informuojame, kad Aprašo keitimas oficialiu raštu išsiųstas derinti vadovaujančiajai institucijai – Finansų ministerijai, tačiau atsakymas dar negautas. </w:t>
            </w:r>
          </w:p>
          <w:p w14:paraId="56228FDC" w14:textId="77777777" w:rsidR="00CB0032" w:rsidRDefault="00CB0032" w:rsidP="00CB0032">
            <w:pPr>
              <w:jc w:val="both"/>
            </w:pPr>
          </w:p>
        </w:tc>
      </w:tr>
    </w:tbl>
    <w:p w14:paraId="2089BBFC" w14:textId="77777777" w:rsidR="005C5ECB" w:rsidRPr="0036662A" w:rsidRDefault="005C5ECB">
      <w:pPr>
        <w:rPr>
          <w:b/>
          <w:bCs/>
          <w:caps/>
          <w:szCs w:val="24"/>
        </w:rPr>
      </w:pPr>
    </w:p>
    <w:sectPr w:rsidR="005C5ECB" w:rsidRPr="0036662A" w:rsidSect="00CB0032">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272D3" w14:textId="77777777" w:rsidR="004B396E" w:rsidRDefault="004B396E" w:rsidP="002F2EE5">
      <w:r>
        <w:separator/>
      </w:r>
    </w:p>
  </w:endnote>
  <w:endnote w:type="continuationSeparator" w:id="0">
    <w:p w14:paraId="3EFB1C3F" w14:textId="77777777" w:rsidR="004B396E" w:rsidRDefault="004B396E" w:rsidP="002F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no Pro">
    <w:altName w:val="Constantia"/>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198E" w14:textId="77777777" w:rsidR="004B396E" w:rsidRDefault="004B396E" w:rsidP="002F2EE5">
      <w:r>
        <w:separator/>
      </w:r>
    </w:p>
  </w:footnote>
  <w:footnote w:type="continuationSeparator" w:id="0">
    <w:p w14:paraId="29AAD8DF" w14:textId="77777777" w:rsidR="004B396E" w:rsidRDefault="004B396E" w:rsidP="002F2EE5">
      <w:r>
        <w:continuationSeparator/>
      </w:r>
    </w:p>
  </w:footnote>
  <w:footnote w:id="1">
    <w:p w14:paraId="48737A84" w14:textId="77777777" w:rsidR="007723B5" w:rsidRDefault="007723B5" w:rsidP="002F2EE5">
      <w:pPr>
        <w:pStyle w:val="FootnoteText"/>
        <w:rPr>
          <w:sz w:val="22"/>
        </w:rPr>
      </w:pPr>
      <w:r>
        <w:rPr>
          <w:rStyle w:val="FootnoteReference"/>
        </w:rPr>
        <w:t>[1]</w:t>
      </w:r>
      <w:r>
        <w:t xml:space="preserve"> Patvirtintos Lietuvos Respublikos finansų ministro 2014 m. spalio 8 d. įsakymu Nr. 1K-316.</w:t>
      </w:r>
    </w:p>
  </w:footnote>
  <w:footnote w:id="2">
    <w:p w14:paraId="112FE8C8" w14:textId="77777777" w:rsidR="00EC3A17" w:rsidRDefault="00EC3A17" w:rsidP="00375B81">
      <w:pPr>
        <w:pStyle w:val="FootnoteText"/>
        <w:rPr>
          <w:sz w:val="22"/>
        </w:rPr>
      </w:pPr>
      <w:r>
        <w:rPr>
          <w:rStyle w:val="FootnoteReference"/>
        </w:rPr>
        <w:t>[1]</w:t>
      </w:r>
      <w:r>
        <w:t xml:space="preserve"> Patvirtintos Lietuvos Respublikos finansų ministro 2014 m. spalio 8 d. įsakymu Nr. 1K-316.</w:t>
      </w:r>
    </w:p>
  </w:footnote>
  <w:footnote w:id="3">
    <w:p w14:paraId="7601F76D" w14:textId="77777777" w:rsidR="00867037" w:rsidRDefault="00867037" w:rsidP="006C7554">
      <w:pPr>
        <w:pStyle w:val="FootnoteText"/>
        <w:rPr>
          <w:sz w:val="22"/>
        </w:rPr>
      </w:pPr>
      <w:r>
        <w:rPr>
          <w:rStyle w:val="FootnoteReference"/>
        </w:rPr>
        <w:t>[1]</w:t>
      </w:r>
      <w:r>
        <w:t xml:space="preserve"> Patvirtintos Lietuvos Respublikos finansų ministro 2014 m. spalio 8 d. įsakymu Nr. 1K-316.</w:t>
      </w:r>
    </w:p>
  </w:footnote>
  <w:footnote w:id="4">
    <w:p w14:paraId="447E0855" w14:textId="77777777" w:rsidR="00867037" w:rsidRPr="009B7347" w:rsidRDefault="00867037" w:rsidP="00C07AF7">
      <w:pPr>
        <w:pStyle w:val="FootnoteText"/>
        <w:jc w:val="both"/>
      </w:pPr>
      <w:r w:rsidRPr="009B7347">
        <w:rPr>
          <w:rStyle w:val="FootnoteReference"/>
        </w:rPr>
        <w:footnoteRef/>
      </w:r>
      <w:r w:rsidRPr="009B7347">
        <w:t xml:space="preserve"> 2014–2020 metų Europos Sąjungos fondų investicijų veiksmų programa</w:t>
      </w:r>
      <w:r w:rsidRPr="009B7347">
        <w:rPr>
          <w:b/>
          <w:bCs/>
        </w:rPr>
        <w:t>,</w:t>
      </w:r>
      <w:r w:rsidRPr="009B7347">
        <w:rPr>
          <w:b/>
          <w:bCs/>
          <w:color w:val="000000"/>
        </w:rPr>
        <w:t xml:space="preserve"> </w:t>
      </w:r>
      <w:r w:rsidRPr="009B7347">
        <w:rPr>
          <w:color w:val="000000"/>
        </w:rPr>
        <w:t>patvirtinta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w:t>
      </w:r>
    </w:p>
  </w:footnote>
  <w:footnote w:id="5">
    <w:p w14:paraId="321288E9" w14:textId="77777777" w:rsidR="00867037" w:rsidRPr="009B7347" w:rsidRDefault="00867037" w:rsidP="00C07AF7">
      <w:pPr>
        <w:pStyle w:val="FootnoteText"/>
        <w:jc w:val="both"/>
      </w:pPr>
      <w:r w:rsidRPr="009B7347">
        <w:rPr>
          <w:rStyle w:val="FootnoteReference"/>
        </w:rPr>
        <w:footnoteRef/>
      </w:r>
      <w:r w:rsidRPr="009B7347">
        <w:t xml:space="preserve"> EK 2019 m. vasario 21 d. raštas Nr. Ares(2019)1068653.</w:t>
      </w:r>
    </w:p>
  </w:footnote>
  <w:footnote w:id="6">
    <w:p w14:paraId="0C1B18EE" w14:textId="77777777" w:rsidR="00867037" w:rsidRPr="00E40177" w:rsidRDefault="00867037" w:rsidP="00C07AF7">
      <w:pPr>
        <w:pStyle w:val="FootnoteText"/>
        <w:jc w:val="both"/>
      </w:pPr>
      <w:r w:rsidRPr="009B7347">
        <w:rPr>
          <w:rStyle w:val="FootnoteReference"/>
        </w:rPr>
        <w:footnoteRef/>
      </w:r>
      <w:r w:rsidRPr="009B7347">
        <w:t xml:space="preserve"> 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p>
  </w:footnote>
  <w:footnote w:id="7">
    <w:p w14:paraId="0698247A" w14:textId="77777777" w:rsidR="00CB0032" w:rsidRDefault="00CB0032" w:rsidP="00375B81">
      <w:pPr>
        <w:pStyle w:val="FootnoteText"/>
        <w:rPr>
          <w:sz w:val="22"/>
        </w:rPr>
      </w:pPr>
      <w:r>
        <w:rPr>
          <w:rStyle w:val="FootnoteReference"/>
        </w:rPr>
        <w:t>[1]</w:t>
      </w:r>
      <w:r>
        <w:t xml:space="preserve"> Patvirtintos Lietuvos Respublikos finansų ministro 2014 m. spalio 8 d. įsakymu Nr. 1K-316.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260196"/>
      <w:docPartObj>
        <w:docPartGallery w:val="Page Numbers (Top of Page)"/>
        <w:docPartUnique/>
      </w:docPartObj>
    </w:sdtPr>
    <w:sdtEndPr>
      <w:rPr>
        <w:noProof/>
      </w:rPr>
    </w:sdtEndPr>
    <w:sdtContent>
      <w:p w14:paraId="7A5AC307" w14:textId="1766AFBE" w:rsidR="00CB0032" w:rsidRDefault="00CB0032">
        <w:pPr>
          <w:pStyle w:val="Header"/>
          <w:jc w:val="center"/>
        </w:pPr>
        <w:r>
          <w:fldChar w:fldCharType="begin"/>
        </w:r>
        <w:r>
          <w:instrText xml:space="preserve"> PAGE   \* MERGEFORMAT </w:instrText>
        </w:r>
        <w:r>
          <w:fldChar w:fldCharType="separate"/>
        </w:r>
        <w:r w:rsidR="00BE1F39">
          <w:rPr>
            <w:noProof/>
          </w:rPr>
          <w:t>2</w:t>
        </w:r>
        <w:r>
          <w:rPr>
            <w:noProof/>
          </w:rPr>
          <w:fldChar w:fldCharType="end"/>
        </w:r>
      </w:p>
    </w:sdtContent>
  </w:sdt>
  <w:p w14:paraId="06F8CDA5" w14:textId="77777777" w:rsidR="00CB0032" w:rsidRDefault="00CB0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3B5B"/>
    <w:multiLevelType w:val="hybridMultilevel"/>
    <w:tmpl w:val="40C63B9A"/>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11D6F"/>
    <w:multiLevelType w:val="hybridMultilevel"/>
    <w:tmpl w:val="5C78D1F4"/>
    <w:lvl w:ilvl="0" w:tplc="2C447398">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2E10652"/>
    <w:multiLevelType w:val="hybridMultilevel"/>
    <w:tmpl w:val="3AF41D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72B86"/>
    <w:multiLevelType w:val="hybridMultilevel"/>
    <w:tmpl w:val="ED08F278"/>
    <w:lvl w:ilvl="0" w:tplc="88AA617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504FF2"/>
    <w:multiLevelType w:val="hybridMultilevel"/>
    <w:tmpl w:val="5FBAC138"/>
    <w:lvl w:ilvl="0" w:tplc="2DDE05C2">
      <w:start w:val="4"/>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5A2F08A7"/>
    <w:multiLevelType w:val="hybridMultilevel"/>
    <w:tmpl w:val="9C8C2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E84A69"/>
    <w:multiLevelType w:val="multilevel"/>
    <w:tmpl w:val="B2308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6AE65EF"/>
    <w:multiLevelType w:val="hybridMultilevel"/>
    <w:tmpl w:val="E108A6B8"/>
    <w:lvl w:ilvl="0" w:tplc="12BAA798">
      <w:start w:val="4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B7997"/>
    <w:rsid w:val="000D3EFE"/>
    <w:rsid w:val="000E1F0C"/>
    <w:rsid w:val="000E275C"/>
    <w:rsid w:val="000E7A99"/>
    <w:rsid w:val="000F0406"/>
    <w:rsid w:val="000F5CE6"/>
    <w:rsid w:val="00105F91"/>
    <w:rsid w:val="00112C6F"/>
    <w:rsid w:val="00115372"/>
    <w:rsid w:val="001577E4"/>
    <w:rsid w:val="0018373E"/>
    <w:rsid w:val="00184FC3"/>
    <w:rsid w:val="00194702"/>
    <w:rsid w:val="001A5935"/>
    <w:rsid w:val="001C2F60"/>
    <w:rsid w:val="001D6507"/>
    <w:rsid w:val="001D67C3"/>
    <w:rsid w:val="001E4CE7"/>
    <w:rsid w:val="001E6748"/>
    <w:rsid w:val="001E67A5"/>
    <w:rsid w:val="001F58BC"/>
    <w:rsid w:val="0020434A"/>
    <w:rsid w:val="00232C76"/>
    <w:rsid w:val="00234AE2"/>
    <w:rsid w:val="00241C69"/>
    <w:rsid w:val="00247BB5"/>
    <w:rsid w:val="00270AE5"/>
    <w:rsid w:val="00270E2F"/>
    <w:rsid w:val="002923A6"/>
    <w:rsid w:val="002A27A2"/>
    <w:rsid w:val="002C79BA"/>
    <w:rsid w:val="002D06CB"/>
    <w:rsid w:val="002D4066"/>
    <w:rsid w:val="002D4D56"/>
    <w:rsid w:val="002E1B28"/>
    <w:rsid w:val="002F2EE5"/>
    <w:rsid w:val="003147C8"/>
    <w:rsid w:val="00330EC9"/>
    <w:rsid w:val="003529B3"/>
    <w:rsid w:val="00366151"/>
    <w:rsid w:val="0036662A"/>
    <w:rsid w:val="00375B81"/>
    <w:rsid w:val="00383339"/>
    <w:rsid w:val="003865B8"/>
    <w:rsid w:val="003A1AD9"/>
    <w:rsid w:val="003B2FAE"/>
    <w:rsid w:val="003E77A4"/>
    <w:rsid w:val="003F394F"/>
    <w:rsid w:val="003F5676"/>
    <w:rsid w:val="004136A8"/>
    <w:rsid w:val="00414DB9"/>
    <w:rsid w:val="004378EE"/>
    <w:rsid w:val="00441C29"/>
    <w:rsid w:val="00452AAF"/>
    <w:rsid w:val="00465A52"/>
    <w:rsid w:val="00475E13"/>
    <w:rsid w:val="0048023D"/>
    <w:rsid w:val="00482B56"/>
    <w:rsid w:val="004A4035"/>
    <w:rsid w:val="004A5F41"/>
    <w:rsid w:val="004B396E"/>
    <w:rsid w:val="004B65D4"/>
    <w:rsid w:val="004C44BD"/>
    <w:rsid w:val="004D11D5"/>
    <w:rsid w:val="004E6B69"/>
    <w:rsid w:val="005004F3"/>
    <w:rsid w:val="005026C0"/>
    <w:rsid w:val="0052438A"/>
    <w:rsid w:val="00530B13"/>
    <w:rsid w:val="0054453C"/>
    <w:rsid w:val="00547C74"/>
    <w:rsid w:val="005516A5"/>
    <w:rsid w:val="005533C2"/>
    <w:rsid w:val="00571253"/>
    <w:rsid w:val="00571296"/>
    <w:rsid w:val="00581B51"/>
    <w:rsid w:val="00593EE0"/>
    <w:rsid w:val="0059479F"/>
    <w:rsid w:val="005B1293"/>
    <w:rsid w:val="005B79FB"/>
    <w:rsid w:val="005C5B4A"/>
    <w:rsid w:val="005C5ECB"/>
    <w:rsid w:val="005E0604"/>
    <w:rsid w:val="005F038F"/>
    <w:rsid w:val="005F0F88"/>
    <w:rsid w:val="006106A7"/>
    <w:rsid w:val="00643DEF"/>
    <w:rsid w:val="00665BE2"/>
    <w:rsid w:val="00677B1E"/>
    <w:rsid w:val="006824CC"/>
    <w:rsid w:val="006A1E78"/>
    <w:rsid w:val="006A22E2"/>
    <w:rsid w:val="006B0D85"/>
    <w:rsid w:val="006B526A"/>
    <w:rsid w:val="006B75D2"/>
    <w:rsid w:val="006C0163"/>
    <w:rsid w:val="006C62C9"/>
    <w:rsid w:val="006C7554"/>
    <w:rsid w:val="006E16C9"/>
    <w:rsid w:val="00707C95"/>
    <w:rsid w:val="00715CD0"/>
    <w:rsid w:val="00724D01"/>
    <w:rsid w:val="0072623F"/>
    <w:rsid w:val="00741C32"/>
    <w:rsid w:val="00742585"/>
    <w:rsid w:val="00747BC9"/>
    <w:rsid w:val="007537EC"/>
    <w:rsid w:val="00761496"/>
    <w:rsid w:val="007723B5"/>
    <w:rsid w:val="007769FC"/>
    <w:rsid w:val="007B3E81"/>
    <w:rsid w:val="007D3038"/>
    <w:rsid w:val="007D4406"/>
    <w:rsid w:val="007F5F38"/>
    <w:rsid w:val="0080172F"/>
    <w:rsid w:val="008359DC"/>
    <w:rsid w:val="0085384B"/>
    <w:rsid w:val="00856EDA"/>
    <w:rsid w:val="008576A6"/>
    <w:rsid w:val="00865C80"/>
    <w:rsid w:val="008663E3"/>
    <w:rsid w:val="00867037"/>
    <w:rsid w:val="00875636"/>
    <w:rsid w:val="00885C3D"/>
    <w:rsid w:val="00892B39"/>
    <w:rsid w:val="008A53CB"/>
    <w:rsid w:val="008C3DAE"/>
    <w:rsid w:val="008D5F38"/>
    <w:rsid w:val="008E3C68"/>
    <w:rsid w:val="008F1934"/>
    <w:rsid w:val="008F38C3"/>
    <w:rsid w:val="00926630"/>
    <w:rsid w:val="00933886"/>
    <w:rsid w:val="0093691E"/>
    <w:rsid w:val="00947C9D"/>
    <w:rsid w:val="00953CA5"/>
    <w:rsid w:val="00954EEB"/>
    <w:rsid w:val="00956C1E"/>
    <w:rsid w:val="0097341D"/>
    <w:rsid w:val="0099342A"/>
    <w:rsid w:val="009A06C9"/>
    <w:rsid w:val="009A3A82"/>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39B6"/>
    <w:rsid w:val="00A54BBD"/>
    <w:rsid w:val="00A57B5D"/>
    <w:rsid w:val="00A6632E"/>
    <w:rsid w:val="00A80ADA"/>
    <w:rsid w:val="00A845D7"/>
    <w:rsid w:val="00A9005A"/>
    <w:rsid w:val="00A91F0C"/>
    <w:rsid w:val="00AA24BA"/>
    <w:rsid w:val="00AC4B6C"/>
    <w:rsid w:val="00AD28CE"/>
    <w:rsid w:val="00AD5789"/>
    <w:rsid w:val="00AF0010"/>
    <w:rsid w:val="00AF0A0D"/>
    <w:rsid w:val="00AF25D0"/>
    <w:rsid w:val="00AF2A89"/>
    <w:rsid w:val="00B0591B"/>
    <w:rsid w:val="00B06DF8"/>
    <w:rsid w:val="00B14AA0"/>
    <w:rsid w:val="00B16CC9"/>
    <w:rsid w:val="00B26628"/>
    <w:rsid w:val="00B46548"/>
    <w:rsid w:val="00B51869"/>
    <w:rsid w:val="00B7378D"/>
    <w:rsid w:val="00B75709"/>
    <w:rsid w:val="00B955C3"/>
    <w:rsid w:val="00B9676C"/>
    <w:rsid w:val="00B978FF"/>
    <w:rsid w:val="00BA3F54"/>
    <w:rsid w:val="00BB138B"/>
    <w:rsid w:val="00BB72F2"/>
    <w:rsid w:val="00BC5BDA"/>
    <w:rsid w:val="00BD17AE"/>
    <w:rsid w:val="00BD23AA"/>
    <w:rsid w:val="00BE1E8F"/>
    <w:rsid w:val="00BE1F39"/>
    <w:rsid w:val="00BE6468"/>
    <w:rsid w:val="00BE6CC1"/>
    <w:rsid w:val="00BF587A"/>
    <w:rsid w:val="00C04212"/>
    <w:rsid w:val="00C07AF7"/>
    <w:rsid w:val="00C25B44"/>
    <w:rsid w:val="00C3317D"/>
    <w:rsid w:val="00C33E49"/>
    <w:rsid w:val="00C35591"/>
    <w:rsid w:val="00C41BD5"/>
    <w:rsid w:val="00C41EDB"/>
    <w:rsid w:val="00C535B1"/>
    <w:rsid w:val="00C6260A"/>
    <w:rsid w:val="00C66A60"/>
    <w:rsid w:val="00C916C8"/>
    <w:rsid w:val="00C94B40"/>
    <w:rsid w:val="00C97E60"/>
    <w:rsid w:val="00CA2E85"/>
    <w:rsid w:val="00CA6AE7"/>
    <w:rsid w:val="00CB0032"/>
    <w:rsid w:val="00CB2790"/>
    <w:rsid w:val="00CB505F"/>
    <w:rsid w:val="00CC0077"/>
    <w:rsid w:val="00CD58C0"/>
    <w:rsid w:val="00CE1B92"/>
    <w:rsid w:val="00CE53AB"/>
    <w:rsid w:val="00CF2C5D"/>
    <w:rsid w:val="00CF7C87"/>
    <w:rsid w:val="00D0178E"/>
    <w:rsid w:val="00D548C8"/>
    <w:rsid w:val="00D54ED4"/>
    <w:rsid w:val="00D66763"/>
    <w:rsid w:val="00D73F22"/>
    <w:rsid w:val="00D809D0"/>
    <w:rsid w:val="00DB3586"/>
    <w:rsid w:val="00DC2DD4"/>
    <w:rsid w:val="00DC5385"/>
    <w:rsid w:val="00DC7728"/>
    <w:rsid w:val="00DC7AB7"/>
    <w:rsid w:val="00DE1BD0"/>
    <w:rsid w:val="00DE693B"/>
    <w:rsid w:val="00E23FE7"/>
    <w:rsid w:val="00E307F8"/>
    <w:rsid w:val="00E314FC"/>
    <w:rsid w:val="00E47926"/>
    <w:rsid w:val="00E53DCA"/>
    <w:rsid w:val="00E6399A"/>
    <w:rsid w:val="00E85B2A"/>
    <w:rsid w:val="00E95B1A"/>
    <w:rsid w:val="00EC036E"/>
    <w:rsid w:val="00EC0828"/>
    <w:rsid w:val="00EC3A17"/>
    <w:rsid w:val="00EC6B07"/>
    <w:rsid w:val="00EF0A83"/>
    <w:rsid w:val="00EF5D3D"/>
    <w:rsid w:val="00F16636"/>
    <w:rsid w:val="00F17A0F"/>
    <w:rsid w:val="00F43952"/>
    <w:rsid w:val="00F449CA"/>
    <w:rsid w:val="00F45F44"/>
    <w:rsid w:val="00F46B15"/>
    <w:rsid w:val="00F56078"/>
    <w:rsid w:val="00F56730"/>
    <w:rsid w:val="00F65461"/>
    <w:rsid w:val="00F74AD4"/>
    <w:rsid w:val="00F7759E"/>
    <w:rsid w:val="00F8394C"/>
    <w:rsid w:val="00FA1C73"/>
    <w:rsid w:val="00FA2FE9"/>
    <w:rsid w:val="00FC1D93"/>
    <w:rsid w:val="00FD0EAB"/>
    <w:rsid w:val="00FE08AA"/>
    <w:rsid w:val="00FE2A36"/>
    <w:rsid w:val="00FF4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F0A0"/>
  <w15:docId w15:val="{4DA8CB1F-AF33-4998-8304-841D68FF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uiPriority w:val="99"/>
    <w:locked/>
    <w:rsid w:val="002F2EE5"/>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Char"/>
    <w:basedOn w:val="Normal"/>
    <w:link w:val="FootnoteTextChar"/>
    <w:uiPriority w:val="99"/>
    <w:unhideWhenUsed/>
    <w:qFormat/>
    <w:rsid w:val="002F2EE5"/>
    <w:rPr>
      <w:rFonts w:eastAsiaTheme="minorHAnsi"/>
      <w:szCs w:val="22"/>
      <w:lang w:eastAsia="en-US"/>
    </w:rPr>
  </w:style>
  <w:style w:type="character" w:customStyle="1" w:styleId="FootnoteTextChar1">
    <w:name w:val="Footnote Text Char1"/>
    <w:basedOn w:val="DefaultParagraphFont"/>
    <w:uiPriority w:val="99"/>
    <w:semiHidden/>
    <w:rsid w:val="002F2EE5"/>
    <w:rPr>
      <w:rFonts w:eastAsia="Times New Roman"/>
      <w:sz w:val="20"/>
      <w:szCs w:val="20"/>
      <w:lang w:eastAsia="lt-LT"/>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w:basedOn w:val="DefaultParagraphFont"/>
    <w:uiPriority w:val="99"/>
    <w:unhideWhenUsed/>
    <w:rsid w:val="002F2EE5"/>
    <w:rPr>
      <w:vertAlign w:val="superscript"/>
    </w:rPr>
  </w:style>
  <w:style w:type="character" w:styleId="CommentReference">
    <w:name w:val="annotation reference"/>
    <w:basedOn w:val="DefaultParagraphFont"/>
    <w:uiPriority w:val="99"/>
    <w:semiHidden/>
    <w:unhideWhenUsed/>
    <w:rsid w:val="00383339"/>
    <w:rPr>
      <w:sz w:val="16"/>
      <w:szCs w:val="16"/>
    </w:rPr>
  </w:style>
  <w:style w:type="paragraph" w:styleId="CommentText">
    <w:name w:val="annotation text"/>
    <w:basedOn w:val="Normal"/>
    <w:link w:val="CommentTextChar"/>
    <w:uiPriority w:val="99"/>
    <w:semiHidden/>
    <w:unhideWhenUsed/>
    <w:rsid w:val="00383339"/>
    <w:rPr>
      <w:sz w:val="20"/>
    </w:rPr>
  </w:style>
  <w:style w:type="character" w:customStyle="1" w:styleId="CommentTextChar">
    <w:name w:val="Comment Text Char"/>
    <w:basedOn w:val="DefaultParagraphFont"/>
    <w:link w:val="CommentText"/>
    <w:uiPriority w:val="99"/>
    <w:semiHidden/>
    <w:rsid w:val="00383339"/>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83339"/>
    <w:rPr>
      <w:b/>
      <w:bCs/>
    </w:rPr>
  </w:style>
  <w:style w:type="character" w:customStyle="1" w:styleId="CommentSubjectChar">
    <w:name w:val="Comment Subject Char"/>
    <w:basedOn w:val="CommentTextChar"/>
    <w:link w:val="CommentSubject"/>
    <w:uiPriority w:val="99"/>
    <w:semiHidden/>
    <w:rsid w:val="00383339"/>
    <w:rPr>
      <w:rFonts w:eastAsia="Times New Roman"/>
      <w:b/>
      <w:bCs/>
      <w:sz w:val="20"/>
      <w:szCs w:val="20"/>
      <w:lang w:eastAsia="lt-LT"/>
    </w:rPr>
  </w:style>
  <w:style w:type="paragraph" w:styleId="Header">
    <w:name w:val="header"/>
    <w:basedOn w:val="Normal"/>
    <w:link w:val="HeaderChar"/>
    <w:uiPriority w:val="99"/>
    <w:unhideWhenUsed/>
    <w:rsid w:val="00CB0032"/>
    <w:pPr>
      <w:tabs>
        <w:tab w:val="center" w:pos="4986"/>
        <w:tab w:val="right" w:pos="9972"/>
      </w:tabs>
    </w:pPr>
  </w:style>
  <w:style w:type="character" w:customStyle="1" w:styleId="HeaderChar">
    <w:name w:val="Header Char"/>
    <w:basedOn w:val="DefaultParagraphFont"/>
    <w:link w:val="Header"/>
    <w:uiPriority w:val="99"/>
    <w:rsid w:val="00CB0032"/>
    <w:rPr>
      <w:rFonts w:eastAsia="Times New Roman"/>
      <w:szCs w:val="20"/>
      <w:lang w:eastAsia="lt-LT"/>
    </w:rPr>
  </w:style>
  <w:style w:type="paragraph" w:styleId="Footer">
    <w:name w:val="footer"/>
    <w:basedOn w:val="Normal"/>
    <w:link w:val="FooterChar"/>
    <w:uiPriority w:val="99"/>
    <w:unhideWhenUsed/>
    <w:rsid w:val="00CB0032"/>
    <w:pPr>
      <w:tabs>
        <w:tab w:val="center" w:pos="4986"/>
        <w:tab w:val="right" w:pos="9972"/>
      </w:tabs>
    </w:pPr>
  </w:style>
  <w:style w:type="character" w:customStyle="1" w:styleId="FooterChar">
    <w:name w:val="Footer Char"/>
    <w:basedOn w:val="DefaultParagraphFont"/>
    <w:link w:val="Footer"/>
    <w:uiPriority w:val="99"/>
    <w:rsid w:val="00CB0032"/>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81261">
      <w:bodyDiv w:val="1"/>
      <w:marLeft w:val="0"/>
      <w:marRight w:val="0"/>
      <w:marTop w:val="0"/>
      <w:marBottom w:val="0"/>
      <w:divBdr>
        <w:top w:val="none" w:sz="0" w:space="0" w:color="auto"/>
        <w:left w:val="none" w:sz="0" w:space="0" w:color="auto"/>
        <w:bottom w:val="none" w:sz="0" w:space="0" w:color="auto"/>
        <w:right w:val="none" w:sz="0" w:space="0" w:color="auto"/>
      </w:divBdr>
    </w:div>
    <w:div w:id="2071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20500</Words>
  <Characters>11685</Characters>
  <Application>Microsoft Office Word</Application>
  <DocSecurity>4</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Kriaučeliūnas Povilas</cp:lastModifiedBy>
  <cp:revision>2</cp:revision>
  <dcterms:created xsi:type="dcterms:W3CDTF">2020-02-19T05:32:00Z</dcterms:created>
  <dcterms:modified xsi:type="dcterms:W3CDTF">2020-02-19T05:32:00Z</dcterms:modified>
</cp:coreProperties>
</file>