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62A" w:rsidRDefault="0036662A" w:rsidP="0036662A">
      <w:pPr>
        <w:jc w:val="center"/>
        <w:rPr>
          <w:b/>
          <w:bCs/>
        </w:rPr>
      </w:pPr>
      <w:bookmarkStart w:id="0" w:name="_GoBack"/>
      <w:bookmarkEnd w:id="0"/>
      <w:r>
        <w:rPr>
          <w:b/>
          <w:bCs/>
        </w:rPr>
        <w:t xml:space="preserve">LIETUVOS RESPUBLIKOS </w:t>
      </w:r>
      <w:r w:rsidR="00554F21">
        <w:rPr>
          <w:b/>
          <w:bCs/>
        </w:rPr>
        <w:t xml:space="preserve">EKONOMIKOS IR INOVACIJŲ </w:t>
      </w:r>
      <w:r>
        <w:rPr>
          <w:b/>
          <w:bCs/>
        </w:rPr>
        <w:t>MINISTERIJA</w:t>
      </w:r>
    </w:p>
    <w:p w:rsidR="0036662A" w:rsidRDefault="0036662A" w:rsidP="0036662A">
      <w:pPr>
        <w:jc w:val="center"/>
        <w:rPr>
          <w:b/>
          <w:bCs/>
        </w:rPr>
      </w:pPr>
    </w:p>
    <w:p w:rsidR="0036662A" w:rsidRDefault="0036662A" w:rsidP="0036662A">
      <w:pPr>
        <w:jc w:val="center"/>
        <w:rPr>
          <w:b/>
          <w:bCs/>
        </w:rPr>
      </w:pPr>
      <w:r>
        <w:rPr>
          <w:b/>
          <w:bCs/>
        </w:rPr>
        <w:t xml:space="preserve">SOCIALINIŲ IR EKONOMINIŲ PARTNERIŲ PATEIKTŲ PASTABŲ IR PASIŪLYMŲ DĖL 2014–2020 METŲ EUROPOS SĄJUNGOS FONDŲ INVESTICIJŲ VEIKSMŲ PROGRAMOS </w:t>
      </w:r>
      <w:r w:rsidR="00554F21" w:rsidRPr="00554F21">
        <w:rPr>
          <w:b/>
          <w:color w:val="000000"/>
          <w:szCs w:val="24"/>
          <w:lang w:val="en-US"/>
        </w:rPr>
        <w:t>1 PRIORITETO „MOKSLINIŲ TYRIMŲ, EKSPERIMENTINĖS PLĖTROS IR INOVACIJŲ SKATINIMAS“, 4 PRIORITETO „ENERGIJOS EFEKTYVUMO IR ATSINAUJINANČIŲ IŠTEKLIŲ ENERGIJOS GAMYBOS IR NAUDOJIMO SKATINIMAS“ IR 9 PRIORITETO „VISUOMENĖS ŠVIETIMAS IR ŽMOGIŠKŲJŲ IŠTEKLIŲ POTENCIALO DIDINIMAS“ ĮGYVE</w:t>
      </w:r>
      <w:r w:rsidR="00554F21">
        <w:rPr>
          <w:b/>
          <w:color w:val="000000"/>
          <w:szCs w:val="24"/>
          <w:lang w:val="en-US"/>
        </w:rPr>
        <w:t>NDINIMO PLANO PAKEITIMO PROJEKTO</w:t>
      </w:r>
      <w:r>
        <w:rPr>
          <w:b/>
          <w:bCs/>
        </w:rPr>
        <w:t xml:space="preserve"> DERINIMAS</w:t>
      </w:r>
    </w:p>
    <w:p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Tr="00335D39">
        <w:tc>
          <w:tcPr>
            <w:tcW w:w="6804" w:type="dxa"/>
          </w:tcPr>
          <w:p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rsidR="0036662A" w:rsidRDefault="00554F21" w:rsidP="00B13E90">
            <w:pPr>
              <w:rPr>
                <w:szCs w:val="24"/>
              </w:rPr>
            </w:pPr>
            <w:r>
              <w:rPr>
                <w:szCs w:val="24"/>
              </w:rPr>
              <w:t>2020-0</w:t>
            </w:r>
            <w:r w:rsidR="00B13E90">
              <w:rPr>
                <w:szCs w:val="24"/>
              </w:rPr>
              <w:t>2</w:t>
            </w:r>
            <w:r>
              <w:rPr>
                <w:szCs w:val="24"/>
              </w:rPr>
              <w:t>-13</w:t>
            </w:r>
          </w:p>
        </w:tc>
      </w:tr>
      <w:tr w:rsidR="0036662A" w:rsidTr="00335D39">
        <w:tc>
          <w:tcPr>
            <w:tcW w:w="6804" w:type="dxa"/>
          </w:tcPr>
          <w:p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rsidR="0036662A" w:rsidRPr="007070FE" w:rsidRDefault="00C57FBB" w:rsidP="00554F21">
            <w:sdt>
              <w:sdtPr>
                <w:id w:val="1312749902"/>
              </w:sdtPr>
              <w:sdtEndPr/>
              <w:sdtContent>
                <w:bookmarkStart w:id="1" w:name="Check1"/>
                <w:r w:rsidR="00554F21">
                  <w:fldChar w:fldCharType="begin">
                    <w:ffData>
                      <w:name w:val="Check1"/>
                      <w:enabled/>
                      <w:calcOnExit w:val="0"/>
                      <w:checkBox>
                        <w:sizeAuto/>
                        <w:default w:val="1"/>
                      </w:checkBox>
                    </w:ffData>
                  </w:fldChar>
                </w:r>
                <w:r w:rsidR="00554F21">
                  <w:instrText xml:space="preserve"> FORMCHECKBOX </w:instrText>
                </w:r>
                <w:r>
                  <w:fldChar w:fldCharType="separate"/>
                </w:r>
                <w:r w:rsidR="00554F21">
                  <w:fldChar w:fldCharType="end"/>
                </w:r>
                <w:bookmarkEnd w:id="1"/>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rsidTr="00335D39">
        <w:tc>
          <w:tcPr>
            <w:tcW w:w="6804" w:type="dxa"/>
          </w:tcPr>
          <w:p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rsidR="0036662A" w:rsidRDefault="00C57FBB" w:rsidP="001A642D">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1A642D">
                  <w:fldChar w:fldCharType="begin">
                    <w:ffData>
                      <w:name w:val=""/>
                      <w:enabled/>
                      <w:calcOnExit w:val="0"/>
                      <w:checkBox>
                        <w:sizeAuto/>
                        <w:default w:val="1"/>
                      </w:checkBox>
                    </w:ffData>
                  </w:fldChar>
                </w:r>
                <w:r w:rsidR="001A642D">
                  <w:instrText xml:space="preserve"> FORMCHECKBOX </w:instrText>
                </w:r>
                <w:r>
                  <w:fldChar w:fldCharType="separate"/>
                </w:r>
                <w:r w:rsidR="001A642D">
                  <w:fldChar w:fldCharType="end"/>
                </w:r>
              </w:sdtContent>
            </w:sdt>
            <w:r w:rsidR="0036662A">
              <w:rPr>
                <w:szCs w:val="24"/>
              </w:rPr>
              <w:t xml:space="preserve"> Ne </w:t>
            </w:r>
          </w:p>
        </w:tc>
      </w:tr>
    </w:tbl>
    <w:p w:rsidR="0036662A" w:rsidRPr="00781CA4" w:rsidRDefault="0036662A" w:rsidP="0036662A">
      <w:pPr>
        <w:rPr>
          <w:szCs w:val="24"/>
        </w:rPr>
      </w:pPr>
    </w:p>
    <w:tbl>
      <w:tblPr>
        <w:tblStyle w:val="TableGrid"/>
        <w:tblW w:w="14742" w:type="dxa"/>
        <w:tblInd w:w="137" w:type="dxa"/>
        <w:tblLayout w:type="fixed"/>
        <w:tblLook w:val="04A0" w:firstRow="1" w:lastRow="0" w:firstColumn="1" w:lastColumn="0" w:noHBand="0" w:noVBand="1"/>
      </w:tblPr>
      <w:tblGrid>
        <w:gridCol w:w="430"/>
        <w:gridCol w:w="1985"/>
        <w:gridCol w:w="5386"/>
        <w:gridCol w:w="6941"/>
      </w:tblGrid>
      <w:tr w:rsidR="0036662A" w:rsidRPr="00781CA4" w:rsidTr="009E074E">
        <w:tc>
          <w:tcPr>
            <w:tcW w:w="430" w:type="dxa"/>
          </w:tcPr>
          <w:p w:rsidR="0036662A" w:rsidRPr="00781CA4" w:rsidRDefault="0036662A" w:rsidP="00335D39">
            <w:pPr>
              <w:jc w:val="center"/>
              <w:rPr>
                <w:b/>
                <w:szCs w:val="24"/>
              </w:rPr>
            </w:pPr>
            <w:r w:rsidRPr="00781CA4">
              <w:rPr>
                <w:b/>
                <w:szCs w:val="24"/>
              </w:rPr>
              <w:t>Nr.</w:t>
            </w:r>
          </w:p>
        </w:tc>
        <w:tc>
          <w:tcPr>
            <w:tcW w:w="1985" w:type="dxa"/>
          </w:tcPr>
          <w:p w:rsidR="0036662A" w:rsidRPr="00781CA4" w:rsidRDefault="0036662A" w:rsidP="00335D39">
            <w:pPr>
              <w:jc w:val="center"/>
              <w:rPr>
                <w:b/>
                <w:szCs w:val="24"/>
              </w:rPr>
            </w:pPr>
            <w:r w:rsidRPr="00781CA4">
              <w:rPr>
                <w:b/>
                <w:szCs w:val="24"/>
              </w:rPr>
              <w:t>Institucija</w:t>
            </w:r>
          </w:p>
        </w:tc>
        <w:tc>
          <w:tcPr>
            <w:tcW w:w="5386" w:type="dxa"/>
          </w:tcPr>
          <w:p w:rsidR="0036662A" w:rsidRPr="00781CA4" w:rsidRDefault="0036662A" w:rsidP="00335D39">
            <w:pPr>
              <w:jc w:val="center"/>
              <w:rPr>
                <w:b/>
                <w:szCs w:val="24"/>
              </w:rPr>
            </w:pPr>
            <w:r>
              <w:rPr>
                <w:b/>
                <w:bCs/>
              </w:rPr>
              <w:t>Pastabos ir pasiūlymai</w:t>
            </w:r>
          </w:p>
        </w:tc>
        <w:tc>
          <w:tcPr>
            <w:tcW w:w="6941" w:type="dxa"/>
          </w:tcPr>
          <w:p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8814C6" w:rsidRPr="008814C6" w:rsidTr="009E074E">
        <w:tc>
          <w:tcPr>
            <w:tcW w:w="430" w:type="dxa"/>
          </w:tcPr>
          <w:p w:rsidR="00D5676B" w:rsidRPr="008814C6" w:rsidRDefault="00D5676B" w:rsidP="00335D39">
            <w:pPr>
              <w:jc w:val="center"/>
              <w:rPr>
                <w:b/>
                <w:szCs w:val="24"/>
              </w:rPr>
            </w:pPr>
            <w:r w:rsidRPr="008814C6">
              <w:rPr>
                <w:b/>
                <w:szCs w:val="24"/>
              </w:rPr>
              <w:t>1.</w:t>
            </w:r>
          </w:p>
        </w:tc>
        <w:tc>
          <w:tcPr>
            <w:tcW w:w="1985" w:type="dxa"/>
            <w:vMerge w:val="restart"/>
          </w:tcPr>
          <w:p w:rsidR="00D5676B" w:rsidRPr="008814C6" w:rsidRDefault="00D5676B" w:rsidP="00514523">
            <w:pPr>
              <w:jc w:val="both"/>
              <w:rPr>
                <w:iCs/>
              </w:rPr>
            </w:pPr>
            <w:r w:rsidRPr="008814C6">
              <w:rPr>
                <w:iCs/>
              </w:rPr>
              <w:t xml:space="preserve">Lietuvos pramonininkų konfederacijos, Lietuvos inovacijų  centro, Lietuvos inžinerinės pramonės asociacijos, asociacijos „Žinių ekonomikos forumas“, Lietuvos lazerių asociacijos, Lietuvos maisto eksportuotojų asociacijos, </w:t>
            </w:r>
            <w:r w:rsidRPr="008814C6">
              <w:rPr>
                <w:iCs/>
              </w:rPr>
              <w:lastRenderedPageBreak/>
              <w:t xml:space="preserve">Lietuvos spaustuvininkų asociacijos, Technologijų ir inovacijų paramos verslui asociacijos, Vilniaus pramonės ir verslo asociacijos </w:t>
            </w:r>
          </w:p>
          <w:p w:rsidR="00D5676B" w:rsidRPr="008814C6" w:rsidRDefault="00D5676B" w:rsidP="00514523">
            <w:pPr>
              <w:jc w:val="both"/>
              <w:rPr>
                <w:bCs/>
                <w:szCs w:val="24"/>
                <w:lang w:val="en-US"/>
              </w:rPr>
            </w:pPr>
            <w:r w:rsidRPr="008814C6">
              <w:rPr>
                <w:iCs/>
              </w:rPr>
              <w:t>pastabos ir p</w:t>
            </w:r>
            <w:r w:rsidRPr="008814C6">
              <w:rPr>
                <w:bCs/>
                <w:szCs w:val="24"/>
                <w:lang w:val="en-US"/>
              </w:rPr>
              <w:t xml:space="preserve">asiūlymai </w:t>
            </w:r>
          </w:p>
          <w:p w:rsidR="00D5676B" w:rsidRPr="008814C6" w:rsidRDefault="00D5676B" w:rsidP="00335D39">
            <w:pPr>
              <w:jc w:val="center"/>
              <w:rPr>
                <w:b/>
                <w:szCs w:val="24"/>
              </w:rPr>
            </w:pPr>
          </w:p>
        </w:tc>
        <w:tc>
          <w:tcPr>
            <w:tcW w:w="5386" w:type="dxa"/>
          </w:tcPr>
          <w:p w:rsidR="00D5676B" w:rsidRPr="008814C6" w:rsidRDefault="00D5676B" w:rsidP="00D5676B">
            <w:pPr>
              <w:jc w:val="both"/>
              <w:rPr>
                <w:b/>
                <w:bCs/>
                <w:szCs w:val="24"/>
                <w:lang w:val="de-DE"/>
              </w:rPr>
            </w:pPr>
            <w:r w:rsidRPr="008814C6">
              <w:rPr>
                <w:b/>
                <w:bCs/>
                <w:szCs w:val="24"/>
                <w:lang w:val="de-DE"/>
              </w:rPr>
              <w:lastRenderedPageBreak/>
              <w:t>Siūlome:</w:t>
            </w:r>
          </w:p>
          <w:p w:rsidR="00D5676B" w:rsidRPr="008814C6" w:rsidRDefault="00D5676B" w:rsidP="00D5676B">
            <w:pPr>
              <w:pStyle w:val="ListParagraph"/>
              <w:numPr>
                <w:ilvl w:val="0"/>
                <w:numId w:val="2"/>
              </w:numPr>
              <w:tabs>
                <w:tab w:val="left" w:pos="592"/>
              </w:tabs>
              <w:ind w:left="0" w:firstLine="117"/>
              <w:jc w:val="both"/>
              <w:rPr>
                <w:i/>
                <w:iCs/>
                <w:szCs w:val="24"/>
              </w:rPr>
            </w:pPr>
            <w:r w:rsidRPr="008814C6">
              <w:rPr>
                <w:i/>
                <w:iCs/>
                <w:szCs w:val="24"/>
              </w:rPr>
              <w:t>priemonių NR. 01.2.1-LVPA-V-822 „Smartinvest LT“, NR. 01.2.1-LVPA-K-823 „Smartinvest LT+“, NR. 01.2.1-MITA-K-824 „Inovaciniai čekiai“, NR. 01.2.1-LVPA-K-828 „Intelektas. Bendri mokslo–verslo projektai“, NR. 01.2.1-LVPA-V-830 „Smartparkas LT“ ir NR. 01.2.1-LVPA-K-833 „Inoklaster LT“ nepanaudotas (sutaupytas) Europos Sąjungos fondų lėšas (iš viso 4,832 mln. eurų) perskirstyti priemonei Nr. 01.2.1-LVPA-K-856 „Eksperimentas“;</w:t>
            </w:r>
          </w:p>
          <w:p w:rsidR="00D5676B" w:rsidRPr="008814C6" w:rsidRDefault="00D5676B" w:rsidP="00D5676B">
            <w:pPr>
              <w:pStyle w:val="ListParagraph"/>
              <w:numPr>
                <w:ilvl w:val="0"/>
                <w:numId w:val="2"/>
              </w:numPr>
              <w:tabs>
                <w:tab w:val="left" w:pos="308"/>
              </w:tabs>
              <w:ind w:left="25" w:hanging="25"/>
              <w:jc w:val="both"/>
              <w:rPr>
                <w:b/>
                <w:bCs/>
              </w:rPr>
            </w:pPr>
            <w:r w:rsidRPr="008814C6">
              <w:rPr>
                <w:i/>
                <w:iCs/>
                <w:szCs w:val="24"/>
              </w:rPr>
              <w:t xml:space="preserve">tik tuo atveju, jei priemonėje Nr. 01.2.1-LVPA-K-856 „Eksperimentas“ projektų vertinimo metu bus nustatytas mažas faktinis poreikis viešosioms investicijoms,  nepanaudotas (sutaupytas) Europos Sąjungos fondų lėšas būtų galima perskirstyti priemonei NR. 01.2.1-LVPA-V-835 „Ikiprekybiniai </w:t>
            </w:r>
            <w:r w:rsidRPr="008814C6">
              <w:rPr>
                <w:i/>
                <w:iCs/>
                <w:szCs w:val="24"/>
              </w:rPr>
              <w:lastRenderedPageBreak/>
              <w:t>pirkimai LT“, skiriant finansavimą projektams iš sudaryto rezervinio sąrašo.</w:t>
            </w:r>
          </w:p>
        </w:tc>
        <w:tc>
          <w:tcPr>
            <w:tcW w:w="6941" w:type="dxa"/>
          </w:tcPr>
          <w:p w:rsidR="00D5676B" w:rsidRPr="008814C6" w:rsidRDefault="00D5676B" w:rsidP="00D5676B">
            <w:pPr>
              <w:jc w:val="both"/>
            </w:pPr>
            <w:r w:rsidRPr="008814C6">
              <w:lastRenderedPageBreak/>
              <w:t>Neatsižvelgta.</w:t>
            </w:r>
          </w:p>
          <w:p w:rsidR="00D5676B" w:rsidRPr="008814C6" w:rsidRDefault="00D5676B" w:rsidP="00D5676B">
            <w:pPr>
              <w:jc w:val="both"/>
              <w:rPr>
                <w:b/>
                <w:bCs/>
              </w:rPr>
            </w:pPr>
            <w:r w:rsidRPr="008814C6">
              <w:t xml:space="preserve">Ministerija, rengdama priemonių įgyvendinimo plano keitimus, </w:t>
            </w:r>
            <w:r w:rsidRPr="008814C6">
              <w:rPr>
                <w:bCs/>
              </w:rPr>
              <w:t xml:space="preserve"> vadovaujasi faktine informacija apie priemonių įgyvendinimo būklę, esamus sutaupymus bei poreikius. Šiuo metu yra identifikuoti poreikiai priemonėje „Ikiprekybiniai pirkimai LT“, o priemonės „Eksperimentas“ vertinimo procesas tik prasidėjęs, todėl nėra tikslinga „įšaldyti“ lėšų, kol neaiškūs vertinimo rezultatai. Jei bus gauta informacija dėl lėšų sutaupymo, bus į tai atsižvelgiama ir planuojamas naujas priemonių įgyvendinimo plano keitimas.</w:t>
            </w:r>
          </w:p>
        </w:tc>
      </w:tr>
      <w:tr w:rsidR="00D5676B" w:rsidRPr="00781CA4" w:rsidTr="009E074E">
        <w:tc>
          <w:tcPr>
            <w:tcW w:w="430" w:type="dxa"/>
          </w:tcPr>
          <w:p w:rsidR="00D5676B" w:rsidRPr="00781CA4" w:rsidRDefault="00D5676B" w:rsidP="00335D39">
            <w:pPr>
              <w:jc w:val="center"/>
              <w:rPr>
                <w:b/>
                <w:szCs w:val="24"/>
              </w:rPr>
            </w:pPr>
            <w:r>
              <w:rPr>
                <w:b/>
                <w:szCs w:val="24"/>
              </w:rPr>
              <w:t>2.</w:t>
            </w:r>
          </w:p>
        </w:tc>
        <w:tc>
          <w:tcPr>
            <w:tcW w:w="1985" w:type="dxa"/>
            <w:vMerge/>
          </w:tcPr>
          <w:p w:rsidR="00D5676B" w:rsidRPr="00781CA4" w:rsidRDefault="00D5676B" w:rsidP="00335D39">
            <w:pPr>
              <w:jc w:val="center"/>
              <w:rPr>
                <w:b/>
                <w:szCs w:val="24"/>
              </w:rPr>
            </w:pPr>
          </w:p>
        </w:tc>
        <w:tc>
          <w:tcPr>
            <w:tcW w:w="5386" w:type="dxa"/>
          </w:tcPr>
          <w:p w:rsidR="00D5676B" w:rsidRPr="00A22754" w:rsidRDefault="00D5676B" w:rsidP="00885767">
            <w:pPr>
              <w:jc w:val="both"/>
              <w:rPr>
                <w:b/>
                <w:bCs/>
                <w:szCs w:val="24"/>
              </w:rPr>
            </w:pPr>
            <w:r w:rsidRPr="00A22754">
              <w:rPr>
                <w:b/>
                <w:bCs/>
                <w:szCs w:val="24"/>
              </w:rPr>
              <w:t>Priemonės Nr. 01.2.1-LVPA-K-857 „Skaitmeninių inovacijų centrai“ nacionalinių stebėsenos rodikliai</w:t>
            </w:r>
          </w:p>
          <w:p w:rsidR="00D5676B" w:rsidRPr="00A22754" w:rsidRDefault="00D5676B" w:rsidP="00885767">
            <w:pPr>
              <w:jc w:val="both"/>
              <w:rPr>
                <w:b/>
                <w:bCs/>
                <w:szCs w:val="24"/>
              </w:rPr>
            </w:pPr>
            <w:r w:rsidRPr="00A22754">
              <w:rPr>
                <w:szCs w:val="24"/>
              </w:rPr>
              <w:t>- R.N.840 „Skaitmeninių inovacijų centro pajamų už suteiktas paslaugas projekto įgyvendinimo metu ir 3 m. po projekto veiklų įgyvendinimo pabaigos santykis su gautomis investicijomis“</w:t>
            </w:r>
          </w:p>
          <w:p w:rsidR="00D5676B" w:rsidRPr="00A22754" w:rsidRDefault="00D5676B" w:rsidP="00885767">
            <w:pPr>
              <w:jc w:val="both"/>
              <w:rPr>
                <w:iCs/>
                <w:szCs w:val="24"/>
              </w:rPr>
            </w:pPr>
            <w:r w:rsidRPr="00A22754">
              <w:rPr>
                <w:szCs w:val="24"/>
              </w:rPr>
              <w:t xml:space="preserve">Rodiklio apskaičiavimui turi būti naudojamas </w:t>
            </w:r>
            <w:r w:rsidRPr="00A22754">
              <w:rPr>
                <w:bCs/>
                <w:iCs/>
                <w:szCs w:val="24"/>
              </w:rPr>
              <w:t xml:space="preserve">(kintamasis)  - “Gautos investicijos“, tačiau tolimesniame aprašyme naudojamas apibūdinimas - „Skirtos investicijos“, kurios įvardijamos  - </w:t>
            </w:r>
            <w:r w:rsidRPr="00A22754">
              <w:rPr>
                <w:iCs/>
                <w:szCs w:val="24"/>
              </w:rPr>
              <w:t>projekto tinkamoms finansuoti išlaidoms skiriamas finansavimas  iš ES struktūrinių fondų, Lietuvos Respublikos valstybės biudžeto ir projekto vykdytojų ir (ar) partnerių lėšų.</w:t>
            </w:r>
          </w:p>
          <w:p w:rsidR="00D5676B" w:rsidRPr="00A22754" w:rsidRDefault="00D5676B" w:rsidP="00885767">
            <w:pPr>
              <w:jc w:val="both"/>
              <w:rPr>
                <w:iCs/>
                <w:szCs w:val="24"/>
              </w:rPr>
            </w:pPr>
            <w:r w:rsidRPr="00A22754">
              <w:rPr>
                <w:szCs w:val="24"/>
              </w:rPr>
              <w:t xml:space="preserve">Tai yra </w:t>
            </w:r>
            <w:r w:rsidRPr="00A22754">
              <w:rPr>
                <w:bCs/>
                <w:iCs/>
                <w:szCs w:val="24"/>
              </w:rPr>
              <w:t xml:space="preserve">„Skirtos investicijos“ = tinkamos projekto išlaidos. Tokia situacija neskatina projekto vykdytojų didesniu mastu patiems prisidėti prie projekto įgyvendinimo, nes jei kuo daugiau investuotų patys, o mažiau norėtų gauti </w:t>
            </w:r>
            <w:r w:rsidRPr="00A22754">
              <w:rPr>
                <w:iCs/>
                <w:szCs w:val="24"/>
              </w:rPr>
              <w:t>finansavimo  iš ES struktūrinių fondų ir Lietuvos Respublikos valstybės biudžeto, tuo blogintų savo situaciją projektų vertinimo ir atrankos metu.</w:t>
            </w:r>
          </w:p>
          <w:p w:rsidR="00D5676B" w:rsidRPr="00A22754" w:rsidRDefault="00D5676B" w:rsidP="00885767">
            <w:pPr>
              <w:jc w:val="both"/>
              <w:rPr>
                <w:iCs/>
                <w:szCs w:val="24"/>
              </w:rPr>
            </w:pPr>
          </w:p>
          <w:p w:rsidR="00D5676B" w:rsidRPr="00A22754" w:rsidRDefault="00D5676B" w:rsidP="00885767">
            <w:pPr>
              <w:jc w:val="both"/>
              <w:rPr>
                <w:b/>
                <w:bCs/>
                <w:iCs/>
                <w:szCs w:val="24"/>
              </w:rPr>
            </w:pPr>
            <w:r w:rsidRPr="00A22754">
              <w:rPr>
                <w:b/>
                <w:bCs/>
                <w:iCs/>
                <w:szCs w:val="24"/>
              </w:rPr>
              <w:t>Siekiant padidinti ES struktūrinių fondų ir Lietuvos Respublikos valstybės biudžeto investicijų efektyvumą ir kurti didesnį jų skatinamąjį svertą, siūlome numatyti, kad :</w:t>
            </w:r>
          </w:p>
          <w:p w:rsidR="00D5676B" w:rsidRPr="00D5676B" w:rsidRDefault="00D5676B" w:rsidP="00D5676B">
            <w:pPr>
              <w:jc w:val="both"/>
              <w:rPr>
                <w:i/>
                <w:szCs w:val="24"/>
              </w:rPr>
            </w:pPr>
            <w:r w:rsidRPr="00A22754">
              <w:rPr>
                <w:bCs/>
                <w:i/>
                <w:szCs w:val="24"/>
              </w:rPr>
              <w:t xml:space="preserve">“Gautos investicijos“ – tai investicijos skirtos iš </w:t>
            </w:r>
            <w:r w:rsidRPr="00A22754">
              <w:rPr>
                <w:i/>
                <w:szCs w:val="24"/>
              </w:rPr>
              <w:t>ES struktūrinių fondų ir Lietuvos Respublikos valstybės biudžeto lėšų.</w:t>
            </w:r>
          </w:p>
        </w:tc>
        <w:tc>
          <w:tcPr>
            <w:tcW w:w="6941" w:type="dxa"/>
          </w:tcPr>
          <w:p w:rsidR="00D5676B" w:rsidRDefault="00D5676B" w:rsidP="00D5676B">
            <w:pPr>
              <w:jc w:val="both"/>
            </w:pPr>
            <w:r>
              <w:t>Neatsižvelgta.</w:t>
            </w:r>
          </w:p>
          <w:p w:rsidR="00D5676B" w:rsidRDefault="00D5676B" w:rsidP="00D5676B">
            <w:pPr>
              <w:jc w:val="both"/>
              <w:rPr>
                <w:b/>
                <w:bCs/>
              </w:rPr>
            </w:pPr>
            <w:r>
              <w:t>Kadangi viso 2014–2020 m. laikotarpio metu galiojo toks apibrėžimas ir jis taikomas ir kitoms priemonėms, manome, kad tikslinga toliau sekti informaciją, kuri aktuali projekto lygmeniu, tačiau pastaba bus įvertinta ir svarstoma galimybė taip skaičiuoti naujojo programavimo laikotarpio rodiklius.</w:t>
            </w:r>
          </w:p>
        </w:tc>
      </w:tr>
      <w:tr w:rsidR="00D5676B" w:rsidRPr="00781CA4" w:rsidTr="009E074E">
        <w:tc>
          <w:tcPr>
            <w:tcW w:w="430" w:type="dxa"/>
          </w:tcPr>
          <w:p w:rsidR="00D5676B" w:rsidRPr="00781CA4" w:rsidRDefault="00D5676B" w:rsidP="00335D39">
            <w:pPr>
              <w:jc w:val="center"/>
              <w:rPr>
                <w:b/>
                <w:szCs w:val="24"/>
              </w:rPr>
            </w:pPr>
            <w:r>
              <w:rPr>
                <w:b/>
                <w:szCs w:val="24"/>
              </w:rPr>
              <w:lastRenderedPageBreak/>
              <w:t>3.</w:t>
            </w:r>
          </w:p>
        </w:tc>
        <w:tc>
          <w:tcPr>
            <w:tcW w:w="1985" w:type="dxa"/>
            <w:vMerge/>
          </w:tcPr>
          <w:p w:rsidR="00D5676B" w:rsidRPr="00781CA4" w:rsidRDefault="00D5676B" w:rsidP="00335D39">
            <w:pPr>
              <w:jc w:val="center"/>
              <w:rPr>
                <w:b/>
                <w:szCs w:val="24"/>
              </w:rPr>
            </w:pPr>
          </w:p>
        </w:tc>
        <w:tc>
          <w:tcPr>
            <w:tcW w:w="5386" w:type="dxa"/>
          </w:tcPr>
          <w:p w:rsidR="00D5676B" w:rsidRPr="00A22754" w:rsidRDefault="00D5676B" w:rsidP="00D5676B">
            <w:pPr>
              <w:jc w:val="both"/>
              <w:rPr>
                <w:szCs w:val="24"/>
              </w:rPr>
            </w:pPr>
            <w:r w:rsidRPr="00A22754">
              <w:rPr>
                <w:szCs w:val="24"/>
              </w:rPr>
              <w:t>- P.N.844 „Įmonių, besinaudojančių skaitmeninių inovacijų centro paslaugomis, sukurtų gaminių, paslaugų ar procesų prototipai (koncepcijos) projekto metu“ skaičiavimo aprašus.</w:t>
            </w:r>
          </w:p>
          <w:p w:rsidR="00D5676B" w:rsidRPr="00A22754" w:rsidRDefault="00D5676B" w:rsidP="00D5676B">
            <w:pPr>
              <w:jc w:val="both"/>
              <w:rPr>
                <w:szCs w:val="24"/>
              </w:rPr>
            </w:pPr>
          </w:p>
          <w:p w:rsidR="00D5676B" w:rsidRPr="00A22754" w:rsidRDefault="00D5676B" w:rsidP="00D5676B">
            <w:pPr>
              <w:jc w:val="both"/>
              <w:rPr>
                <w:szCs w:val="24"/>
              </w:rPr>
            </w:pPr>
            <w:r w:rsidRPr="00A22754">
              <w:rPr>
                <w:szCs w:val="24"/>
              </w:rPr>
              <w:t xml:space="preserve">Manome, kad aprašytas rodiklio skaičiavimo būdas nėra pakankamai tikslus, tai gali kelti problemų tiek rengiant paraiškas, tiek paraiškų vertinimo metu, tiek vykdant stebėseną (pavyzdžiui: ar kaip rodiklio vienetas imamas sukurtas ir (ar) įdiegtas metalo apdirbimo robotas; ar rodiklio vienetai imami su tuo robotu sukurtų skirtingų detalių tipai). </w:t>
            </w:r>
          </w:p>
          <w:p w:rsidR="00D5676B" w:rsidRPr="00A22754" w:rsidRDefault="00D5676B" w:rsidP="00D5676B">
            <w:pPr>
              <w:jc w:val="both"/>
              <w:rPr>
                <w:szCs w:val="24"/>
              </w:rPr>
            </w:pPr>
          </w:p>
          <w:p w:rsidR="00D5676B" w:rsidRPr="00A22754" w:rsidRDefault="00D5676B" w:rsidP="00D5676B">
            <w:pPr>
              <w:jc w:val="both"/>
              <w:rPr>
                <w:b/>
                <w:bCs/>
                <w:szCs w:val="24"/>
              </w:rPr>
            </w:pPr>
            <w:r w:rsidRPr="00A22754">
              <w:rPr>
                <w:b/>
                <w:bCs/>
                <w:szCs w:val="24"/>
              </w:rPr>
              <w:t>Siūlome patikslintą šio rodiklio aprašymo stulpelio „Skaičiavimo būdas“ redakciją:</w:t>
            </w:r>
          </w:p>
          <w:p w:rsidR="00D5676B" w:rsidRPr="00A22754" w:rsidRDefault="00D5676B" w:rsidP="00D5676B">
            <w:pPr>
              <w:spacing w:line="252" w:lineRule="auto"/>
              <w:jc w:val="both"/>
              <w:rPr>
                <w:i/>
                <w:iCs/>
                <w:szCs w:val="24"/>
              </w:rPr>
            </w:pPr>
            <w:r w:rsidRPr="00A22754">
              <w:rPr>
                <w:i/>
                <w:iCs/>
                <w:szCs w:val="24"/>
              </w:rPr>
              <w:t>Skaičiuojamas įmonių, pasinaudojusių skaitmeninių inovacijų centro teikiamomis paslaugomis (tiek Skaitmeninių inovacijų centro klientų, kaip  de minimis pagalbos gavėjų, tiek klientų, sumokėjusių visą paslaugos kainą ir negavusių de minimis pagalbos), gaminių, paslaugų ar procesų prototipų (koncepcijų) skaičius per projekto veiklų įgyvendinimo laikotarpį.</w:t>
            </w:r>
          </w:p>
          <w:p w:rsidR="00D5676B" w:rsidRDefault="00D5676B" w:rsidP="00D5676B">
            <w:pPr>
              <w:jc w:val="both"/>
              <w:rPr>
                <w:b/>
                <w:bCs/>
              </w:rPr>
            </w:pPr>
            <w:r w:rsidRPr="00A22754">
              <w:rPr>
                <w:i/>
                <w:iCs/>
                <w:szCs w:val="24"/>
              </w:rPr>
              <w:t xml:space="preserve">Į rodiklio reikšmę įskaičiuojami tik tie prototipai (koncepcijos), kurie yra priskirtini skaitmeniniai technologijai ir (arba) skaitmeniniam sprendimui (pavyzdžiui, prototipais galėtų būti: metalo pjovimo robotas; 3D printeris; gamybos įrenginių/procesų valdiklis/vykdiklis  (gaminio atveju); įmonės išteklių valdymo sistema; robotizuotas detalių surinkimo technologinė linija, operatyvaus gamybos valdymo sistema (proceso atveju); virtuali ligų diagnostika; virtualius/distancinis mokymasis (paslaugos atveju). Produktų, kurie yra gaminami įdiegus skaitmenines </w:t>
            </w:r>
            <w:r w:rsidRPr="00A22754">
              <w:rPr>
                <w:i/>
                <w:iCs/>
                <w:szCs w:val="24"/>
              </w:rPr>
              <w:lastRenderedPageBreak/>
              <w:t>skaitmenines technologijas ir (arba) skaitmeninius sprendimus, prototipai į šio rodiklio reikšmę neįtraukiami (pvz., jei į įmonės gamybą įdiegiamas robotizuoto detalių surinkimo procesas, į rodiklio reikšmę įtraukiamas robotizuoto detalių surinkimo proceso prototipas, bet ne naujojo proceso pagalba pagamintų detalių prototipai).</w:t>
            </w:r>
          </w:p>
        </w:tc>
        <w:tc>
          <w:tcPr>
            <w:tcW w:w="6941" w:type="dxa"/>
          </w:tcPr>
          <w:p w:rsidR="00D5676B" w:rsidRDefault="00D5676B" w:rsidP="00D5676B">
            <w:pPr>
              <w:jc w:val="both"/>
              <w:rPr>
                <w:b/>
                <w:bCs/>
              </w:rPr>
            </w:pPr>
            <w:r>
              <w:lastRenderedPageBreak/>
              <w:t>Atsižvelgta, bus patikslinta.</w:t>
            </w:r>
          </w:p>
        </w:tc>
      </w:tr>
    </w:tbl>
    <w:p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FB9" w:rsidRDefault="004D7FB9" w:rsidP="005810C4">
      <w:r>
        <w:separator/>
      </w:r>
    </w:p>
  </w:endnote>
  <w:endnote w:type="continuationSeparator" w:id="0">
    <w:p w:rsidR="004D7FB9" w:rsidRDefault="004D7FB9" w:rsidP="00581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FB9" w:rsidRDefault="004D7FB9" w:rsidP="005810C4">
      <w:r>
        <w:separator/>
      </w:r>
    </w:p>
  </w:footnote>
  <w:footnote w:type="continuationSeparator" w:id="0">
    <w:p w:rsidR="004D7FB9" w:rsidRDefault="004D7FB9" w:rsidP="005810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43B58"/>
    <w:multiLevelType w:val="hybridMultilevel"/>
    <w:tmpl w:val="876CDB3A"/>
    <w:lvl w:ilvl="0" w:tplc="D614593A">
      <w:start w:val="2019"/>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24A3"/>
    <w:rsid w:val="000A3FD2"/>
    <w:rsid w:val="000B1AF5"/>
    <w:rsid w:val="000B2D7C"/>
    <w:rsid w:val="000D3EFE"/>
    <w:rsid w:val="000D5E42"/>
    <w:rsid w:val="000E1F0C"/>
    <w:rsid w:val="000E275C"/>
    <w:rsid w:val="000E7A99"/>
    <w:rsid w:val="000F5CE6"/>
    <w:rsid w:val="00105F91"/>
    <w:rsid w:val="00115372"/>
    <w:rsid w:val="00155767"/>
    <w:rsid w:val="00155A6A"/>
    <w:rsid w:val="001577E4"/>
    <w:rsid w:val="0018373E"/>
    <w:rsid w:val="00184FC3"/>
    <w:rsid w:val="00194702"/>
    <w:rsid w:val="001A5935"/>
    <w:rsid w:val="001A642D"/>
    <w:rsid w:val="001C2F60"/>
    <w:rsid w:val="001D6507"/>
    <w:rsid w:val="001E4CE7"/>
    <w:rsid w:val="001E6748"/>
    <w:rsid w:val="001E67A5"/>
    <w:rsid w:val="0020434A"/>
    <w:rsid w:val="00234AE2"/>
    <w:rsid w:val="00241C69"/>
    <w:rsid w:val="00247BB5"/>
    <w:rsid w:val="00270AE5"/>
    <w:rsid w:val="002923A6"/>
    <w:rsid w:val="002A27A2"/>
    <w:rsid w:val="002C79BA"/>
    <w:rsid w:val="002D4D56"/>
    <w:rsid w:val="002E1B28"/>
    <w:rsid w:val="00330EC9"/>
    <w:rsid w:val="003529B3"/>
    <w:rsid w:val="00366151"/>
    <w:rsid w:val="0036662A"/>
    <w:rsid w:val="003865B8"/>
    <w:rsid w:val="003A1AD9"/>
    <w:rsid w:val="003B2FAE"/>
    <w:rsid w:val="003E77A4"/>
    <w:rsid w:val="003F5676"/>
    <w:rsid w:val="004136A8"/>
    <w:rsid w:val="004378EE"/>
    <w:rsid w:val="00450928"/>
    <w:rsid w:val="00452AAF"/>
    <w:rsid w:val="00475E13"/>
    <w:rsid w:val="00482B56"/>
    <w:rsid w:val="004837E1"/>
    <w:rsid w:val="004A5F41"/>
    <w:rsid w:val="004C44BD"/>
    <w:rsid w:val="004D11D5"/>
    <w:rsid w:val="004D7FB9"/>
    <w:rsid w:val="004E15EF"/>
    <w:rsid w:val="004E6B69"/>
    <w:rsid w:val="005004F3"/>
    <w:rsid w:val="00514523"/>
    <w:rsid w:val="0054453C"/>
    <w:rsid w:val="00547C74"/>
    <w:rsid w:val="005516A5"/>
    <w:rsid w:val="005533C2"/>
    <w:rsid w:val="00554F21"/>
    <w:rsid w:val="00571253"/>
    <w:rsid w:val="005810C4"/>
    <w:rsid w:val="00581B51"/>
    <w:rsid w:val="00593EE0"/>
    <w:rsid w:val="005B1293"/>
    <w:rsid w:val="005B79FB"/>
    <w:rsid w:val="005C5B4A"/>
    <w:rsid w:val="005C5ECB"/>
    <w:rsid w:val="005D7F17"/>
    <w:rsid w:val="005E0604"/>
    <w:rsid w:val="005F038F"/>
    <w:rsid w:val="005F0F88"/>
    <w:rsid w:val="006106A7"/>
    <w:rsid w:val="00665BE2"/>
    <w:rsid w:val="00677B1E"/>
    <w:rsid w:val="006824CC"/>
    <w:rsid w:val="006A1E78"/>
    <w:rsid w:val="006A22E2"/>
    <w:rsid w:val="006B0D85"/>
    <w:rsid w:val="006B526A"/>
    <w:rsid w:val="006B75D2"/>
    <w:rsid w:val="006C0163"/>
    <w:rsid w:val="006C7680"/>
    <w:rsid w:val="006E16C9"/>
    <w:rsid w:val="00707C95"/>
    <w:rsid w:val="0072623F"/>
    <w:rsid w:val="00734406"/>
    <w:rsid w:val="00741C32"/>
    <w:rsid w:val="00742585"/>
    <w:rsid w:val="00747BC9"/>
    <w:rsid w:val="007537EC"/>
    <w:rsid w:val="00761496"/>
    <w:rsid w:val="007769FC"/>
    <w:rsid w:val="007B3E81"/>
    <w:rsid w:val="007D3038"/>
    <w:rsid w:val="007F5F38"/>
    <w:rsid w:val="0080172F"/>
    <w:rsid w:val="00802F6B"/>
    <w:rsid w:val="008359DC"/>
    <w:rsid w:val="00852A29"/>
    <w:rsid w:val="0085384B"/>
    <w:rsid w:val="00856EDA"/>
    <w:rsid w:val="008576A6"/>
    <w:rsid w:val="0086125E"/>
    <w:rsid w:val="00865C80"/>
    <w:rsid w:val="008663E3"/>
    <w:rsid w:val="008674B1"/>
    <w:rsid w:val="008814C6"/>
    <w:rsid w:val="00885767"/>
    <w:rsid w:val="00885C3D"/>
    <w:rsid w:val="008A53CB"/>
    <w:rsid w:val="008C3DAE"/>
    <w:rsid w:val="008D5F38"/>
    <w:rsid w:val="008E3C68"/>
    <w:rsid w:val="008F38C3"/>
    <w:rsid w:val="00926630"/>
    <w:rsid w:val="00933886"/>
    <w:rsid w:val="00947C9D"/>
    <w:rsid w:val="00954EEB"/>
    <w:rsid w:val="00956C1E"/>
    <w:rsid w:val="0097341D"/>
    <w:rsid w:val="0099342A"/>
    <w:rsid w:val="009A662F"/>
    <w:rsid w:val="009B3957"/>
    <w:rsid w:val="009B4714"/>
    <w:rsid w:val="009D3B8E"/>
    <w:rsid w:val="009D3BAD"/>
    <w:rsid w:val="009E074E"/>
    <w:rsid w:val="009E1857"/>
    <w:rsid w:val="009E69E2"/>
    <w:rsid w:val="00A00DB1"/>
    <w:rsid w:val="00A22754"/>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AF4921"/>
    <w:rsid w:val="00B0591B"/>
    <w:rsid w:val="00B06DF8"/>
    <w:rsid w:val="00B13E90"/>
    <w:rsid w:val="00B14AA0"/>
    <w:rsid w:val="00B26628"/>
    <w:rsid w:val="00B46548"/>
    <w:rsid w:val="00B7247A"/>
    <w:rsid w:val="00B7378D"/>
    <w:rsid w:val="00B75709"/>
    <w:rsid w:val="00B9676C"/>
    <w:rsid w:val="00BA3F54"/>
    <w:rsid w:val="00BB138B"/>
    <w:rsid w:val="00BC5BDA"/>
    <w:rsid w:val="00BD17AE"/>
    <w:rsid w:val="00BE1E8F"/>
    <w:rsid w:val="00BE6468"/>
    <w:rsid w:val="00BE6CC1"/>
    <w:rsid w:val="00BF587A"/>
    <w:rsid w:val="00C25B44"/>
    <w:rsid w:val="00C3317D"/>
    <w:rsid w:val="00C33E49"/>
    <w:rsid w:val="00C35591"/>
    <w:rsid w:val="00C41BD5"/>
    <w:rsid w:val="00C41EDB"/>
    <w:rsid w:val="00C535B1"/>
    <w:rsid w:val="00C57FBB"/>
    <w:rsid w:val="00C6260A"/>
    <w:rsid w:val="00C72AC6"/>
    <w:rsid w:val="00C916C8"/>
    <w:rsid w:val="00C94B40"/>
    <w:rsid w:val="00C97E60"/>
    <w:rsid w:val="00CA2E85"/>
    <w:rsid w:val="00CA6AE7"/>
    <w:rsid w:val="00CB2790"/>
    <w:rsid w:val="00CB505F"/>
    <w:rsid w:val="00CE53AB"/>
    <w:rsid w:val="00CF2C5D"/>
    <w:rsid w:val="00CF7C87"/>
    <w:rsid w:val="00D059D1"/>
    <w:rsid w:val="00D548C8"/>
    <w:rsid w:val="00D54ED4"/>
    <w:rsid w:val="00D5676B"/>
    <w:rsid w:val="00D66763"/>
    <w:rsid w:val="00DB3586"/>
    <w:rsid w:val="00DC5385"/>
    <w:rsid w:val="00DC7728"/>
    <w:rsid w:val="00DC7AB7"/>
    <w:rsid w:val="00DE1BD0"/>
    <w:rsid w:val="00DE693B"/>
    <w:rsid w:val="00E307F8"/>
    <w:rsid w:val="00E314FC"/>
    <w:rsid w:val="00E47926"/>
    <w:rsid w:val="00E53DCA"/>
    <w:rsid w:val="00E6399A"/>
    <w:rsid w:val="00E95B1A"/>
    <w:rsid w:val="00EC036E"/>
    <w:rsid w:val="00EC0828"/>
    <w:rsid w:val="00EC6B07"/>
    <w:rsid w:val="00EF0A83"/>
    <w:rsid w:val="00EF5517"/>
    <w:rsid w:val="00EF5D3D"/>
    <w:rsid w:val="00F16636"/>
    <w:rsid w:val="00F17A0F"/>
    <w:rsid w:val="00F43952"/>
    <w:rsid w:val="00F449CA"/>
    <w:rsid w:val="00F45F44"/>
    <w:rsid w:val="00F46B15"/>
    <w:rsid w:val="00F56078"/>
    <w:rsid w:val="00F74AD4"/>
    <w:rsid w:val="00F75394"/>
    <w:rsid w:val="00F7759E"/>
    <w:rsid w:val="00F8394C"/>
    <w:rsid w:val="00FA1C73"/>
    <w:rsid w:val="00FA2FE9"/>
    <w:rsid w:val="00FD0EAB"/>
    <w:rsid w:val="00FE024A"/>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6ECD1-7C57-443F-A504-BAB795C6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paragraph" w:styleId="FootnoteText">
    <w:name w:val="footnote text"/>
    <w:basedOn w:val="Normal"/>
    <w:link w:val="FootnoteTextChar"/>
    <w:uiPriority w:val="99"/>
    <w:semiHidden/>
    <w:unhideWhenUsed/>
    <w:rsid w:val="005810C4"/>
    <w:rPr>
      <w:sz w:val="20"/>
    </w:rPr>
  </w:style>
  <w:style w:type="character" w:customStyle="1" w:styleId="FootnoteTextChar">
    <w:name w:val="Footnote Text Char"/>
    <w:basedOn w:val="DefaultParagraphFont"/>
    <w:link w:val="FootnoteText"/>
    <w:uiPriority w:val="99"/>
    <w:semiHidden/>
    <w:rsid w:val="005810C4"/>
    <w:rPr>
      <w:rFonts w:eastAsia="Times New Roman"/>
      <w:sz w:val="20"/>
      <w:szCs w:val="20"/>
      <w:lang w:eastAsia="lt-LT"/>
    </w:rPr>
  </w:style>
  <w:style w:type="character" w:styleId="FootnoteReference">
    <w:name w:val="footnote reference"/>
    <w:basedOn w:val="DefaultParagraphFont"/>
    <w:uiPriority w:val="99"/>
    <w:semiHidden/>
    <w:unhideWhenUsed/>
    <w:rsid w:val="005810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A91D-E674-4991-A84A-9D5077B3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4045</Words>
  <Characters>2306</Characters>
  <Application>Microsoft Office Word</Application>
  <DocSecurity>4</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Viluniene Jurgita</cp:lastModifiedBy>
  <cp:revision>2</cp:revision>
  <dcterms:created xsi:type="dcterms:W3CDTF">2020-02-27T09:58:00Z</dcterms:created>
  <dcterms:modified xsi:type="dcterms:W3CDTF">2020-02-27T09:58:00Z</dcterms:modified>
</cp:coreProperties>
</file>