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AB33C9" w:rsidRDefault="0036662A" w:rsidP="0036662A">
      <w:pPr>
        <w:jc w:val="center"/>
        <w:rPr>
          <w:b/>
          <w:bCs/>
          <w:szCs w:val="24"/>
        </w:rPr>
      </w:pPr>
      <w:r w:rsidRPr="00AB33C9">
        <w:rPr>
          <w:b/>
          <w:bCs/>
          <w:szCs w:val="24"/>
        </w:rPr>
        <w:t xml:space="preserve">LIETUVOS RESPUBLIKOS </w:t>
      </w:r>
      <w:r w:rsidR="00451686" w:rsidRPr="00AB33C9">
        <w:rPr>
          <w:b/>
          <w:bCs/>
          <w:szCs w:val="24"/>
        </w:rPr>
        <w:t>ENERGETIKOS</w:t>
      </w:r>
      <w:r w:rsidRPr="00AB33C9">
        <w:rPr>
          <w:b/>
          <w:bCs/>
          <w:szCs w:val="24"/>
        </w:rPr>
        <w:t xml:space="preserve"> MINISTERIJA</w:t>
      </w:r>
    </w:p>
    <w:p w14:paraId="62136E55" w14:textId="77777777" w:rsidR="0036662A" w:rsidRPr="00AB33C9" w:rsidRDefault="0036662A" w:rsidP="0036662A">
      <w:pPr>
        <w:jc w:val="center"/>
        <w:rPr>
          <w:b/>
          <w:bCs/>
          <w:szCs w:val="24"/>
        </w:rPr>
      </w:pPr>
    </w:p>
    <w:p w14:paraId="1E7C8F0B" w14:textId="4A86905E" w:rsidR="0036662A" w:rsidRPr="00557306" w:rsidRDefault="0036662A" w:rsidP="00557306">
      <w:pPr>
        <w:tabs>
          <w:tab w:val="left" w:pos="9639"/>
        </w:tabs>
        <w:jc w:val="center"/>
        <w:rPr>
          <w:b/>
          <w:szCs w:val="24"/>
        </w:rPr>
      </w:pPr>
      <w:r w:rsidRPr="00AB33C9">
        <w:rPr>
          <w:b/>
          <w:bCs/>
          <w:szCs w:val="24"/>
        </w:rPr>
        <w:t xml:space="preserve">SOCIALINIŲ IR EKONOMINIŲ PARTNERIŲ PATEIKTŲ PASTABŲ IR PASIŪLYMŲ </w:t>
      </w:r>
      <w:r w:rsidR="00557306" w:rsidRPr="00557306">
        <w:rPr>
          <w:b/>
          <w:szCs w:val="24"/>
        </w:rPr>
        <w:t xml:space="preserve">DĖL LIETUVOS RESPUBLIKOS ENERGETIKOS MINISTRO 2018 M. LIEPOS 17 D. ĮSAKYMO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 PAKEITIMO PROJEKTO </w:t>
      </w:r>
      <w:r w:rsidRPr="00AB33C9">
        <w:rPr>
          <w:b/>
          <w:bCs/>
          <w:szCs w:val="24"/>
        </w:rPr>
        <w:t>DERINIMAS</w:t>
      </w:r>
    </w:p>
    <w:p w14:paraId="2B885C82" w14:textId="77777777" w:rsidR="0036662A" w:rsidRPr="00AB33C9" w:rsidRDefault="0036662A" w:rsidP="0036662A">
      <w:pPr>
        <w:rPr>
          <w:b/>
          <w:bCs/>
          <w:szCs w:val="24"/>
        </w:rPr>
      </w:pPr>
    </w:p>
    <w:tbl>
      <w:tblPr>
        <w:tblStyle w:val="TableGrid"/>
        <w:tblW w:w="15055" w:type="dxa"/>
        <w:tblInd w:w="108" w:type="dxa"/>
        <w:tblLook w:val="04A0" w:firstRow="1" w:lastRow="0" w:firstColumn="1" w:lastColumn="0" w:noHBand="0" w:noVBand="1"/>
      </w:tblPr>
      <w:tblGrid>
        <w:gridCol w:w="6804"/>
        <w:gridCol w:w="8251"/>
      </w:tblGrid>
      <w:tr w:rsidR="0036662A" w:rsidRPr="00AB33C9" w14:paraId="211B4D5C" w14:textId="77777777" w:rsidTr="00A4316D">
        <w:tc>
          <w:tcPr>
            <w:tcW w:w="6804" w:type="dxa"/>
          </w:tcPr>
          <w:p w14:paraId="2951B3F4" w14:textId="77777777" w:rsidR="0036662A" w:rsidRPr="00AB33C9" w:rsidRDefault="0036662A" w:rsidP="00817AE7">
            <w:pPr>
              <w:rPr>
                <w:b/>
                <w:szCs w:val="24"/>
              </w:rPr>
            </w:pPr>
            <w:r w:rsidRPr="00AB33C9">
              <w:rPr>
                <w:b/>
                <w:szCs w:val="24"/>
              </w:rPr>
              <w:t xml:space="preserve">Paskelbimo </w:t>
            </w:r>
            <w:r w:rsidRPr="00AB33C9">
              <w:rPr>
                <w:szCs w:val="24"/>
              </w:rPr>
              <w:t>www.esinvesticijos.lt</w:t>
            </w:r>
            <w:r w:rsidRPr="00AB33C9">
              <w:rPr>
                <w:b/>
                <w:szCs w:val="24"/>
              </w:rPr>
              <w:t xml:space="preserve"> data</w:t>
            </w:r>
          </w:p>
        </w:tc>
        <w:tc>
          <w:tcPr>
            <w:tcW w:w="8251" w:type="dxa"/>
          </w:tcPr>
          <w:p w14:paraId="3E71717B" w14:textId="2C9F5B9B" w:rsidR="0036662A" w:rsidRPr="00AB33C9" w:rsidRDefault="00227F9B" w:rsidP="00817AE7">
            <w:pPr>
              <w:rPr>
                <w:szCs w:val="24"/>
              </w:rPr>
            </w:pPr>
            <w:r w:rsidRPr="00AB33C9">
              <w:rPr>
                <w:szCs w:val="24"/>
              </w:rPr>
              <w:t>20</w:t>
            </w:r>
            <w:r w:rsidR="00272A9D">
              <w:rPr>
                <w:szCs w:val="24"/>
              </w:rPr>
              <w:t>20</w:t>
            </w:r>
            <w:r w:rsidRPr="00AB33C9">
              <w:rPr>
                <w:szCs w:val="24"/>
              </w:rPr>
              <w:t>-</w:t>
            </w:r>
            <w:r w:rsidR="009B7C65">
              <w:rPr>
                <w:szCs w:val="24"/>
              </w:rPr>
              <w:t>03-03</w:t>
            </w:r>
          </w:p>
        </w:tc>
      </w:tr>
      <w:tr w:rsidR="0036662A" w:rsidRPr="00AB33C9" w14:paraId="585257F3" w14:textId="77777777" w:rsidTr="00A4316D">
        <w:tc>
          <w:tcPr>
            <w:tcW w:w="6804" w:type="dxa"/>
          </w:tcPr>
          <w:p w14:paraId="2F737573" w14:textId="77777777" w:rsidR="0036662A" w:rsidRPr="00AB33C9" w:rsidRDefault="0036662A" w:rsidP="00817AE7">
            <w:pPr>
              <w:rPr>
                <w:b/>
                <w:szCs w:val="24"/>
              </w:rPr>
            </w:pPr>
            <w:r w:rsidRPr="00AB33C9">
              <w:rPr>
                <w:b/>
                <w:szCs w:val="24"/>
              </w:rPr>
              <w:t>Ar gauta pastabų ir (ar) pasiūlymų?</w:t>
            </w:r>
          </w:p>
          <w:p w14:paraId="7B6D8B00" w14:textId="77777777" w:rsidR="0036662A" w:rsidRPr="00AB33C9" w:rsidRDefault="0036662A" w:rsidP="0036662A">
            <w:pPr>
              <w:rPr>
                <w:i/>
                <w:szCs w:val="24"/>
              </w:rPr>
            </w:pPr>
            <w:r w:rsidRPr="00AB33C9">
              <w:rPr>
                <w:i/>
                <w:szCs w:val="24"/>
              </w:rPr>
              <w:t>Jei pastabų ir pasiūlymų nebuvo gauta, į kitą klausimą neatsakoma ir žemiau esanti lentelė nepildoma</w:t>
            </w:r>
          </w:p>
        </w:tc>
        <w:tc>
          <w:tcPr>
            <w:tcW w:w="8251" w:type="dxa"/>
          </w:tcPr>
          <w:p w14:paraId="347A711E" w14:textId="619A8AD8" w:rsidR="0036662A" w:rsidRPr="00AB33C9" w:rsidRDefault="004D266D" w:rsidP="0036662A">
            <w:pPr>
              <w:rPr>
                <w:szCs w:val="24"/>
              </w:rPr>
            </w:pPr>
            <w:sdt>
              <w:sdtPr>
                <w:rPr>
                  <w:szCs w:val="24"/>
                </w:rPr>
                <w:id w:val="1312749902"/>
              </w:sdtPr>
              <w:sdtEndPr/>
              <w:sdtContent>
                <w:bookmarkStart w:id="0" w:name="Check1"/>
                <w:r w:rsidR="00DB52DD" w:rsidRPr="00AB33C9">
                  <w:rPr>
                    <w:szCs w:val="24"/>
                  </w:rPr>
                  <w:fldChar w:fldCharType="begin">
                    <w:ffData>
                      <w:name w:val="Check1"/>
                      <w:enabled/>
                      <w:calcOnExit w:val="0"/>
                      <w:checkBox>
                        <w:sizeAuto/>
                        <w:default w:val="1"/>
                      </w:checkBox>
                    </w:ffData>
                  </w:fldChar>
                </w:r>
                <w:r w:rsidR="00DB52DD" w:rsidRPr="00AB33C9">
                  <w:rPr>
                    <w:szCs w:val="24"/>
                  </w:rPr>
                  <w:instrText xml:space="preserve"> FORMCHECKBOX </w:instrText>
                </w:r>
                <w:r>
                  <w:rPr>
                    <w:szCs w:val="24"/>
                  </w:rPr>
                </w:r>
                <w:r>
                  <w:rPr>
                    <w:szCs w:val="24"/>
                  </w:rPr>
                  <w:fldChar w:fldCharType="separate"/>
                </w:r>
                <w:r w:rsidR="00DB52DD" w:rsidRPr="00AB33C9">
                  <w:rPr>
                    <w:szCs w:val="24"/>
                  </w:rPr>
                  <w:fldChar w:fldCharType="end"/>
                </w:r>
                <w:bookmarkEnd w:id="0"/>
                <w:r w:rsidR="0036662A" w:rsidRPr="00AB33C9">
                  <w:rPr>
                    <w:szCs w:val="24"/>
                  </w:rPr>
                  <w:t xml:space="preserve"> </w:t>
                </w:r>
              </w:sdtContent>
            </w:sdt>
            <w:r w:rsidR="0036662A" w:rsidRPr="00AB33C9">
              <w:rPr>
                <w:szCs w:val="24"/>
              </w:rPr>
              <w:t xml:space="preserve">Taip </w:t>
            </w:r>
            <w:sdt>
              <w:sdtPr>
                <w:rPr>
                  <w:szCs w:val="24"/>
                </w:rPr>
                <w:id w:val="164368749"/>
              </w:sdtPr>
              <w:sdtEndPr/>
              <w:sdtContent>
                <w:r w:rsidR="0036662A" w:rsidRPr="00AB33C9">
                  <w:rPr>
                    <w:szCs w:val="24"/>
                  </w:rPr>
                  <w:fldChar w:fldCharType="begin">
                    <w:ffData>
                      <w:name w:val="Check1"/>
                      <w:enabled/>
                      <w:calcOnExit w:val="0"/>
                      <w:checkBox>
                        <w:sizeAuto/>
                        <w:default w:val="0"/>
                      </w:checkBox>
                    </w:ffData>
                  </w:fldChar>
                </w:r>
                <w:r w:rsidR="0036662A" w:rsidRPr="00AB33C9">
                  <w:rPr>
                    <w:szCs w:val="24"/>
                  </w:rPr>
                  <w:instrText xml:space="preserve"> FORMCHECKBOX </w:instrText>
                </w:r>
                <w:r>
                  <w:rPr>
                    <w:szCs w:val="24"/>
                  </w:rPr>
                </w:r>
                <w:r>
                  <w:rPr>
                    <w:szCs w:val="24"/>
                  </w:rPr>
                  <w:fldChar w:fldCharType="separate"/>
                </w:r>
                <w:r w:rsidR="0036662A" w:rsidRPr="00AB33C9">
                  <w:rPr>
                    <w:szCs w:val="24"/>
                  </w:rPr>
                  <w:fldChar w:fldCharType="end"/>
                </w:r>
                <w:r w:rsidR="0036662A" w:rsidRPr="00AB33C9">
                  <w:rPr>
                    <w:szCs w:val="24"/>
                  </w:rPr>
                  <w:t xml:space="preserve"> </w:t>
                </w:r>
              </w:sdtContent>
            </w:sdt>
            <w:r w:rsidR="0036662A" w:rsidRPr="00AB33C9">
              <w:rPr>
                <w:szCs w:val="24"/>
              </w:rPr>
              <w:t xml:space="preserve"> Ne</w:t>
            </w:r>
            <w:r w:rsidR="0036662A" w:rsidRPr="00AB33C9">
              <w:rPr>
                <w:szCs w:val="24"/>
              </w:rPr>
              <w:fldChar w:fldCharType="begin"/>
            </w:r>
            <w:r w:rsidR="0036662A" w:rsidRPr="00AB33C9">
              <w:rPr>
                <w:szCs w:val="24"/>
              </w:rPr>
              <w:instrText xml:space="preserve"> FILLIN   \* MERGEFORMAT </w:instrText>
            </w:r>
            <w:r w:rsidR="0036662A" w:rsidRPr="00AB33C9">
              <w:rPr>
                <w:szCs w:val="24"/>
              </w:rPr>
              <w:fldChar w:fldCharType="end"/>
            </w:r>
          </w:p>
        </w:tc>
      </w:tr>
      <w:tr w:rsidR="0036662A" w:rsidRPr="00AB33C9" w14:paraId="6D0D9D1A" w14:textId="77777777" w:rsidTr="00A4316D">
        <w:tc>
          <w:tcPr>
            <w:tcW w:w="6804" w:type="dxa"/>
          </w:tcPr>
          <w:p w14:paraId="6A04ED20" w14:textId="77777777" w:rsidR="0036662A" w:rsidRPr="00AB33C9" w:rsidRDefault="0036662A" w:rsidP="00817AE7">
            <w:pPr>
              <w:rPr>
                <w:b/>
                <w:szCs w:val="24"/>
              </w:rPr>
            </w:pPr>
            <w:r w:rsidRPr="00AB33C9">
              <w:rPr>
                <w:b/>
                <w:szCs w:val="24"/>
              </w:rPr>
              <w:t>Ar į visas pastabas ir (ar) pasiūlymus atsižvelgta?</w:t>
            </w:r>
          </w:p>
          <w:p w14:paraId="5A09DB63" w14:textId="77777777" w:rsidR="0036662A" w:rsidRPr="00AB33C9" w:rsidRDefault="0036662A" w:rsidP="00817AE7">
            <w:pPr>
              <w:rPr>
                <w:i/>
                <w:szCs w:val="24"/>
              </w:rPr>
            </w:pPr>
            <w:r w:rsidRPr="00AB33C9">
              <w:rPr>
                <w:i/>
                <w:szCs w:val="24"/>
              </w:rPr>
              <w:t>Jei atsižvelgta į visas pastabas ir (ar) pasiūlymus, žemiau esanti lentelė nepildoma</w:t>
            </w:r>
          </w:p>
        </w:tc>
        <w:tc>
          <w:tcPr>
            <w:tcW w:w="8251" w:type="dxa"/>
          </w:tcPr>
          <w:p w14:paraId="47323AFB" w14:textId="167F9EBF" w:rsidR="0036662A" w:rsidRPr="00AB33C9" w:rsidRDefault="004D266D" w:rsidP="00817AE7">
            <w:pPr>
              <w:rPr>
                <w:szCs w:val="24"/>
              </w:rPr>
            </w:pPr>
            <w:sdt>
              <w:sdtPr>
                <w:rPr>
                  <w:szCs w:val="24"/>
                </w:rPr>
                <w:id w:val="-1548671976"/>
              </w:sdtPr>
              <w:sdtEndPr/>
              <w:sdtContent>
                <w:r w:rsidR="009B7C65">
                  <w:rPr>
                    <w:szCs w:val="24"/>
                  </w:rPr>
                  <w:fldChar w:fldCharType="begin">
                    <w:ffData>
                      <w:name w:val=""/>
                      <w:enabled/>
                      <w:calcOnExit w:val="0"/>
                      <w:checkBox>
                        <w:sizeAuto/>
                        <w:default w:val="0"/>
                      </w:checkBox>
                    </w:ffData>
                  </w:fldChar>
                </w:r>
                <w:r w:rsidR="009B7C65">
                  <w:rPr>
                    <w:szCs w:val="24"/>
                  </w:rPr>
                  <w:instrText xml:space="preserve"> FORMCHECKBOX </w:instrText>
                </w:r>
                <w:r>
                  <w:rPr>
                    <w:szCs w:val="24"/>
                  </w:rPr>
                </w:r>
                <w:r>
                  <w:rPr>
                    <w:szCs w:val="24"/>
                  </w:rPr>
                  <w:fldChar w:fldCharType="separate"/>
                </w:r>
                <w:r w:rsidR="009B7C65">
                  <w:rPr>
                    <w:szCs w:val="24"/>
                  </w:rPr>
                  <w:fldChar w:fldCharType="end"/>
                </w:r>
              </w:sdtContent>
            </w:sdt>
            <w:r w:rsidR="0036662A" w:rsidRPr="00AB33C9">
              <w:rPr>
                <w:szCs w:val="24"/>
              </w:rPr>
              <w:t xml:space="preserve"> Taip </w:t>
            </w:r>
            <w:sdt>
              <w:sdtPr>
                <w:rPr>
                  <w:szCs w:val="24"/>
                </w:rPr>
                <w:id w:val="-338542889"/>
              </w:sdtPr>
              <w:sdtEndPr/>
              <w:sdtContent>
                <w:r w:rsidR="009B7C65">
                  <w:rPr>
                    <w:szCs w:val="24"/>
                  </w:rPr>
                  <w:fldChar w:fldCharType="begin">
                    <w:ffData>
                      <w:name w:val=""/>
                      <w:enabled/>
                      <w:calcOnExit w:val="0"/>
                      <w:checkBox>
                        <w:sizeAuto/>
                        <w:default w:val="1"/>
                      </w:checkBox>
                    </w:ffData>
                  </w:fldChar>
                </w:r>
                <w:r w:rsidR="009B7C65">
                  <w:rPr>
                    <w:szCs w:val="24"/>
                  </w:rPr>
                  <w:instrText xml:space="preserve"> FORMCHECKBOX </w:instrText>
                </w:r>
                <w:r>
                  <w:rPr>
                    <w:szCs w:val="24"/>
                  </w:rPr>
                </w:r>
                <w:r>
                  <w:rPr>
                    <w:szCs w:val="24"/>
                  </w:rPr>
                  <w:fldChar w:fldCharType="separate"/>
                </w:r>
                <w:r w:rsidR="009B7C65">
                  <w:rPr>
                    <w:szCs w:val="24"/>
                  </w:rPr>
                  <w:fldChar w:fldCharType="end"/>
                </w:r>
              </w:sdtContent>
            </w:sdt>
            <w:r w:rsidR="0036662A" w:rsidRPr="00AB33C9">
              <w:rPr>
                <w:szCs w:val="24"/>
              </w:rPr>
              <w:t xml:space="preserve"> Ne </w:t>
            </w:r>
          </w:p>
        </w:tc>
      </w:tr>
    </w:tbl>
    <w:p w14:paraId="3E50DA31" w14:textId="77777777" w:rsidR="0036662A" w:rsidRPr="00AB33C9" w:rsidRDefault="0036662A" w:rsidP="0036662A">
      <w:pPr>
        <w:rPr>
          <w:szCs w:val="24"/>
        </w:rPr>
      </w:pPr>
    </w:p>
    <w:tbl>
      <w:tblPr>
        <w:tblStyle w:val="TableGrid"/>
        <w:tblW w:w="14912" w:type="dxa"/>
        <w:tblInd w:w="108" w:type="dxa"/>
        <w:tblLayout w:type="fixed"/>
        <w:tblLook w:val="04A0" w:firstRow="1" w:lastRow="0" w:firstColumn="1" w:lastColumn="0" w:noHBand="0" w:noVBand="1"/>
      </w:tblPr>
      <w:tblGrid>
        <w:gridCol w:w="596"/>
        <w:gridCol w:w="2977"/>
        <w:gridCol w:w="5812"/>
        <w:gridCol w:w="5527"/>
      </w:tblGrid>
      <w:tr w:rsidR="0036662A" w:rsidRPr="00AB33C9" w14:paraId="309321F7" w14:textId="77777777" w:rsidTr="00737DF3">
        <w:tc>
          <w:tcPr>
            <w:tcW w:w="596" w:type="dxa"/>
          </w:tcPr>
          <w:p w14:paraId="3ECF6B6F" w14:textId="77777777" w:rsidR="0036662A" w:rsidRPr="00AB33C9" w:rsidRDefault="0036662A" w:rsidP="008F5081">
            <w:pPr>
              <w:rPr>
                <w:bCs/>
                <w:szCs w:val="24"/>
              </w:rPr>
            </w:pPr>
            <w:r w:rsidRPr="00AB33C9">
              <w:rPr>
                <w:bCs/>
                <w:szCs w:val="24"/>
              </w:rPr>
              <w:t>Nr.</w:t>
            </w:r>
          </w:p>
        </w:tc>
        <w:tc>
          <w:tcPr>
            <w:tcW w:w="2977" w:type="dxa"/>
          </w:tcPr>
          <w:p w14:paraId="36594ECD" w14:textId="77777777" w:rsidR="0036662A" w:rsidRPr="00AB33C9" w:rsidRDefault="0036662A" w:rsidP="00817AE7">
            <w:pPr>
              <w:jc w:val="center"/>
              <w:rPr>
                <w:bCs/>
                <w:szCs w:val="24"/>
              </w:rPr>
            </w:pPr>
            <w:r w:rsidRPr="00AB33C9">
              <w:rPr>
                <w:bCs/>
                <w:szCs w:val="24"/>
              </w:rPr>
              <w:t>Institucija</w:t>
            </w:r>
          </w:p>
        </w:tc>
        <w:tc>
          <w:tcPr>
            <w:tcW w:w="5812" w:type="dxa"/>
          </w:tcPr>
          <w:p w14:paraId="1B30E145" w14:textId="77777777" w:rsidR="0036662A" w:rsidRPr="00AB33C9" w:rsidRDefault="0036662A" w:rsidP="00817AE7">
            <w:pPr>
              <w:jc w:val="center"/>
              <w:rPr>
                <w:bCs/>
                <w:szCs w:val="24"/>
              </w:rPr>
            </w:pPr>
            <w:r w:rsidRPr="00AB33C9">
              <w:rPr>
                <w:bCs/>
                <w:szCs w:val="24"/>
              </w:rPr>
              <w:t>Pastabos ir pasiūlymai</w:t>
            </w:r>
          </w:p>
        </w:tc>
        <w:tc>
          <w:tcPr>
            <w:tcW w:w="5527" w:type="dxa"/>
          </w:tcPr>
          <w:p w14:paraId="3D3EE2E4" w14:textId="77777777" w:rsidR="0036662A" w:rsidRPr="00AB33C9" w:rsidRDefault="0036662A" w:rsidP="00817AE7">
            <w:pPr>
              <w:jc w:val="center"/>
              <w:rPr>
                <w:bCs/>
                <w:szCs w:val="24"/>
              </w:rPr>
            </w:pPr>
            <w:r w:rsidRPr="00AB33C9">
              <w:rPr>
                <w:bCs/>
                <w:szCs w:val="24"/>
              </w:rPr>
              <w:t>Pastabų ir pasiūlymų vertinimas ir (jei taikoma) argumentai, kodėl neatsižvelgta į pastabas ar pasiūlymus</w:t>
            </w:r>
          </w:p>
        </w:tc>
      </w:tr>
      <w:tr w:rsidR="00045E24" w:rsidRPr="00AB33C9" w14:paraId="7BEE21B3" w14:textId="77777777" w:rsidTr="00737DF3">
        <w:tc>
          <w:tcPr>
            <w:tcW w:w="596" w:type="dxa"/>
          </w:tcPr>
          <w:p w14:paraId="2587BA3F" w14:textId="63F19B9F" w:rsidR="00045E24" w:rsidRPr="00AB33C9" w:rsidRDefault="00045E24" w:rsidP="00045E24">
            <w:pPr>
              <w:pStyle w:val="ListParagraph"/>
              <w:numPr>
                <w:ilvl w:val="0"/>
                <w:numId w:val="4"/>
              </w:numPr>
            </w:pPr>
          </w:p>
        </w:tc>
        <w:tc>
          <w:tcPr>
            <w:tcW w:w="2977" w:type="dxa"/>
          </w:tcPr>
          <w:p w14:paraId="6300D934" w14:textId="0C925815" w:rsidR="00045E24" w:rsidRPr="00AB33C9" w:rsidRDefault="00045E24" w:rsidP="00045E24">
            <w:pPr>
              <w:rPr>
                <w:szCs w:val="24"/>
              </w:rPr>
            </w:pPr>
            <w:r w:rsidRPr="00AB33C9">
              <w:rPr>
                <w:szCs w:val="24"/>
              </w:rPr>
              <w:t>Lietuvos Respublikos kultūros ministerija</w:t>
            </w:r>
          </w:p>
        </w:tc>
        <w:tc>
          <w:tcPr>
            <w:tcW w:w="5812" w:type="dxa"/>
          </w:tcPr>
          <w:p w14:paraId="32998352" w14:textId="3983F09F" w:rsidR="00045E24" w:rsidRPr="00AB33C9" w:rsidRDefault="00045E24" w:rsidP="00045E24">
            <w:pPr>
              <w:jc w:val="both"/>
              <w:rPr>
                <w:szCs w:val="24"/>
              </w:rPr>
            </w:pPr>
            <w:r w:rsidRPr="00AB33C9">
              <w:rPr>
                <w:szCs w:val="24"/>
              </w:rPr>
              <w:t>Pritaria projektui.</w:t>
            </w:r>
          </w:p>
        </w:tc>
        <w:tc>
          <w:tcPr>
            <w:tcW w:w="5527" w:type="dxa"/>
          </w:tcPr>
          <w:p w14:paraId="464FBC0D" w14:textId="77777777" w:rsidR="00045E24" w:rsidRPr="00AB33C9" w:rsidRDefault="00045E24" w:rsidP="00045E24">
            <w:pPr>
              <w:jc w:val="both"/>
              <w:rPr>
                <w:szCs w:val="24"/>
              </w:rPr>
            </w:pPr>
          </w:p>
        </w:tc>
      </w:tr>
      <w:tr w:rsidR="00045E24" w:rsidRPr="00AB33C9" w14:paraId="304B964B" w14:textId="77777777" w:rsidTr="00737DF3">
        <w:tc>
          <w:tcPr>
            <w:tcW w:w="596" w:type="dxa"/>
          </w:tcPr>
          <w:p w14:paraId="253F60CA" w14:textId="77777777" w:rsidR="00045E24" w:rsidRPr="00AB33C9" w:rsidRDefault="00045E24" w:rsidP="00045E24">
            <w:pPr>
              <w:pStyle w:val="ListParagraph"/>
              <w:numPr>
                <w:ilvl w:val="0"/>
                <w:numId w:val="4"/>
              </w:numPr>
            </w:pPr>
          </w:p>
        </w:tc>
        <w:tc>
          <w:tcPr>
            <w:tcW w:w="2977" w:type="dxa"/>
          </w:tcPr>
          <w:p w14:paraId="0B70DE2F" w14:textId="0D9AC1DE" w:rsidR="00045E24" w:rsidRPr="00AB33C9" w:rsidRDefault="00045E24" w:rsidP="00045E24">
            <w:pPr>
              <w:rPr>
                <w:szCs w:val="24"/>
              </w:rPr>
            </w:pPr>
            <w:r w:rsidRPr="00AB33C9">
              <w:rPr>
                <w:szCs w:val="24"/>
              </w:rPr>
              <w:t>Lietuvos Respublikos susisiekimo ministerija</w:t>
            </w:r>
          </w:p>
        </w:tc>
        <w:tc>
          <w:tcPr>
            <w:tcW w:w="5812" w:type="dxa"/>
          </w:tcPr>
          <w:p w14:paraId="0408586A" w14:textId="3ECF190D" w:rsidR="00045E24" w:rsidRPr="00AB33C9" w:rsidRDefault="00045E24" w:rsidP="00045E24">
            <w:pPr>
              <w:jc w:val="both"/>
              <w:rPr>
                <w:szCs w:val="24"/>
              </w:rPr>
            </w:pPr>
            <w:r w:rsidRPr="00AB33C9">
              <w:rPr>
                <w:szCs w:val="24"/>
              </w:rPr>
              <w:t>Pritaria projektui.</w:t>
            </w:r>
          </w:p>
        </w:tc>
        <w:tc>
          <w:tcPr>
            <w:tcW w:w="5527" w:type="dxa"/>
          </w:tcPr>
          <w:p w14:paraId="4F349BD8" w14:textId="77777777" w:rsidR="00045E24" w:rsidRPr="00AB33C9" w:rsidRDefault="00045E24" w:rsidP="00045E24">
            <w:pPr>
              <w:jc w:val="both"/>
              <w:rPr>
                <w:szCs w:val="24"/>
              </w:rPr>
            </w:pPr>
          </w:p>
        </w:tc>
      </w:tr>
      <w:tr w:rsidR="009B7C65" w:rsidRPr="00AB33C9" w14:paraId="3EA5E836" w14:textId="77777777" w:rsidTr="00737DF3">
        <w:tc>
          <w:tcPr>
            <w:tcW w:w="596" w:type="dxa"/>
          </w:tcPr>
          <w:p w14:paraId="44CD37B8" w14:textId="77777777" w:rsidR="009B7C65" w:rsidRPr="00AB33C9" w:rsidRDefault="009B7C65" w:rsidP="009B7C65">
            <w:pPr>
              <w:pStyle w:val="ListParagraph"/>
              <w:numPr>
                <w:ilvl w:val="0"/>
                <w:numId w:val="4"/>
              </w:numPr>
            </w:pPr>
          </w:p>
        </w:tc>
        <w:tc>
          <w:tcPr>
            <w:tcW w:w="2977" w:type="dxa"/>
          </w:tcPr>
          <w:p w14:paraId="0FDF6CEE" w14:textId="57C54931" w:rsidR="009B7C65" w:rsidRDefault="009B7C65" w:rsidP="009B7C65">
            <w:pPr>
              <w:rPr>
                <w:szCs w:val="24"/>
              </w:rPr>
            </w:pPr>
            <w:r>
              <w:rPr>
                <w:szCs w:val="24"/>
              </w:rPr>
              <w:t>Lietuvos Respublikos vidaus reikalų ministerija</w:t>
            </w:r>
          </w:p>
        </w:tc>
        <w:tc>
          <w:tcPr>
            <w:tcW w:w="5812" w:type="dxa"/>
          </w:tcPr>
          <w:p w14:paraId="0962AD32" w14:textId="4695B3CB" w:rsidR="009B7C65" w:rsidRDefault="009B7C65" w:rsidP="009B7C65">
            <w:pPr>
              <w:jc w:val="both"/>
              <w:rPr>
                <w:szCs w:val="24"/>
              </w:rPr>
            </w:pPr>
            <w:r>
              <w:rPr>
                <w:szCs w:val="24"/>
              </w:rPr>
              <w:t>Pritaria projektui.</w:t>
            </w:r>
          </w:p>
        </w:tc>
        <w:tc>
          <w:tcPr>
            <w:tcW w:w="5527" w:type="dxa"/>
          </w:tcPr>
          <w:p w14:paraId="299B1CA0" w14:textId="77777777" w:rsidR="009B7C65" w:rsidRPr="00AB33C9" w:rsidRDefault="009B7C65" w:rsidP="009B7C65">
            <w:pPr>
              <w:jc w:val="both"/>
              <w:rPr>
                <w:szCs w:val="24"/>
              </w:rPr>
            </w:pPr>
          </w:p>
        </w:tc>
      </w:tr>
      <w:tr w:rsidR="009B7C65" w:rsidRPr="00AB33C9" w14:paraId="7933D4DC" w14:textId="77777777" w:rsidTr="00737DF3">
        <w:tc>
          <w:tcPr>
            <w:tcW w:w="596" w:type="dxa"/>
          </w:tcPr>
          <w:p w14:paraId="1C1625E7" w14:textId="77777777" w:rsidR="009B7C65" w:rsidRPr="00AB33C9" w:rsidRDefault="009B7C65" w:rsidP="009B7C65">
            <w:pPr>
              <w:pStyle w:val="ListParagraph"/>
              <w:numPr>
                <w:ilvl w:val="0"/>
                <w:numId w:val="4"/>
              </w:numPr>
            </w:pPr>
          </w:p>
        </w:tc>
        <w:tc>
          <w:tcPr>
            <w:tcW w:w="2977" w:type="dxa"/>
          </w:tcPr>
          <w:p w14:paraId="18B8CA44" w14:textId="3AEBE512" w:rsidR="009B7C65" w:rsidRPr="00E4046D" w:rsidRDefault="009B7C65" w:rsidP="009B7C65">
            <w:pPr>
              <w:rPr>
                <w:szCs w:val="24"/>
              </w:rPr>
            </w:pPr>
            <w:r>
              <w:rPr>
                <w:szCs w:val="24"/>
              </w:rPr>
              <w:t>Lietuvos Respublikos aplinkos ministerija</w:t>
            </w:r>
          </w:p>
        </w:tc>
        <w:tc>
          <w:tcPr>
            <w:tcW w:w="5812" w:type="dxa"/>
          </w:tcPr>
          <w:p w14:paraId="043440CA" w14:textId="06BFB5AA" w:rsidR="009B7C65" w:rsidRDefault="009B7C65" w:rsidP="009B7C65">
            <w:pPr>
              <w:jc w:val="both"/>
              <w:rPr>
                <w:szCs w:val="24"/>
              </w:rPr>
            </w:pPr>
            <w:r>
              <w:rPr>
                <w:szCs w:val="24"/>
              </w:rPr>
              <w:t>Pritaria projektui.</w:t>
            </w:r>
          </w:p>
        </w:tc>
        <w:tc>
          <w:tcPr>
            <w:tcW w:w="5527" w:type="dxa"/>
          </w:tcPr>
          <w:p w14:paraId="63A62DB1" w14:textId="77777777" w:rsidR="009B7C65" w:rsidRPr="00AB33C9" w:rsidRDefault="009B7C65" w:rsidP="009B7C65">
            <w:pPr>
              <w:jc w:val="both"/>
              <w:rPr>
                <w:szCs w:val="24"/>
              </w:rPr>
            </w:pPr>
          </w:p>
        </w:tc>
      </w:tr>
      <w:tr w:rsidR="00BA4BE8" w:rsidRPr="00AB33C9" w14:paraId="7CDF5234" w14:textId="77777777" w:rsidTr="00737DF3">
        <w:tc>
          <w:tcPr>
            <w:tcW w:w="596" w:type="dxa"/>
          </w:tcPr>
          <w:p w14:paraId="5CA41CEA" w14:textId="77777777" w:rsidR="00BA4BE8" w:rsidRPr="00AB33C9" w:rsidRDefault="00BA4BE8" w:rsidP="00BA4BE8">
            <w:pPr>
              <w:pStyle w:val="ListParagraph"/>
              <w:numPr>
                <w:ilvl w:val="0"/>
                <w:numId w:val="4"/>
              </w:numPr>
            </w:pPr>
          </w:p>
        </w:tc>
        <w:tc>
          <w:tcPr>
            <w:tcW w:w="2977" w:type="dxa"/>
          </w:tcPr>
          <w:p w14:paraId="1EF61B6B" w14:textId="306980E9" w:rsidR="00BA4BE8" w:rsidRDefault="00BA4BE8" w:rsidP="00BA4BE8">
            <w:pPr>
              <w:rPr>
                <w:szCs w:val="24"/>
              </w:rPr>
            </w:pPr>
            <w:r>
              <w:rPr>
                <w:szCs w:val="24"/>
              </w:rPr>
              <w:t>Lietuvos Respublikos žemės ūkio ministerija</w:t>
            </w:r>
          </w:p>
        </w:tc>
        <w:tc>
          <w:tcPr>
            <w:tcW w:w="5812" w:type="dxa"/>
          </w:tcPr>
          <w:p w14:paraId="6286AC9D" w14:textId="7B65BD6A" w:rsidR="00BA4BE8" w:rsidRDefault="00BA4BE8" w:rsidP="00BA4BE8">
            <w:pPr>
              <w:jc w:val="both"/>
              <w:rPr>
                <w:szCs w:val="24"/>
              </w:rPr>
            </w:pPr>
            <w:r w:rsidRPr="00AC3121">
              <w:rPr>
                <w:szCs w:val="24"/>
              </w:rPr>
              <w:t>Pritaria projektui.</w:t>
            </w:r>
          </w:p>
        </w:tc>
        <w:tc>
          <w:tcPr>
            <w:tcW w:w="5527" w:type="dxa"/>
          </w:tcPr>
          <w:p w14:paraId="6398ED95" w14:textId="77777777" w:rsidR="00BA4BE8" w:rsidRPr="00AB33C9" w:rsidRDefault="00BA4BE8" w:rsidP="00BA4BE8">
            <w:pPr>
              <w:jc w:val="both"/>
              <w:rPr>
                <w:szCs w:val="24"/>
              </w:rPr>
            </w:pPr>
          </w:p>
        </w:tc>
      </w:tr>
      <w:tr w:rsidR="00BA4BE8" w:rsidRPr="00AB33C9" w14:paraId="5C662609" w14:textId="77777777" w:rsidTr="00737DF3">
        <w:tc>
          <w:tcPr>
            <w:tcW w:w="596" w:type="dxa"/>
          </w:tcPr>
          <w:p w14:paraId="5503EE40" w14:textId="77777777" w:rsidR="00BA4BE8" w:rsidRPr="00AB33C9" w:rsidRDefault="00BA4BE8" w:rsidP="00BA4BE8">
            <w:pPr>
              <w:pStyle w:val="ListParagraph"/>
              <w:numPr>
                <w:ilvl w:val="0"/>
                <w:numId w:val="4"/>
              </w:numPr>
            </w:pPr>
          </w:p>
        </w:tc>
        <w:tc>
          <w:tcPr>
            <w:tcW w:w="2977" w:type="dxa"/>
          </w:tcPr>
          <w:p w14:paraId="12D7E6B8" w14:textId="3773B374" w:rsidR="00BA4BE8" w:rsidRDefault="00BA4BE8" w:rsidP="00BA4BE8">
            <w:pPr>
              <w:rPr>
                <w:szCs w:val="24"/>
              </w:rPr>
            </w:pPr>
            <w:r>
              <w:rPr>
                <w:szCs w:val="24"/>
              </w:rPr>
              <w:t>Lietuvos Respublikos finansų ministerija</w:t>
            </w:r>
          </w:p>
        </w:tc>
        <w:tc>
          <w:tcPr>
            <w:tcW w:w="5812" w:type="dxa"/>
          </w:tcPr>
          <w:p w14:paraId="7FBACFAC" w14:textId="09209155" w:rsidR="00BA4BE8" w:rsidRDefault="00BA4BE8" w:rsidP="00BA4BE8">
            <w:pPr>
              <w:jc w:val="both"/>
              <w:rPr>
                <w:szCs w:val="24"/>
              </w:rPr>
            </w:pPr>
            <w:r w:rsidRPr="00AC3121">
              <w:rPr>
                <w:szCs w:val="24"/>
              </w:rPr>
              <w:t>Pritaria projektui.</w:t>
            </w:r>
          </w:p>
        </w:tc>
        <w:tc>
          <w:tcPr>
            <w:tcW w:w="5527" w:type="dxa"/>
          </w:tcPr>
          <w:p w14:paraId="3CBDE77B" w14:textId="77777777" w:rsidR="00BA4BE8" w:rsidRPr="00AB33C9" w:rsidRDefault="00BA4BE8" w:rsidP="00BA4BE8">
            <w:pPr>
              <w:jc w:val="both"/>
              <w:rPr>
                <w:szCs w:val="24"/>
              </w:rPr>
            </w:pPr>
          </w:p>
        </w:tc>
      </w:tr>
      <w:tr w:rsidR="00F43484" w:rsidRPr="00AB33C9" w14:paraId="11A0CC22" w14:textId="77777777" w:rsidTr="00737DF3">
        <w:tc>
          <w:tcPr>
            <w:tcW w:w="596" w:type="dxa"/>
          </w:tcPr>
          <w:p w14:paraId="0DCF9638" w14:textId="77777777" w:rsidR="00F43484" w:rsidRPr="00AB33C9" w:rsidRDefault="00F43484" w:rsidP="00F43484">
            <w:pPr>
              <w:pStyle w:val="ListParagraph"/>
              <w:numPr>
                <w:ilvl w:val="0"/>
                <w:numId w:val="4"/>
              </w:numPr>
            </w:pPr>
          </w:p>
        </w:tc>
        <w:tc>
          <w:tcPr>
            <w:tcW w:w="2977" w:type="dxa"/>
          </w:tcPr>
          <w:p w14:paraId="6FC2912C" w14:textId="58846BF6" w:rsidR="00F43484" w:rsidRDefault="00F43484" w:rsidP="00F43484">
            <w:pPr>
              <w:rPr>
                <w:szCs w:val="24"/>
              </w:rPr>
            </w:pPr>
            <w:r w:rsidRPr="00F43484">
              <w:rPr>
                <w:szCs w:val="24"/>
              </w:rPr>
              <w:t>Lietuvos Respublikos švietimo, mokslo ir sporto ministerija</w:t>
            </w:r>
          </w:p>
        </w:tc>
        <w:tc>
          <w:tcPr>
            <w:tcW w:w="5812" w:type="dxa"/>
          </w:tcPr>
          <w:p w14:paraId="164832FB" w14:textId="244AB29F" w:rsidR="00F43484" w:rsidRPr="00AC3121" w:rsidRDefault="00F43484" w:rsidP="00F43484">
            <w:pPr>
              <w:jc w:val="both"/>
              <w:rPr>
                <w:szCs w:val="24"/>
              </w:rPr>
            </w:pPr>
            <w:r w:rsidRPr="00AC3121">
              <w:rPr>
                <w:szCs w:val="24"/>
              </w:rPr>
              <w:t>Pritaria projektui.</w:t>
            </w:r>
          </w:p>
        </w:tc>
        <w:tc>
          <w:tcPr>
            <w:tcW w:w="5527" w:type="dxa"/>
          </w:tcPr>
          <w:p w14:paraId="6AD89389" w14:textId="77777777" w:rsidR="00F43484" w:rsidRPr="00AB33C9" w:rsidRDefault="00F43484" w:rsidP="00F43484">
            <w:pPr>
              <w:jc w:val="both"/>
              <w:rPr>
                <w:szCs w:val="24"/>
              </w:rPr>
            </w:pPr>
          </w:p>
        </w:tc>
      </w:tr>
      <w:tr w:rsidR="00F43484" w:rsidRPr="00AB33C9" w14:paraId="0057D44B" w14:textId="77777777" w:rsidTr="00737DF3">
        <w:tc>
          <w:tcPr>
            <w:tcW w:w="596" w:type="dxa"/>
          </w:tcPr>
          <w:p w14:paraId="6D576854" w14:textId="77777777" w:rsidR="00F43484" w:rsidRPr="00AB33C9" w:rsidRDefault="00F43484" w:rsidP="00F43484">
            <w:pPr>
              <w:pStyle w:val="ListParagraph"/>
              <w:numPr>
                <w:ilvl w:val="0"/>
                <w:numId w:val="4"/>
              </w:numPr>
            </w:pPr>
            <w:bookmarkStart w:id="1" w:name="_Hlk35337001"/>
          </w:p>
        </w:tc>
        <w:tc>
          <w:tcPr>
            <w:tcW w:w="2977" w:type="dxa"/>
          </w:tcPr>
          <w:p w14:paraId="4D4A40D2" w14:textId="76FBD183" w:rsidR="00F43484" w:rsidRDefault="00F43484" w:rsidP="00F43484">
            <w:pPr>
              <w:rPr>
                <w:szCs w:val="24"/>
              </w:rPr>
            </w:pPr>
            <w:r w:rsidRPr="00AB33C9">
              <w:rPr>
                <w:szCs w:val="24"/>
              </w:rPr>
              <w:t>UAB „Viešųjų investicijų agentūra“</w:t>
            </w:r>
          </w:p>
        </w:tc>
        <w:tc>
          <w:tcPr>
            <w:tcW w:w="5812" w:type="dxa"/>
          </w:tcPr>
          <w:p w14:paraId="34A59E1E" w14:textId="6F4385BF" w:rsidR="00F43484" w:rsidRDefault="00F43484" w:rsidP="00F43484">
            <w:pPr>
              <w:jc w:val="both"/>
              <w:rPr>
                <w:szCs w:val="24"/>
              </w:rPr>
            </w:pPr>
            <w:r>
              <w:rPr>
                <w:szCs w:val="24"/>
              </w:rPr>
              <w:t xml:space="preserve">Pritaria projektui su išlyga: keičiant 95 punkto lentelės stulpelyje „Būtinos sąlygos įgyvendinti“ reikalavimą dėl </w:t>
            </w:r>
            <w:r>
              <w:rPr>
                <w:szCs w:val="24"/>
              </w:rPr>
              <w:lastRenderedPageBreak/>
              <w:t>15 000 kv. m. ploto sumavimo vietoje „&lt;...&gt;Plotas sumuojamas pagal vieno pareiškėjo per visą naujo kvietimo laikotarpį pateiktas tinkamas paraiškas&lt;...&gt;“ tikslinant į plotas sumuojamas pagal vieno pareiškėjo įgyvendintus projektus pagal Viešųjų pastatų energinio efektyvumo didinimo programą&lt;...&gt; taip skatinant teikti paraiškas tuos pareiškėjus, kurie jau yra atnaujinę dalį pastatų paskolų lėšomis. Šis pasiūlymas taip pat leistų suvaldyti statybos riziką, kada kiekvienas viešasis subjektas per ribotą laiką, pamatuotai siektų įgyvendinti 15 000 kv. m. pastatų modernizavimo projektų.</w:t>
            </w:r>
          </w:p>
        </w:tc>
        <w:tc>
          <w:tcPr>
            <w:tcW w:w="5527" w:type="dxa"/>
          </w:tcPr>
          <w:p w14:paraId="331E0715" w14:textId="77777777" w:rsidR="00F43484" w:rsidRPr="00DB2BBF" w:rsidRDefault="00F43484" w:rsidP="00F43484">
            <w:pPr>
              <w:rPr>
                <w:szCs w:val="24"/>
              </w:rPr>
            </w:pPr>
            <w:r w:rsidRPr="00DB2BBF">
              <w:rPr>
                <w:szCs w:val="24"/>
              </w:rPr>
              <w:lastRenderedPageBreak/>
              <w:t>Dėl pasiūlymo koreguoti priemonės 04.3.1 -VIPA – T – 113 PFSA pakeitimo 95 punktą</w:t>
            </w:r>
          </w:p>
          <w:p w14:paraId="2202787D" w14:textId="77777777" w:rsidR="00F43484" w:rsidRPr="00DB2BBF" w:rsidRDefault="00F43484" w:rsidP="00F43484">
            <w:pPr>
              <w:jc w:val="both"/>
              <w:rPr>
                <w:szCs w:val="24"/>
              </w:rPr>
            </w:pPr>
            <w:r w:rsidRPr="00DB2BBF">
              <w:rPr>
                <w:szCs w:val="24"/>
              </w:rPr>
              <w:lastRenderedPageBreak/>
              <w:t>Pasiūlymo taikyti finansavimo sąlygą pareiškėjams, kurie 15000 kv. m arba didesnį pastatų plotą atnaujino pagal Viešųjų pastatų energinio efektyvumo didinimo programą (toliau – Programą), netikslinga priimti dėl šių priežasčių:</w:t>
            </w:r>
          </w:p>
          <w:p w14:paraId="53D50E4E" w14:textId="77777777" w:rsidR="00F43484" w:rsidRPr="00DB2BBF" w:rsidRDefault="00F43484" w:rsidP="00F43484">
            <w:pPr>
              <w:pStyle w:val="ListParagraph"/>
              <w:numPr>
                <w:ilvl w:val="0"/>
                <w:numId w:val="7"/>
              </w:numPr>
              <w:spacing w:line="259" w:lineRule="auto"/>
              <w:jc w:val="both"/>
              <w:rPr>
                <w:szCs w:val="24"/>
              </w:rPr>
            </w:pPr>
            <w:r w:rsidRPr="00DB2BBF">
              <w:rPr>
                <w:szCs w:val="24"/>
              </w:rPr>
              <w:t xml:space="preserve">VIPA rašte teigiama, kad pasiūlymu siekiama skatinti teikti paraiškas pareiškėjus, kurie jau atnaujino pastatus paskolų lėšomis. Pažymėtina, kad paskolų lėšomis ik šiol yra atnaujintas labai mažas (tik apie 5 proc. viso 2014 – 2019 m. atnaujinto ploto, arba 13473 </w:t>
            </w:r>
            <w:proofErr w:type="spellStart"/>
            <w:r w:rsidRPr="00DB2BBF">
              <w:rPr>
                <w:szCs w:val="24"/>
              </w:rPr>
              <w:t>kv.m</w:t>
            </w:r>
            <w:proofErr w:type="spellEnd"/>
            <w:r w:rsidRPr="00DB2BBF">
              <w:rPr>
                <w:szCs w:val="24"/>
              </w:rPr>
              <w:t xml:space="preserve">). Pagal VIPA pateiktą pasiūlymą palankesne finansavimo sąlyga iš esmės pasinaudotų kiti pareiškėjai, įgyvendinę projektus pagal Programą, </w:t>
            </w:r>
            <w:proofErr w:type="spellStart"/>
            <w:r w:rsidRPr="00DB2BBF">
              <w:rPr>
                <w:szCs w:val="24"/>
              </w:rPr>
              <w:t>t.y</w:t>
            </w:r>
            <w:proofErr w:type="spellEnd"/>
            <w:r w:rsidRPr="00DB2BBF">
              <w:rPr>
                <w:szCs w:val="24"/>
              </w:rPr>
              <w:t>. atnaujinę pastatus iš kitų (VIP, Klimato kaitos ir kt.) finansavimo šaltinių</w:t>
            </w:r>
            <w:r w:rsidRPr="00DB2BBF">
              <w:rPr>
                <w:b/>
                <w:bCs/>
                <w:szCs w:val="24"/>
              </w:rPr>
              <w:t xml:space="preserve">, </w:t>
            </w:r>
            <w:proofErr w:type="spellStart"/>
            <w:r w:rsidRPr="00DB2BBF">
              <w:rPr>
                <w:b/>
                <w:bCs/>
                <w:szCs w:val="24"/>
              </w:rPr>
              <w:t>t.y</w:t>
            </w:r>
            <w:proofErr w:type="spellEnd"/>
            <w:r w:rsidRPr="00DB2BBF">
              <w:rPr>
                <w:b/>
                <w:bCs/>
                <w:szCs w:val="24"/>
              </w:rPr>
              <w:t>. subsidijų forma</w:t>
            </w:r>
            <w:r w:rsidRPr="00DB2BBF">
              <w:rPr>
                <w:szCs w:val="24"/>
              </w:rPr>
              <w:t xml:space="preserve">. Todėl abejotina, ar siūlomas pastatų sumavimo būdas paskatintų teikti pareiškėjus, jau atnaujinusius pastatus paskolų lėšomis. Be to, nesuteikimas galimybių palankesnėmis sąlygomis pasinaudoti naujiems arba neturintiems 15000 kv. m atnaujinto ploto pareiškėjams, neskatintų jų siekti didesnių atnaujintinų plotų ir taip prisidėti prie Lietuvos bendro įsipareigojimo įgyvendinimo.     </w:t>
            </w:r>
          </w:p>
          <w:p w14:paraId="50AFB8F8" w14:textId="60B33EA6" w:rsidR="00F43484" w:rsidRPr="00AB33C9" w:rsidRDefault="00F43484" w:rsidP="00F43484">
            <w:pPr>
              <w:pStyle w:val="ListParagraph"/>
              <w:numPr>
                <w:ilvl w:val="0"/>
                <w:numId w:val="7"/>
              </w:numPr>
              <w:spacing w:line="259" w:lineRule="auto"/>
              <w:jc w:val="both"/>
              <w:rPr>
                <w:szCs w:val="24"/>
              </w:rPr>
            </w:pPr>
            <w:r w:rsidRPr="00DB2BBF">
              <w:rPr>
                <w:szCs w:val="24"/>
              </w:rPr>
              <w:t>Atsižvelgiant į tai, kad nauja dokumentacija įsigaliotų nuo naujo kvietimo pradžios, teisės aktų taikymas atgal negalėtų būti laikytinas</w:t>
            </w:r>
            <w:r w:rsidRPr="00DB2BBF">
              <w:rPr>
                <w:color w:val="000000"/>
                <w:szCs w:val="24"/>
                <w:shd w:val="clear" w:color="auto" w:fill="FFFFFF"/>
              </w:rPr>
              <w:t xml:space="preserve"> patikima viešųjų santykių subjektų teisių ir pareigų bei teisėtumo užtikrinimo garantija. Todėl nuo PFSA įsigaliojimo momento ir naujo kvietimo pradžios teisės aktas galios tik į priekį. Tokiu būdu </w:t>
            </w:r>
            <w:r>
              <w:rPr>
                <w:color w:val="000000"/>
                <w:szCs w:val="24"/>
                <w:shd w:val="clear" w:color="auto" w:fill="FFFFFF"/>
              </w:rPr>
              <w:t>taip pat bus</w:t>
            </w:r>
            <w:r w:rsidRPr="00DB2BBF">
              <w:rPr>
                <w:color w:val="000000"/>
                <w:szCs w:val="24"/>
                <w:shd w:val="clear" w:color="auto" w:fill="FFFFFF"/>
              </w:rPr>
              <w:t xml:space="preserve"> skatinama įstaigas ūkiškai planuoti, įvertinti atnaujintinų pastatų būklę ir </w:t>
            </w:r>
            <w:r>
              <w:rPr>
                <w:color w:val="000000"/>
                <w:szCs w:val="24"/>
                <w:shd w:val="clear" w:color="auto" w:fill="FFFFFF"/>
              </w:rPr>
              <w:t xml:space="preserve">jų </w:t>
            </w:r>
            <w:r w:rsidRPr="00DB2BBF">
              <w:rPr>
                <w:color w:val="000000"/>
                <w:szCs w:val="24"/>
                <w:shd w:val="clear" w:color="auto" w:fill="FFFFFF"/>
              </w:rPr>
              <w:t>kie</w:t>
            </w:r>
            <w:r>
              <w:rPr>
                <w:color w:val="000000"/>
                <w:szCs w:val="24"/>
                <w:shd w:val="clear" w:color="auto" w:fill="FFFFFF"/>
              </w:rPr>
              <w:t>kį</w:t>
            </w:r>
            <w:r w:rsidRPr="00DB2BBF">
              <w:rPr>
                <w:color w:val="000000"/>
                <w:szCs w:val="24"/>
                <w:shd w:val="clear" w:color="auto" w:fill="FFFFFF"/>
              </w:rPr>
              <w:t xml:space="preserve"> ir vienu sykiu teikti paraiškas, </w:t>
            </w:r>
            <w:r w:rsidRPr="00DB2BBF">
              <w:rPr>
                <w:color w:val="000000"/>
                <w:szCs w:val="24"/>
                <w:shd w:val="clear" w:color="auto" w:fill="FFFFFF"/>
              </w:rPr>
              <w:lastRenderedPageBreak/>
              <w:t xml:space="preserve">taip skatinant atnaujinti kuo didesnį </w:t>
            </w:r>
            <w:r>
              <w:rPr>
                <w:color w:val="000000"/>
                <w:szCs w:val="24"/>
                <w:shd w:val="clear" w:color="auto" w:fill="FFFFFF"/>
              </w:rPr>
              <w:t xml:space="preserve">pastatų </w:t>
            </w:r>
            <w:r w:rsidRPr="00DB2BBF">
              <w:rPr>
                <w:color w:val="000000"/>
                <w:szCs w:val="24"/>
                <w:shd w:val="clear" w:color="auto" w:fill="FFFFFF"/>
              </w:rPr>
              <w:t>plotą. Tas įstaigoms palengvintų ir ūkiškiau planuoti viešuosius pirkimus.</w:t>
            </w:r>
          </w:p>
        </w:tc>
      </w:tr>
      <w:tr w:rsidR="009979A0" w:rsidRPr="00AB33C9" w14:paraId="5246059F" w14:textId="77777777" w:rsidTr="00737DF3">
        <w:tc>
          <w:tcPr>
            <w:tcW w:w="596" w:type="dxa"/>
          </w:tcPr>
          <w:p w14:paraId="2639DC2A" w14:textId="77777777" w:rsidR="009979A0" w:rsidRPr="00AB33C9" w:rsidRDefault="009979A0" w:rsidP="00F43484">
            <w:pPr>
              <w:pStyle w:val="ListParagraph"/>
              <w:numPr>
                <w:ilvl w:val="0"/>
                <w:numId w:val="4"/>
              </w:numPr>
            </w:pPr>
          </w:p>
        </w:tc>
        <w:tc>
          <w:tcPr>
            <w:tcW w:w="2977" w:type="dxa"/>
          </w:tcPr>
          <w:p w14:paraId="14C009E8" w14:textId="42B3B31B" w:rsidR="009979A0" w:rsidRPr="00AB33C9" w:rsidRDefault="009979A0" w:rsidP="00F43484">
            <w:pPr>
              <w:rPr>
                <w:szCs w:val="24"/>
              </w:rPr>
            </w:pPr>
            <w:r>
              <w:rPr>
                <w:szCs w:val="24"/>
              </w:rPr>
              <w:t xml:space="preserve">Lietuvos Respublikos </w:t>
            </w:r>
            <w:r w:rsidRPr="009979A0">
              <w:rPr>
                <w:szCs w:val="24"/>
              </w:rPr>
              <w:t>socialinės apsaugos ir darbo ministerija</w:t>
            </w:r>
          </w:p>
        </w:tc>
        <w:tc>
          <w:tcPr>
            <w:tcW w:w="5812" w:type="dxa"/>
          </w:tcPr>
          <w:p w14:paraId="2648CA2C" w14:textId="14C03E3F" w:rsidR="009979A0" w:rsidRDefault="009979A0" w:rsidP="009979A0">
            <w:pPr>
              <w:spacing w:line="276" w:lineRule="auto"/>
              <w:jc w:val="both"/>
              <w:rPr>
                <w:szCs w:val="24"/>
              </w:rPr>
            </w:pPr>
            <w:r w:rsidRPr="00970B37">
              <w:rPr>
                <w:szCs w:val="24"/>
              </w:rPr>
              <w:t>Atsižvelgiant į tai, kad įstaigos dalininkais gali būti keli juridiniai asmenys, iš kurių ir valstybė, turinti didžiausią dalininko įnašo vertę, siūlytina įteisinti ir tokių viešųjų įstaigų galimybę dalyvauti projekte ar gauti finansavimą ir projekto 10 punktą (ir atitinkamai kitus punktus) tikslinti greta žodžio „savininkas“ įterpiant žodžius „</w:t>
            </w:r>
            <w:r w:rsidRPr="00970B37">
              <w:rPr>
                <w:b/>
                <w:bCs/>
                <w:szCs w:val="24"/>
              </w:rPr>
              <w:t>ar dalininkas, turintis balsų daugumą</w:t>
            </w:r>
            <w:r w:rsidRPr="00970B37">
              <w:rPr>
                <w:szCs w:val="24"/>
              </w:rPr>
              <w:t>“.</w:t>
            </w:r>
          </w:p>
        </w:tc>
        <w:tc>
          <w:tcPr>
            <w:tcW w:w="5527" w:type="dxa"/>
          </w:tcPr>
          <w:p w14:paraId="1EEEA0A2" w14:textId="77777777" w:rsidR="009979A0" w:rsidRPr="00D90A87" w:rsidRDefault="009979A0" w:rsidP="00F43484">
            <w:pPr>
              <w:rPr>
                <w:b/>
                <w:bCs/>
              </w:rPr>
            </w:pPr>
            <w:r w:rsidRPr="00D90A87">
              <w:rPr>
                <w:b/>
                <w:bCs/>
              </w:rPr>
              <w:t>Neatsižvelgta.</w:t>
            </w:r>
          </w:p>
          <w:p w14:paraId="4E4A5F12" w14:textId="77777777" w:rsidR="00D90A87" w:rsidRDefault="00D90A87" w:rsidP="00D90A87">
            <w:pPr>
              <w:jc w:val="both"/>
            </w:pPr>
            <w:r>
              <w:t xml:space="preserve">Viešųjų pastatų energijos efektyvumo didinimo programos </w:t>
            </w:r>
            <w:r>
              <w:rPr>
                <w:lang w:val="en-GB"/>
              </w:rPr>
              <w:t xml:space="preserve">1 </w:t>
            </w:r>
            <w:r>
              <w:t xml:space="preserve">punkte yra nurodyta, kad Viešųjų pastatų energinio efektyvumo didinimo programa (toliau – Programa) nustato valstybei, savivaldybėms ir viešosioms įstaigoms, kurių savininkas yra valstybė ar savivaldybė, nuosavybės teise priklausančių ir valstybės ar savivaldybių institucijų ir įstaigų, viešųjų įstaigų, </w:t>
            </w:r>
            <w:r>
              <w:rPr>
                <w:b/>
                <w:bCs/>
              </w:rPr>
              <w:t>kurių savininkas yra valstybė ar savivaldybė,</w:t>
            </w:r>
            <w:r>
              <w:t xml:space="preserve"> ir &lt;..&gt; pastatų (toliau – viešieji pastatai) energijos vartojimo efektyvumo didinimo projektų atrankos sąlygas, atrinktų projektų finansavimo ir įgyvendinimo reikalavimus.</w:t>
            </w:r>
          </w:p>
          <w:p w14:paraId="162E0903" w14:textId="77777777" w:rsidR="00D90A87" w:rsidRDefault="00D90A87" w:rsidP="00D90A87">
            <w:pPr>
              <w:jc w:val="both"/>
            </w:pPr>
            <w:r>
              <w:t>Taip pat Programos 13.4. papunktyje nustatyta, kad finansuojami gali būti tik tie viešųjų pastatų energijos vartojimo efektyvumo didinimo projektai, kurių „</w:t>
            </w:r>
            <w:r>
              <w:rPr>
                <w:b/>
                <w:bCs/>
              </w:rPr>
              <w:t>bent 51 procentas viso pastato ploto</w:t>
            </w:r>
            <w:r>
              <w:t xml:space="preserve"> nuosavybės teise priklauso valstybei, savivaldybei ar viešosioms įstaigoms, kurių savininkas yra valstybė ar savivaldybė, ir yra visų pastato patalpų savininkų rašytinis susitarimas dėl pastato energijos vartojimo efektyvumo projekto vykdymo.“</w:t>
            </w:r>
          </w:p>
          <w:p w14:paraId="7F1C78E6" w14:textId="77777777" w:rsidR="00D90A87" w:rsidRDefault="00D90A87" w:rsidP="00D90A87"/>
          <w:p w14:paraId="02571455" w14:textId="77777777" w:rsidR="00D90A87" w:rsidRDefault="00D90A87" w:rsidP="00D90A87">
            <w:r>
              <w:t xml:space="preserve">Taigi </w:t>
            </w:r>
            <w:proofErr w:type="spellStart"/>
            <w:r>
              <w:t>Socmin</w:t>
            </w:r>
            <w:proofErr w:type="spellEnd"/>
            <w:r>
              <w:t xml:space="preserve"> siūlomas nuostatas iš esmės atspindi/apima aukščiau minėti Programos punktai, todėl atsižvelgti netikslinga.</w:t>
            </w:r>
          </w:p>
          <w:p w14:paraId="7B128157" w14:textId="77777777" w:rsidR="009979A0" w:rsidRDefault="009979A0" w:rsidP="00D90A87">
            <w:pPr>
              <w:jc w:val="both"/>
            </w:pPr>
          </w:p>
          <w:p w14:paraId="5180B900" w14:textId="6883A969" w:rsidR="009979A0" w:rsidRPr="00DB2BBF" w:rsidRDefault="00D90A87" w:rsidP="00D90A87">
            <w:pPr>
              <w:jc w:val="both"/>
              <w:rPr>
                <w:szCs w:val="24"/>
              </w:rPr>
            </w:pPr>
            <w:r>
              <w:t xml:space="preserve">Be to, </w:t>
            </w:r>
            <w:r w:rsidR="009979A0">
              <w:t xml:space="preserve"> PFSA cituojama arba </w:t>
            </w:r>
            <w:r>
              <w:t>P</w:t>
            </w:r>
            <w:r w:rsidR="009979A0">
              <w:t xml:space="preserve">rograma arba jau patvirtintas </w:t>
            </w:r>
            <w:r>
              <w:t>priemonių įgyvendinimo planas. Todėl, siūlomi pakeitimai</w:t>
            </w:r>
            <w:r w:rsidR="009979A0">
              <w:t xml:space="preserve"> prieštarautų kitų teisės aktų nuostatoms dėl </w:t>
            </w:r>
            <w:r>
              <w:t xml:space="preserve">jų </w:t>
            </w:r>
            <w:r w:rsidR="009979A0">
              <w:t>nesuderinamumo</w:t>
            </w:r>
            <w:r>
              <w:t>.</w:t>
            </w:r>
          </w:p>
        </w:tc>
      </w:tr>
      <w:tr w:rsidR="00D90A87" w:rsidRPr="00AB33C9" w14:paraId="6DEE7C36" w14:textId="77777777" w:rsidTr="00737DF3">
        <w:tc>
          <w:tcPr>
            <w:tcW w:w="596" w:type="dxa"/>
          </w:tcPr>
          <w:p w14:paraId="398FD083" w14:textId="77777777" w:rsidR="00D90A87" w:rsidRPr="00AB33C9" w:rsidRDefault="00D90A87" w:rsidP="00F43484">
            <w:pPr>
              <w:pStyle w:val="ListParagraph"/>
              <w:numPr>
                <w:ilvl w:val="0"/>
                <w:numId w:val="4"/>
              </w:numPr>
            </w:pPr>
          </w:p>
        </w:tc>
        <w:tc>
          <w:tcPr>
            <w:tcW w:w="2977" w:type="dxa"/>
          </w:tcPr>
          <w:p w14:paraId="5D3F025C" w14:textId="10051567" w:rsidR="00D90A87" w:rsidRDefault="00D90A87" w:rsidP="00F43484">
            <w:pPr>
              <w:rPr>
                <w:szCs w:val="24"/>
              </w:rPr>
            </w:pPr>
            <w:r>
              <w:rPr>
                <w:szCs w:val="24"/>
              </w:rPr>
              <w:t>Lietuvos energetikos institutas</w:t>
            </w:r>
          </w:p>
        </w:tc>
        <w:tc>
          <w:tcPr>
            <w:tcW w:w="5812" w:type="dxa"/>
          </w:tcPr>
          <w:p w14:paraId="554A7C48" w14:textId="70582A4D" w:rsidR="00D90A87" w:rsidRPr="00D90A87" w:rsidRDefault="00D90A87" w:rsidP="0080217F">
            <w:pPr>
              <w:jc w:val="both"/>
              <w:rPr>
                <w:szCs w:val="24"/>
              </w:rPr>
            </w:pPr>
            <w:r w:rsidRPr="00D90A87">
              <w:rPr>
                <w:szCs w:val="24"/>
              </w:rPr>
              <w:t>„Didesnių pasiūlymų neturime, išskyrus vieną, kuris liečia mus tiesiogiai:</w:t>
            </w:r>
            <w:r w:rsidR="0080217F">
              <w:rPr>
                <w:szCs w:val="24"/>
              </w:rPr>
              <w:t xml:space="preserve"> s</w:t>
            </w:r>
            <w:r w:rsidRPr="00D90A87">
              <w:rPr>
                <w:szCs w:val="24"/>
              </w:rPr>
              <w:t xml:space="preserve">iūlome įtraukti ir viešuosius pastatus, kurie yra senos statybos ir teoriškai jau dabar atitinka C klasę, </w:t>
            </w:r>
            <w:r w:rsidRPr="00D90A87">
              <w:rPr>
                <w:szCs w:val="24"/>
              </w:rPr>
              <w:lastRenderedPageBreak/>
              <w:t xml:space="preserve">bet vis tiek reikalauja atnaujinimo, pvz.: vėsinimo sistemos įrengimas, apšvietimo pakeitimas į LED, fasado ir šalia jo esančios aplinkos sutvarkymas, šildymo sistemos kapitalinis arba einamasis remontas. LEI atveju, visi šie darbai neužtikrintų bendros energijos suvartojimo sutaupymo daugiau nei 30 proc., bet padėtų ženkliai pagerinti darbuotojų (tyrėjų, doktorantų) darbo sąlygas ir atnaujinti pastatą bei sutaupyti dalį </w:t>
            </w:r>
            <w:proofErr w:type="spellStart"/>
            <w:r w:rsidRPr="00D90A87">
              <w:rPr>
                <w:szCs w:val="24"/>
              </w:rPr>
              <w:t>energijos.Šis</w:t>
            </w:r>
            <w:proofErr w:type="spellEnd"/>
            <w:r w:rsidRPr="00D90A87">
              <w:rPr>
                <w:szCs w:val="24"/>
              </w:rPr>
              <w:t xml:space="preserve"> siūlymas liečia LEI viešuosius pastatus, kurie yra senos statybos, bet šiuo metu teoriškai atitinka C klasę ir tai mums labai aktualu.“</w:t>
            </w:r>
          </w:p>
        </w:tc>
        <w:tc>
          <w:tcPr>
            <w:tcW w:w="5527" w:type="dxa"/>
          </w:tcPr>
          <w:p w14:paraId="1B61ED70" w14:textId="7D003330" w:rsidR="00D90A87" w:rsidRDefault="00D90A87" w:rsidP="0080217F">
            <w:pPr>
              <w:jc w:val="both"/>
              <w:rPr>
                <w:b/>
                <w:bCs/>
                <w:lang w:eastAsia="en-US"/>
              </w:rPr>
            </w:pPr>
            <w:r w:rsidRPr="00D90A87">
              <w:rPr>
                <w:b/>
                <w:bCs/>
                <w:lang w:eastAsia="en-US"/>
              </w:rPr>
              <w:lastRenderedPageBreak/>
              <w:t>Neatsižvelgta.</w:t>
            </w:r>
          </w:p>
          <w:p w14:paraId="258EAF79" w14:textId="015BBBB2" w:rsidR="00D90A87" w:rsidRPr="00D90A87" w:rsidRDefault="00D90A87" w:rsidP="0080217F">
            <w:pPr>
              <w:jc w:val="both"/>
              <w:rPr>
                <w:b/>
                <w:bCs/>
              </w:rPr>
            </w:pPr>
            <w:r>
              <w:rPr>
                <w:lang w:eastAsia="en-US"/>
              </w:rPr>
              <w:t>Priemonė buvo sukurta siekiant energinio efektyvumo tikslų</w:t>
            </w:r>
            <w:r w:rsidR="0080217F">
              <w:rPr>
                <w:lang w:eastAsia="en-US"/>
              </w:rPr>
              <w:t xml:space="preserve"> atnaujinant viešuosius pastatus</w:t>
            </w:r>
            <w:r>
              <w:rPr>
                <w:lang w:eastAsia="en-US"/>
              </w:rPr>
              <w:t xml:space="preserve">. Minimalūs </w:t>
            </w:r>
            <w:r>
              <w:rPr>
                <w:lang w:eastAsia="en-US"/>
              </w:rPr>
              <w:lastRenderedPageBreak/>
              <w:t>sutaupymo standartai</w:t>
            </w:r>
            <w:r w:rsidR="0080217F">
              <w:rPr>
                <w:lang w:eastAsia="en-US"/>
              </w:rPr>
              <w:t xml:space="preserve"> atsižvelgiant į direktyvos </w:t>
            </w:r>
            <w:r w:rsidR="0080217F" w:rsidRPr="0080217F">
              <w:rPr>
                <w:lang w:eastAsia="en-US"/>
              </w:rPr>
              <w:t>dėl energijos vartojimo efektyvumo</w:t>
            </w:r>
            <w:r w:rsidR="0080217F">
              <w:rPr>
                <w:lang w:eastAsia="en-US"/>
              </w:rPr>
              <w:t xml:space="preserve"> nuostatas </w:t>
            </w:r>
            <w:r>
              <w:rPr>
                <w:lang w:eastAsia="en-US"/>
              </w:rPr>
              <w:t xml:space="preserve">yra patvirtinti </w:t>
            </w:r>
            <w:r w:rsidR="0080217F">
              <w:rPr>
                <w:lang w:eastAsia="en-US"/>
              </w:rPr>
              <w:t>Viešųjų pastatų energijos efektyvumo didinimo programoje</w:t>
            </w:r>
            <w:r>
              <w:rPr>
                <w:lang w:eastAsia="en-US"/>
              </w:rPr>
              <w:t xml:space="preserve">. </w:t>
            </w:r>
            <w:r w:rsidR="0080217F">
              <w:rPr>
                <w:lang w:eastAsia="en-US"/>
              </w:rPr>
              <w:t xml:space="preserve">Be to, </w:t>
            </w:r>
            <w:r w:rsidR="0080217F" w:rsidRPr="0080217F">
              <w:rPr>
                <w:lang w:eastAsia="en-US"/>
              </w:rPr>
              <w:t>Nacionalinėje energetinės nepriklausomybės strategijoje</w:t>
            </w:r>
            <w:r w:rsidR="0080217F">
              <w:rPr>
                <w:lang w:eastAsia="en-US"/>
              </w:rPr>
              <w:t xml:space="preserve"> taip pat aiškiai pasisakoma dėl siekiamų sutaupymų ir klasių. </w:t>
            </w:r>
            <w:r>
              <w:rPr>
                <w:lang w:eastAsia="en-US"/>
              </w:rPr>
              <w:t xml:space="preserve">Dėl to, tai taip pat yra vienas iš atrankos kriterijų ir PFSA . </w:t>
            </w:r>
            <w:r w:rsidR="0080217F">
              <w:rPr>
                <w:lang w:eastAsia="en-US"/>
              </w:rPr>
              <w:t xml:space="preserve">Jūsų siūlymo </w:t>
            </w:r>
            <w:r>
              <w:rPr>
                <w:lang w:eastAsia="en-US"/>
              </w:rPr>
              <w:t>negalime  įtraukti į PFSA</w:t>
            </w:r>
            <w:r w:rsidR="0080217F">
              <w:rPr>
                <w:lang w:eastAsia="en-US"/>
              </w:rPr>
              <w:t xml:space="preserve"> nuostatas</w:t>
            </w:r>
            <w:r>
              <w:rPr>
                <w:lang w:eastAsia="en-US"/>
              </w:rPr>
              <w:t>, nes prieštarautų kitiems teisės aktams ir neužtikrin</w:t>
            </w:r>
            <w:r w:rsidR="0080217F">
              <w:rPr>
                <w:lang w:eastAsia="en-US"/>
              </w:rPr>
              <w:t>t</w:t>
            </w:r>
            <w:r>
              <w:rPr>
                <w:lang w:eastAsia="en-US"/>
              </w:rPr>
              <w:t xml:space="preserve">ų energijos efektyvumo direktyvos reikalavimų </w:t>
            </w:r>
            <w:r w:rsidR="0080217F">
              <w:rPr>
                <w:lang w:eastAsia="en-US"/>
              </w:rPr>
              <w:t xml:space="preserve"> bei kitų teisės aktų </w:t>
            </w:r>
            <w:r>
              <w:rPr>
                <w:lang w:eastAsia="en-US"/>
              </w:rPr>
              <w:t>įgyvendinimo užtikrinimo.</w:t>
            </w:r>
          </w:p>
        </w:tc>
      </w:tr>
      <w:tr w:rsidR="006811E8" w:rsidRPr="00AB33C9" w14:paraId="1173D850" w14:textId="77777777" w:rsidTr="00737DF3">
        <w:tc>
          <w:tcPr>
            <w:tcW w:w="596" w:type="dxa"/>
          </w:tcPr>
          <w:p w14:paraId="4564F026" w14:textId="77777777" w:rsidR="006811E8" w:rsidRPr="00AB33C9" w:rsidRDefault="006811E8" w:rsidP="00F43484">
            <w:pPr>
              <w:pStyle w:val="ListParagraph"/>
              <w:numPr>
                <w:ilvl w:val="0"/>
                <w:numId w:val="4"/>
              </w:numPr>
            </w:pPr>
          </w:p>
        </w:tc>
        <w:tc>
          <w:tcPr>
            <w:tcW w:w="2977" w:type="dxa"/>
          </w:tcPr>
          <w:p w14:paraId="4C5DADC8" w14:textId="01C84679" w:rsidR="006811E8" w:rsidRDefault="006811E8" w:rsidP="00F43484">
            <w:pPr>
              <w:rPr>
                <w:szCs w:val="24"/>
              </w:rPr>
            </w:pPr>
            <w:r>
              <w:rPr>
                <w:szCs w:val="24"/>
              </w:rPr>
              <w:t>Lietuvos Respublikos sveikatos apsaugos ministerija</w:t>
            </w:r>
          </w:p>
        </w:tc>
        <w:tc>
          <w:tcPr>
            <w:tcW w:w="5812" w:type="dxa"/>
          </w:tcPr>
          <w:p w14:paraId="39F392C8" w14:textId="6A0FF0FB" w:rsidR="006811E8" w:rsidRPr="006811E8" w:rsidRDefault="006811E8" w:rsidP="006811E8">
            <w:pPr>
              <w:jc w:val="both"/>
              <w:rPr>
                <w:szCs w:val="24"/>
                <w:lang w:val="en-US"/>
              </w:rPr>
            </w:pPr>
            <w:r>
              <w:rPr>
                <w:szCs w:val="24"/>
              </w:rPr>
              <w:t>„</w:t>
            </w:r>
            <w:r w:rsidRPr="006811E8">
              <w:rPr>
                <w:szCs w:val="24"/>
              </w:rPr>
              <w:t>Ministerijai nėra aišku, kaip praktikoje turėtų būti taikomas Projektu tvirtinamo aprašo 36 punktas, kuriame nurodyta, kad t</w:t>
            </w:r>
            <w:r w:rsidRPr="006811E8">
              <w:rPr>
                <w:color w:val="000000"/>
                <w:szCs w:val="24"/>
                <w:shd w:val="clear" w:color="auto" w:fill="FFFFFF"/>
              </w:rPr>
              <w:t xml:space="preserve">ais atvejais, kai atnaujinamame pastate paslaugas teikia nuomininkas, kuris yra ūkio subjektas, pastato valdytojas turi užtikrinti, kad ūkio subjektas dėl pastato atnaujinimo negautų jokios išskirtinės naudos, pavyzdžiui, nuomos kaina turėtų būti padidinama proporcingai sumažėjusioms komunalinių paslaugų ir (arba) nuomos sąnaudoms. </w:t>
            </w:r>
          </w:p>
          <w:p w14:paraId="5052D18E" w14:textId="77777777" w:rsidR="006811E8" w:rsidRPr="006811E8" w:rsidRDefault="006811E8" w:rsidP="006811E8">
            <w:pPr>
              <w:ind w:firstLine="709"/>
              <w:jc w:val="both"/>
              <w:rPr>
                <w:szCs w:val="24"/>
                <w:lang w:val="en-US"/>
              </w:rPr>
            </w:pPr>
            <w:r w:rsidRPr="006811E8">
              <w:rPr>
                <w:color w:val="000000"/>
                <w:szCs w:val="24"/>
                <w:shd w:val="clear" w:color="auto" w:fill="FFFFFF"/>
              </w:rPr>
              <w:t xml:space="preserve">Pažymime, kad siūloma nuostata galimai prieštarauja aukštesnės galios teisės aktams (Lietuvos Respublikos civiliniam kodeksui, Lietuvos Respublikos valstybės ir savivaldybių turto valdymo, naudojimo ir disponavimo juo įstatymui, </w:t>
            </w:r>
            <w:r w:rsidRPr="006811E8">
              <w:rPr>
                <w:szCs w:val="24"/>
              </w:rPr>
              <w:t>Valstybės ilgalaikio materialiojo turto viešojo nuomos konkurso ir nuomos ne konkurso būdu organizavimo tvarkos aprašui, patvirtintam Lietuvos Respublikos Vyriausybės 2001 m. gruodžio 14 d. nutarimu Nr. 1524 ,,Dėl Valstybės ilgalaikio materialiojo turto nuomos“</w:t>
            </w:r>
            <w:r w:rsidRPr="006811E8">
              <w:rPr>
                <w:color w:val="000000"/>
                <w:szCs w:val="24"/>
                <w:shd w:val="clear" w:color="auto" w:fill="FFFFFF"/>
              </w:rPr>
              <w:t>) ir galiojančioms nuomos sutartims, sudarytoms, vadovaujantis</w:t>
            </w:r>
            <w:r w:rsidRPr="006811E8">
              <w:rPr>
                <w:szCs w:val="24"/>
              </w:rPr>
              <w:t xml:space="preserve"> Valstybės ilgalaikio materialiojo turto viešojo nuomos konkurso ir nuomos ne konkurso būdu organizavimo tvarkos aprašu, patvirtintu Lietuvos Respublikos Vyriausybės 2001 m. gruodžio 14 d. nutarimu Nr. 1524 ,,Dėl Valstybės ilgalaikio materialiojo turto nuomos“, </w:t>
            </w:r>
            <w:r w:rsidRPr="006811E8">
              <w:rPr>
                <w:color w:val="000000"/>
                <w:szCs w:val="24"/>
                <w:shd w:val="clear" w:color="auto" w:fill="FFFFFF"/>
              </w:rPr>
              <w:t xml:space="preserve">kuriose nenumatyta, kad nuomos mokestis </w:t>
            </w:r>
            <w:r w:rsidRPr="006811E8">
              <w:rPr>
                <w:color w:val="000000"/>
                <w:szCs w:val="24"/>
                <w:shd w:val="clear" w:color="auto" w:fill="FFFFFF"/>
              </w:rPr>
              <w:lastRenderedPageBreak/>
              <w:t>gali būti didinamas atnaujinus pastatą, kuriame yra nuomojamos patalpos.</w:t>
            </w:r>
          </w:p>
          <w:p w14:paraId="40E0B28A" w14:textId="38971C23" w:rsidR="006811E8" w:rsidRPr="00D90A87" w:rsidRDefault="006811E8" w:rsidP="006811E8">
            <w:pPr>
              <w:ind w:firstLine="709"/>
              <w:jc w:val="both"/>
              <w:rPr>
                <w:szCs w:val="24"/>
              </w:rPr>
            </w:pPr>
            <w:r w:rsidRPr="006811E8">
              <w:rPr>
                <w:szCs w:val="24"/>
              </w:rPr>
              <w:t>Kitų pastabų ir pasiūlymų pateiktam Projektui Ministerija neturi.</w:t>
            </w:r>
            <w:r>
              <w:rPr>
                <w:szCs w:val="24"/>
              </w:rPr>
              <w:t>“</w:t>
            </w:r>
          </w:p>
        </w:tc>
        <w:tc>
          <w:tcPr>
            <w:tcW w:w="5527" w:type="dxa"/>
          </w:tcPr>
          <w:p w14:paraId="1DB288B5" w14:textId="77777777" w:rsidR="006811E8" w:rsidRDefault="006811E8" w:rsidP="0080217F">
            <w:pPr>
              <w:jc w:val="both"/>
              <w:rPr>
                <w:b/>
                <w:bCs/>
                <w:lang w:eastAsia="en-US"/>
              </w:rPr>
            </w:pPr>
            <w:bookmarkStart w:id="2" w:name="_Hlk35361605"/>
            <w:r>
              <w:rPr>
                <w:b/>
                <w:bCs/>
                <w:lang w:eastAsia="en-US"/>
              </w:rPr>
              <w:lastRenderedPageBreak/>
              <w:t>Neatsižvelgta.</w:t>
            </w:r>
          </w:p>
          <w:p w14:paraId="6533403F" w14:textId="77777777" w:rsidR="006811E8" w:rsidRPr="00275503" w:rsidRDefault="006811E8" w:rsidP="006811E8">
            <w:pPr>
              <w:jc w:val="both"/>
              <w:rPr>
                <w:color w:val="000000" w:themeColor="text1"/>
                <w:szCs w:val="24"/>
              </w:rPr>
            </w:pPr>
            <w:r w:rsidRPr="00275503">
              <w:rPr>
                <w:color w:val="000000" w:themeColor="text1"/>
                <w:spacing w:val="2"/>
                <w:szCs w:val="24"/>
                <w:shd w:val="clear" w:color="auto" w:fill="FFFFFF"/>
              </w:rPr>
              <w:t>Europos Komisija yra pasisakiusi, kad pagalba, atitinkanti </w:t>
            </w:r>
            <w:r w:rsidRPr="00275503">
              <w:rPr>
                <w:rStyle w:val="Emphasis"/>
                <w:color w:val="000000" w:themeColor="text1"/>
                <w:spacing w:val="2"/>
                <w:szCs w:val="24"/>
                <w:shd w:val="clear" w:color="auto" w:fill="FFFFFF"/>
              </w:rPr>
              <w:t xml:space="preserve">De </w:t>
            </w:r>
            <w:proofErr w:type="spellStart"/>
            <w:r w:rsidRPr="00275503">
              <w:rPr>
                <w:rStyle w:val="Emphasis"/>
                <w:color w:val="000000" w:themeColor="text1"/>
                <w:spacing w:val="2"/>
                <w:szCs w:val="24"/>
                <w:shd w:val="clear" w:color="auto" w:fill="FFFFFF"/>
              </w:rPr>
              <w:t>minimis</w:t>
            </w:r>
            <w:proofErr w:type="spellEnd"/>
            <w:r w:rsidRPr="00275503">
              <w:rPr>
                <w:rStyle w:val="Emphasis"/>
                <w:color w:val="000000" w:themeColor="text1"/>
                <w:spacing w:val="2"/>
                <w:szCs w:val="24"/>
                <w:shd w:val="clear" w:color="auto" w:fill="FFFFFF"/>
              </w:rPr>
              <w:t> </w:t>
            </w:r>
            <w:r w:rsidRPr="00275503">
              <w:rPr>
                <w:color w:val="000000" w:themeColor="text1"/>
                <w:spacing w:val="2"/>
                <w:szCs w:val="24"/>
                <w:shd w:val="clear" w:color="auto" w:fill="FFFFFF"/>
              </w:rPr>
              <w:t>reglamentų reikalavimus, daro nežymų poveikį prekybai ir konkurencijai tarp Europos Sąjungos valstybių narių (</w:t>
            </w:r>
            <w:bookmarkStart w:id="3" w:name="1"/>
            <w:r w:rsidRPr="00275503">
              <w:rPr>
                <w:color w:val="000000" w:themeColor="text1"/>
                <w:spacing w:val="3"/>
                <w:szCs w:val="24"/>
                <w:shd w:val="clear" w:color="auto" w:fill="FFFFFF"/>
                <w:vertAlign w:val="superscript"/>
              </w:rPr>
              <w:t>1</w:t>
            </w:r>
            <w:bookmarkEnd w:id="3"/>
            <w:r w:rsidRPr="00275503">
              <w:rPr>
                <w:rStyle w:val="Emphasis"/>
                <w:color w:val="000000" w:themeColor="text1"/>
                <w:spacing w:val="2"/>
                <w:szCs w:val="24"/>
                <w:shd w:val="clear" w:color="auto" w:fill="FFFFFF"/>
              </w:rPr>
              <w:fldChar w:fldCharType="begin"/>
            </w:r>
            <w:r w:rsidRPr="00275503">
              <w:rPr>
                <w:rStyle w:val="Emphasis"/>
                <w:color w:val="000000" w:themeColor="text1"/>
                <w:spacing w:val="2"/>
                <w:szCs w:val="24"/>
                <w:shd w:val="clear" w:color="auto" w:fill="FFFFFF"/>
              </w:rPr>
              <w:instrText xml:space="preserve"> HYPERLINK "http://eur-lex.europa.eu/legal-content/EN/TXT/PDF/?uri=CELEX:31996Y0306(01)&amp;from=EN" \t "_blank" </w:instrText>
            </w:r>
            <w:r w:rsidRPr="00275503">
              <w:rPr>
                <w:rStyle w:val="Emphasis"/>
                <w:color w:val="000000" w:themeColor="text1"/>
                <w:spacing w:val="2"/>
                <w:szCs w:val="24"/>
                <w:shd w:val="clear" w:color="auto" w:fill="FFFFFF"/>
              </w:rPr>
              <w:fldChar w:fldCharType="separate"/>
            </w:r>
            <w:r w:rsidRPr="00275503">
              <w:rPr>
                <w:rStyle w:val="Hyperlink"/>
                <w:i/>
                <w:iCs/>
                <w:color w:val="000000" w:themeColor="text1"/>
                <w:spacing w:val="3"/>
                <w:szCs w:val="24"/>
              </w:rPr>
              <w:t xml:space="preserve">Commission </w:t>
            </w:r>
            <w:proofErr w:type="spellStart"/>
            <w:r w:rsidRPr="00275503">
              <w:rPr>
                <w:rStyle w:val="Hyperlink"/>
                <w:i/>
                <w:iCs/>
                <w:color w:val="000000" w:themeColor="text1"/>
                <w:spacing w:val="3"/>
                <w:szCs w:val="24"/>
              </w:rPr>
              <w:t>notice</w:t>
            </w:r>
            <w:proofErr w:type="spellEnd"/>
            <w:r w:rsidRPr="00275503">
              <w:rPr>
                <w:rStyle w:val="Hyperlink"/>
                <w:i/>
                <w:iCs/>
                <w:color w:val="000000" w:themeColor="text1"/>
                <w:spacing w:val="3"/>
                <w:szCs w:val="24"/>
              </w:rPr>
              <w:t xml:space="preserve"> </w:t>
            </w:r>
            <w:proofErr w:type="spellStart"/>
            <w:r w:rsidRPr="00275503">
              <w:rPr>
                <w:rStyle w:val="Hyperlink"/>
                <w:i/>
                <w:iCs/>
                <w:color w:val="000000" w:themeColor="text1"/>
                <w:spacing w:val="3"/>
                <w:szCs w:val="24"/>
              </w:rPr>
              <w:t>on</w:t>
            </w:r>
            <w:proofErr w:type="spellEnd"/>
            <w:r w:rsidRPr="00275503">
              <w:rPr>
                <w:rStyle w:val="Hyperlink"/>
                <w:i/>
                <w:iCs/>
                <w:color w:val="000000" w:themeColor="text1"/>
                <w:spacing w:val="3"/>
                <w:szCs w:val="24"/>
              </w:rPr>
              <w:t xml:space="preserve"> </w:t>
            </w:r>
            <w:proofErr w:type="spellStart"/>
            <w:r w:rsidRPr="00275503">
              <w:rPr>
                <w:rStyle w:val="Hyperlink"/>
                <w:i/>
                <w:iCs/>
                <w:color w:val="000000" w:themeColor="text1"/>
                <w:spacing w:val="3"/>
                <w:szCs w:val="24"/>
              </w:rPr>
              <w:t>the</w:t>
            </w:r>
            <w:proofErr w:type="spellEnd"/>
            <w:r w:rsidRPr="00275503">
              <w:rPr>
                <w:rStyle w:val="Hyperlink"/>
                <w:i/>
                <w:iCs/>
                <w:color w:val="000000" w:themeColor="text1"/>
                <w:spacing w:val="3"/>
                <w:szCs w:val="24"/>
              </w:rPr>
              <w:t xml:space="preserve"> de </w:t>
            </w:r>
            <w:proofErr w:type="spellStart"/>
            <w:r w:rsidRPr="00275503">
              <w:rPr>
                <w:rStyle w:val="Hyperlink"/>
                <w:i/>
                <w:iCs/>
                <w:color w:val="000000" w:themeColor="text1"/>
                <w:spacing w:val="3"/>
                <w:szCs w:val="24"/>
              </w:rPr>
              <w:t>minimis</w:t>
            </w:r>
            <w:proofErr w:type="spellEnd"/>
            <w:r w:rsidRPr="00275503">
              <w:rPr>
                <w:rStyle w:val="Hyperlink"/>
                <w:i/>
                <w:iCs/>
                <w:color w:val="000000" w:themeColor="text1"/>
                <w:spacing w:val="3"/>
                <w:szCs w:val="24"/>
              </w:rPr>
              <w:t xml:space="preserve"> </w:t>
            </w:r>
            <w:proofErr w:type="spellStart"/>
            <w:r w:rsidRPr="00275503">
              <w:rPr>
                <w:rStyle w:val="Hyperlink"/>
                <w:i/>
                <w:iCs/>
                <w:color w:val="000000" w:themeColor="text1"/>
                <w:spacing w:val="3"/>
                <w:szCs w:val="24"/>
              </w:rPr>
              <w:t>rule</w:t>
            </w:r>
            <w:proofErr w:type="spellEnd"/>
            <w:r w:rsidRPr="00275503">
              <w:rPr>
                <w:rStyle w:val="Hyperlink"/>
                <w:i/>
                <w:iCs/>
                <w:color w:val="000000" w:themeColor="text1"/>
                <w:spacing w:val="3"/>
                <w:szCs w:val="24"/>
              </w:rPr>
              <w:t xml:space="preserve"> </w:t>
            </w:r>
            <w:proofErr w:type="spellStart"/>
            <w:r w:rsidRPr="00275503">
              <w:rPr>
                <w:rStyle w:val="Hyperlink"/>
                <w:i/>
                <w:iCs/>
                <w:color w:val="000000" w:themeColor="text1"/>
                <w:spacing w:val="3"/>
                <w:szCs w:val="24"/>
              </w:rPr>
              <w:t>for</w:t>
            </w:r>
            <w:proofErr w:type="spellEnd"/>
            <w:r w:rsidRPr="00275503">
              <w:rPr>
                <w:rStyle w:val="Hyperlink"/>
                <w:i/>
                <w:iCs/>
                <w:color w:val="000000" w:themeColor="text1"/>
                <w:spacing w:val="3"/>
                <w:szCs w:val="24"/>
              </w:rPr>
              <w:t xml:space="preserve"> </w:t>
            </w:r>
            <w:proofErr w:type="spellStart"/>
            <w:r w:rsidRPr="00275503">
              <w:rPr>
                <w:rStyle w:val="Hyperlink"/>
                <w:i/>
                <w:iCs/>
                <w:color w:val="000000" w:themeColor="text1"/>
                <w:spacing w:val="3"/>
                <w:szCs w:val="24"/>
              </w:rPr>
              <w:t>State</w:t>
            </w:r>
            <w:proofErr w:type="spellEnd"/>
            <w:r w:rsidRPr="00275503">
              <w:rPr>
                <w:rStyle w:val="Hyperlink"/>
                <w:i/>
                <w:iCs/>
                <w:color w:val="000000" w:themeColor="text1"/>
                <w:spacing w:val="3"/>
                <w:szCs w:val="24"/>
              </w:rPr>
              <w:t xml:space="preserve"> </w:t>
            </w:r>
            <w:proofErr w:type="spellStart"/>
            <w:r w:rsidRPr="00275503">
              <w:rPr>
                <w:rStyle w:val="Hyperlink"/>
                <w:i/>
                <w:iCs/>
                <w:color w:val="000000" w:themeColor="text1"/>
                <w:spacing w:val="3"/>
                <w:szCs w:val="24"/>
              </w:rPr>
              <w:t>aid</w:t>
            </w:r>
            <w:proofErr w:type="spellEnd"/>
            <w:r w:rsidRPr="00275503">
              <w:rPr>
                <w:rStyle w:val="Hyperlink"/>
                <w:i/>
                <w:iCs/>
                <w:color w:val="000000" w:themeColor="text1"/>
                <w:spacing w:val="3"/>
                <w:szCs w:val="24"/>
              </w:rPr>
              <w:t xml:space="preserve"> (OL C 68, 1996 3 6, p. 9)</w:t>
            </w:r>
            <w:r w:rsidRPr="00275503">
              <w:rPr>
                <w:rStyle w:val="Emphasis"/>
                <w:color w:val="000000" w:themeColor="text1"/>
                <w:spacing w:val="2"/>
                <w:szCs w:val="24"/>
                <w:shd w:val="clear" w:color="auto" w:fill="FFFFFF"/>
              </w:rPr>
              <w:fldChar w:fldCharType="end"/>
            </w:r>
            <w:r w:rsidRPr="00275503">
              <w:rPr>
                <w:color w:val="000000" w:themeColor="text1"/>
                <w:spacing w:val="2"/>
                <w:szCs w:val="24"/>
                <w:shd w:val="clear" w:color="auto" w:fill="FFFFFF"/>
              </w:rPr>
              <w:t>).</w:t>
            </w:r>
          </w:p>
          <w:p w14:paraId="7A34AF70" w14:textId="1005AC84" w:rsidR="006811E8" w:rsidRPr="00275503" w:rsidRDefault="006811E8" w:rsidP="006811E8">
            <w:pPr>
              <w:jc w:val="both"/>
              <w:rPr>
                <w:color w:val="000000" w:themeColor="text1"/>
                <w:szCs w:val="24"/>
              </w:rPr>
            </w:pPr>
            <w:r w:rsidRPr="00275503">
              <w:rPr>
                <w:color w:val="000000" w:themeColor="text1"/>
                <w:spacing w:val="2"/>
                <w:szCs w:val="24"/>
                <w:shd w:val="clear" w:color="auto" w:fill="FFFFFF"/>
              </w:rPr>
              <w:t xml:space="preserve">36 punktas, pagal kurį  </w:t>
            </w:r>
            <w:r w:rsidRPr="00275503">
              <w:rPr>
                <w:color w:val="000000" w:themeColor="text1"/>
                <w:szCs w:val="24"/>
                <w:shd w:val="clear" w:color="auto" w:fill="FFFFFF"/>
              </w:rPr>
              <w:t xml:space="preserve">ūkio subjektas dėl pastato atnaujinimo neturi gauti jokios išskirtinės naudos, </w:t>
            </w:r>
            <w:r w:rsidRPr="00275503">
              <w:rPr>
                <w:color w:val="000000" w:themeColor="text1"/>
                <w:spacing w:val="2"/>
                <w:szCs w:val="24"/>
                <w:shd w:val="clear" w:color="auto" w:fill="FFFFFF"/>
              </w:rPr>
              <w:t xml:space="preserve">buvo nustatytas siekiant įgyvendinti </w:t>
            </w:r>
            <w:r w:rsidRPr="00275503">
              <w:rPr>
                <w:i/>
                <w:iCs/>
                <w:color w:val="000000" w:themeColor="text1"/>
                <w:szCs w:val="24"/>
              </w:rPr>
              <w:t xml:space="preserve">2013 m. gruodžio 18 d. Komisijos reglamento (ES) Nr. 1407/2013 dėl Sutarties dėl Europos Sąjungos veikimo 107 ir 108 straipsnių taikymo de </w:t>
            </w:r>
            <w:proofErr w:type="spellStart"/>
            <w:r w:rsidRPr="00275503">
              <w:rPr>
                <w:i/>
                <w:iCs/>
                <w:color w:val="000000" w:themeColor="text1"/>
                <w:szCs w:val="24"/>
              </w:rPr>
              <w:t>minimis</w:t>
            </w:r>
            <w:proofErr w:type="spellEnd"/>
            <w:r w:rsidRPr="00275503">
              <w:rPr>
                <w:i/>
                <w:iCs/>
                <w:color w:val="000000" w:themeColor="text1"/>
                <w:szCs w:val="24"/>
              </w:rPr>
              <w:t xml:space="preserve"> pagalbai,</w:t>
            </w:r>
            <w:r w:rsidRPr="00275503">
              <w:rPr>
                <w:color w:val="000000" w:themeColor="text1"/>
                <w:szCs w:val="24"/>
              </w:rPr>
              <w:t xml:space="preserve"> nuostatas. </w:t>
            </w:r>
          </w:p>
          <w:p w14:paraId="072E2CA8" w14:textId="0061462F" w:rsidR="006811E8" w:rsidRPr="00D90A87" w:rsidRDefault="006811E8" w:rsidP="00030B66">
            <w:pPr>
              <w:jc w:val="both"/>
              <w:rPr>
                <w:b/>
                <w:bCs/>
                <w:lang w:eastAsia="en-US"/>
              </w:rPr>
            </w:pPr>
            <w:r w:rsidRPr="00275503">
              <w:rPr>
                <w:color w:val="000000" w:themeColor="text1"/>
                <w:szCs w:val="24"/>
                <w:shd w:val="clear" w:color="auto" w:fill="FFFFFF"/>
              </w:rPr>
              <w:t xml:space="preserve">Jeigu šios sąlygos įvykdyti pareiškėjui kitaip neįmanoma, pagal Aprašą pastate paslaugas teikiančiam ūkio subjektui (nuomininkui) gali būti teikiama </w:t>
            </w:r>
            <w:r w:rsidRPr="00275503">
              <w:rPr>
                <w:i/>
                <w:iCs/>
                <w:color w:val="000000" w:themeColor="text1"/>
                <w:szCs w:val="24"/>
                <w:shd w:val="clear" w:color="auto" w:fill="FFFFFF"/>
              </w:rPr>
              <w:t xml:space="preserve">de </w:t>
            </w:r>
            <w:proofErr w:type="spellStart"/>
            <w:r w:rsidRPr="00275503">
              <w:rPr>
                <w:i/>
                <w:iCs/>
                <w:color w:val="000000" w:themeColor="text1"/>
                <w:szCs w:val="24"/>
                <w:shd w:val="clear" w:color="auto" w:fill="FFFFFF"/>
              </w:rPr>
              <w:t>minimis</w:t>
            </w:r>
            <w:proofErr w:type="spellEnd"/>
            <w:r w:rsidRPr="00275503">
              <w:rPr>
                <w:color w:val="000000" w:themeColor="text1"/>
                <w:szCs w:val="24"/>
                <w:shd w:val="clear" w:color="auto" w:fill="FFFFFF"/>
              </w:rPr>
              <w:t xml:space="preserve"> pagalba ir ji turi atitikti </w:t>
            </w:r>
            <w:r w:rsidRPr="00275503">
              <w:rPr>
                <w:i/>
                <w:iCs/>
                <w:color w:val="000000" w:themeColor="text1"/>
                <w:szCs w:val="24"/>
                <w:shd w:val="clear" w:color="auto" w:fill="FFFFFF"/>
              </w:rPr>
              <w:t xml:space="preserve">de </w:t>
            </w:r>
            <w:proofErr w:type="spellStart"/>
            <w:r w:rsidRPr="00275503">
              <w:rPr>
                <w:i/>
                <w:iCs/>
                <w:color w:val="000000" w:themeColor="text1"/>
                <w:szCs w:val="24"/>
                <w:shd w:val="clear" w:color="auto" w:fill="FFFFFF"/>
              </w:rPr>
              <w:t>minimis</w:t>
            </w:r>
            <w:proofErr w:type="spellEnd"/>
            <w:r w:rsidRPr="00275503">
              <w:rPr>
                <w:color w:val="000000" w:themeColor="text1"/>
                <w:szCs w:val="24"/>
                <w:shd w:val="clear" w:color="auto" w:fill="FFFFFF"/>
              </w:rPr>
              <w:t xml:space="preserve"> reglamento nuostatas. Tokiu atveju </w:t>
            </w:r>
            <w:r w:rsidR="00020D0D">
              <w:rPr>
                <w:color w:val="000000" w:themeColor="text1"/>
                <w:szCs w:val="24"/>
                <w:shd w:val="clear" w:color="auto" w:fill="FFFFFF"/>
              </w:rPr>
              <w:t xml:space="preserve">Energetikos </w:t>
            </w:r>
            <w:r w:rsidRPr="00275503">
              <w:rPr>
                <w:color w:val="000000" w:themeColor="text1"/>
                <w:szCs w:val="24"/>
                <w:shd w:val="clear" w:color="auto" w:fill="FFFFFF"/>
              </w:rPr>
              <w:t xml:space="preserve">ministerija registruoja </w:t>
            </w:r>
            <w:r w:rsidRPr="00020D0D">
              <w:rPr>
                <w:i/>
                <w:iCs/>
                <w:color w:val="000000" w:themeColor="text1"/>
                <w:szCs w:val="24"/>
                <w:shd w:val="clear" w:color="auto" w:fill="FFFFFF"/>
              </w:rPr>
              <w:t xml:space="preserve">de </w:t>
            </w:r>
            <w:proofErr w:type="spellStart"/>
            <w:r w:rsidRPr="00020D0D">
              <w:rPr>
                <w:i/>
                <w:iCs/>
                <w:color w:val="000000" w:themeColor="text1"/>
                <w:szCs w:val="24"/>
                <w:shd w:val="clear" w:color="auto" w:fill="FFFFFF"/>
              </w:rPr>
              <w:t>mini</w:t>
            </w:r>
            <w:r w:rsidR="00020D0D" w:rsidRPr="00020D0D">
              <w:rPr>
                <w:i/>
                <w:iCs/>
                <w:color w:val="000000" w:themeColor="text1"/>
                <w:szCs w:val="24"/>
                <w:shd w:val="clear" w:color="auto" w:fill="FFFFFF"/>
              </w:rPr>
              <w:t>m</w:t>
            </w:r>
            <w:r w:rsidRPr="00020D0D">
              <w:rPr>
                <w:i/>
                <w:iCs/>
                <w:color w:val="000000" w:themeColor="text1"/>
                <w:szCs w:val="24"/>
                <w:shd w:val="clear" w:color="auto" w:fill="FFFFFF"/>
              </w:rPr>
              <w:t>is</w:t>
            </w:r>
            <w:proofErr w:type="spellEnd"/>
            <w:r w:rsidRPr="00275503">
              <w:rPr>
                <w:color w:val="000000" w:themeColor="text1"/>
                <w:szCs w:val="24"/>
                <w:shd w:val="clear" w:color="auto" w:fill="FFFFFF"/>
              </w:rPr>
              <w:t xml:space="preserve"> pagalbą, kas yra privaloma pagal </w:t>
            </w:r>
            <w:proofErr w:type="spellStart"/>
            <w:r w:rsidRPr="00275503">
              <w:rPr>
                <w:color w:val="000000" w:themeColor="text1"/>
                <w:szCs w:val="24"/>
                <w:shd w:val="clear" w:color="auto" w:fill="FFFFFF"/>
              </w:rPr>
              <w:t>reglamentines</w:t>
            </w:r>
            <w:proofErr w:type="spellEnd"/>
            <w:r w:rsidRPr="00275503">
              <w:rPr>
                <w:color w:val="000000" w:themeColor="text1"/>
                <w:szCs w:val="24"/>
                <w:shd w:val="clear" w:color="auto" w:fill="FFFFFF"/>
              </w:rPr>
              <w:t xml:space="preserve"> nuostatas. Tokiu būdu šis punktas yra įgyvendinamas.</w:t>
            </w:r>
            <w:r>
              <w:rPr>
                <w:color w:val="000000" w:themeColor="text1"/>
                <w:szCs w:val="24"/>
                <w:shd w:val="clear" w:color="auto" w:fill="FFFFFF"/>
              </w:rPr>
              <w:t xml:space="preserve"> Ši nuostata </w:t>
            </w:r>
            <w:r w:rsidR="00020D0D">
              <w:rPr>
                <w:color w:val="000000" w:themeColor="text1"/>
                <w:szCs w:val="24"/>
                <w:shd w:val="clear" w:color="auto" w:fill="FFFFFF"/>
              </w:rPr>
              <w:t>p</w:t>
            </w:r>
            <w:r>
              <w:rPr>
                <w:color w:val="000000" w:themeColor="text1"/>
                <w:szCs w:val="24"/>
                <w:shd w:val="clear" w:color="auto" w:fill="FFFFFF"/>
              </w:rPr>
              <w:t>rieš tvirtinant PFSA buvo suderinta ir su Konkurencijos taryba</w:t>
            </w:r>
            <w:r w:rsidR="00020D0D">
              <w:rPr>
                <w:color w:val="000000" w:themeColor="text1"/>
                <w:szCs w:val="24"/>
                <w:shd w:val="clear" w:color="auto" w:fill="FFFFFF"/>
              </w:rPr>
              <w:t xml:space="preserve"> ir past</w:t>
            </w:r>
            <w:bookmarkEnd w:id="2"/>
            <w:r w:rsidR="00020D0D">
              <w:rPr>
                <w:color w:val="000000" w:themeColor="text1"/>
                <w:szCs w:val="24"/>
                <w:shd w:val="clear" w:color="auto" w:fill="FFFFFF"/>
              </w:rPr>
              <w:t>abų nebuvome gavę.</w:t>
            </w:r>
            <w:bookmarkStart w:id="4" w:name="_GoBack"/>
            <w:bookmarkEnd w:id="4"/>
          </w:p>
        </w:tc>
      </w:tr>
      <w:tr w:rsidR="00084FDB" w:rsidRPr="00AB33C9" w14:paraId="3E088205" w14:textId="77777777" w:rsidTr="00737DF3">
        <w:tc>
          <w:tcPr>
            <w:tcW w:w="596" w:type="dxa"/>
          </w:tcPr>
          <w:p w14:paraId="1953DAC2" w14:textId="77777777" w:rsidR="00084FDB" w:rsidRPr="00AB33C9" w:rsidRDefault="00084FDB" w:rsidP="00F43484">
            <w:pPr>
              <w:pStyle w:val="ListParagraph"/>
              <w:numPr>
                <w:ilvl w:val="0"/>
                <w:numId w:val="4"/>
              </w:numPr>
            </w:pPr>
          </w:p>
        </w:tc>
        <w:tc>
          <w:tcPr>
            <w:tcW w:w="2977" w:type="dxa"/>
          </w:tcPr>
          <w:p w14:paraId="40FC0F1B" w14:textId="54E4478D" w:rsidR="00084FDB" w:rsidRDefault="00084FDB" w:rsidP="00F43484">
            <w:pPr>
              <w:rPr>
                <w:szCs w:val="24"/>
              </w:rPr>
            </w:pPr>
            <w:r>
              <w:rPr>
                <w:szCs w:val="24"/>
              </w:rPr>
              <w:t>Lietuvos Respublikos teisingumo ministerija</w:t>
            </w:r>
          </w:p>
        </w:tc>
        <w:tc>
          <w:tcPr>
            <w:tcW w:w="5812" w:type="dxa"/>
          </w:tcPr>
          <w:p w14:paraId="20DC555A" w14:textId="38374EFF" w:rsidR="00084FDB" w:rsidRDefault="00084FDB" w:rsidP="006811E8">
            <w:pPr>
              <w:jc w:val="both"/>
              <w:rPr>
                <w:szCs w:val="24"/>
              </w:rPr>
            </w:pPr>
            <w:r>
              <w:rPr>
                <w:szCs w:val="24"/>
              </w:rPr>
              <w:t>Pritaria projektui.</w:t>
            </w:r>
          </w:p>
        </w:tc>
        <w:tc>
          <w:tcPr>
            <w:tcW w:w="5527" w:type="dxa"/>
          </w:tcPr>
          <w:p w14:paraId="3FC32FAB" w14:textId="77777777" w:rsidR="00084FDB" w:rsidRDefault="00084FDB" w:rsidP="0080217F">
            <w:pPr>
              <w:jc w:val="both"/>
              <w:rPr>
                <w:b/>
                <w:bCs/>
                <w:lang w:eastAsia="en-US"/>
              </w:rPr>
            </w:pPr>
          </w:p>
        </w:tc>
      </w:tr>
      <w:tr w:rsidR="00BF0C31" w:rsidRPr="00AB33C9" w14:paraId="6028D1F0" w14:textId="77777777" w:rsidTr="00737DF3">
        <w:tc>
          <w:tcPr>
            <w:tcW w:w="596" w:type="dxa"/>
          </w:tcPr>
          <w:p w14:paraId="1A243EB8" w14:textId="77777777" w:rsidR="00BF0C31" w:rsidRPr="00AB33C9" w:rsidRDefault="00BF0C31" w:rsidP="00F43484">
            <w:pPr>
              <w:pStyle w:val="ListParagraph"/>
              <w:numPr>
                <w:ilvl w:val="0"/>
                <w:numId w:val="4"/>
              </w:numPr>
            </w:pPr>
            <w:bookmarkStart w:id="5" w:name="_Hlk35433417"/>
          </w:p>
        </w:tc>
        <w:tc>
          <w:tcPr>
            <w:tcW w:w="2977" w:type="dxa"/>
          </w:tcPr>
          <w:p w14:paraId="7B86CF9D" w14:textId="65453121" w:rsidR="00BF0C31" w:rsidRDefault="00BF0C31" w:rsidP="00F43484">
            <w:pPr>
              <w:rPr>
                <w:szCs w:val="24"/>
              </w:rPr>
            </w:pPr>
            <w:r>
              <w:rPr>
                <w:szCs w:val="24"/>
              </w:rPr>
              <w:t xml:space="preserve">Turto bankas </w:t>
            </w:r>
          </w:p>
        </w:tc>
        <w:tc>
          <w:tcPr>
            <w:tcW w:w="5812" w:type="dxa"/>
          </w:tcPr>
          <w:p w14:paraId="7DD7B1C4" w14:textId="4882A219" w:rsidR="00BF0C31" w:rsidRDefault="00BF0C31" w:rsidP="00944A3A">
            <w:pPr>
              <w:jc w:val="both"/>
              <w:rPr>
                <w:szCs w:val="24"/>
              </w:rPr>
            </w:pPr>
            <w:bookmarkStart w:id="6" w:name="_Hlk35432745"/>
            <w:r w:rsidRPr="00BB181F">
              <w:rPr>
                <w:szCs w:val="24"/>
              </w:rPr>
              <w:t>Siūlytume 9</w:t>
            </w:r>
            <w:r w:rsidRPr="00BB181F">
              <w:rPr>
                <w:szCs w:val="24"/>
                <w:lang w:val="en-US"/>
              </w:rPr>
              <w:t xml:space="preserve">5 </w:t>
            </w:r>
            <w:proofErr w:type="spellStart"/>
            <w:r w:rsidRPr="00BB181F">
              <w:rPr>
                <w:szCs w:val="24"/>
                <w:lang w:val="en-US"/>
              </w:rPr>
              <w:t>arba</w:t>
            </w:r>
            <w:proofErr w:type="spellEnd"/>
            <w:r w:rsidRPr="00BB181F">
              <w:rPr>
                <w:szCs w:val="24"/>
                <w:lang w:val="en-US"/>
              </w:rPr>
              <w:t xml:space="preserve"> 96 </w:t>
            </w:r>
            <w:proofErr w:type="spellStart"/>
            <w:r w:rsidRPr="00BB181F">
              <w:rPr>
                <w:szCs w:val="24"/>
                <w:lang w:val="en-US"/>
              </w:rPr>
              <w:t>punkte</w:t>
            </w:r>
            <w:proofErr w:type="spellEnd"/>
            <w:r w:rsidRPr="00BB181F">
              <w:rPr>
                <w:szCs w:val="24"/>
                <w:lang w:val="en-US"/>
              </w:rPr>
              <w:t xml:space="preserve"> </w:t>
            </w:r>
            <w:proofErr w:type="spellStart"/>
            <w:r w:rsidRPr="00BB181F">
              <w:rPr>
                <w:szCs w:val="24"/>
                <w:lang w:val="en-US"/>
              </w:rPr>
              <w:t>nurodyti</w:t>
            </w:r>
            <w:proofErr w:type="spellEnd"/>
            <w:r w:rsidRPr="00BB181F">
              <w:rPr>
                <w:szCs w:val="24"/>
                <w:lang w:val="en-US"/>
              </w:rPr>
              <w:t xml:space="preserve"> </w:t>
            </w:r>
            <w:proofErr w:type="spellStart"/>
            <w:r w:rsidRPr="00BB181F">
              <w:rPr>
                <w:szCs w:val="24"/>
                <w:lang w:val="en-US"/>
              </w:rPr>
              <w:t>skai</w:t>
            </w:r>
            <w:r w:rsidRPr="00BB181F">
              <w:rPr>
                <w:szCs w:val="24"/>
              </w:rPr>
              <w:t>čiavimo</w:t>
            </w:r>
            <w:proofErr w:type="spellEnd"/>
            <w:r w:rsidRPr="00BB181F">
              <w:rPr>
                <w:szCs w:val="24"/>
              </w:rPr>
              <w:t xml:space="preserve"> pavyzdį, formulę arba patikslinti formuluotę. Atkreipiame dėmesį, kad nėra iki galo aišku kaip nustatoma metinis grąžintinų lėšų dydis – ar pagal 9</w:t>
            </w:r>
            <w:r w:rsidRPr="00BB181F">
              <w:rPr>
                <w:szCs w:val="24"/>
                <w:lang w:val="en-US"/>
              </w:rPr>
              <w:t xml:space="preserve">5 </w:t>
            </w:r>
            <w:proofErr w:type="spellStart"/>
            <w:r w:rsidRPr="00BB181F">
              <w:rPr>
                <w:szCs w:val="24"/>
                <w:lang w:val="en-US"/>
              </w:rPr>
              <w:t>punkte</w:t>
            </w:r>
            <w:proofErr w:type="spellEnd"/>
            <w:r w:rsidRPr="00BB181F">
              <w:rPr>
                <w:szCs w:val="24"/>
              </w:rPr>
              <w:t xml:space="preserve"> lentelėje nurodytas reikšmes ar 9</w:t>
            </w:r>
            <w:r w:rsidRPr="00BB181F">
              <w:rPr>
                <w:szCs w:val="24"/>
                <w:lang w:val="en-US"/>
              </w:rPr>
              <w:t xml:space="preserve">5 </w:t>
            </w:r>
            <w:proofErr w:type="spellStart"/>
            <w:r w:rsidRPr="00BB181F">
              <w:rPr>
                <w:szCs w:val="24"/>
                <w:lang w:val="en-US"/>
              </w:rPr>
              <w:t>punkte</w:t>
            </w:r>
            <w:proofErr w:type="spellEnd"/>
            <w:r w:rsidRPr="00BB181F">
              <w:rPr>
                <w:szCs w:val="24"/>
                <w:lang w:val="en-US"/>
              </w:rPr>
              <w:t xml:space="preserve"> </w:t>
            </w:r>
            <w:proofErr w:type="spellStart"/>
            <w:r w:rsidRPr="00BB181F">
              <w:rPr>
                <w:szCs w:val="24"/>
                <w:lang w:val="en-US"/>
              </w:rPr>
              <w:t>pateiktos</w:t>
            </w:r>
            <w:proofErr w:type="spellEnd"/>
            <w:r w:rsidRPr="00BB181F">
              <w:rPr>
                <w:szCs w:val="24"/>
                <w:lang w:val="en-US"/>
              </w:rPr>
              <w:t xml:space="preserve"> </w:t>
            </w:r>
            <w:proofErr w:type="spellStart"/>
            <w:r w:rsidRPr="00BB181F">
              <w:rPr>
                <w:szCs w:val="24"/>
                <w:lang w:val="en-US"/>
              </w:rPr>
              <w:t>lentel</w:t>
            </w:r>
            <w:proofErr w:type="spellEnd"/>
            <w:r w:rsidRPr="00BB181F">
              <w:rPr>
                <w:szCs w:val="24"/>
              </w:rPr>
              <w:t>ės reikšmes dalinant iš 9</w:t>
            </w:r>
            <w:r w:rsidRPr="00BB181F">
              <w:rPr>
                <w:szCs w:val="24"/>
                <w:lang w:val="en-US"/>
              </w:rPr>
              <w:t xml:space="preserve">6 </w:t>
            </w:r>
            <w:proofErr w:type="spellStart"/>
            <w:r w:rsidRPr="00BB181F">
              <w:rPr>
                <w:szCs w:val="24"/>
                <w:lang w:val="en-US"/>
              </w:rPr>
              <w:t>punkte</w:t>
            </w:r>
            <w:proofErr w:type="spellEnd"/>
            <w:r w:rsidRPr="00BB181F">
              <w:rPr>
                <w:szCs w:val="24"/>
                <w:lang w:val="en-US"/>
              </w:rPr>
              <w:t xml:space="preserve"> </w:t>
            </w:r>
            <w:proofErr w:type="spellStart"/>
            <w:r w:rsidRPr="00BB181F">
              <w:rPr>
                <w:szCs w:val="24"/>
                <w:lang w:val="en-US"/>
              </w:rPr>
              <w:t>nurodyto</w:t>
            </w:r>
            <w:proofErr w:type="spellEnd"/>
            <w:r w:rsidRPr="00BB181F">
              <w:rPr>
                <w:szCs w:val="24"/>
                <w:lang w:val="en-US"/>
              </w:rPr>
              <w:t xml:space="preserve"> </w:t>
            </w:r>
            <w:proofErr w:type="spellStart"/>
            <w:r w:rsidRPr="00BB181F">
              <w:rPr>
                <w:szCs w:val="24"/>
                <w:lang w:val="en-US"/>
              </w:rPr>
              <w:t>termino</w:t>
            </w:r>
            <w:proofErr w:type="spellEnd"/>
            <w:r w:rsidRPr="00BB181F">
              <w:rPr>
                <w:szCs w:val="24"/>
                <w:lang w:val="en-US"/>
              </w:rPr>
              <w:t>.</w:t>
            </w:r>
            <w:bookmarkEnd w:id="6"/>
          </w:p>
        </w:tc>
        <w:tc>
          <w:tcPr>
            <w:tcW w:w="5527" w:type="dxa"/>
          </w:tcPr>
          <w:p w14:paraId="4D688704" w14:textId="2F628538" w:rsidR="00944A3A" w:rsidRPr="00944A3A" w:rsidRDefault="00944A3A" w:rsidP="00944A3A">
            <w:pPr>
              <w:jc w:val="both"/>
            </w:pPr>
            <w:bookmarkStart w:id="7" w:name="_Hlk35433798"/>
            <w:proofErr w:type="spellStart"/>
            <w:r w:rsidRPr="00944A3A">
              <w:rPr>
                <w:lang w:val="en-US"/>
              </w:rPr>
              <w:t>Detalūs</w:t>
            </w:r>
            <w:proofErr w:type="spellEnd"/>
            <w:r w:rsidRPr="00944A3A">
              <w:rPr>
                <w:lang w:val="en-US"/>
              </w:rPr>
              <w:t xml:space="preserve"> </w:t>
            </w:r>
            <w:proofErr w:type="spellStart"/>
            <w:r w:rsidRPr="00944A3A">
              <w:rPr>
                <w:lang w:val="en-US"/>
              </w:rPr>
              <w:t>skaičiavimo</w:t>
            </w:r>
            <w:proofErr w:type="spellEnd"/>
            <w:r w:rsidRPr="00944A3A">
              <w:rPr>
                <w:lang w:val="en-US"/>
              </w:rPr>
              <w:t xml:space="preserve"> </w:t>
            </w:r>
            <w:proofErr w:type="spellStart"/>
            <w:r w:rsidRPr="00944A3A">
              <w:rPr>
                <w:lang w:val="en-US"/>
              </w:rPr>
              <w:t>paaiškinimai</w:t>
            </w:r>
            <w:proofErr w:type="spellEnd"/>
            <w:r w:rsidRPr="00944A3A">
              <w:rPr>
                <w:lang w:val="en-US"/>
              </w:rPr>
              <w:t xml:space="preserve"> </w:t>
            </w:r>
            <w:proofErr w:type="spellStart"/>
            <w:r w:rsidRPr="00944A3A">
              <w:rPr>
                <w:lang w:val="en-US"/>
              </w:rPr>
              <w:t>su</w:t>
            </w:r>
            <w:proofErr w:type="spellEnd"/>
            <w:r w:rsidRPr="00944A3A">
              <w:rPr>
                <w:lang w:val="en-US"/>
              </w:rPr>
              <w:t xml:space="preserve"> </w:t>
            </w:r>
            <w:proofErr w:type="spellStart"/>
            <w:r w:rsidRPr="00944A3A">
              <w:rPr>
                <w:lang w:val="en-US"/>
              </w:rPr>
              <w:t>pavyzdžiais</w:t>
            </w:r>
            <w:proofErr w:type="spellEnd"/>
            <w:r w:rsidRPr="00944A3A">
              <w:rPr>
                <w:lang w:val="en-US"/>
              </w:rPr>
              <w:t xml:space="preserve"> bus </w:t>
            </w:r>
            <w:proofErr w:type="spellStart"/>
            <w:r w:rsidRPr="00944A3A">
              <w:rPr>
                <w:lang w:val="en-US"/>
              </w:rPr>
              <w:t>Įgyvendinančios</w:t>
            </w:r>
            <w:proofErr w:type="spellEnd"/>
            <w:r w:rsidRPr="00944A3A">
              <w:rPr>
                <w:lang w:val="en-US"/>
              </w:rPr>
              <w:t xml:space="preserve"> </w:t>
            </w:r>
            <w:proofErr w:type="spellStart"/>
            <w:r w:rsidRPr="00944A3A">
              <w:rPr>
                <w:lang w:val="en-US"/>
              </w:rPr>
              <w:t>institucijos</w:t>
            </w:r>
            <w:proofErr w:type="spellEnd"/>
            <w:r w:rsidRPr="00944A3A">
              <w:rPr>
                <w:lang w:val="en-US"/>
              </w:rPr>
              <w:t xml:space="preserve"> </w:t>
            </w:r>
            <w:proofErr w:type="spellStart"/>
            <w:r w:rsidRPr="00944A3A">
              <w:rPr>
                <w:lang w:val="en-US"/>
              </w:rPr>
              <w:t>pateikti</w:t>
            </w:r>
            <w:proofErr w:type="spellEnd"/>
            <w:r w:rsidRPr="00944A3A">
              <w:rPr>
                <w:lang w:val="en-US"/>
              </w:rPr>
              <w:t xml:space="preserve"> D.U.K. </w:t>
            </w:r>
            <w:proofErr w:type="spellStart"/>
            <w:r w:rsidRPr="00944A3A">
              <w:rPr>
                <w:lang w:val="en-US"/>
              </w:rPr>
              <w:t>ar</w:t>
            </w:r>
            <w:proofErr w:type="spellEnd"/>
            <w:r w:rsidRPr="00944A3A">
              <w:rPr>
                <w:lang w:val="en-US"/>
              </w:rPr>
              <w:t xml:space="preserve"> per </w:t>
            </w:r>
            <w:proofErr w:type="spellStart"/>
            <w:r w:rsidRPr="00944A3A">
              <w:rPr>
                <w:lang w:val="en-US"/>
              </w:rPr>
              <w:t>mokymus</w:t>
            </w:r>
            <w:proofErr w:type="spellEnd"/>
            <w:r w:rsidRPr="00944A3A">
              <w:rPr>
                <w:lang w:val="en-US"/>
              </w:rPr>
              <w:t>.</w:t>
            </w:r>
          </w:p>
          <w:bookmarkEnd w:id="7"/>
          <w:p w14:paraId="56CBB698" w14:textId="68CC3A97" w:rsidR="00353838" w:rsidRPr="00BF0C31" w:rsidRDefault="00353838" w:rsidP="00353838">
            <w:pPr>
              <w:jc w:val="both"/>
              <w:rPr>
                <w:lang w:eastAsia="en-US"/>
              </w:rPr>
            </w:pPr>
          </w:p>
        </w:tc>
      </w:tr>
      <w:bookmarkEnd w:id="1"/>
      <w:bookmarkEnd w:id="5"/>
    </w:tbl>
    <w:p w14:paraId="3D391229" w14:textId="05091513" w:rsidR="005C5ECB" w:rsidRPr="00045E24" w:rsidRDefault="005C5ECB">
      <w:pPr>
        <w:rPr>
          <w:b/>
          <w:bCs/>
          <w:caps/>
          <w:szCs w:val="24"/>
        </w:rPr>
      </w:pPr>
    </w:p>
    <w:sectPr w:rsidR="005C5ECB" w:rsidRPr="00045E24"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07D23560"/>
    <w:multiLevelType w:val="hybridMultilevel"/>
    <w:tmpl w:val="FC8AD24E"/>
    <w:lvl w:ilvl="0" w:tplc="0E8C69DE">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 w15:restartNumberingAfterBreak="0">
    <w:nsid w:val="0B67285F"/>
    <w:multiLevelType w:val="hybridMultilevel"/>
    <w:tmpl w:val="DD48AFB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0FFC5FCC"/>
    <w:multiLevelType w:val="hybridMultilevel"/>
    <w:tmpl w:val="620CF292"/>
    <w:lvl w:ilvl="0" w:tplc="FDAA01F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72530"/>
    <w:multiLevelType w:val="hybridMultilevel"/>
    <w:tmpl w:val="363AA866"/>
    <w:lvl w:ilvl="0" w:tplc="D5E446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8E7C5D"/>
    <w:multiLevelType w:val="hybridMultilevel"/>
    <w:tmpl w:val="6E8EB7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7"/>
  </w:num>
  <w:num w:numId="2">
    <w:abstractNumId w:val="6"/>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0D0D"/>
    <w:rsid w:val="000210AF"/>
    <w:rsid w:val="000240C4"/>
    <w:rsid w:val="000243F8"/>
    <w:rsid w:val="00024C36"/>
    <w:rsid w:val="00025BD7"/>
    <w:rsid w:val="00027063"/>
    <w:rsid w:val="00027670"/>
    <w:rsid w:val="00030B66"/>
    <w:rsid w:val="00032985"/>
    <w:rsid w:val="000431FB"/>
    <w:rsid w:val="00045E24"/>
    <w:rsid w:val="00046DFE"/>
    <w:rsid w:val="00050427"/>
    <w:rsid w:val="00053083"/>
    <w:rsid w:val="00053D41"/>
    <w:rsid w:val="00057FB0"/>
    <w:rsid w:val="0006040B"/>
    <w:rsid w:val="00060B39"/>
    <w:rsid w:val="00064EF6"/>
    <w:rsid w:val="00067BD6"/>
    <w:rsid w:val="00070ED6"/>
    <w:rsid w:val="00072985"/>
    <w:rsid w:val="000770EC"/>
    <w:rsid w:val="00077B7B"/>
    <w:rsid w:val="00081305"/>
    <w:rsid w:val="000836F3"/>
    <w:rsid w:val="00084FDB"/>
    <w:rsid w:val="0008773B"/>
    <w:rsid w:val="000906C3"/>
    <w:rsid w:val="00091E15"/>
    <w:rsid w:val="000A1FDB"/>
    <w:rsid w:val="000A3FD2"/>
    <w:rsid w:val="000A47CA"/>
    <w:rsid w:val="000A5B24"/>
    <w:rsid w:val="000B01EB"/>
    <w:rsid w:val="000B16A6"/>
    <w:rsid w:val="000B1784"/>
    <w:rsid w:val="000B1AF5"/>
    <w:rsid w:val="000B2D7C"/>
    <w:rsid w:val="000B48AF"/>
    <w:rsid w:val="000B726E"/>
    <w:rsid w:val="000C50F6"/>
    <w:rsid w:val="000D04FC"/>
    <w:rsid w:val="000D1245"/>
    <w:rsid w:val="000D27B6"/>
    <w:rsid w:val="000D3EFE"/>
    <w:rsid w:val="000E0BC8"/>
    <w:rsid w:val="000E1F0C"/>
    <w:rsid w:val="000E275C"/>
    <w:rsid w:val="000E7A99"/>
    <w:rsid w:val="000F3BA4"/>
    <w:rsid w:val="000F5CE6"/>
    <w:rsid w:val="000F7CC8"/>
    <w:rsid w:val="001004F6"/>
    <w:rsid w:val="001005D8"/>
    <w:rsid w:val="00102C97"/>
    <w:rsid w:val="00103906"/>
    <w:rsid w:val="00103BA5"/>
    <w:rsid w:val="00105F91"/>
    <w:rsid w:val="00112086"/>
    <w:rsid w:val="00114492"/>
    <w:rsid w:val="00115372"/>
    <w:rsid w:val="00116EED"/>
    <w:rsid w:val="00123470"/>
    <w:rsid w:val="0012560A"/>
    <w:rsid w:val="0013077B"/>
    <w:rsid w:val="0013255A"/>
    <w:rsid w:val="00132EC6"/>
    <w:rsid w:val="00136503"/>
    <w:rsid w:val="001368AD"/>
    <w:rsid w:val="00140206"/>
    <w:rsid w:val="0014026A"/>
    <w:rsid w:val="001425DF"/>
    <w:rsid w:val="00143F39"/>
    <w:rsid w:val="001447DD"/>
    <w:rsid w:val="00146ED6"/>
    <w:rsid w:val="0015397F"/>
    <w:rsid w:val="00156AD4"/>
    <w:rsid w:val="00156BBF"/>
    <w:rsid w:val="001577E4"/>
    <w:rsid w:val="001637C6"/>
    <w:rsid w:val="00167B7F"/>
    <w:rsid w:val="00171F6C"/>
    <w:rsid w:val="00177B41"/>
    <w:rsid w:val="0018373E"/>
    <w:rsid w:val="00184372"/>
    <w:rsid w:val="00184FC3"/>
    <w:rsid w:val="00194702"/>
    <w:rsid w:val="001A2645"/>
    <w:rsid w:val="001A5935"/>
    <w:rsid w:val="001B1D93"/>
    <w:rsid w:val="001B6178"/>
    <w:rsid w:val="001C2D61"/>
    <w:rsid w:val="001C2F60"/>
    <w:rsid w:val="001C444E"/>
    <w:rsid w:val="001D41B9"/>
    <w:rsid w:val="001D4AE1"/>
    <w:rsid w:val="001D6507"/>
    <w:rsid w:val="001E27E9"/>
    <w:rsid w:val="001E4CE7"/>
    <w:rsid w:val="001E4F91"/>
    <w:rsid w:val="001E6748"/>
    <w:rsid w:val="001E67A5"/>
    <w:rsid w:val="001E6F55"/>
    <w:rsid w:val="001F0987"/>
    <w:rsid w:val="00200EAC"/>
    <w:rsid w:val="00203553"/>
    <w:rsid w:val="0020434A"/>
    <w:rsid w:val="0021386C"/>
    <w:rsid w:val="00213964"/>
    <w:rsid w:val="002152D9"/>
    <w:rsid w:val="00227F9B"/>
    <w:rsid w:val="00230366"/>
    <w:rsid w:val="0023337A"/>
    <w:rsid w:val="00234670"/>
    <w:rsid w:val="00234AE2"/>
    <w:rsid w:val="00241C69"/>
    <w:rsid w:val="002468E8"/>
    <w:rsid w:val="00247BB5"/>
    <w:rsid w:val="00253EDD"/>
    <w:rsid w:val="00255191"/>
    <w:rsid w:val="00261272"/>
    <w:rsid w:val="00265190"/>
    <w:rsid w:val="00270AE5"/>
    <w:rsid w:val="00272A9D"/>
    <w:rsid w:val="00276EBE"/>
    <w:rsid w:val="002832A4"/>
    <w:rsid w:val="002877A8"/>
    <w:rsid w:val="00290820"/>
    <w:rsid w:val="002923A6"/>
    <w:rsid w:val="00294BDE"/>
    <w:rsid w:val="00294C19"/>
    <w:rsid w:val="002955AE"/>
    <w:rsid w:val="00295B12"/>
    <w:rsid w:val="002A0A19"/>
    <w:rsid w:val="002A1421"/>
    <w:rsid w:val="002A27A2"/>
    <w:rsid w:val="002A2950"/>
    <w:rsid w:val="002A78BE"/>
    <w:rsid w:val="002B4E65"/>
    <w:rsid w:val="002C24D0"/>
    <w:rsid w:val="002C79BA"/>
    <w:rsid w:val="002C7A14"/>
    <w:rsid w:val="002D078A"/>
    <w:rsid w:val="002D2A8E"/>
    <w:rsid w:val="002D3260"/>
    <w:rsid w:val="002D395F"/>
    <w:rsid w:val="002D4D56"/>
    <w:rsid w:val="002D6BC4"/>
    <w:rsid w:val="002D70C7"/>
    <w:rsid w:val="002E00C4"/>
    <w:rsid w:val="002E0E02"/>
    <w:rsid w:val="002E1B28"/>
    <w:rsid w:val="002E2520"/>
    <w:rsid w:val="002E367D"/>
    <w:rsid w:val="002E651E"/>
    <w:rsid w:val="002E6FC7"/>
    <w:rsid w:val="002F0A66"/>
    <w:rsid w:val="00301474"/>
    <w:rsid w:val="00303E04"/>
    <w:rsid w:val="003040A4"/>
    <w:rsid w:val="00305F8D"/>
    <w:rsid w:val="0030627F"/>
    <w:rsid w:val="00315D2D"/>
    <w:rsid w:val="00316855"/>
    <w:rsid w:val="00330EC9"/>
    <w:rsid w:val="00334545"/>
    <w:rsid w:val="003405EF"/>
    <w:rsid w:val="0034675B"/>
    <w:rsid w:val="00346804"/>
    <w:rsid w:val="00351B9B"/>
    <w:rsid w:val="003529B3"/>
    <w:rsid w:val="00353838"/>
    <w:rsid w:val="00357B6E"/>
    <w:rsid w:val="00362E11"/>
    <w:rsid w:val="00365C49"/>
    <w:rsid w:val="00366151"/>
    <w:rsid w:val="0036662A"/>
    <w:rsid w:val="00371EA9"/>
    <w:rsid w:val="00381BA8"/>
    <w:rsid w:val="00384DF3"/>
    <w:rsid w:val="003865B8"/>
    <w:rsid w:val="003938E8"/>
    <w:rsid w:val="0039445F"/>
    <w:rsid w:val="0039489E"/>
    <w:rsid w:val="003971CB"/>
    <w:rsid w:val="00397EF1"/>
    <w:rsid w:val="003A1AD9"/>
    <w:rsid w:val="003B0515"/>
    <w:rsid w:val="003B2FAE"/>
    <w:rsid w:val="003B3AAA"/>
    <w:rsid w:val="003B3D89"/>
    <w:rsid w:val="003C2EAC"/>
    <w:rsid w:val="003C55D2"/>
    <w:rsid w:val="003C576D"/>
    <w:rsid w:val="003C5A04"/>
    <w:rsid w:val="003D4115"/>
    <w:rsid w:val="003E076A"/>
    <w:rsid w:val="003E3904"/>
    <w:rsid w:val="003E4374"/>
    <w:rsid w:val="003E77A4"/>
    <w:rsid w:val="003F393E"/>
    <w:rsid w:val="003F3BEB"/>
    <w:rsid w:val="003F5676"/>
    <w:rsid w:val="003F64F6"/>
    <w:rsid w:val="003F6B85"/>
    <w:rsid w:val="00410025"/>
    <w:rsid w:val="00412F2C"/>
    <w:rsid w:val="004136A8"/>
    <w:rsid w:val="00414717"/>
    <w:rsid w:val="00416376"/>
    <w:rsid w:val="00417E1D"/>
    <w:rsid w:val="00422435"/>
    <w:rsid w:val="0042314C"/>
    <w:rsid w:val="00436C98"/>
    <w:rsid w:val="004378EE"/>
    <w:rsid w:val="00442D8F"/>
    <w:rsid w:val="00445316"/>
    <w:rsid w:val="00451686"/>
    <w:rsid w:val="00452AAF"/>
    <w:rsid w:val="00452FEB"/>
    <w:rsid w:val="00456646"/>
    <w:rsid w:val="00462A66"/>
    <w:rsid w:val="004636E2"/>
    <w:rsid w:val="0047017E"/>
    <w:rsid w:val="00474CF2"/>
    <w:rsid w:val="00475E13"/>
    <w:rsid w:val="004760B6"/>
    <w:rsid w:val="00477387"/>
    <w:rsid w:val="00482B56"/>
    <w:rsid w:val="004835F4"/>
    <w:rsid w:val="00483D2A"/>
    <w:rsid w:val="00487226"/>
    <w:rsid w:val="0049290E"/>
    <w:rsid w:val="004937A4"/>
    <w:rsid w:val="004A14B3"/>
    <w:rsid w:val="004A3732"/>
    <w:rsid w:val="004A5F41"/>
    <w:rsid w:val="004B0053"/>
    <w:rsid w:val="004B1150"/>
    <w:rsid w:val="004B6E9B"/>
    <w:rsid w:val="004C0E84"/>
    <w:rsid w:val="004C44BD"/>
    <w:rsid w:val="004C480F"/>
    <w:rsid w:val="004D0E9D"/>
    <w:rsid w:val="004D11D5"/>
    <w:rsid w:val="004D266D"/>
    <w:rsid w:val="004D2A6A"/>
    <w:rsid w:val="004D6E7F"/>
    <w:rsid w:val="004E6B69"/>
    <w:rsid w:val="004F52FC"/>
    <w:rsid w:val="004F78A6"/>
    <w:rsid w:val="005004F3"/>
    <w:rsid w:val="005010C7"/>
    <w:rsid w:val="00502F1D"/>
    <w:rsid w:val="0050324A"/>
    <w:rsid w:val="0050553F"/>
    <w:rsid w:val="00514FF5"/>
    <w:rsid w:val="005169F5"/>
    <w:rsid w:val="00517574"/>
    <w:rsid w:val="00521336"/>
    <w:rsid w:val="00533BEC"/>
    <w:rsid w:val="00535F6A"/>
    <w:rsid w:val="00543463"/>
    <w:rsid w:val="0054453C"/>
    <w:rsid w:val="00547C74"/>
    <w:rsid w:val="005516A5"/>
    <w:rsid w:val="005516DF"/>
    <w:rsid w:val="005533C2"/>
    <w:rsid w:val="005557FC"/>
    <w:rsid w:val="00555B83"/>
    <w:rsid w:val="00556FE0"/>
    <w:rsid w:val="00557306"/>
    <w:rsid w:val="005602C1"/>
    <w:rsid w:val="00561E76"/>
    <w:rsid w:val="00563864"/>
    <w:rsid w:val="005642C7"/>
    <w:rsid w:val="00566DA2"/>
    <w:rsid w:val="005705CA"/>
    <w:rsid w:val="00571253"/>
    <w:rsid w:val="0057351A"/>
    <w:rsid w:val="00581B51"/>
    <w:rsid w:val="0058636F"/>
    <w:rsid w:val="0058743C"/>
    <w:rsid w:val="00592F7B"/>
    <w:rsid w:val="0059363B"/>
    <w:rsid w:val="00593EE0"/>
    <w:rsid w:val="005940B7"/>
    <w:rsid w:val="00594A80"/>
    <w:rsid w:val="005B1293"/>
    <w:rsid w:val="005B129D"/>
    <w:rsid w:val="005B1875"/>
    <w:rsid w:val="005B38AF"/>
    <w:rsid w:val="005B79FB"/>
    <w:rsid w:val="005C2ACE"/>
    <w:rsid w:val="005C5B4A"/>
    <w:rsid w:val="005C5ECB"/>
    <w:rsid w:val="005C7FFC"/>
    <w:rsid w:val="005D4FBE"/>
    <w:rsid w:val="005D72CC"/>
    <w:rsid w:val="005E0604"/>
    <w:rsid w:val="005E2279"/>
    <w:rsid w:val="005E52C6"/>
    <w:rsid w:val="005F038F"/>
    <w:rsid w:val="005F0F88"/>
    <w:rsid w:val="005F59AB"/>
    <w:rsid w:val="005F767E"/>
    <w:rsid w:val="006002A7"/>
    <w:rsid w:val="00602AEA"/>
    <w:rsid w:val="006106A7"/>
    <w:rsid w:val="00617062"/>
    <w:rsid w:val="0062059E"/>
    <w:rsid w:val="006206E6"/>
    <w:rsid w:val="00620E66"/>
    <w:rsid w:val="00624704"/>
    <w:rsid w:val="0063119E"/>
    <w:rsid w:val="0063435F"/>
    <w:rsid w:val="00637D49"/>
    <w:rsid w:val="00645B82"/>
    <w:rsid w:val="00651DE0"/>
    <w:rsid w:val="006556B5"/>
    <w:rsid w:val="00661050"/>
    <w:rsid w:val="00664227"/>
    <w:rsid w:val="00665BE2"/>
    <w:rsid w:val="00666A1F"/>
    <w:rsid w:val="00677B1E"/>
    <w:rsid w:val="006811E8"/>
    <w:rsid w:val="006824CC"/>
    <w:rsid w:val="006835E7"/>
    <w:rsid w:val="00683B52"/>
    <w:rsid w:val="006851F8"/>
    <w:rsid w:val="0069348A"/>
    <w:rsid w:val="006934C5"/>
    <w:rsid w:val="006945CE"/>
    <w:rsid w:val="00695A99"/>
    <w:rsid w:val="006A149F"/>
    <w:rsid w:val="006A1B38"/>
    <w:rsid w:val="006A1E78"/>
    <w:rsid w:val="006A22E2"/>
    <w:rsid w:val="006A2B36"/>
    <w:rsid w:val="006A65EA"/>
    <w:rsid w:val="006B0D85"/>
    <w:rsid w:val="006B526A"/>
    <w:rsid w:val="006B75D2"/>
    <w:rsid w:val="006C0163"/>
    <w:rsid w:val="006D2133"/>
    <w:rsid w:val="006D6D52"/>
    <w:rsid w:val="006E15A0"/>
    <w:rsid w:val="006E16C9"/>
    <w:rsid w:val="006E7BB0"/>
    <w:rsid w:val="006F0CB2"/>
    <w:rsid w:val="006F271F"/>
    <w:rsid w:val="006F2C10"/>
    <w:rsid w:val="00703205"/>
    <w:rsid w:val="00705008"/>
    <w:rsid w:val="007053E6"/>
    <w:rsid w:val="007073B2"/>
    <w:rsid w:val="00707C95"/>
    <w:rsid w:val="00715DEF"/>
    <w:rsid w:val="0072623F"/>
    <w:rsid w:val="007352A0"/>
    <w:rsid w:val="007354C9"/>
    <w:rsid w:val="00737DF3"/>
    <w:rsid w:val="00741780"/>
    <w:rsid w:val="00741B87"/>
    <w:rsid w:val="00741C32"/>
    <w:rsid w:val="00742585"/>
    <w:rsid w:val="00743B16"/>
    <w:rsid w:val="00747BC9"/>
    <w:rsid w:val="007537EC"/>
    <w:rsid w:val="00754D22"/>
    <w:rsid w:val="0076014B"/>
    <w:rsid w:val="00761496"/>
    <w:rsid w:val="00764EE5"/>
    <w:rsid w:val="0077275B"/>
    <w:rsid w:val="00772DA1"/>
    <w:rsid w:val="007769FC"/>
    <w:rsid w:val="00785695"/>
    <w:rsid w:val="0079001A"/>
    <w:rsid w:val="00790707"/>
    <w:rsid w:val="00790D1B"/>
    <w:rsid w:val="00793335"/>
    <w:rsid w:val="00795195"/>
    <w:rsid w:val="00796D69"/>
    <w:rsid w:val="007A2343"/>
    <w:rsid w:val="007A4436"/>
    <w:rsid w:val="007A63E7"/>
    <w:rsid w:val="007A7ADC"/>
    <w:rsid w:val="007B3331"/>
    <w:rsid w:val="007B3E81"/>
    <w:rsid w:val="007C4A9C"/>
    <w:rsid w:val="007C6CA8"/>
    <w:rsid w:val="007D3038"/>
    <w:rsid w:val="007D6024"/>
    <w:rsid w:val="007D7925"/>
    <w:rsid w:val="007E0560"/>
    <w:rsid w:val="007E64B4"/>
    <w:rsid w:val="007E75D1"/>
    <w:rsid w:val="007F1BE0"/>
    <w:rsid w:val="007F3DB0"/>
    <w:rsid w:val="007F5143"/>
    <w:rsid w:val="007F541E"/>
    <w:rsid w:val="007F5F38"/>
    <w:rsid w:val="0080172F"/>
    <w:rsid w:val="0080217F"/>
    <w:rsid w:val="008039CE"/>
    <w:rsid w:val="008042B3"/>
    <w:rsid w:val="00807CA9"/>
    <w:rsid w:val="0081221C"/>
    <w:rsid w:val="00812573"/>
    <w:rsid w:val="008140B0"/>
    <w:rsid w:val="00814B1D"/>
    <w:rsid w:val="00817AE7"/>
    <w:rsid w:val="008214CA"/>
    <w:rsid w:val="00821EF1"/>
    <w:rsid w:val="0083325E"/>
    <w:rsid w:val="008351A1"/>
    <w:rsid w:val="008359DC"/>
    <w:rsid w:val="00840A60"/>
    <w:rsid w:val="008456B0"/>
    <w:rsid w:val="0085384B"/>
    <w:rsid w:val="00856800"/>
    <w:rsid w:val="00856EDA"/>
    <w:rsid w:val="008576A6"/>
    <w:rsid w:val="00857B76"/>
    <w:rsid w:val="008610F1"/>
    <w:rsid w:val="00861FC7"/>
    <w:rsid w:val="0086280A"/>
    <w:rsid w:val="00865C80"/>
    <w:rsid w:val="008663E3"/>
    <w:rsid w:val="00867B29"/>
    <w:rsid w:val="00870668"/>
    <w:rsid w:val="00873FAD"/>
    <w:rsid w:val="0087670F"/>
    <w:rsid w:val="00876EE9"/>
    <w:rsid w:val="008836F1"/>
    <w:rsid w:val="008856FA"/>
    <w:rsid w:val="00885C3D"/>
    <w:rsid w:val="00886B36"/>
    <w:rsid w:val="00892A86"/>
    <w:rsid w:val="00895B41"/>
    <w:rsid w:val="008A0B00"/>
    <w:rsid w:val="008A4E8E"/>
    <w:rsid w:val="008A53CB"/>
    <w:rsid w:val="008A740E"/>
    <w:rsid w:val="008B39EE"/>
    <w:rsid w:val="008B7C1A"/>
    <w:rsid w:val="008C053A"/>
    <w:rsid w:val="008C3DAE"/>
    <w:rsid w:val="008D50FF"/>
    <w:rsid w:val="008D5F38"/>
    <w:rsid w:val="008E3C68"/>
    <w:rsid w:val="008E5D00"/>
    <w:rsid w:val="008F38C3"/>
    <w:rsid w:val="008F5081"/>
    <w:rsid w:val="00902EFA"/>
    <w:rsid w:val="00905327"/>
    <w:rsid w:val="009121C5"/>
    <w:rsid w:val="00914036"/>
    <w:rsid w:val="00914A49"/>
    <w:rsid w:val="00917330"/>
    <w:rsid w:val="009258CB"/>
    <w:rsid w:val="00926630"/>
    <w:rsid w:val="00933886"/>
    <w:rsid w:val="00933947"/>
    <w:rsid w:val="00933D0F"/>
    <w:rsid w:val="0093453F"/>
    <w:rsid w:val="00944A3A"/>
    <w:rsid w:val="00946572"/>
    <w:rsid w:val="00947C9D"/>
    <w:rsid w:val="00954E9C"/>
    <w:rsid w:val="00954EEB"/>
    <w:rsid w:val="009561D7"/>
    <w:rsid w:val="00956C1E"/>
    <w:rsid w:val="0096018A"/>
    <w:rsid w:val="0096313B"/>
    <w:rsid w:val="00967DBF"/>
    <w:rsid w:val="0097341D"/>
    <w:rsid w:val="00977500"/>
    <w:rsid w:val="00977E00"/>
    <w:rsid w:val="0099223B"/>
    <w:rsid w:val="0099342A"/>
    <w:rsid w:val="009947A1"/>
    <w:rsid w:val="0099588E"/>
    <w:rsid w:val="00995F88"/>
    <w:rsid w:val="009979A0"/>
    <w:rsid w:val="009A06F9"/>
    <w:rsid w:val="009A2EE5"/>
    <w:rsid w:val="009A662F"/>
    <w:rsid w:val="009B1134"/>
    <w:rsid w:val="009B3957"/>
    <w:rsid w:val="009B4714"/>
    <w:rsid w:val="009B7C65"/>
    <w:rsid w:val="009C06E5"/>
    <w:rsid w:val="009C60EA"/>
    <w:rsid w:val="009D3B8E"/>
    <w:rsid w:val="009D3BAD"/>
    <w:rsid w:val="009D6372"/>
    <w:rsid w:val="009D67B6"/>
    <w:rsid w:val="009E1857"/>
    <w:rsid w:val="009E254C"/>
    <w:rsid w:val="009E5E60"/>
    <w:rsid w:val="009E698A"/>
    <w:rsid w:val="009E69E2"/>
    <w:rsid w:val="009E6A00"/>
    <w:rsid w:val="009E79C6"/>
    <w:rsid w:val="009F6197"/>
    <w:rsid w:val="00A00DB1"/>
    <w:rsid w:val="00A07009"/>
    <w:rsid w:val="00A07014"/>
    <w:rsid w:val="00A12165"/>
    <w:rsid w:val="00A164FB"/>
    <w:rsid w:val="00A170E4"/>
    <w:rsid w:val="00A24DB0"/>
    <w:rsid w:val="00A2721F"/>
    <w:rsid w:val="00A348B9"/>
    <w:rsid w:val="00A35603"/>
    <w:rsid w:val="00A4128B"/>
    <w:rsid w:val="00A42248"/>
    <w:rsid w:val="00A42EC4"/>
    <w:rsid w:val="00A4316D"/>
    <w:rsid w:val="00A4566D"/>
    <w:rsid w:val="00A45C57"/>
    <w:rsid w:val="00A47552"/>
    <w:rsid w:val="00A47E71"/>
    <w:rsid w:val="00A51287"/>
    <w:rsid w:val="00A52C00"/>
    <w:rsid w:val="00A53613"/>
    <w:rsid w:val="00A53F95"/>
    <w:rsid w:val="00A54BBD"/>
    <w:rsid w:val="00A56E30"/>
    <w:rsid w:val="00A6059E"/>
    <w:rsid w:val="00A60FC1"/>
    <w:rsid w:val="00A62BCC"/>
    <w:rsid w:val="00A64C78"/>
    <w:rsid w:val="00A65400"/>
    <w:rsid w:val="00A6632E"/>
    <w:rsid w:val="00A663A8"/>
    <w:rsid w:val="00A80ADA"/>
    <w:rsid w:val="00A845D7"/>
    <w:rsid w:val="00A86628"/>
    <w:rsid w:val="00A900D4"/>
    <w:rsid w:val="00A91F0C"/>
    <w:rsid w:val="00A93766"/>
    <w:rsid w:val="00A94DA6"/>
    <w:rsid w:val="00A94EEF"/>
    <w:rsid w:val="00A95849"/>
    <w:rsid w:val="00AA2430"/>
    <w:rsid w:val="00AA2C2B"/>
    <w:rsid w:val="00AA363A"/>
    <w:rsid w:val="00AB256C"/>
    <w:rsid w:val="00AB33C9"/>
    <w:rsid w:val="00AB4006"/>
    <w:rsid w:val="00AB5841"/>
    <w:rsid w:val="00AB79AD"/>
    <w:rsid w:val="00AC06CA"/>
    <w:rsid w:val="00AC10F2"/>
    <w:rsid w:val="00AC1C4B"/>
    <w:rsid w:val="00AC1F2E"/>
    <w:rsid w:val="00AC415F"/>
    <w:rsid w:val="00AC4B6C"/>
    <w:rsid w:val="00AD28B3"/>
    <w:rsid w:val="00AD49C6"/>
    <w:rsid w:val="00AD4ED6"/>
    <w:rsid w:val="00AD5789"/>
    <w:rsid w:val="00AD6812"/>
    <w:rsid w:val="00AE7B27"/>
    <w:rsid w:val="00AF0A0D"/>
    <w:rsid w:val="00AF0B9F"/>
    <w:rsid w:val="00AF174D"/>
    <w:rsid w:val="00AF1BBD"/>
    <w:rsid w:val="00AF25D0"/>
    <w:rsid w:val="00AF2A89"/>
    <w:rsid w:val="00AF357F"/>
    <w:rsid w:val="00AF57E0"/>
    <w:rsid w:val="00AF7147"/>
    <w:rsid w:val="00AF74BF"/>
    <w:rsid w:val="00B03BC8"/>
    <w:rsid w:val="00B0458D"/>
    <w:rsid w:val="00B0591B"/>
    <w:rsid w:val="00B06DF8"/>
    <w:rsid w:val="00B11E27"/>
    <w:rsid w:val="00B14AA0"/>
    <w:rsid w:val="00B14C93"/>
    <w:rsid w:val="00B25B79"/>
    <w:rsid w:val="00B26628"/>
    <w:rsid w:val="00B35371"/>
    <w:rsid w:val="00B45A78"/>
    <w:rsid w:val="00B46548"/>
    <w:rsid w:val="00B47348"/>
    <w:rsid w:val="00B51BB9"/>
    <w:rsid w:val="00B541E3"/>
    <w:rsid w:val="00B5628E"/>
    <w:rsid w:val="00B5727E"/>
    <w:rsid w:val="00B7236A"/>
    <w:rsid w:val="00B73208"/>
    <w:rsid w:val="00B7378D"/>
    <w:rsid w:val="00B75709"/>
    <w:rsid w:val="00B76607"/>
    <w:rsid w:val="00B80E49"/>
    <w:rsid w:val="00B83BA3"/>
    <w:rsid w:val="00B925E9"/>
    <w:rsid w:val="00B92A6D"/>
    <w:rsid w:val="00B943AD"/>
    <w:rsid w:val="00B94E94"/>
    <w:rsid w:val="00B9676C"/>
    <w:rsid w:val="00BA38B8"/>
    <w:rsid w:val="00BA3F54"/>
    <w:rsid w:val="00BA4BE8"/>
    <w:rsid w:val="00BA5D6C"/>
    <w:rsid w:val="00BA6A66"/>
    <w:rsid w:val="00BB08AB"/>
    <w:rsid w:val="00BB0E2C"/>
    <w:rsid w:val="00BB138B"/>
    <w:rsid w:val="00BB181F"/>
    <w:rsid w:val="00BB1D53"/>
    <w:rsid w:val="00BB775F"/>
    <w:rsid w:val="00BC181E"/>
    <w:rsid w:val="00BC20DB"/>
    <w:rsid w:val="00BC5BDA"/>
    <w:rsid w:val="00BC672A"/>
    <w:rsid w:val="00BC6905"/>
    <w:rsid w:val="00BD17AE"/>
    <w:rsid w:val="00BD5BCB"/>
    <w:rsid w:val="00BD66DD"/>
    <w:rsid w:val="00BD70FE"/>
    <w:rsid w:val="00BD7C3D"/>
    <w:rsid w:val="00BE1E8F"/>
    <w:rsid w:val="00BE4CC0"/>
    <w:rsid w:val="00BE562F"/>
    <w:rsid w:val="00BE6468"/>
    <w:rsid w:val="00BE6CC1"/>
    <w:rsid w:val="00BF0C31"/>
    <w:rsid w:val="00BF587A"/>
    <w:rsid w:val="00BF5E9A"/>
    <w:rsid w:val="00BF649C"/>
    <w:rsid w:val="00C00BC2"/>
    <w:rsid w:val="00C06E95"/>
    <w:rsid w:val="00C113E8"/>
    <w:rsid w:val="00C129A3"/>
    <w:rsid w:val="00C2177C"/>
    <w:rsid w:val="00C25B44"/>
    <w:rsid w:val="00C2754E"/>
    <w:rsid w:val="00C27CDD"/>
    <w:rsid w:val="00C30454"/>
    <w:rsid w:val="00C3317D"/>
    <w:rsid w:val="00C33E49"/>
    <w:rsid w:val="00C35591"/>
    <w:rsid w:val="00C417F4"/>
    <w:rsid w:val="00C41BD5"/>
    <w:rsid w:val="00C41EDB"/>
    <w:rsid w:val="00C426AE"/>
    <w:rsid w:val="00C45FD2"/>
    <w:rsid w:val="00C52D58"/>
    <w:rsid w:val="00C535B1"/>
    <w:rsid w:val="00C55EB2"/>
    <w:rsid w:val="00C5662A"/>
    <w:rsid w:val="00C56E7F"/>
    <w:rsid w:val="00C6260A"/>
    <w:rsid w:val="00C64361"/>
    <w:rsid w:val="00C70209"/>
    <w:rsid w:val="00C7184F"/>
    <w:rsid w:val="00C75B47"/>
    <w:rsid w:val="00C82F8B"/>
    <w:rsid w:val="00C85E4F"/>
    <w:rsid w:val="00C916C8"/>
    <w:rsid w:val="00C94354"/>
    <w:rsid w:val="00C94B40"/>
    <w:rsid w:val="00C96CED"/>
    <w:rsid w:val="00C97E60"/>
    <w:rsid w:val="00CA067F"/>
    <w:rsid w:val="00CA0DA6"/>
    <w:rsid w:val="00CA2E85"/>
    <w:rsid w:val="00CA3C84"/>
    <w:rsid w:val="00CA425B"/>
    <w:rsid w:val="00CA6AE7"/>
    <w:rsid w:val="00CB084D"/>
    <w:rsid w:val="00CB25D0"/>
    <w:rsid w:val="00CB2790"/>
    <w:rsid w:val="00CB505F"/>
    <w:rsid w:val="00CC4471"/>
    <w:rsid w:val="00CC4786"/>
    <w:rsid w:val="00CD017F"/>
    <w:rsid w:val="00CD4207"/>
    <w:rsid w:val="00CE53AB"/>
    <w:rsid w:val="00CE55F7"/>
    <w:rsid w:val="00CF2C5D"/>
    <w:rsid w:val="00CF3F2D"/>
    <w:rsid w:val="00CF43CA"/>
    <w:rsid w:val="00CF7C87"/>
    <w:rsid w:val="00D13012"/>
    <w:rsid w:val="00D311D0"/>
    <w:rsid w:val="00D322BA"/>
    <w:rsid w:val="00D3587C"/>
    <w:rsid w:val="00D35F85"/>
    <w:rsid w:val="00D36DCF"/>
    <w:rsid w:val="00D4370C"/>
    <w:rsid w:val="00D445DD"/>
    <w:rsid w:val="00D548C8"/>
    <w:rsid w:val="00D54ED4"/>
    <w:rsid w:val="00D60868"/>
    <w:rsid w:val="00D62021"/>
    <w:rsid w:val="00D62630"/>
    <w:rsid w:val="00D647B8"/>
    <w:rsid w:val="00D64D43"/>
    <w:rsid w:val="00D6625E"/>
    <w:rsid w:val="00D66763"/>
    <w:rsid w:val="00D7489E"/>
    <w:rsid w:val="00D76379"/>
    <w:rsid w:val="00D76626"/>
    <w:rsid w:val="00D77B76"/>
    <w:rsid w:val="00D90A87"/>
    <w:rsid w:val="00D9447A"/>
    <w:rsid w:val="00D9457C"/>
    <w:rsid w:val="00D97195"/>
    <w:rsid w:val="00DA09EA"/>
    <w:rsid w:val="00DA4622"/>
    <w:rsid w:val="00DA6CF4"/>
    <w:rsid w:val="00DB3586"/>
    <w:rsid w:val="00DB52DD"/>
    <w:rsid w:val="00DC43DA"/>
    <w:rsid w:val="00DC5385"/>
    <w:rsid w:val="00DC591B"/>
    <w:rsid w:val="00DC7728"/>
    <w:rsid w:val="00DC7AB7"/>
    <w:rsid w:val="00DD1A19"/>
    <w:rsid w:val="00DE0EB0"/>
    <w:rsid w:val="00DE1BD0"/>
    <w:rsid w:val="00DE5B71"/>
    <w:rsid w:val="00DE693B"/>
    <w:rsid w:val="00DF06C8"/>
    <w:rsid w:val="00DF6913"/>
    <w:rsid w:val="00E07503"/>
    <w:rsid w:val="00E11801"/>
    <w:rsid w:val="00E15CA2"/>
    <w:rsid w:val="00E16938"/>
    <w:rsid w:val="00E21152"/>
    <w:rsid w:val="00E21E7F"/>
    <w:rsid w:val="00E24E58"/>
    <w:rsid w:val="00E256AB"/>
    <w:rsid w:val="00E307F8"/>
    <w:rsid w:val="00E314FC"/>
    <w:rsid w:val="00E365AD"/>
    <w:rsid w:val="00E4046D"/>
    <w:rsid w:val="00E431EE"/>
    <w:rsid w:val="00E47926"/>
    <w:rsid w:val="00E47F8A"/>
    <w:rsid w:val="00E504BB"/>
    <w:rsid w:val="00E53DCA"/>
    <w:rsid w:val="00E6227B"/>
    <w:rsid w:val="00E6399A"/>
    <w:rsid w:val="00E71844"/>
    <w:rsid w:val="00E72CB2"/>
    <w:rsid w:val="00E74302"/>
    <w:rsid w:val="00E774C3"/>
    <w:rsid w:val="00E7755F"/>
    <w:rsid w:val="00E82AFD"/>
    <w:rsid w:val="00E8305E"/>
    <w:rsid w:val="00E9404B"/>
    <w:rsid w:val="00E95B1A"/>
    <w:rsid w:val="00E962B2"/>
    <w:rsid w:val="00E96AB2"/>
    <w:rsid w:val="00EA6A28"/>
    <w:rsid w:val="00EB2039"/>
    <w:rsid w:val="00EB3699"/>
    <w:rsid w:val="00EB7C9E"/>
    <w:rsid w:val="00EC036E"/>
    <w:rsid w:val="00EC0828"/>
    <w:rsid w:val="00EC221A"/>
    <w:rsid w:val="00EC4C75"/>
    <w:rsid w:val="00EC6B07"/>
    <w:rsid w:val="00ED0731"/>
    <w:rsid w:val="00ED1754"/>
    <w:rsid w:val="00ED6C02"/>
    <w:rsid w:val="00EF0A83"/>
    <w:rsid w:val="00EF20C6"/>
    <w:rsid w:val="00EF404C"/>
    <w:rsid w:val="00EF495D"/>
    <w:rsid w:val="00EF5D3D"/>
    <w:rsid w:val="00F004EA"/>
    <w:rsid w:val="00F04EE4"/>
    <w:rsid w:val="00F0701D"/>
    <w:rsid w:val="00F11A9B"/>
    <w:rsid w:val="00F11E26"/>
    <w:rsid w:val="00F16535"/>
    <w:rsid w:val="00F16636"/>
    <w:rsid w:val="00F17A0F"/>
    <w:rsid w:val="00F17B22"/>
    <w:rsid w:val="00F22C6D"/>
    <w:rsid w:val="00F25FE4"/>
    <w:rsid w:val="00F37B62"/>
    <w:rsid w:val="00F37C6B"/>
    <w:rsid w:val="00F43484"/>
    <w:rsid w:val="00F43952"/>
    <w:rsid w:val="00F449CA"/>
    <w:rsid w:val="00F45F44"/>
    <w:rsid w:val="00F46B15"/>
    <w:rsid w:val="00F56078"/>
    <w:rsid w:val="00F57C5D"/>
    <w:rsid w:val="00F605D7"/>
    <w:rsid w:val="00F7485C"/>
    <w:rsid w:val="00F74AD4"/>
    <w:rsid w:val="00F76F5D"/>
    <w:rsid w:val="00F7759E"/>
    <w:rsid w:val="00F808FD"/>
    <w:rsid w:val="00F811F5"/>
    <w:rsid w:val="00F8394C"/>
    <w:rsid w:val="00F84553"/>
    <w:rsid w:val="00F9039D"/>
    <w:rsid w:val="00F91271"/>
    <w:rsid w:val="00F916E6"/>
    <w:rsid w:val="00F91B30"/>
    <w:rsid w:val="00F93FA6"/>
    <w:rsid w:val="00FA1956"/>
    <w:rsid w:val="00FA1C73"/>
    <w:rsid w:val="00FA2FE9"/>
    <w:rsid w:val="00FB302F"/>
    <w:rsid w:val="00FB429A"/>
    <w:rsid w:val="00FB4E8E"/>
    <w:rsid w:val="00FB5F99"/>
    <w:rsid w:val="00FC2A20"/>
    <w:rsid w:val="00FC2CCA"/>
    <w:rsid w:val="00FC38A9"/>
    <w:rsid w:val="00FC3DDE"/>
    <w:rsid w:val="00FD0E2F"/>
    <w:rsid w:val="00FD0EAB"/>
    <w:rsid w:val="00FD4A85"/>
    <w:rsid w:val="00FD4C1F"/>
    <w:rsid w:val="00FE2A36"/>
    <w:rsid w:val="00FE4394"/>
    <w:rsid w:val="00FE4B53"/>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1134"/>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C00BC2"/>
    <w:rPr>
      <w:color w:val="0000FF" w:themeColor="hyperlink"/>
      <w:u w:val="single"/>
    </w:rPr>
  </w:style>
  <w:style w:type="character" w:styleId="UnresolvedMention">
    <w:name w:val="Unresolved Mention"/>
    <w:basedOn w:val="DefaultParagraphFont"/>
    <w:uiPriority w:val="99"/>
    <w:semiHidden/>
    <w:unhideWhenUsed/>
    <w:rsid w:val="00C00BC2"/>
    <w:rPr>
      <w:color w:val="605E5C"/>
      <w:shd w:val="clear" w:color="auto" w:fill="E1DFDD"/>
    </w:rPr>
  </w:style>
  <w:style w:type="character" w:styleId="CommentReference">
    <w:name w:val="annotation reference"/>
    <w:basedOn w:val="DefaultParagraphFont"/>
    <w:uiPriority w:val="99"/>
    <w:semiHidden/>
    <w:unhideWhenUsed/>
    <w:rsid w:val="001004F6"/>
    <w:rPr>
      <w:sz w:val="16"/>
      <w:szCs w:val="16"/>
    </w:rPr>
  </w:style>
  <w:style w:type="paragraph" w:styleId="CommentText">
    <w:name w:val="annotation text"/>
    <w:basedOn w:val="Normal"/>
    <w:link w:val="CommentTextChar"/>
    <w:uiPriority w:val="99"/>
    <w:semiHidden/>
    <w:unhideWhenUsed/>
    <w:rsid w:val="001004F6"/>
    <w:rPr>
      <w:sz w:val="20"/>
    </w:rPr>
  </w:style>
  <w:style w:type="character" w:customStyle="1" w:styleId="CommentTextChar">
    <w:name w:val="Comment Text Char"/>
    <w:basedOn w:val="DefaultParagraphFont"/>
    <w:link w:val="CommentText"/>
    <w:uiPriority w:val="99"/>
    <w:semiHidden/>
    <w:rsid w:val="001004F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004F6"/>
    <w:rPr>
      <w:b/>
      <w:bCs/>
    </w:rPr>
  </w:style>
  <w:style w:type="character" w:customStyle="1" w:styleId="CommentSubjectChar">
    <w:name w:val="Comment Subject Char"/>
    <w:basedOn w:val="CommentTextChar"/>
    <w:link w:val="CommentSubject"/>
    <w:uiPriority w:val="99"/>
    <w:semiHidden/>
    <w:rsid w:val="001004F6"/>
    <w:rPr>
      <w:rFonts w:eastAsia="Times New Roman"/>
      <w:b/>
      <w:bCs/>
      <w:sz w:val="20"/>
      <w:szCs w:val="20"/>
      <w:lang w:eastAsia="lt-LT"/>
    </w:rPr>
  </w:style>
  <w:style w:type="character" w:customStyle="1" w:styleId="dlxnowrap1">
    <w:name w:val="dlxnowrap1"/>
    <w:basedOn w:val="DefaultParagraphFont"/>
    <w:rsid w:val="00045E24"/>
  </w:style>
  <w:style w:type="paragraph" w:customStyle="1" w:styleId="xmsonormal">
    <w:name w:val="x_msonormal"/>
    <w:basedOn w:val="Normal"/>
    <w:rsid w:val="00027670"/>
    <w:rPr>
      <w:rFonts w:ascii="Calibri" w:eastAsiaTheme="minorHAnsi" w:hAnsi="Calibri" w:cs="Calibri"/>
      <w:sz w:val="22"/>
      <w:szCs w:val="22"/>
    </w:rPr>
  </w:style>
  <w:style w:type="paragraph" w:styleId="PlainText">
    <w:name w:val="Plain Text"/>
    <w:basedOn w:val="Normal"/>
    <w:link w:val="PlainTextChar"/>
    <w:uiPriority w:val="99"/>
    <w:unhideWhenUsed/>
    <w:rsid w:val="00D90A87"/>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D90A87"/>
    <w:rPr>
      <w:rFonts w:ascii="Calibri" w:hAnsi="Calibri" w:cs="Calibri"/>
      <w:sz w:val="22"/>
      <w:lang w:eastAsia="lt-LT"/>
    </w:rPr>
  </w:style>
  <w:style w:type="character" w:styleId="Emphasis">
    <w:name w:val="Emphasis"/>
    <w:basedOn w:val="DefaultParagraphFont"/>
    <w:uiPriority w:val="20"/>
    <w:qFormat/>
    <w:rsid w:val="00D90A87"/>
    <w:rPr>
      <w:i/>
      <w:iCs/>
    </w:rPr>
  </w:style>
  <w:style w:type="character" w:styleId="FollowedHyperlink">
    <w:name w:val="FollowedHyperlink"/>
    <w:basedOn w:val="DefaultParagraphFont"/>
    <w:uiPriority w:val="99"/>
    <w:semiHidden/>
    <w:unhideWhenUsed/>
    <w:rsid w:val="00681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229460416">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86802474">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57029186">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167089770">
      <w:bodyDiv w:val="1"/>
      <w:marLeft w:val="0"/>
      <w:marRight w:val="0"/>
      <w:marTop w:val="0"/>
      <w:marBottom w:val="0"/>
      <w:divBdr>
        <w:top w:val="none" w:sz="0" w:space="0" w:color="auto"/>
        <w:left w:val="none" w:sz="0" w:space="0" w:color="auto"/>
        <w:bottom w:val="none" w:sz="0" w:space="0" w:color="auto"/>
        <w:right w:val="none" w:sz="0" w:space="0" w:color="auto"/>
      </w:divBdr>
      <w:divsChild>
        <w:div w:id="619915699">
          <w:marLeft w:val="0"/>
          <w:marRight w:val="0"/>
          <w:marTop w:val="0"/>
          <w:marBottom w:val="0"/>
          <w:divBdr>
            <w:top w:val="none" w:sz="0" w:space="0" w:color="auto"/>
            <w:left w:val="none" w:sz="0" w:space="0" w:color="auto"/>
            <w:bottom w:val="none" w:sz="0" w:space="0" w:color="auto"/>
            <w:right w:val="none" w:sz="0" w:space="0" w:color="auto"/>
          </w:divBdr>
          <w:divsChild>
            <w:div w:id="1876307464">
              <w:marLeft w:val="0"/>
              <w:marRight w:val="0"/>
              <w:marTop w:val="0"/>
              <w:marBottom w:val="0"/>
              <w:divBdr>
                <w:top w:val="none" w:sz="0" w:space="0" w:color="auto"/>
                <w:left w:val="none" w:sz="0" w:space="0" w:color="auto"/>
                <w:bottom w:val="none" w:sz="0" w:space="0" w:color="auto"/>
                <w:right w:val="none" w:sz="0" w:space="0" w:color="auto"/>
              </w:divBdr>
              <w:divsChild>
                <w:div w:id="176160821">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473522394">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765688868">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076853117">
      <w:bodyDiv w:val="1"/>
      <w:marLeft w:val="0"/>
      <w:marRight w:val="0"/>
      <w:marTop w:val="0"/>
      <w:marBottom w:val="0"/>
      <w:divBdr>
        <w:top w:val="none" w:sz="0" w:space="0" w:color="auto"/>
        <w:left w:val="none" w:sz="0" w:space="0" w:color="auto"/>
        <w:bottom w:val="none" w:sz="0" w:space="0" w:color="auto"/>
        <w:right w:val="none" w:sz="0" w:space="0" w:color="auto"/>
      </w:divBdr>
    </w:div>
    <w:div w:id="2102529908">
      <w:bodyDiv w:val="1"/>
      <w:marLeft w:val="0"/>
      <w:marRight w:val="0"/>
      <w:marTop w:val="0"/>
      <w:marBottom w:val="0"/>
      <w:divBdr>
        <w:top w:val="none" w:sz="0" w:space="0" w:color="auto"/>
        <w:left w:val="none" w:sz="0" w:space="0" w:color="auto"/>
        <w:bottom w:val="none" w:sz="0" w:space="0" w:color="auto"/>
        <w:right w:val="none" w:sz="0" w:space="0" w:color="auto"/>
      </w:divBdr>
    </w:div>
    <w:div w:id="2121336571">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8F8DF75A-D991-485C-9DAC-75483ED8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6770</Words>
  <Characters>3860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Ineta Blakunovaite</cp:lastModifiedBy>
  <cp:revision>9</cp:revision>
  <cp:lastPrinted>2020-01-20T13:09:00Z</cp:lastPrinted>
  <dcterms:created xsi:type="dcterms:W3CDTF">2020-03-17T11:03:00Z</dcterms:created>
  <dcterms:modified xsi:type="dcterms:W3CDTF">2020-03-18T13:23:00Z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