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C4D" w:rsidRPr="00821C4D" w:rsidRDefault="00821C4D" w:rsidP="00821C4D">
      <w:pPr>
        <w:ind w:left="4820"/>
        <w:jc w:val="right"/>
        <w:rPr>
          <w:b/>
        </w:rPr>
      </w:pPr>
      <w:r>
        <w:rPr>
          <w:b/>
        </w:rPr>
        <w:t>Projektas</w:t>
      </w:r>
    </w:p>
    <w:p w:rsidR="00821C4D" w:rsidRDefault="00821C4D">
      <w:pPr>
        <w:ind w:left="4820"/>
      </w:pPr>
    </w:p>
    <w:p w:rsidR="00362019" w:rsidRDefault="008920BD">
      <w:pPr>
        <w:ind w:left="4820"/>
      </w:pPr>
      <w:r>
        <w:t>PATVIRTINTA</w:t>
      </w:r>
    </w:p>
    <w:p w:rsidR="00362019" w:rsidRDefault="008920BD">
      <w:pPr>
        <w:ind w:left="4820"/>
      </w:pPr>
      <w:r>
        <w:t xml:space="preserve">Lietuvos Respublikos švietimo, mokslo ir </w:t>
      </w:r>
    </w:p>
    <w:p w:rsidR="00362019" w:rsidRDefault="008920BD">
      <w:pPr>
        <w:ind w:left="4820"/>
      </w:pPr>
      <w:r>
        <w:t>sporto ministro</w:t>
      </w:r>
    </w:p>
    <w:p w:rsidR="00362019" w:rsidRDefault="009D764E" w:rsidP="009D764E">
      <w:pPr>
        <w:ind w:left="4820"/>
      </w:pPr>
      <w:r>
        <w:t xml:space="preserve">2020 m.                     </w:t>
      </w:r>
      <w:r w:rsidR="008920BD">
        <w:t xml:space="preserve"> d. įsakymu Nr. V-558</w:t>
      </w:r>
    </w:p>
    <w:p w:rsidR="00362019" w:rsidRDefault="00362019">
      <w:pPr>
        <w:jc w:val="center"/>
        <w:rPr>
          <w:b/>
        </w:rPr>
      </w:pPr>
    </w:p>
    <w:p w:rsidR="00362019" w:rsidRDefault="008920BD">
      <w:pPr>
        <w:jc w:val="center"/>
        <w:rPr>
          <w:b/>
          <w:szCs w:val="24"/>
        </w:rPr>
      </w:pPr>
      <w:r>
        <w:rPr>
          <w:b/>
          <w:kern w:val="16"/>
        </w:rPr>
        <w:t>2014–2020 METŲ EUROPOS SĄJUNGOS FONDŲ INVESTICIJŲ VEIKSMŲ PROGRAMOS</w:t>
      </w:r>
      <w:r>
        <w:rPr>
          <w:b/>
        </w:rPr>
        <w:t xml:space="preserve"> 1 PRIORITETO „MOKSLINIŲ TYRIMŲ, EKSPERIMENTINĖS PLĖTROS IR INOVACIJŲ SKATINIMAS“ 01.2.2-CPVA-K-703 PRIEMONĖS „KOMPETENCIJOS CENTRŲ IR INOVACIJŲ IR TECHNOLOGIJŲ PERDAVIMO CENTRŲ VEIKLOS SKATINIMAS“ PROJEKTŲ FINANSAVIMO SĄLYGŲ APRAŠAS NR. 4</w:t>
      </w:r>
    </w:p>
    <w:p w:rsidR="00362019" w:rsidRDefault="00362019">
      <w:pPr>
        <w:jc w:val="both"/>
        <w:rPr>
          <w:i/>
          <w:szCs w:val="24"/>
        </w:rPr>
      </w:pPr>
    </w:p>
    <w:p w:rsidR="00362019" w:rsidRDefault="008920BD">
      <w:pPr>
        <w:jc w:val="center"/>
        <w:rPr>
          <w:b/>
          <w:szCs w:val="24"/>
        </w:rPr>
      </w:pPr>
      <w:r>
        <w:rPr>
          <w:b/>
          <w:szCs w:val="24"/>
        </w:rPr>
        <w:t>I SKYRIUS</w:t>
      </w:r>
    </w:p>
    <w:p w:rsidR="00362019" w:rsidRDefault="008920BD">
      <w:pPr>
        <w:jc w:val="center"/>
        <w:rPr>
          <w:b/>
          <w:szCs w:val="24"/>
        </w:rPr>
      </w:pPr>
      <w:r>
        <w:rPr>
          <w:b/>
          <w:szCs w:val="24"/>
        </w:rPr>
        <w:t>BENDROSIOS NUOSTATOS</w:t>
      </w:r>
    </w:p>
    <w:p w:rsidR="00362019" w:rsidRDefault="00362019"/>
    <w:p w:rsidR="00362019" w:rsidRDefault="008920BD">
      <w:pPr>
        <w:ind w:firstLine="709"/>
        <w:jc w:val="both"/>
        <w:rPr>
          <w:b/>
        </w:rPr>
      </w:pPr>
      <w:r>
        <w:t>1. 2014–2020 metų Europos Sąjungos fondų investicijų veiksmų programos 1 prioriteto „Mokslinių tyrimų, eksperimentinės plėtros ir inovacijų skatinimas“ 01.2.2-CPVA-K-703 priemonės „Kompetencijos centrų ir inovacijų ir technologijų perdavimo centrų veiklos skatinimas“ projektų finansavimo sąlygų aprašas Nr. 4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su paskutiniais pakeitimais, padarytais 2018 m. rugsėjo 24 d. Europos Komisijos įgyvendinimo sprendimu (apie nurodytą sprendimą Europos Komisija pranešė dokumentu Nr. C(2018)6019) (toliau – Veiksmų programa), 1 prioriteto „Mokslinių tyrimų, eksperimentinės plėtros ir inovacijų</w:t>
      </w:r>
      <w:r w:rsidR="001446CD">
        <w:t xml:space="preserve"> skatinimas“ 01.2.2-CPVA-K-703 </w:t>
      </w:r>
      <w:r>
        <w:t>priemonės „Kompetencijos centrų ir inovacijų ir technologijų perdavimo centrų veiklos skatinimas“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w:t>
      </w:r>
    </w:p>
    <w:p w:rsidR="00362019" w:rsidRDefault="008920BD">
      <w:pPr>
        <w:ind w:firstLine="709"/>
        <w:jc w:val="both"/>
      </w:pPr>
      <w:r>
        <w:t>2. Aprašas yra parengtas atsižvelgiant į:</w:t>
      </w:r>
    </w:p>
    <w:p w:rsidR="00362019" w:rsidRDefault="008920BD">
      <w:pPr>
        <w:ind w:firstLine="709"/>
        <w:jc w:val="both"/>
      </w:pPr>
      <w:r>
        <w:t>2.1. 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rsidR="00362019" w:rsidRDefault="008920BD">
      <w:pPr>
        <w:ind w:firstLine="709"/>
        <w:jc w:val="both"/>
      </w:pPr>
      <w:r>
        <w:t>2.2. Projektų administravimo ir finansavimo taisykles, patvirtintas Lietuvos Respublikos finansų ministro 2014 m. spalio 8 d. įsakymu Nr. 1K-316 „Dėl Projektų administravimo ir finansavimo taisyklių patvirtinimo“ (toliau – Projektų taisyklės);</w:t>
      </w:r>
    </w:p>
    <w:p w:rsidR="00362019" w:rsidRDefault="008920BD">
      <w:pPr>
        <w:ind w:firstLine="709"/>
        <w:jc w:val="both"/>
      </w:pPr>
      <w:r>
        <w:t>2.3. 2014 m. birželio 17 d. Komisijos reglamentą (ES) Nr. 651/2014, kuriuo tam tikrų kategorijų pagalba skelbiama suderinama su vidaus rinka taikant Sutarties 107 ir 108 straipsnius (OL 2014 L 187, p. 1-78) (toliau – Reglamentas Nr. 651/2014);</w:t>
      </w:r>
    </w:p>
    <w:p w:rsidR="00362019" w:rsidRDefault="008920BD">
      <w:pPr>
        <w:ind w:firstLine="709"/>
        <w:jc w:val="both"/>
      </w:pPr>
      <w:r>
        <w:lastRenderedPageBreak/>
        <w:t>2.4. 2014 m. birželio 27 d. Europos Komisijos komunikatą Nr. 2014/C 198/01 „Valstybės pagalbos moksliniams tyrimams, technologinei plėtrai ir inovacijoms sistema“ (toliau – Komunikatas);</w:t>
      </w:r>
    </w:p>
    <w:p w:rsidR="00362019" w:rsidRDefault="008920BD">
      <w:pPr>
        <w:ind w:firstLine="709"/>
        <w:jc w:val="both"/>
      </w:pPr>
      <w: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362019" w:rsidRDefault="008920BD">
      <w:pPr>
        <w:ind w:firstLine="709"/>
        <w:jc w:val="both"/>
      </w:pPr>
      <w:r>
        <w:rPr>
          <w:lang w:eastAsia="lt-LT"/>
        </w:rPr>
        <w:t xml:space="preserve">2.6. Rekomendacijas dėl projektų išlaidų atitikties Europos Sąjungos struktūrinių fondų reikalavimams, </w:t>
      </w:r>
      <w:r>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lang w:eastAsia="lt-LT"/>
        </w:rPr>
        <w:t xml:space="preserve"> paskelbtas </w:t>
      </w:r>
      <w:r>
        <w:t xml:space="preserve">ES struktūrinių fondų </w:t>
      </w:r>
      <w:r>
        <w:rPr>
          <w:lang w:eastAsia="lt-LT"/>
        </w:rPr>
        <w:t xml:space="preserve">svetainėje </w:t>
      </w:r>
      <w:r>
        <w:rPr>
          <w:color w:val="000000"/>
          <w:lang w:eastAsia="lt-LT"/>
        </w:rPr>
        <w:t xml:space="preserve">www.esinvesticijos.lt (toliau – </w:t>
      </w:r>
      <w:r>
        <w:rPr>
          <w:lang w:eastAsia="lt-LT"/>
        </w:rPr>
        <w:t>Rekomendacijos dėl projektų išlaidų atitikties Europos Sąjungos struktūrinių fondų reikalavimams);</w:t>
      </w:r>
    </w:p>
    <w:p w:rsidR="00362019" w:rsidRDefault="008920BD">
      <w:pPr>
        <w:ind w:firstLine="709"/>
        <w:jc w:val="both"/>
      </w:pPr>
      <w:r>
        <w:t>2.7. Lietuvos Respublikos mokslo ir studijų įstatymą;</w:t>
      </w:r>
    </w:p>
    <w:p w:rsidR="00362019" w:rsidRDefault="008920BD">
      <w:pPr>
        <w:ind w:firstLine="709"/>
        <w:jc w:val="both"/>
      </w:pPr>
      <w:r>
        <w:t>2.8. Lietuvos Respublikos patentų įstatymą;</w:t>
      </w:r>
    </w:p>
    <w:p w:rsidR="00362019" w:rsidRDefault="008920BD">
      <w:pPr>
        <w:ind w:firstLine="709"/>
        <w:jc w:val="both"/>
      </w:pPr>
      <w:r>
        <w:t>2.9. Lietuvos Respublikos mokesčių už pramoninės nuosavybės objektų registravimą įstatymą.</w:t>
      </w:r>
    </w:p>
    <w:p w:rsidR="00362019" w:rsidRDefault="008920BD">
      <w:pPr>
        <w:ind w:firstLine="709"/>
        <w:jc w:val="both"/>
      </w:pPr>
      <w: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362019" w:rsidRDefault="008920BD">
      <w:pPr>
        <w:ind w:firstLine="709"/>
        <w:jc w:val="both"/>
        <w:rPr>
          <w:rFonts w:eastAsia="Calibri"/>
          <w:szCs w:val="24"/>
        </w:rPr>
      </w:pPr>
      <w:r w:rsidRPr="0067397B">
        <w:rPr>
          <w:rFonts w:eastAsia="Calibri"/>
          <w:szCs w:val="24"/>
        </w:rPr>
        <w:t>4. Apraše vartojamos kitos sąvokos:</w:t>
      </w:r>
    </w:p>
    <w:p w:rsidR="00821C4D" w:rsidRDefault="00821C4D">
      <w:pPr>
        <w:ind w:firstLine="709"/>
        <w:jc w:val="both"/>
        <w:rPr>
          <w:rFonts w:eastAsia="Calibri"/>
          <w:szCs w:val="24"/>
        </w:rPr>
      </w:pPr>
      <w:r w:rsidRPr="004072F7">
        <w:rPr>
          <w:rFonts w:eastAsia="Calibri"/>
          <w:szCs w:val="24"/>
        </w:rPr>
        <w:t>4.1</w:t>
      </w:r>
      <w:r>
        <w:rPr>
          <w:rFonts w:eastAsia="Calibri"/>
          <w:szCs w:val="24"/>
        </w:rPr>
        <w:t xml:space="preserve">. </w:t>
      </w:r>
      <w:r w:rsidRPr="00897346">
        <w:rPr>
          <w:rFonts w:eastAsia="Calibri"/>
          <w:b/>
          <w:szCs w:val="24"/>
        </w:rPr>
        <w:t>Antreprenerystė</w:t>
      </w:r>
      <w:r>
        <w:rPr>
          <w:rFonts w:eastAsia="Calibri"/>
          <w:szCs w:val="24"/>
        </w:rPr>
        <w:t xml:space="preserve"> </w:t>
      </w:r>
      <w:r w:rsidRPr="00821C4D">
        <w:rPr>
          <w:rFonts w:eastAsia="Calibri"/>
          <w:szCs w:val="24"/>
        </w:rPr>
        <w:t>–</w:t>
      </w:r>
      <w:r w:rsidR="001A55E2">
        <w:rPr>
          <w:rFonts w:eastAsia="Calibri"/>
          <w:szCs w:val="24"/>
        </w:rPr>
        <w:t xml:space="preserve"> šiame Apraše</w:t>
      </w:r>
      <w:r w:rsidR="001A55E2" w:rsidRPr="001A55E2">
        <w:rPr>
          <w:rFonts w:eastAsia="Calibri"/>
          <w:szCs w:val="24"/>
        </w:rPr>
        <w:t xml:space="preserve"> suprantama kaip mokslo ir studijų institucijos personalo kūrybinė, efektyvi organizavimo (ir valdymo) veikla</w:t>
      </w:r>
      <w:r w:rsidR="001A55E2">
        <w:rPr>
          <w:rFonts w:eastAsia="Calibri"/>
          <w:szCs w:val="24"/>
        </w:rPr>
        <w:t>,</w:t>
      </w:r>
      <w:r w:rsidR="001A55E2" w:rsidRPr="001A55E2">
        <w:rPr>
          <w:rFonts w:eastAsia="Calibri"/>
          <w:szCs w:val="24"/>
        </w:rPr>
        <w:t xml:space="preserve"> siekiant MTEP rezultatus paversti paslaugomis ir (ar) produktais, juos demonstruoti rinkoje, MTEP rezultatų pagrindu kurti verslo idėjas, vykdyti institucijos MTEP rezultatų komercinimą, žinių ir technologijų perdavimą ir valdyti intelektinę nuosavybę</w:t>
      </w:r>
      <w:r w:rsidR="001A55E2">
        <w:rPr>
          <w:rFonts w:eastAsia="Calibri"/>
          <w:szCs w:val="24"/>
        </w:rPr>
        <w:t>;</w:t>
      </w:r>
    </w:p>
    <w:p w:rsidR="00C74610" w:rsidRDefault="00821C4D" w:rsidP="00C74610">
      <w:pPr>
        <w:ind w:firstLine="709"/>
        <w:jc w:val="both"/>
        <w:rPr>
          <w:rFonts w:eastAsia="Calibri"/>
          <w:szCs w:val="24"/>
        </w:rPr>
      </w:pPr>
      <w:r>
        <w:rPr>
          <w:rFonts w:eastAsia="Calibri"/>
          <w:szCs w:val="24"/>
        </w:rPr>
        <w:t>4.</w:t>
      </w:r>
      <w:r w:rsidR="005D1DC1">
        <w:rPr>
          <w:rFonts w:eastAsia="Calibri"/>
          <w:szCs w:val="24"/>
          <w:lang w:val="en-GB"/>
        </w:rPr>
        <w:t>2</w:t>
      </w:r>
      <w:r w:rsidR="00C74610" w:rsidRPr="00C74610">
        <w:rPr>
          <w:rFonts w:eastAsia="Calibri"/>
          <w:szCs w:val="24"/>
        </w:rPr>
        <w:t xml:space="preserve">. </w:t>
      </w:r>
      <w:r w:rsidR="00C74610" w:rsidRPr="00C74610">
        <w:rPr>
          <w:rFonts w:eastAsia="Calibri"/>
          <w:b/>
          <w:szCs w:val="24"/>
        </w:rPr>
        <w:t>Produktas</w:t>
      </w:r>
      <w:r w:rsidR="00C74610" w:rsidRPr="00C74610">
        <w:rPr>
          <w:rFonts w:eastAsia="Calibri"/>
          <w:szCs w:val="24"/>
        </w:rPr>
        <w:t xml:space="preserve"> – </w:t>
      </w:r>
      <w:r w:rsidR="002515DD" w:rsidRPr="00C74610">
        <w:rPr>
          <w:rFonts w:eastAsia="Calibri"/>
          <w:szCs w:val="24"/>
        </w:rPr>
        <w:t>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w:t>
      </w:r>
      <w:r w:rsidR="00825D96">
        <w:rPr>
          <w:rFonts w:eastAsia="Calibri"/>
          <w:szCs w:val="24"/>
        </w:rPr>
        <w:t xml:space="preserve"> (toliau – MTEP etapų klasifikacijos aprašas)</w:t>
      </w:r>
      <w:r w:rsidR="00C74610" w:rsidRPr="00C74610">
        <w:rPr>
          <w:rFonts w:eastAsia="Calibri"/>
          <w:szCs w:val="24"/>
        </w:rPr>
        <w:t>;</w:t>
      </w:r>
    </w:p>
    <w:p w:rsidR="00940C11" w:rsidRPr="00940C11" w:rsidRDefault="00940C11" w:rsidP="00C74610">
      <w:pPr>
        <w:ind w:firstLine="709"/>
        <w:jc w:val="both"/>
        <w:rPr>
          <w:rFonts w:eastAsia="Calibri"/>
          <w:szCs w:val="24"/>
          <w:lang w:val="en-US"/>
        </w:rPr>
      </w:pPr>
      <w:r>
        <w:rPr>
          <w:rFonts w:eastAsia="Calibri"/>
          <w:szCs w:val="24"/>
          <w:lang w:val="en-US"/>
        </w:rPr>
        <w:t>4.</w:t>
      </w:r>
      <w:r w:rsidR="005D1DC1">
        <w:rPr>
          <w:rFonts w:eastAsia="Calibri"/>
          <w:szCs w:val="24"/>
          <w:lang w:val="en-GB"/>
        </w:rPr>
        <w:t>3</w:t>
      </w:r>
      <w:r>
        <w:rPr>
          <w:rFonts w:eastAsia="Calibri"/>
          <w:szCs w:val="24"/>
          <w:lang w:val="en-US"/>
        </w:rPr>
        <w:t xml:space="preserve">. </w:t>
      </w:r>
      <w:r w:rsidRPr="00940C11">
        <w:rPr>
          <w:rFonts w:eastAsia="Calibri"/>
          <w:b/>
          <w:szCs w:val="24"/>
        </w:rPr>
        <w:t>Prototipas</w:t>
      </w:r>
      <w:r>
        <w:rPr>
          <w:rFonts w:eastAsia="Calibri"/>
          <w:szCs w:val="24"/>
          <w:lang w:val="en-US"/>
        </w:rPr>
        <w:t xml:space="preserve"> –</w:t>
      </w:r>
      <w:r w:rsidR="006018E9">
        <w:t xml:space="preserve"> </w:t>
      </w:r>
      <w:r w:rsidR="00282BCA">
        <w:t>originalus modelis, sukonstruotas taip, kad jame būtų visos naujo produkto techninės charakteristikos ir eksploatacinės savybės</w:t>
      </w:r>
      <w:r w:rsidRPr="00940C11">
        <w:rPr>
          <w:rFonts w:eastAsia="Calibri"/>
          <w:szCs w:val="24"/>
          <w:lang w:val="en-US"/>
        </w:rPr>
        <w:t>.</w:t>
      </w:r>
    </w:p>
    <w:p w:rsidR="00653AC6" w:rsidRDefault="00821C4D" w:rsidP="00C74610">
      <w:pPr>
        <w:ind w:firstLine="709"/>
        <w:jc w:val="both"/>
        <w:rPr>
          <w:rFonts w:eastAsia="Calibri"/>
          <w:szCs w:val="24"/>
        </w:rPr>
      </w:pPr>
      <w:r>
        <w:rPr>
          <w:rFonts w:eastAsia="Calibri"/>
          <w:szCs w:val="24"/>
        </w:rPr>
        <w:t>4.</w:t>
      </w:r>
      <w:r w:rsidR="005D1DC1">
        <w:rPr>
          <w:rFonts w:eastAsia="Calibri"/>
          <w:szCs w:val="24"/>
        </w:rPr>
        <w:t>4</w:t>
      </w:r>
      <w:r w:rsidR="00C74610" w:rsidRPr="00C74610">
        <w:rPr>
          <w:rFonts w:eastAsia="Calibri"/>
          <w:szCs w:val="24"/>
        </w:rPr>
        <w:t xml:space="preserve">. </w:t>
      </w:r>
      <w:r w:rsidR="00C74610" w:rsidRPr="00C74610">
        <w:rPr>
          <w:rFonts w:eastAsia="Calibri"/>
          <w:b/>
          <w:szCs w:val="24"/>
        </w:rPr>
        <w:t>Technologija</w:t>
      </w:r>
      <w:r w:rsidR="00C74610" w:rsidRPr="00C74610">
        <w:rPr>
          <w:rFonts w:eastAsia="Calibri"/>
          <w:szCs w:val="24"/>
        </w:rPr>
        <w:t xml:space="preserve"> – suprantama taip, kaip apibrėžta </w:t>
      </w:r>
      <w:r w:rsidR="00825D96">
        <w:rPr>
          <w:rFonts w:eastAsia="Calibri"/>
          <w:szCs w:val="24"/>
        </w:rPr>
        <w:t>MTEP etapų klasifikacijos apraše</w:t>
      </w:r>
      <w:r w:rsidR="006018E9">
        <w:rPr>
          <w:rFonts w:eastAsia="Calibri"/>
          <w:szCs w:val="24"/>
        </w:rPr>
        <w:t>.</w:t>
      </w:r>
    </w:p>
    <w:p w:rsidR="00362019" w:rsidRDefault="008920BD">
      <w:pPr>
        <w:ind w:firstLine="709"/>
        <w:jc w:val="both"/>
      </w:pPr>
      <w:r>
        <w:t>5. Priemonės įgyvendinimą administruoja Lietuvos Respublikos švietimo, mokslo ir sporto ministerija (toliau – Ministerija) ir viešoji įstaiga Centrinė projektų valdymo agentūra (toliau – įgyvendinančioji institucija).</w:t>
      </w:r>
    </w:p>
    <w:p w:rsidR="00362019" w:rsidRDefault="008920BD">
      <w:pPr>
        <w:ind w:firstLine="709"/>
        <w:jc w:val="both"/>
      </w:pPr>
      <w:r>
        <w:t>6. Pagal Priemonę teikiamo finansavimo forma – negrąžinamoji subsidija.</w:t>
      </w:r>
    </w:p>
    <w:p w:rsidR="00362019" w:rsidRDefault="008920BD">
      <w:pPr>
        <w:ind w:firstLine="709"/>
        <w:jc w:val="both"/>
      </w:pPr>
      <w:r>
        <w:t>7. Projektų atranka pagal Priemonę bus atliekama projektų konkurso vienu etapu būdu.</w:t>
      </w:r>
    </w:p>
    <w:p w:rsidR="00362019" w:rsidRDefault="008920BD">
      <w:pPr>
        <w:ind w:firstLine="709"/>
        <w:jc w:val="both"/>
        <w:rPr>
          <w:rFonts w:eastAsia="Calibri"/>
        </w:rPr>
      </w:pPr>
      <w:r>
        <w:t xml:space="preserve">8. Pagal Aprašą projektams įgyvendinti numatoma skirti iki </w:t>
      </w:r>
      <w:r>
        <w:rPr>
          <w:rFonts w:eastAsia="Calibri"/>
          <w:szCs w:val="24"/>
        </w:rPr>
        <w:t>10 000 000 Eur (dešimties milijonų eurų)</w:t>
      </w:r>
      <w:r>
        <w:t xml:space="preserve"> Europos regioninės plėtros fondo lėšų. </w:t>
      </w:r>
      <w:r>
        <w:rPr>
          <w:rFonts w:eastAsia="Calibri"/>
        </w:rPr>
        <w:t>Pagal Aprašą numatoma skelbti vieną kvietimą teikti paraiškas.</w:t>
      </w:r>
    </w:p>
    <w:p w:rsidR="00362019" w:rsidRDefault="008920BD">
      <w:pPr>
        <w:ind w:firstLine="709"/>
        <w:jc w:val="both"/>
      </w:pPr>
      <w:r>
        <w:rPr>
          <w:color w:val="000000"/>
        </w:rPr>
        <w:lastRenderedPageBreak/>
        <w:t xml:space="preserve">9. </w:t>
      </w:r>
      <w:r>
        <w:t xml:space="preserve">Priimdama sprendimą dėl projektų finansavimo Ministerija turi teisę Aprašo 8 punkte nurodytą sumą padidinti, neviršydama Priemonių įgyvendinimo plane nurodytos Priemonei skirtos lėšų sumos ir nepažeisdama teisėtų pareiškėjų lūkesčių. </w:t>
      </w:r>
    </w:p>
    <w:p w:rsidR="00362019" w:rsidRDefault="008920BD">
      <w:pPr>
        <w:ind w:firstLine="709"/>
        <w:jc w:val="both"/>
      </w:pPr>
      <w:r>
        <w:t>10. Priemonės tikslas – padidinti mokslo ir studijų insti</w:t>
      </w:r>
      <w:r w:rsidR="00C3362F">
        <w:t xml:space="preserve">tucijų </w:t>
      </w:r>
      <w:r w:rsidRPr="008920BD">
        <w:t>žinių komercinimo ir technologijų perdavimo mastą</w:t>
      </w:r>
      <w:r>
        <w:t>.</w:t>
      </w:r>
    </w:p>
    <w:p w:rsidR="00362019" w:rsidRDefault="008920BD" w:rsidP="006B0F81">
      <w:pPr>
        <w:ind w:firstLine="709"/>
        <w:jc w:val="both"/>
      </w:pPr>
      <w:r>
        <w:t xml:space="preserve">11. Pagal Aprašą remiama ši veikla – </w:t>
      </w:r>
      <w:r w:rsidRPr="008920BD">
        <w:t>antreprenerystės diegimas mokslo ir studijų institucijose</w:t>
      </w:r>
      <w:r w:rsidR="006B0F81">
        <w:t xml:space="preserve">: ilgalaikės stažuotės, skirtos įgyti MTEP vadybos, antreprenerystės žinių, reprezentuoti ir vystyti mokslo ir studijų institucijų MTEP rezultatus; mokymai, susiję su antreprenerystės įgūdžių formavimu ir vystymu (įskaitant intelektinės nuosavybės apsaugos, žinių ir technologijų perdavimo, tyrėjų verslumo įgūdžių stiprinimą); MTEP rezultato (produkto, technologijos, paslaugų) vystymui ir parengimui komercinti veiksmai: konsultacijos, ekspertinės paslaugos, rinkodaros veiksmai (rinkos tyrimai, rinkų paieška), vadybos sistemų (standartų) diegimas; MTEP produkto </w:t>
      </w:r>
      <w:r w:rsidR="00862BBD">
        <w:t xml:space="preserve">maketų (modelių), meno objektų projektų, prototipų (bandomųjų </w:t>
      </w:r>
      <w:r w:rsidR="006B0F81">
        <w:t>versijų</w:t>
      </w:r>
      <w:r w:rsidR="00862BBD">
        <w:t>)</w:t>
      </w:r>
      <w:r w:rsidR="006B0F81">
        <w:t xml:space="preserve"> demonstravimui skirtų demonstracinių erdvių sukūrimas, įskaitant </w:t>
      </w:r>
      <w:r w:rsidR="006B0F81" w:rsidRPr="00284A00">
        <w:t>maketų</w:t>
      </w:r>
      <w:r w:rsidR="00862BBD">
        <w:t xml:space="preserve"> (modelių), meno objektų projektų</w:t>
      </w:r>
      <w:r w:rsidR="006B0F81">
        <w:t xml:space="preserve"> ir prototipų parengimą; renginiai, skirti mokslo ir studijų institucijų MTEP paslaugoms ir jų rezultatams reprezentuoti (kūrybinės dirbtuvės, idėjų turnyrai, praktiniai seminarai, tikslinės konferencijos</w:t>
      </w:r>
      <w:r w:rsidR="00862BBD">
        <w:t xml:space="preserve"> ir vizitai</w:t>
      </w:r>
      <w:r w:rsidR="006B0F81">
        <w:t>, parodos ir kt.)</w:t>
      </w:r>
      <w:r>
        <w:t>.</w:t>
      </w:r>
    </w:p>
    <w:p w:rsidR="00362019" w:rsidRDefault="008920BD">
      <w:pPr>
        <w:ind w:firstLine="709"/>
        <w:jc w:val="both"/>
      </w:pPr>
      <w:r>
        <w:t>12. Pagal Apraše nurodytą remiamą veiklą kvietimą teikti p</w:t>
      </w:r>
      <w:r w:rsidR="00C3362F">
        <w:t xml:space="preserve">araiškas numatoma paskelbti 2020 m. </w:t>
      </w:r>
      <w:r w:rsidR="00C435E5">
        <w:t>antrąjį</w:t>
      </w:r>
      <w:r>
        <w:t xml:space="preserve"> ketvirtį.</w:t>
      </w:r>
    </w:p>
    <w:p w:rsidR="00362019" w:rsidRDefault="00362019">
      <w:pPr>
        <w:ind w:firstLine="709"/>
        <w:jc w:val="both"/>
      </w:pPr>
    </w:p>
    <w:p w:rsidR="00362019" w:rsidRDefault="008920BD">
      <w:pPr>
        <w:jc w:val="center"/>
        <w:rPr>
          <w:b/>
          <w:szCs w:val="24"/>
        </w:rPr>
      </w:pPr>
      <w:r>
        <w:rPr>
          <w:b/>
          <w:szCs w:val="24"/>
        </w:rPr>
        <w:t>II SKYRIUS</w:t>
      </w:r>
    </w:p>
    <w:p w:rsidR="00362019" w:rsidRDefault="008920BD">
      <w:pPr>
        <w:jc w:val="center"/>
        <w:rPr>
          <w:b/>
          <w:szCs w:val="24"/>
        </w:rPr>
      </w:pPr>
      <w:r>
        <w:rPr>
          <w:b/>
          <w:szCs w:val="24"/>
        </w:rPr>
        <w:t>REIKALAVIMAI PAREIŠKĖJAMS IR PARTNERIAMS</w:t>
      </w:r>
    </w:p>
    <w:p w:rsidR="00362019" w:rsidRDefault="00362019"/>
    <w:p w:rsidR="00362019" w:rsidRPr="005A4526" w:rsidRDefault="008920BD" w:rsidP="005A4526">
      <w:pPr>
        <w:ind w:firstLine="709"/>
        <w:jc w:val="both"/>
      </w:pPr>
      <w:r>
        <w:t xml:space="preserve">13. Pagal Aprašą galimi pareiškėjai yra </w:t>
      </w:r>
      <w:r w:rsidR="005A4526">
        <w:t xml:space="preserve">į atvirą informavimo, konsultavimo ir orientavimo sistemą (nuoroda internete adresu </w:t>
      </w:r>
      <w:hyperlink r:id="rId11" w:history="1">
        <w:r w:rsidR="005A4526" w:rsidRPr="009C671D">
          <w:rPr>
            <w:rStyle w:val="Hipersaitas"/>
          </w:rPr>
          <w:t>www.aikos.smm.lt</w:t>
        </w:r>
      </w:hyperlink>
      <w:r w:rsidR="005A4526">
        <w:t xml:space="preserve">) įtrauktos </w:t>
      </w:r>
      <w:r>
        <w:t>mokslo ir studijų instit</w:t>
      </w:r>
      <w:r w:rsidR="00C3362F">
        <w:t>ucijos</w:t>
      </w:r>
      <w:r>
        <w:t xml:space="preserve">, galimi partneriai yra viešieji juridiniai asmenys, veikiantys </w:t>
      </w:r>
      <w:r w:rsidR="00C3362F">
        <w:t>mokslo ir (ar) studijų srityje</w:t>
      </w:r>
      <w:r>
        <w:t>.</w:t>
      </w:r>
      <w:r w:rsidR="005A4526">
        <w:t xml:space="preserve"> Pagal A</w:t>
      </w:r>
      <w:r w:rsidR="005A4526" w:rsidRPr="005A4526">
        <w:t>prašą finansuojamas tik vienas projektas</w:t>
      </w:r>
      <w:r w:rsidR="005A4526">
        <w:t>, kuriame dalyvauja konkreti mokslo ir studijų institucija</w:t>
      </w:r>
      <w:r w:rsidR="005A4526" w:rsidRPr="005A4526">
        <w:t>, nepriklausomai nuo to, ar ji dalyvauja projekte kaip pareiškėjas ar kaip partneris</w:t>
      </w:r>
      <w:r w:rsidR="005A4526">
        <w:t>.</w:t>
      </w:r>
    </w:p>
    <w:p w:rsidR="00362019" w:rsidRDefault="008920BD">
      <w:pPr>
        <w:ind w:firstLine="709"/>
        <w:jc w:val="both"/>
      </w:pPr>
      <w:r>
        <w:t>14. Kai paraiška teikiama kartu su partneriu (-iais), prie paraiškos turi būti pridedama sutarties (partnerystės) projekto kopija, kurioje nustatomos tarpusavio teisės ir pareigos įgyvendinant projektą ir projekto lėšų pasiskirstymas tarp sutarties (partnerystės) šalių.</w:t>
      </w:r>
    </w:p>
    <w:p w:rsidR="00362019" w:rsidRDefault="008920BD">
      <w:pPr>
        <w:ind w:firstLine="709"/>
        <w:jc w:val="both"/>
      </w:pPr>
      <w:r>
        <w:t xml:space="preserve">15. Iki projekto sutarties pasirašymo sutartis (partnerystės) turi būti pasirašyta pareiškėjo ir visų projekto partnerių. </w:t>
      </w:r>
    </w:p>
    <w:p w:rsidR="00362019" w:rsidRDefault="00362019"/>
    <w:p w:rsidR="00362019" w:rsidRDefault="008920BD">
      <w:pPr>
        <w:jc w:val="center"/>
        <w:rPr>
          <w:b/>
          <w:szCs w:val="24"/>
        </w:rPr>
      </w:pPr>
      <w:r>
        <w:rPr>
          <w:b/>
          <w:szCs w:val="24"/>
        </w:rPr>
        <w:t>III SKYRIUS</w:t>
      </w:r>
    </w:p>
    <w:p w:rsidR="00362019" w:rsidRDefault="008920BD">
      <w:pPr>
        <w:ind w:firstLine="62"/>
        <w:jc w:val="center"/>
        <w:rPr>
          <w:b/>
          <w:szCs w:val="24"/>
        </w:rPr>
      </w:pPr>
      <w:r>
        <w:rPr>
          <w:b/>
          <w:szCs w:val="24"/>
        </w:rPr>
        <w:t>PROJEKTAMS TAIKOMI REIKALAVIMAI</w:t>
      </w:r>
    </w:p>
    <w:p w:rsidR="00362019" w:rsidRDefault="00362019"/>
    <w:p w:rsidR="00362019" w:rsidRDefault="00C3362F">
      <w:pPr>
        <w:ind w:firstLine="709"/>
        <w:jc w:val="both"/>
      </w:pPr>
      <w:r>
        <w:t>16</w:t>
      </w:r>
      <w:r w:rsidR="008920BD">
        <w:t>. Projektas turi atitikti Projektų taisyklių 10 skirsnyje nustatytus bendruosius reikalavimus.</w:t>
      </w:r>
    </w:p>
    <w:p w:rsidR="00362019" w:rsidRPr="00C3362F" w:rsidRDefault="008920BD" w:rsidP="00C3362F">
      <w:pPr>
        <w:widowControl w:val="0"/>
        <w:adjustRightInd w:val="0"/>
        <w:ind w:firstLine="709"/>
        <w:jc w:val="both"/>
        <w:textAlignment w:val="baseline"/>
        <w:rPr>
          <w:szCs w:val="24"/>
          <w:lang w:eastAsia="lt-LT"/>
        </w:rPr>
      </w:pPr>
      <w:r>
        <w:t>1</w:t>
      </w:r>
      <w:r w:rsidR="00C3362F">
        <w:t>7. Projektas turi atitikti specialųjį projektų atrankos kriterijų, patvirtint</w:t>
      </w:r>
      <w:r w:rsidR="00AF3908">
        <w:t>ą</w:t>
      </w:r>
      <w:r>
        <w:t xml:space="preserve"> Veiksmų programos stebėsenos komiteto 2016 m. balandžio 21</w:t>
      </w:r>
      <w:r w:rsidR="004D2A41">
        <w:t xml:space="preserve"> d. nutarimu Nr. 44P-14.1 (16) ir pakeistą</w:t>
      </w:r>
      <w:r w:rsidR="004D2A41" w:rsidRPr="004D2A41">
        <w:t xml:space="preserve"> 2020 m. vasario 19 d. posėdžio protokoliniu sprendimu Nr. 44P-2 (50)</w:t>
      </w:r>
      <w:r>
        <w:t>:</w:t>
      </w:r>
      <w:r w:rsidR="00C3362F">
        <w:t xml:space="preserve"> </w:t>
      </w:r>
      <w:r w:rsidR="00D94305">
        <w:rPr>
          <w:szCs w:val="24"/>
          <w:lang w:eastAsia="lt-LT"/>
        </w:rPr>
        <w:t>p</w:t>
      </w:r>
      <w:r w:rsidR="00C3362F" w:rsidRPr="00A01A73">
        <w:rPr>
          <w:szCs w:val="24"/>
          <w:lang w:eastAsia="lt-LT"/>
        </w:rPr>
        <w:t>rojektas atitinka Prioritetinių mokslinių tyrimų ir eksperimentinės plėtros ir inovacijų raidos (sumanios</w:t>
      </w:r>
      <w:r w:rsidR="00C3362F" w:rsidRPr="00C3362F">
        <w:rPr>
          <w:szCs w:val="24"/>
          <w:lang w:eastAsia="lt-LT"/>
        </w:rPr>
        <w:t>ios</w:t>
      </w:r>
      <w:r w:rsidR="00C3362F">
        <w:rPr>
          <w:szCs w:val="24"/>
          <w:lang w:eastAsia="lt-LT"/>
        </w:rPr>
        <w:t xml:space="preserve"> specializacijos)</w:t>
      </w:r>
      <w:r w:rsidR="00C3362F" w:rsidRPr="00A01A73">
        <w:rPr>
          <w:szCs w:val="24"/>
          <w:lang w:eastAsia="lt-LT"/>
        </w:rPr>
        <w:t xml:space="preserve"> prioritetų įgyvendinimo programos, patvirtintos </w:t>
      </w:r>
      <w:hyperlink r:id="rId12" w:history="1">
        <w:r w:rsidR="00C3362F" w:rsidRPr="00286E9B">
          <w:rPr>
            <w:szCs w:val="24"/>
            <w:lang w:eastAsia="lt-LT"/>
          </w:rPr>
          <w:t>Lietuvos Respublikos Vyriausybės 2014 m. balandžio 30 d. nutarimu Nr. 411 „Dėl Prioritetinių mokslinių tyrimų ir eksperimentinės plėtros ir inovacijų raidos (sumaniosios specializacijos) prioritetų įgyvendinimo programos patvirtinimo“</w:t>
        </w:r>
      </w:hyperlink>
      <w:r w:rsidR="00825D96">
        <w:rPr>
          <w:szCs w:val="24"/>
          <w:lang w:eastAsia="lt-LT"/>
        </w:rPr>
        <w:t xml:space="preserve"> (toliau – </w:t>
      </w:r>
      <w:r w:rsidR="00825D96" w:rsidRPr="00825D96">
        <w:rPr>
          <w:szCs w:val="24"/>
          <w:lang w:eastAsia="lt-LT"/>
        </w:rPr>
        <w:t xml:space="preserve">Prioritetinių mokslinių tyrimų ir eksperimentinės plėtros ir inovacijų raidos (sumaniosios specializacijos) </w:t>
      </w:r>
      <w:r w:rsidR="00825D96">
        <w:rPr>
          <w:szCs w:val="24"/>
          <w:lang w:eastAsia="lt-LT"/>
        </w:rPr>
        <w:t>prioritetų įgyvendinimo programa)</w:t>
      </w:r>
      <w:r w:rsidR="00C3362F">
        <w:rPr>
          <w:szCs w:val="24"/>
          <w:lang w:eastAsia="lt-LT"/>
        </w:rPr>
        <w:t>,</w:t>
      </w:r>
      <w:r w:rsidR="00C3362F" w:rsidRPr="00A01A73">
        <w:rPr>
          <w:szCs w:val="24"/>
          <w:lang w:eastAsia="lt-LT"/>
        </w:rPr>
        <w:t xml:space="preserve"> </w:t>
      </w:r>
      <w:r w:rsidR="00C3362F" w:rsidRPr="00C3362F">
        <w:rPr>
          <w:szCs w:val="24"/>
          <w:lang w:eastAsia="lt-LT"/>
        </w:rPr>
        <w:t>nuostatas ir</w:t>
      </w:r>
      <w:r w:rsidR="00C3362F">
        <w:rPr>
          <w:szCs w:val="24"/>
          <w:lang w:eastAsia="lt-LT"/>
        </w:rPr>
        <w:t xml:space="preserve"> bent vieno</w:t>
      </w:r>
      <w:r w:rsidR="00C3362F" w:rsidRPr="00A01A73">
        <w:rPr>
          <w:szCs w:val="24"/>
          <w:lang w:eastAsia="lt-LT"/>
        </w:rPr>
        <w:t xml:space="preserve"> prioriteto </w:t>
      </w:r>
      <w:r w:rsidR="00C3362F" w:rsidRPr="00C3362F">
        <w:rPr>
          <w:szCs w:val="24"/>
        </w:rPr>
        <w:t>įgyvendinimo tematiką.</w:t>
      </w:r>
      <w:r w:rsidR="00C3362F">
        <w:rPr>
          <w:szCs w:val="24"/>
        </w:rPr>
        <w:t xml:space="preserve"> </w:t>
      </w:r>
      <w:r w:rsidR="00C3362F" w:rsidRPr="00A01A73">
        <w:rPr>
          <w:szCs w:val="24"/>
          <w:lang w:eastAsia="lt-LT"/>
        </w:rPr>
        <w:t xml:space="preserve">Vertinama, </w:t>
      </w:r>
      <w:r w:rsidR="00C3362F" w:rsidRPr="00A01A73">
        <w:rPr>
          <w:szCs w:val="24"/>
          <w:lang w:eastAsia="lt-LT"/>
        </w:rPr>
        <w:lastRenderedPageBreak/>
        <w:t xml:space="preserve">ar </w:t>
      </w:r>
      <w:r w:rsidR="00C3362F" w:rsidRPr="00C3362F">
        <w:rPr>
          <w:szCs w:val="24"/>
          <w:lang w:eastAsia="lt-LT"/>
        </w:rPr>
        <w:t>projektas prisideda prie Prioritetinių mokslinių tyrimų ir eksperimentinės plėtros ir inovacijų raidos (sumaniosios specializacijos) prioritetų įgyvendinimo programos ir atitinka bent vieno prioriteto įgyvendinimo tematiką.</w:t>
      </w:r>
    </w:p>
    <w:p w:rsidR="00362019" w:rsidRDefault="00796714">
      <w:pPr>
        <w:ind w:firstLine="709"/>
        <w:jc w:val="both"/>
      </w:pPr>
      <w:r>
        <w:t>18</w:t>
      </w:r>
      <w:r w:rsidR="008920BD">
        <w:t>. Projektu turi būti prisidedama prie Europos Sąjungos Baltijos jūros regiono strategijos, patvirtintos 2009 m. spalio 30 d. Europos Vadovų Tarybos išvadomis Nr. 15265/09 ir atnaujintos Europos Komisijos (toliau – EK) 2012 m. kovo 23 d. komunikatu Nr. COM(2012)128, kuri skelbiama EK svetainėje adresu http://ec.europa.eu/regional_policy/lt/policy/cooperation/macro-regional-strategies/baltic-sea/library/#1 (toliau – ES BJRS), tikslo – didinti regiono klestėjimą, įgyvendinimo pagal ES BJRS veiksmų plane, patvirtintame EK 2017 m. kovo 20 d. sprendimu Nr. SWD(2017)118, kuris skelbiamas EK svetainėje adresu http://ec.europa.eu/regional_policy/lt/policy/cooperation/macro-regional-strategies/baltic-sea/library/#1, numatytą politinę sritį „Inovacijos“.</w:t>
      </w:r>
    </w:p>
    <w:p w:rsidR="00362019" w:rsidRDefault="00796714">
      <w:pPr>
        <w:ind w:firstLine="709"/>
        <w:jc w:val="both"/>
      </w:pPr>
      <w:r>
        <w:t>19</w:t>
      </w:r>
      <w:r w:rsidR="008920BD">
        <w:t xml:space="preserve">. 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w:t>
      </w:r>
      <w:r w:rsidRPr="008A0D7A">
        <w:t>Pagal</w:t>
      </w:r>
      <w:r w:rsidR="008920BD" w:rsidRPr="008A0D7A">
        <w:t xml:space="preserve"> Aprašą privaloma su</w:t>
      </w:r>
      <w:r w:rsidR="009B3AEA" w:rsidRPr="008A0D7A">
        <w:t xml:space="preserve">rinkti minimali balų suma yra </w:t>
      </w:r>
      <w:r w:rsidR="008A0D7A" w:rsidRPr="001B3D7A">
        <w:t>31</w:t>
      </w:r>
      <w:r w:rsidR="008920BD" w:rsidRPr="008A0D7A">
        <w:t>.</w:t>
      </w:r>
      <w:r w:rsidR="008920BD">
        <w:t xml:space="preserve"> Jeigu projektai surenka vienodą balų skaičių, tuomet projektai išdėstomi Projektų taisyklių 151 punkte nustatyta tvarka. </w:t>
      </w:r>
    </w:p>
    <w:p w:rsidR="00362019" w:rsidRDefault="00796714">
      <w:pPr>
        <w:ind w:firstLine="709"/>
        <w:jc w:val="both"/>
      </w:pPr>
      <w:r>
        <w:t>20</w:t>
      </w:r>
      <w:r w:rsidR="008920BD">
        <w:t xml:space="preserve">. </w:t>
      </w:r>
      <w:r w:rsidR="008920BD" w:rsidRPr="008A0D7A">
        <w:t>Jei projekto naudos ir kokybės vertinimo metu pro</w:t>
      </w:r>
      <w:r w:rsidR="009B3AEA" w:rsidRPr="008A0D7A">
        <w:t xml:space="preserve">jektui suteikiama mažiau kaip </w:t>
      </w:r>
      <w:r w:rsidR="008A0D7A" w:rsidRPr="001B3D7A">
        <w:t>31</w:t>
      </w:r>
      <w:r w:rsidR="008920BD" w:rsidRPr="008A0D7A">
        <w:t xml:space="preserve"> balas, paraiška atmetama.</w:t>
      </w:r>
    </w:p>
    <w:p w:rsidR="00362019" w:rsidRDefault="00796714">
      <w:pPr>
        <w:ind w:firstLine="709"/>
        <w:jc w:val="both"/>
      </w:pPr>
      <w:r>
        <w:t>21</w:t>
      </w:r>
      <w:r w:rsidR="008920BD">
        <w:t>. Pagal Aprašą nefinansuojami didelės apimties projektai.</w:t>
      </w:r>
    </w:p>
    <w:p w:rsidR="00362019" w:rsidRDefault="00796714">
      <w:pPr>
        <w:ind w:firstLine="709"/>
        <w:jc w:val="both"/>
      </w:pPr>
      <w:r>
        <w:t>22</w:t>
      </w:r>
      <w:r w:rsidR="008920BD">
        <w:t xml:space="preserve">. Teikiamų pagal Aprašą projektų veiklų įgyvendinimo trukmė turi būti ne ilgesnė </w:t>
      </w:r>
      <w:r w:rsidR="008920BD" w:rsidRPr="00621DB9">
        <w:t xml:space="preserve">kaip </w:t>
      </w:r>
      <w:r w:rsidR="00ED3DDC" w:rsidRPr="00621DB9">
        <w:t>32</w:t>
      </w:r>
      <w:r w:rsidR="008920BD" w:rsidRPr="00621DB9">
        <w:t> mėnesiai</w:t>
      </w:r>
      <w:r w:rsidR="008920BD">
        <w:t xml:space="preserve"> nuo projekto sutarties pasirašymo dienos.</w:t>
      </w:r>
    </w:p>
    <w:p w:rsidR="00362019" w:rsidRDefault="00796714">
      <w:pPr>
        <w:ind w:firstLine="709"/>
        <w:jc w:val="both"/>
      </w:pPr>
      <w:r>
        <w:t>23</w:t>
      </w:r>
      <w:r w:rsidR="008920BD">
        <w:t>. Tam tikrais atvejais dėl objektyvių priežasčių, kurių projekto vykdytojas negalėjo numatyti paraiškos pateikimo ir vertinimo metu, projekto veiklų įgyvendinimo laikotarpis gali būti pratęstas Projektų taisyklių nustatyta tvarka, bet ne ilgiau kaip 6 mėnesius, ir nepažeidžiant Projektų taisyklių 213.1 ir 213.5 papunkčiuose nustatytų terminų. Prireikus pratęsti projekto veiklų įgyvendinimo laikotarpį ilgiau, nei nurodyta šiame punkte, projekto sutarties keitimas turi</w:t>
      </w:r>
      <w:r>
        <w:t xml:space="preserve"> būti derinamas su Ministerija.</w:t>
      </w:r>
    </w:p>
    <w:p w:rsidR="00362019" w:rsidRDefault="00796714">
      <w:pPr>
        <w:ind w:firstLine="709"/>
        <w:jc w:val="both"/>
        <w:rPr>
          <w:i/>
        </w:rPr>
      </w:pPr>
      <w:r>
        <w:t>24</w:t>
      </w:r>
      <w:r w:rsidR="008920BD">
        <w:t>.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rsidR="00362019" w:rsidRDefault="00796714">
      <w:pPr>
        <w:ind w:firstLine="709"/>
        <w:jc w:val="both"/>
      </w:pPr>
      <w:r>
        <w:t>25</w:t>
      </w:r>
      <w:r w:rsidR="008920BD">
        <w:t xml:space="preserve">. Projekto veiklos turi būti vykdomos Lietuvos Respublikoje arba ne Lietuvos Respublikoje (tik ES valstybėse narėse) jei jas vykdant sukurti produktai, rezultatai ir nauda (ar jų dalis, proporcinga Lietuvos Respublikos finansiniam įnašui) atitenka Lietuvos Respublikai. Jeigu projektų veiklos vykdomos ne Lietuvoje, tokių veiklų išlaidos neturi viršyti 10 procentų projekto tinkamų finansuoti išlaidų sumos. Projektų veiklų vykdymo vieta yra laikoma vieta, kurioje projekto veiklą vykdo projektą vykdantis personalas, kaip jis apibrėžtas </w:t>
      </w:r>
      <w:r w:rsidR="008920BD">
        <w:rPr>
          <w:lang w:eastAsia="lt-LT"/>
        </w:rPr>
        <w:t>Rekomendacijų dėl projektų išlaidų atitikties Europos Sąjungos struktūrinių fondų reikalavimams.</w:t>
      </w:r>
    </w:p>
    <w:p w:rsidR="00362019" w:rsidRDefault="00796714">
      <w:pPr>
        <w:ind w:firstLine="709"/>
        <w:jc w:val="both"/>
      </w:pPr>
      <w:r>
        <w:t>26</w:t>
      </w:r>
      <w:r w:rsidR="008920BD">
        <w:t>. Pareiškėjas paraiškos priede, parengtame pagal Ap</w:t>
      </w:r>
      <w:r>
        <w:t>rašo 3 priedą, nurodo, kuriai (kuriems) iš</w:t>
      </w:r>
      <w:r w:rsidR="008920BD">
        <w:t xml:space="preserve"> sumanios</w:t>
      </w:r>
      <w:r>
        <w:t>ios</w:t>
      </w:r>
      <w:r w:rsidR="008920BD">
        <w:t xml:space="preserve"> special</w:t>
      </w:r>
      <w:r>
        <w:t>izacijos prioritetų</w:t>
      </w:r>
      <w:r w:rsidR="008920BD">
        <w:t xml:space="preserve"> priskiriamas projektas, ta</w:t>
      </w:r>
      <w:r>
        <w:t>ip pat nurodo, kurias prioriteto įgyvendinimo tematikas</w:t>
      </w:r>
      <w:r w:rsidR="008920BD">
        <w:t xml:space="preserve"> atitinka projektas. Galutinį priskyr</w:t>
      </w:r>
      <w:r>
        <w:t>imą arba nepriskyrimą</w:t>
      </w:r>
      <w:r w:rsidR="008920BD">
        <w:t xml:space="preserve"> sumanios</w:t>
      </w:r>
      <w:r>
        <w:t xml:space="preserve">ios specializacijos prioritetui (-ams) </w:t>
      </w:r>
      <w:r w:rsidR="008920BD">
        <w:t xml:space="preserve">nustato įgyvendinančioji institucija vertinimo metu. Tuo atveju, jeigu įgyvendinančioji institucija nustato, </w:t>
      </w:r>
      <w:r>
        <w:t>kad projektas kitam (kitiems)</w:t>
      </w:r>
      <w:r w:rsidR="008920BD">
        <w:t xml:space="preserve"> sumanios</w:t>
      </w:r>
      <w:r>
        <w:t>ios specializacijos prioritetui (-ams)</w:t>
      </w:r>
      <w:r w:rsidR="008920BD">
        <w:t xml:space="preserve"> nei pareiškėjas nurodė paraiškoje, pareiškėjui pasiūloma patikslinti paraiškoje</w:t>
      </w:r>
      <w:r>
        <w:t xml:space="preserve"> nurodytą informaciją, kuriam (kuriems)</w:t>
      </w:r>
      <w:r w:rsidR="008920BD">
        <w:t xml:space="preserve"> </w:t>
      </w:r>
      <w:r w:rsidR="008920BD">
        <w:lastRenderedPageBreak/>
        <w:t>sumanios</w:t>
      </w:r>
      <w:r>
        <w:t>ios</w:t>
      </w:r>
      <w:r w:rsidR="008920BD">
        <w:t xml:space="preserve"> speciali</w:t>
      </w:r>
      <w:r>
        <w:t>zacijos prioritetui (-ams)</w:t>
      </w:r>
      <w:r w:rsidR="008920BD">
        <w:t xml:space="preserve"> priskiriamas projektas. Pareiškėjui nesutikus patikslinti šios informacijos paraiška atmetama.</w:t>
      </w:r>
    </w:p>
    <w:p w:rsidR="00362019" w:rsidRDefault="00796714">
      <w:pPr>
        <w:ind w:firstLine="709"/>
        <w:jc w:val="both"/>
      </w:pPr>
      <w:r>
        <w:t>27</w:t>
      </w:r>
      <w:r w:rsidR="008920BD">
        <w:t>. Projektu turi būti siekiama tokių išvardintų stebės</w:t>
      </w:r>
      <w:r>
        <w:t>enos rodiklių</w:t>
      </w:r>
      <w:r w:rsidR="008920BD">
        <w:t>:</w:t>
      </w:r>
    </w:p>
    <w:p w:rsidR="00F601FF" w:rsidRDefault="00F601FF">
      <w:pPr>
        <w:ind w:firstLine="709"/>
        <w:jc w:val="both"/>
      </w:pPr>
      <w:r>
        <w:t xml:space="preserve">27.1. rezultato rodiklis </w:t>
      </w:r>
      <w:r w:rsidRPr="00F601FF">
        <w:t>„Investicijas gavusių mokslo ir studijų institucijų sutarčių su įmonėmis finansinės vertės padidėjimas“</w:t>
      </w:r>
      <w:r>
        <w:t xml:space="preserve"> (</w:t>
      </w:r>
      <w:r w:rsidRPr="00F601FF">
        <w:t>R.N.737</w:t>
      </w:r>
      <w:r>
        <w:t>). Minimali siektina reikšmė – 20 procentų;</w:t>
      </w:r>
    </w:p>
    <w:p w:rsidR="00F601FF" w:rsidRDefault="00F601FF">
      <w:pPr>
        <w:ind w:firstLine="709"/>
        <w:jc w:val="both"/>
      </w:pPr>
      <w:r>
        <w:t xml:space="preserve">27.2. produkto rodiklis </w:t>
      </w:r>
      <w:r w:rsidRPr="00F601FF">
        <w:t>„Investicijas gavusių mokslo ir studijų institucijų gautų MTEP užsakymų skaičius“</w:t>
      </w:r>
      <w:r>
        <w:t xml:space="preserve"> (</w:t>
      </w:r>
      <w:r w:rsidRPr="00F601FF">
        <w:t>P.N.749</w:t>
      </w:r>
      <w:r>
        <w:t xml:space="preserve">). Minimali siektina reikšmė – </w:t>
      </w:r>
      <w:r w:rsidR="001E734C" w:rsidRPr="003A24BA">
        <w:t>8</w:t>
      </w:r>
      <w:r>
        <w:t xml:space="preserve"> </w:t>
      </w:r>
      <w:r w:rsidR="0079016E" w:rsidRPr="0079016E">
        <w:t>MTEP užsakymų</w:t>
      </w:r>
      <w:r w:rsidR="0079016E">
        <w:t>.</w:t>
      </w:r>
    </w:p>
    <w:p w:rsidR="00362019" w:rsidRDefault="0079016E">
      <w:pPr>
        <w:ind w:firstLine="709"/>
        <w:jc w:val="both"/>
      </w:pPr>
      <w:r>
        <w:t>28</w:t>
      </w:r>
      <w:r w:rsidR="00F601FF">
        <w:t>. Aprašo 27 punkte</w:t>
      </w:r>
      <w:r w:rsidR="008920BD">
        <w:t xml:space="preserve"> </w:t>
      </w:r>
      <w:r w:rsidR="00F601FF">
        <w:t>nurodytų</w:t>
      </w:r>
      <w:r w:rsidR="008920BD">
        <w:t xml:space="preserve"> priemonės </w:t>
      </w:r>
      <w:r w:rsidR="00F601FF">
        <w:t>įgyvendinimo stebėsenos rodiklių</w:t>
      </w:r>
      <w:r w:rsidR="008920BD">
        <w:t xml:space="preserve"> skaičiavimui taikomas Nacionalinis stebėsenos rodiklių skaičiavimo aprašas, patvirtintas Lietuvos Respublikos švietimo ir mokslo ministro 2015 m. balandžio 23 d. įsakymu Nr. V-380 „Dėl 2014–2020 metų Europos Sąjungos fondų investicijų veiksmų programos prioriteto įgyvendinimo priemonių įgyvendinimo plano ir Nacionalinio stebėsenos rodiklių s</w:t>
      </w:r>
      <w:r w:rsidR="00F601FF">
        <w:t>kaičiavimo aprašo patvirtinimo“</w:t>
      </w:r>
      <w:r w:rsidR="008920BD">
        <w:rPr>
          <w:color w:val="000000"/>
        </w:rPr>
        <w:t>.</w:t>
      </w:r>
    </w:p>
    <w:p w:rsidR="00362019" w:rsidRDefault="0079016E">
      <w:pPr>
        <w:ind w:firstLine="709"/>
        <w:jc w:val="both"/>
      </w:pPr>
      <w:r>
        <w:t>29</w:t>
      </w:r>
      <w:r w:rsidR="008920BD">
        <w:t>. Projekto parengtumo reikalavimai nėra taikomi.</w:t>
      </w:r>
    </w:p>
    <w:p w:rsidR="00362019" w:rsidRDefault="0079016E">
      <w:pPr>
        <w:ind w:firstLine="709"/>
        <w:jc w:val="both"/>
      </w:pPr>
      <w:r>
        <w:t>30</w:t>
      </w:r>
      <w:r w:rsidR="008920BD">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362019" w:rsidRDefault="0079016E">
      <w:pPr>
        <w:ind w:firstLine="709"/>
        <w:jc w:val="both"/>
      </w:pPr>
      <w:r>
        <w:t>31</w:t>
      </w:r>
      <w:r w:rsidR="008920BD">
        <w:t>. Neturi būti numatyti projekto veiksmai, kurie turėtų neigiamą poveikį darnaus vy</w:t>
      </w:r>
      <w:r>
        <w:t>stymosi principo įgyvendinimui.</w:t>
      </w:r>
    </w:p>
    <w:p w:rsidR="00362019" w:rsidRPr="00654CB8" w:rsidRDefault="0079016E" w:rsidP="002852A7">
      <w:pPr>
        <w:ind w:firstLine="709"/>
        <w:jc w:val="both"/>
      </w:pPr>
      <w:r>
        <w:t xml:space="preserve">32. </w:t>
      </w:r>
      <w:r w:rsidRPr="0079016E">
        <w:t xml:space="preserve">Pagal Aprašą valstybės pagalba, kaip ji apibrėžta Sutarties dėl Europos Sąjungos veikimo (OL 2010 C 83, p. 47) 107 straipsnyje, ir </w:t>
      </w:r>
      <w:r w:rsidRPr="00CA2188">
        <w:rPr>
          <w:i/>
        </w:rPr>
        <w:t>de minimis</w:t>
      </w:r>
      <w:r w:rsidRPr="0079016E">
        <w:t xml:space="preserve"> pagalba, kuri atitinka 2013 m. gruodžio 18 d. Komisijos reglamento (ES) Nr. 1407/2013 dėl Sutarties dėl Europos Sąjungos veikimo 107 ir 108 straipsnių taikymo </w:t>
      </w:r>
      <w:r w:rsidRPr="00CA2188">
        <w:rPr>
          <w:i/>
        </w:rPr>
        <w:t>de minimis</w:t>
      </w:r>
      <w:r w:rsidRPr="0079016E">
        <w:t xml:space="preserve"> pagalbai (OL 2013 L 352, p. 1) nuostatas, neteikiama.</w:t>
      </w:r>
      <w:r w:rsidR="00EC7CEB">
        <w:t xml:space="preserve"> </w:t>
      </w:r>
      <w:r w:rsidR="00654CB8">
        <w:t xml:space="preserve">Pareiškėjas pagal </w:t>
      </w:r>
      <w:r w:rsidR="00EC7CEB">
        <w:t>Aprašą nėra laikomas valstybės pagalbos gavėju, jei atitinka šį reikalavimą</w:t>
      </w:r>
      <w:r w:rsidR="00F8614A">
        <w:t xml:space="preserve"> – pareiškėjo </w:t>
      </w:r>
      <w:r w:rsidR="00B46ECA">
        <w:t xml:space="preserve">ir partnerio </w:t>
      </w:r>
      <w:r w:rsidR="00F8614A">
        <w:t xml:space="preserve">vykdoma ekonominė veikla neviršija </w:t>
      </w:r>
      <w:r w:rsidR="00F8614A" w:rsidRPr="00CC20F4">
        <w:t xml:space="preserve">20 </w:t>
      </w:r>
      <w:r w:rsidR="00F8614A">
        <w:t xml:space="preserve">proc. pareiškėjo </w:t>
      </w:r>
      <w:r w:rsidR="00F8614A" w:rsidRPr="00F8614A">
        <w:t>bendro metinio pajėgumo</w:t>
      </w:r>
      <w:r w:rsidR="00F8614A">
        <w:t xml:space="preserve">, kaip nurodyta </w:t>
      </w:r>
      <w:r w:rsidR="00B01652">
        <w:t>Komunikato</w:t>
      </w:r>
      <w:r w:rsidR="00654CB8" w:rsidRPr="00654CB8">
        <w:t xml:space="preserve"> </w:t>
      </w:r>
      <w:r w:rsidR="002852A7">
        <w:t>20</w:t>
      </w:r>
      <w:r w:rsidR="00654CB8" w:rsidRPr="00654CB8">
        <w:t xml:space="preserve"> punkte.</w:t>
      </w:r>
      <w:r w:rsidR="002852A7">
        <w:t xml:space="preserve"> </w:t>
      </w:r>
      <w:r w:rsidR="00ED2C3F">
        <w:t>Kartu su paraiška</w:t>
      </w:r>
      <w:r w:rsidR="00ED2C3F" w:rsidRPr="00ED2C3F">
        <w:t xml:space="preserve"> pareiškėjas </w:t>
      </w:r>
      <w:r w:rsidR="00B46ECA">
        <w:t xml:space="preserve">ir partneris </w:t>
      </w:r>
      <w:r w:rsidR="00ED2C3F" w:rsidRPr="00ED2C3F">
        <w:t>turi pateikti dokumentus, įrodančius</w:t>
      </w:r>
      <w:r w:rsidR="00ED2C3F">
        <w:t xml:space="preserve">, kad </w:t>
      </w:r>
      <w:r w:rsidR="00B46ECA">
        <w:t xml:space="preserve">jų </w:t>
      </w:r>
      <w:r w:rsidR="00B01652">
        <w:t xml:space="preserve">atstovaujamos mokslo ir studijų institucijos </w:t>
      </w:r>
      <w:r w:rsidR="00ED2C3F" w:rsidRPr="00ED2C3F">
        <w:t>vykdoma ekonominė veik</w:t>
      </w:r>
      <w:r w:rsidR="00B46ECA">
        <w:t>la neviršija 20 proc.</w:t>
      </w:r>
      <w:r w:rsidR="00ED2C3F" w:rsidRPr="00ED2C3F">
        <w:t xml:space="preserve"> bendro metinio pajėgumo</w:t>
      </w:r>
      <w:r w:rsidR="00B46ECA">
        <w:t xml:space="preserve"> (tinkamą </w:t>
      </w:r>
      <w:r w:rsidR="00ED2C3F" w:rsidRPr="00ED2C3F">
        <w:t>ekonominės ir neekonominės veiklos rūšių, jų išlaidų, finansavimo ir pajamų atskyrimą (</w:t>
      </w:r>
      <w:r w:rsidR="00621DB9" w:rsidRPr="00621DB9">
        <w:t>pvz., paskutinė patvirtinta ir paskutinė tarpinė finansinė atskaitomybė, detalizuojant finansinės būklės ir veiklos rezultatų ataskaitų straipsnius pagal pajamų finansavimo šaltinius ir sumas, pagrindžiančius ekonominės veiklos pajamas/išlaidas</w:t>
      </w:r>
      <w:r w:rsidR="00394B3C">
        <w:t>)</w:t>
      </w:r>
      <w:r w:rsidR="00ED2C3F" w:rsidRPr="00ED2C3F">
        <w:t>.</w:t>
      </w:r>
      <w:r w:rsidR="00ED2C3F">
        <w:t xml:space="preserve"> </w:t>
      </w:r>
    </w:p>
    <w:p w:rsidR="00EC7CEB" w:rsidRDefault="00EC7CEB">
      <w:pPr>
        <w:keepNext/>
        <w:jc w:val="center"/>
        <w:rPr>
          <w:b/>
          <w:szCs w:val="24"/>
          <w:lang w:eastAsia="lt-LT"/>
        </w:rPr>
      </w:pPr>
    </w:p>
    <w:p w:rsidR="00362019" w:rsidRDefault="008920BD">
      <w:pPr>
        <w:keepNext/>
        <w:jc w:val="center"/>
        <w:rPr>
          <w:b/>
          <w:szCs w:val="24"/>
          <w:lang w:eastAsia="lt-LT"/>
        </w:rPr>
      </w:pPr>
      <w:r>
        <w:rPr>
          <w:b/>
          <w:szCs w:val="24"/>
          <w:lang w:eastAsia="lt-LT"/>
        </w:rPr>
        <w:t>IV SKYRIUS</w:t>
      </w:r>
    </w:p>
    <w:p w:rsidR="00362019" w:rsidRDefault="008920BD">
      <w:pPr>
        <w:keepNext/>
        <w:ind w:firstLine="62"/>
        <w:jc w:val="center"/>
        <w:rPr>
          <w:b/>
          <w:szCs w:val="24"/>
          <w:lang w:eastAsia="lt-LT"/>
        </w:rPr>
      </w:pPr>
      <w:r>
        <w:rPr>
          <w:b/>
          <w:szCs w:val="24"/>
          <w:lang w:eastAsia="lt-LT"/>
        </w:rPr>
        <w:t>TINKAMŲ FINANSUOTI PROJEKTO IŠLAIDŲ IR FINANSAVIMO REIKALAVIMAI</w:t>
      </w:r>
    </w:p>
    <w:p w:rsidR="00362019" w:rsidRDefault="00362019">
      <w:pPr>
        <w:keepNext/>
        <w:rPr>
          <w:lang w:eastAsia="lt-LT"/>
        </w:rPr>
      </w:pPr>
    </w:p>
    <w:p w:rsidR="00362019" w:rsidRDefault="00A448DB">
      <w:pPr>
        <w:ind w:firstLine="709"/>
        <w:jc w:val="both"/>
        <w:rPr>
          <w:lang w:eastAsia="lt-LT"/>
        </w:rPr>
      </w:pPr>
      <w:r>
        <w:rPr>
          <w:lang w:eastAsia="lt-LT"/>
        </w:rPr>
        <w:t>33</w:t>
      </w:r>
      <w:r w:rsidR="008920BD">
        <w:rPr>
          <w:lang w:eastAsia="lt-LT"/>
        </w:rPr>
        <w:t xml:space="preserve">. Projekto išlaidos turi atitikti Projektų taisyklių VI skyriuje ir Rekomendacijose dėl projektų išlaidų atitikties Europos Sąjungos struktūrinių fondų reikalavimams išdėstytus projekto išlaidoms taikomus reikalavimus bei </w:t>
      </w:r>
      <w:r w:rsidR="008920BD">
        <w:t>Reglamento Nr. 651/2014 25 ir 26 straipsniuose nustatytus reikalavimus.</w:t>
      </w:r>
      <w:r w:rsidR="008920BD">
        <w:rPr>
          <w:lang w:eastAsia="lt-LT"/>
        </w:rPr>
        <w:t xml:space="preserve"> </w:t>
      </w:r>
      <w:r w:rsidR="008920BD">
        <w:t>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362019" w:rsidRPr="001D73C6" w:rsidRDefault="00A448DB">
      <w:pPr>
        <w:ind w:firstLine="709"/>
        <w:jc w:val="both"/>
        <w:rPr>
          <w:lang w:eastAsia="lt-LT"/>
        </w:rPr>
      </w:pPr>
      <w:r w:rsidRPr="002852A7">
        <w:rPr>
          <w:lang w:eastAsia="lt-LT"/>
        </w:rPr>
        <w:t>34</w:t>
      </w:r>
      <w:r w:rsidR="008920BD" w:rsidRPr="002852A7">
        <w:rPr>
          <w:lang w:eastAsia="lt-LT"/>
        </w:rPr>
        <w:t>. Didžiausia galima projektui skir</w:t>
      </w:r>
      <w:r w:rsidR="009B3AEA" w:rsidRPr="002852A7">
        <w:rPr>
          <w:lang w:eastAsia="lt-LT"/>
        </w:rPr>
        <w:t xml:space="preserve">ti finansavimo lėšų suma </w:t>
      </w:r>
      <w:r w:rsidR="009B3AEA" w:rsidRPr="001D73C6">
        <w:rPr>
          <w:lang w:eastAsia="lt-LT"/>
        </w:rPr>
        <w:t>yra 700 000,00 Eur (septyni šimtai tūkstančių</w:t>
      </w:r>
      <w:r w:rsidR="008920BD" w:rsidRPr="001D73C6">
        <w:rPr>
          <w:lang w:eastAsia="lt-LT"/>
        </w:rPr>
        <w:t xml:space="preserve"> eurų).</w:t>
      </w:r>
    </w:p>
    <w:p w:rsidR="00362019" w:rsidRDefault="00A448DB">
      <w:pPr>
        <w:ind w:firstLine="709"/>
        <w:jc w:val="both"/>
        <w:rPr>
          <w:lang w:eastAsia="lt-LT"/>
        </w:rPr>
      </w:pPr>
      <w:r w:rsidRPr="001D73C6">
        <w:rPr>
          <w:lang w:eastAsia="lt-LT"/>
        </w:rPr>
        <w:t>35</w:t>
      </w:r>
      <w:r w:rsidR="008920BD" w:rsidRPr="001D73C6">
        <w:rPr>
          <w:lang w:eastAsia="lt-LT"/>
        </w:rPr>
        <w:t>. Mažiausia projektui galima sk</w:t>
      </w:r>
      <w:r w:rsidR="009B3AEA" w:rsidRPr="001D73C6">
        <w:rPr>
          <w:lang w:eastAsia="lt-LT"/>
        </w:rPr>
        <w:t xml:space="preserve">irti finansavimo lėšų suma yra </w:t>
      </w:r>
      <w:r w:rsidR="002852A7" w:rsidRPr="001D73C6">
        <w:rPr>
          <w:lang w:eastAsia="lt-LT"/>
        </w:rPr>
        <w:t>2</w:t>
      </w:r>
      <w:r w:rsidR="008920BD" w:rsidRPr="001D73C6">
        <w:rPr>
          <w:lang w:eastAsia="lt-LT"/>
        </w:rPr>
        <w:t xml:space="preserve">00 000,00 Eur </w:t>
      </w:r>
      <w:r w:rsidR="009B3AEA" w:rsidRPr="001D73C6">
        <w:rPr>
          <w:lang w:eastAsia="lt-LT"/>
        </w:rPr>
        <w:t>(vienas</w:t>
      </w:r>
      <w:r w:rsidR="009B3AEA" w:rsidRPr="002852A7">
        <w:rPr>
          <w:lang w:eastAsia="lt-LT"/>
        </w:rPr>
        <w:t xml:space="preserve"> šimtas</w:t>
      </w:r>
      <w:r w:rsidR="008920BD" w:rsidRPr="002852A7">
        <w:rPr>
          <w:lang w:eastAsia="lt-LT"/>
        </w:rPr>
        <w:t xml:space="preserve"> tūkstančių eurų).</w:t>
      </w:r>
    </w:p>
    <w:p w:rsidR="00362019" w:rsidRDefault="00A448DB">
      <w:pPr>
        <w:overflowPunct w:val="0"/>
        <w:ind w:firstLine="709"/>
        <w:jc w:val="both"/>
        <w:textAlignment w:val="baseline"/>
        <w:rPr>
          <w:lang w:eastAsia="lt-LT"/>
        </w:rPr>
      </w:pPr>
      <w:r>
        <w:lastRenderedPageBreak/>
        <w:t>36</w:t>
      </w:r>
      <w:r w:rsidR="008920BD">
        <w:t>. Didžiausia galima projekto finansuojamoji dalis sudaro 100 procentų visų tinkamų finansuoti projekto išlaid</w:t>
      </w:r>
      <w:r>
        <w:t xml:space="preserve">ų. </w:t>
      </w:r>
      <w:r w:rsidR="008920BD">
        <w:t>Pareiškėjas ir (arba) partneris savo iniciatyva savo ir (arba) kitų šaltinių lėšomis gali prisidėt</w:t>
      </w:r>
      <w:r>
        <w:t>i prie projekto įgyvendinimo</w:t>
      </w:r>
      <w:r w:rsidR="008920BD">
        <w:t>.</w:t>
      </w:r>
    </w:p>
    <w:p w:rsidR="00362019" w:rsidRDefault="00A448DB">
      <w:pPr>
        <w:ind w:firstLine="709"/>
        <w:jc w:val="both"/>
        <w:rPr>
          <w:lang w:eastAsia="lt-LT"/>
        </w:rPr>
      </w:pPr>
      <w:r>
        <w:rPr>
          <w:rFonts w:eastAsia="Calibri"/>
          <w:szCs w:val="24"/>
        </w:rPr>
        <w:t>37</w:t>
      </w:r>
      <w:r w:rsidR="008920BD">
        <w:rPr>
          <w:rFonts w:eastAsia="Calibri"/>
          <w:szCs w:val="24"/>
        </w:rPr>
        <w:t>. Projekto biudžetas sudaromas vadovaujantis Rekomendacijomis dėl projektų išlaidų atitikties Europos Sąjungos struktūrinių fondų reikalavimams. Jeigu projektas įgyvendinamas su partneriais, pareiškėjas turi patirti ne mažiau kaip 50 procentų tinkamų finansuoti išlaidų.</w:t>
      </w:r>
      <w:r w:rsidR="008920BD">
        <w:t xml:space="preserve"> </w:t>
      </w:r>
    </w:p>
    <w:p w:rsidR="00362019" w:rsidRDefault="00A448DB">
      <w:pPr>
        <w:ind w:firstLine="709"/>
        <w:jc w:val="both"/>
        <w:rPr>
          <w:lang w:eastAsia="lt-LT"/>
        </w:rPr>
      </w:pPr>
      <w:r>
        <w:rPr>
          <w:lang w:eastAsia="lt-LT"/>
        </w:rPr>
        <w:t>38</w:t>
      </w:r>
      <w:r w:rsidR="008920BD">
        <w:rPr>
          <w:lang w:eastAsia="lt-LT"/>
        </w:rPr>
        <w:t xml:space="preserve">. Projekto tinkamų finansuoti išlaidų dalis, kurios nepadengia projektui skiriamo finansavimo lėšos, turi būti finansuojama iš projekto vykdytojo ir (ar) partnerio (-ių) lėšų. </w:t>
      </w:r>
    </w:p>
    <w:p w:rsidR="00362019" w:rsidRDefault="00A448DB">
      <w:pPr>
        <w:ind w:firstLine="709"/>
        <w:jc w:val="both"/>
        <w:rPr>
          <w:rFonts w:eastAsia="Calibri"/>
          <w:szCs w:val="24"/>
        </w:rPr>
      </w:pPr>
      <w:r>
        <w:rPr>
          <w:rFonts w:eastAsia="Calibri"/>
          <w:szCs w:val="24"/>
        </w:rPr>
        <w:t>39</w:t>
      </w:r>
      <w:r w:rsidR="008920BD">
        <w:rPr>
          <w:rFonts w:eastAsia="Calibri"/>
          <w:szCs w:val="24"/>
        </w:rPr>
        <w:t>. Pagal Aprašą tinkamų arba netinkamų finansuoti išlaid</w:t>
      </w:r>
      <w:r>
        <w:rPr>
          <w:rFonts w:eastAsia="Calibri"/>
          <w:szCs w:val="24"/>
        </w:rPr>
        <w:t>ų kategorijos nurodytos Aprašo 1</w:t>
      </w:r>
      <w:r w:rsidR="008920BD">
        <w:rPr>
          <w:rFonts w:eastAsia="Calibri"/>
          <w:szCs w:val="24"/>
        </w:rPr>
        <w:t xml:space="preserve"> lentelėje.</w:t>
      </w:r>
    </w:p>
    <w:p w:rsidR="00F84C40" w:rsidRDefault="00F84C40">
      <w:pPr>
        <w:ind w:firstLine="709"/>
        <w:jc w:val="both"/>
        <w:rPr>
          <w:rFonts w:eastAsia="Calibri"/>
          <w:szCs w:val="24"/>
        </w:rPr>
      </w:pPr>
    </w:p>
    <w:p w:rsidR="00362019" w:rsidRDefault="00A448DB">
      <w:pPr>
        <w:ind w:firstLine="709"/>
        <w:jc w:val="both"/>
        <w:rPr>
          <w:rFonts w:eastAsia="Calibri"/>
          <w:szCs w:val="24"/>
        </w:rPr>
      </w:pPr>
      <w:r>
        <w:rPr>
          <w:rFonts w:eastAsia="Calibri"/>
          <w:szCs w:val="24"/>
        </w:rPr>
        <w:t>1</w:t>
      </w:r>
      <w:r w:rsidR="008920BD">
        <w:rPr>
          <w:rFonts w:eastAsia="Calibri"/>
          <w:szCs w:val="24"/>
        </w:rPr>
        <w:t xml:space="preserve"> lentelė. Tinkamų arba netinkamų finansuoti išlaidų kategorijos.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8"/>
        <w:gridCol w:w="1843"/>
        <w:gridCol w:w="6237"/>
      </w:tblGrid>
      <w:tr w:rsidR="00C953C3"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ind w:left="-57" w:right="-57"/>
              <w:jc w:val="center"/>
              <w:rPr>
                <w:b/>
                <w:bCs/>
                <w:szCs w:val="24"/>
                <w:lang w:eastAsia="lt-LT"/>
              </w:rPr>
            </w:pPr>
            <w:r>
              <w:rPr>
                <w:b/>
                <w:bCs/>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ind w:left="-57" w:right="-57"/>
              <w:jc w:val="center"/>
              <w:rPr>
                <w:b/>
                <w:bCs/>
                <w:szCs w:val="24"/>
                <w:lang w:eastAsia="lt-LT"/>
              </w:rPr>
            </w:pPr>
            <w:r>
              <w:rPr>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ind w:left="-57" w:right="-57"/>
              <w:jc w:val="center"/>
              <w:rPr>
                <w:b/>
                <w:szCs w:val="24"/>
                <w:lang w:eastAsia="lt-LT"/>
              </w:rPr>
            </w:pPr>
            <w:r>
              <w:rPr>
                <w:b/>
                <w:szCs w:val="24"/>
                <w:lang w:eastAsia="lt-LT"/>
              </w:rPr>
              <w:t>Reikalavimai ir paaiškinimai</w:t>
            </w:r>
          </w:p>
        </w:tc>
      </w:tr>
      <w:tr w:rsidR="00C953C3"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953C3" w:rsidRDefault="00C953C3" w:rsidP="004072F7">
            <w:pPr>
              <w:rPr>
                <w:szCs w:val="24"/>
                <w:lang w:eastAsia="lt-LT"/>
              </w:rPr>
            </w:pPr>
            <w:r>
              <w:rPr>
                <w:szCs w:val="24"/>
                <w:lang w:eastAsia="lt-LT"/>
              </w:rPr>
              <w:t>Netinkamos finansuoti išlaidos.</w:t>
            </w:r>
          </w:p>
        </w:tc>
      </w:tr>
      <w:tr w:rsidR="00C953C3"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953C3" w:rsidRDefault="00C953C3" w:rsidP="004072F7">
            <w:pPr>
              <w:rPr>
                <w:bCs/>
                <w:szCs w:val="24"/>
                <w:lang w:eastAsia="lt-LT"/>
              </w:rPr>
            </w:pPr>
            <w:r>
              <w:rPr>
                <w:bCs/>
                <w:szCs w:val="24"/>
                <w:lang w:eastAsia="lt-LT"/>
              </w:rPr>
              <w:t xml:space="preserve">Netinkamos finansuoti išlaidos. </w:t>
            </w:r>
          </w:p>
        </w:tc>
      </w:tr>
      <w:tr w:rsidR="00C953C3" w:rsidRPr="001D39AF"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ind w:right="-57"/>
              <w:rPr>
                <w:b/>
                <w:bCs/>
                <w:szCs w:val="24"/>
                <w:lang w:eastAsia="lt-LT"/>
              </w:rPr>
            </w:pPr>
            <w:r>
              <w:rPr>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C953C3" w:rsidRPr="001D39AF" w:rsidRDefault="00C953C3" w:rsidP="004072F7">
            <w:pPr>
              <w:jc w:val="both"/>
              <w:rPr>
                <w:b/>
                <w:bCs/>
                <w:szCs w:val="24"/>
                <w:lang w:eastAsia="lt-LT"/>
              </w:rPr>
            </w:pPr>
            <w:r w:rsidRPr="001D39AF">
              <w:rPr>
                <w:szCs w:val="24"/>
                <w:lang w:eastAsia="lt-LT"/>
              </w:rPr>
              <w:t xml:space="preserve">Paprastojo remonto išlaidos demonstracinėms </w:t>
            </w:r>
            <w:r w:rsidRPr="001D39AF">
              <w:t xml:space="preserve">erdvėms įrengti. Šios išlaidos kartu su </w:t>
            </w:r>
            <w:r w:rsidRPr="00AB5CA5">
              <w:t>4 i</w:t>
            </w:r>
            <w:r>
              <w:t>šlaidų kategorijos</w:t>
            </w:r>
            <w:r w:rsidRPr="001D39AF">
              <w:t xml:space="preserve"> </w:t>
            </w:r>
            <w:r w:rsidRPr="00AB5CA5">
              <w:t xml:space="preserve">1 punkte </w:t>
            </w:r>
            <w:r>
              <w:t xml:space="preserve">nurodytomis išlaidomis negali sudaryti daugiau kaip </w:t>
            </w:r>
            <w:r w:rsidRPr="00694A45">
              <w:t xml:space="preserve">20 </w:t>
            </w:r>
            <w:r>
              <w:t xml:space="preserve">proc. </w:t>
            </w:r>
            <w:r w:rsidRPr="001D39AF">
              <w:t>visų tinkamų finansuoti projekto išlaidų</w:t>
            </w:r>
            <w:r>
              <w:t>.</w:t>
            </w:r>
          </w:p>
        </w:tc>
      </w:tr>
      <w:tr w:rsidR="00C953C3" w:rsidRPr="00F52D5C"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rsidR="00C953C3" w:rsidRDefault="00C953C3" w:rsidP="004072F7">
            <w:pPr>
              <w:spacing w:before="60" w:after="200"/>
              <w:jc w:val="both"/>
            </w:pPr>
            <w:r>
              <w:t>1. įranga</w:t>
            </w:r>
            <w:r w:rsidRPr="000B3E15">
              <w:t xml:space="preserve">, </w:t>
            </w:r>
            <w:r>
              <w:t>baldai</w:t>
            </w:r>
            <w:r w:rsidRPr="004829BF">
              <w:t xml:space="preserve">, </w:t>
            </w:r>
            <w:r>
              <w:t xml:space="preserve">kitas </w:t>
            </w:r>
            <w:r w:rsidRPr="007511E1">
              <w:t>ilgalaikis</w:t>
            </w:r>
            <w:r>
              <w:t xml:space="preserve"> turtas</w:t>
            </w:r>
            <w:r w:rsidRPr="0022589A">
              <w:t>, skirti MTEP rezultatų bandomųjų versijų demonstravimui</w:t>
            </w:r>
            <w:r>
              <w:rPr>
                <w:rFonts w:eastAsia="Calibri"/>
                <w:color w:val="2E74B5" w:themeColor="accent1" w:themeShade="BF"/>
                <w:szCs w:val="24"/>
              </w:rPr>
              <w:t>;</w:t>
            </w:r>
            <w:r w:rsidRPr="00666036">
              <w:rPr>
                <w:rFonts w:eastAsia="Calibri"/>
                <w:color w:val="2E74B5" w:themeColor="accent1" w:themeShade="BF"/>
                <w:szCs w:val="24"/>
              </w:rPr>
              <w:t xml:space="preserve"> </w:t>
            </w:r>
          </w:p>
          <w:p w:rsidR="00C953C3" w:rsidRPr="00F52D5C" w:rsidRDefault="00C953C3" w:rsidP="007A2A69">
            <w:pPr>
              <w:spacing w:before="60" w:after="200"/>
              <w:ind w:left="28"/>
              <w:jc w:val="both"/>
            </w:pPr>
            <w:r>
              <w:t xml:space="preserve">2. </w:t>
            </w:r>
            <w:r w:rsidRPr="004829BF">
              <w:t>kompiuterinė technik</w:t>
            </w:r>
            <w:r>
              <w:t>a</w:t>
            </w:r>
            <w:r w:rsidRPr="004829BF">
              <w:t>, programinė įrang</w:t>
            </w:r>
            <w:r>
              <w:t>a</w:t>
            </w:r>
            <w:r w:rsidR="00B75798">
              <w:t>.</w:t>
            </w:r>
          </w:p>
        </w:tc>
      </w:tr>
      <w:tr w:rsidR="00C953C3"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C953C3" w:rsidRDefault="00C953C3" w:rsidP="004072F7">
            <w:pPr>
              <w:tabs>
                <w:tab w:val="left" w:pos="346"/>
                <w:tab w:val="left" w:pos="630"/>
              </w:tabs>
              <w:jc w:val="both"/>
              <w:rPr>
                <w:szCs w:val="24"/>
                <w:lang w:eastAsia="lt-LT"/>
              </w:rPr>
            </w:pPr>
            <w:r w:rsidRPr="00ED1E73">
              <w:rPr>
                <w:szCs w:val="24"/>
                <w:lang w:eastAsia="lt-LT"/>
              </w:rPr>
              <w:t>1.</w:t>
            </w:r>
            <w:r w:rsidRPr="00ED1E73">
              <w:rPr>
                <w:szCs w:val="24"/>
                <w:lang w:eastAsia="lt-LT"/>
              </w:rPr>
              <w:tab/>
            </w:r>
            <w:r w:rsidR="0086524E">
              <w:rPr>
                <w:szCs w:val="24"/>
                <w:lang w:eastAsia="lt-LT"/>
              </w:rPr>
              <w:t>d</w:t>
            </w:r>
            <w:r>
              <w:rPr>
                <w:szCs w:val="24"/>
                <w:lang w:eastAsia="lt-LT"/>
              </w:rPr>
              <w:t xml:space="preserve">arbo užmokestis (įskaitant paslaugų, autorines sutartis) projekto veiklas vykdančiam personalui: antrepreneriams, vadybininkams; MTEP produktų demonstravime dalyvaujančiam personalui (tyrėjams, </w:t>
            </w:r>
            <w:r w:rsidRPr="00F3586C">
              <w:rPr>
                <w:szCs w:val="24"/>
                <w:lang w:eastAsia="lt-LT"/>
              </w:rPr>
              <w:t>inžinieriams</w:t>
            </w:r>
            <w:r w:rsidR="007A2A69">
              <w:rPr>
                <w:szCs w:val="24"/>
                <w:lang w:eastAsia="lt-LT"/>
              </w:rPr>
              <w:t>,</w:t>
            </w:r>
            <w:r>
              <w:rPr>
                <w:szCs w:val="24"/>
                <w:lang w:eastAsia="lt-LT"/>
              </w:rPr>
              <w:t xml:space="preserve"> </w:t>
            </w:r>
            <w:r w:rsidRPr="00F3586C">
              <w:rPr>
                <w:szCs w:val="24"/>
                <w:lang w:eastAsia="lt-LT"/>
              </w:rPr>
              <w:t>techni</w:t>
            </w:r>
            <w:r>
              <w:rPr>
                <w:szCs w:val="24"/>
                <w:lang w:eastAsia="lt-LT"/>
              </w:rPr>
              <w:t>niam</w:t>
            </w:r>
            <w:r w:rsidRPr="00F3586C">
              <w:rPr>
                <w:szCs w:val="24"/>
                <w:lang w:eastAsia="lt-LT"/>
              </w:rPr>
              <w:t xml:space="preserve"> </w:t>
            </w:r>
            <w:r w:rsidR="007A2A69">
              <w:rPr>
                <w:szCs w:val="24"/>
                <w:lang w:eastAsia="lt-LT"/>
              </w:rPr>
              <w:t xml:space="preserve">ir kt. </w:t>
            </w:r>
            <w:r w:rsidRPr="00F3586C">
              <w:rPr>
                <w:szCs w:val="24"/>
                <w:lang w:eastAsia="lt-LT"/>
              </w:rPr>
              <w:t>personalui</w:t>
            </w:r>
            <w:r>
              <w:rPr>
                <w:szCs w:val="24"/>
                <w:lang w:eastAsia="lt-LT"/>
              </w:rPr>
              <w:t>)</w:t>
            </w:r>
            <w:r w:rsidRPr="00ED1E73">
              <w:rPr>
                <w:szCs w:val="24"/>
                <w:lang w:eastAsia="lt-LT"/>
              </w:rPr>
              <w:t xml:space="preserve">; </w:t>
            </w:r>
          </w:p>
          <w:p w:rsidR="00C953C3" w:rsidRPr="00ED1E73" w:rsidRDefault="00C953C3" w:rsidP="004072F7">
            <w:pPr>
              <w:tabs>
                <w:tab w:val="left" w:pos="346"/>
                <w:tab w:val="left" w:pos="630"/>
              </w:tabs>
              <w:jc w:val="both"/>
              <w:rPr>
                <w:szCs w:val="24"/>
                <w:lang w:eastAsia="lt-LT"/>
              </w:rPr>
            </w:pPr>
            <w:r w:rsidRPr="00ED1E73">
              <w:rPr>
                <w:szCs w:val="24"/>
                <w:lang w:eastAsia="lt-LT"/>
              </w:rPr>
              <w:t>2.</w:t>
            </w:r>
            <w:r w:rsidRPr="00ED1E73">
              <w:rPr>
                <w:szCs w:val="24"/>
                <w:lang w:eastAsia="lt-LT"/>
              </w:rPr>
              <w:tab/>
            </w:r>
            <w:r w:rsidR="0086524E">
              <w:rPr>
                <w:szCs w:val="24"/>
                <w:lang w:eastAsia="lt-LT"/>
              </w:rPr>
              <w:t>p</w:t>
            </w:r>
            <w:r>
              <w:rPr>
                <w:szCs w:val="24"/>
                <w:lang w:eastAsia="lt-LT"/>
              </w:rPr>
              <w:t>rojekto veiklas vykdančio personalo (</w:t>
            </w:r>
            <w:r w:rsidRPr="00DB3FDB">
              <w:rPr>
                <w:szCs w:val="24"/>
                <w:lang w:eastAsia="lt-LT"/>
              </w:rPr>
              <w:t>vadybininkų</w:t>
            </w:r>
            <w:r>
              <w:rPr>
                <w:szCs w:val="24"/>
                <w:lang w:eastAsia="lt-LT"/>
              </w:rPr>
              <w:t>, antreprenerių ir tyrėjų</w:t>
            </w:r>
            <w:r w:rsidR="00394B3C">
              <w:rPr>
                <w:szCs w:val="24"/>
                <w:lang w:eastAsia="lt-LT"/>
              </w:rPr>
              <w:t>)</w:t>
            </w:r>
            <w:r>
              <w:rPr>
                <w:szCs w:val="24"/>
                <w:lang w:eastAsia="lt-LT"/>
              </w:rPr>
              <w:t xml:space="preserve"> užsienio k</w:t>
            </w:r>
            <w:r w:rsidRPr="00ED1E73">
              <w:rPr>
                <w:szCs w:val="24"/>
                <w:lang w:eastAsia="lt-LT"/>
              </w:rPr>
              <w:t>omandiruo</w:t>
            </w:r>
            <w:r>
              <w:rPr>
                <w:szCs w:val="24"/>
                <w:lang w:eastAsia="lt-LT"/>
              </w:rPr>
              <w:t>čių</w:t>
            </w:r>
            <w:r w:rsidRPr="00ED1E73">
              <w:rPr>
                <w:szCs w:val="24"/>
                <w:lang w:eastAsia="lt-LT"/>
              </w:rPr>
              <w:t>, stažuo</w:t>
            </w:r>
            <w:r>
              <w:rPr>
                <w:szCs w:val="24"/>
                <w:lang w:eastAsia="lt-LT"/>
              </w:rPr>
              <w:t>čių</w:t>
            </w:r>
            <w:r w:rsidR="00CC20F4">
              <w:rPr>
                <w:szCs w:val="24"/>
                <w:lang w:eastAsia="lt-LT"/>
              </w:rPr>
              <w:t>,</w:t>
            </w:r>
            <w:r w:rsidR="007A2A69">
              <w:rPr>
                <w:szCs w:val="24"/>
                <w:lang w:eastAsia="lt-LT"/>
              </w:rPr>
              <w:t xml:space="preserve"> tikslinių vizitų,</w:t>
            </w:r>
            <w:r w:rsidR="00394B3C">
              <w:rPr>
                <w:szCs w:val="24"/>
                <w:lang w:eastAsia="lt-LT"/>
              </w:rPr>
              <w:t xml:space="preserve"> </w:t>
            </w:r>
            <w:r w:rsidRPr="00ED1E73">
              <w:rPr>
                <w:szCs w:val="24"/>
                <w:lang w:eastAsia="lt-LT"/>
              </w:rPr>
              <w:t>dalyvavimo renginiuose (dalyvio mokestis)</w:t>
            </w:r>
            <w:r>
              <w:rPr>
                <w:szCs w:val="24"/>
                <w:lang w:eastAsia="lt-LT"/>
              </w:rPr>
              <w:t xml:space="preserve">, susijusiuose su MTEP rezultatų komercinimu, </w:t>
            </w:r>
            <w:r w:rsidRPr="00ED1E73">
              <w:rPr>
                <w:szCs w:val="24"/>
                <w:lang w:eastAsia="lt-LT"/>
              </w:rPr>
              <w:t>išlaidos</w:t>
            </w:r>
            <w:r>
              <w:rPr>
                <w:szCs w:val="24"/>
                <w:lang w:eastAsia="lt-LT"/>
              </w:rPr>
              <w:t xml:space="preserve"> (komandiruotės</w:t>
            </w:r>
            <w:r w:rsidR="007A2A69">
              <w:rPr>
                <w:szCs w:val="24"/>
                <w:lang w:eastAsia="lt-LT"/>
              </w:rPr>
              <w:t>, tiksliniai vizitai</w:t>
            </w:r>
            <w:r>
              <w:rPr>
                <w:szCs w:val="24"/>
                <w:lang w:eastAsia="lt-LT"/>
              </w:rPr>
              <w:t xml:space="preserve"> ir stažuotės </w:t>
            </w:r>
            <w:r w:rsidRPr="00A10299">
              <w:rPr>
                <w:szCs w:val="24"/>
                <w:lang w:eastAsia="lt-LT"/>
              </w:rPr>
              <w:t>turi būti skirtos antrepre</w:t>
            </w:r>
            <w:r>
              <w:rPr>
                <w:szCs w:val="24"/>
                <w:lang w:eastAsia="lt-LT"/>
              </w:rPr>
              <w:t xml:space="preserve">nerystės kompetencijoms ugdyti ir (ar) </w:t>
            </w:r>
            <w:r w:rsidRPr="00A10299">
              <w:rPr>
                <w:szCs w:val="24"/>
                <w:lang w:eastAsia="lt-LT"/>
              </w:rPr>
              <w:t>MTEP rezultat</w:t>
            </w:r>
            <w:r>
              <w:rPr>
                <w:szCs w:val="24"/>
                <w:lang w:eastAsia="lt-LT"/>
              </w:rPr>
              <w:t>ams pristatyti). Stažuotės turi</w:t>
            </w:r>
            <w:r w:rsidRPr="00A10299">
              <w:rPr>
                <w:szCs w:val="24"/>
                <w:lang w:eastAsia="lt-LT"/>
              </w:rPr>
              <w:t xml:space="preserve"> būti ne trumpesnės kaip 10 d. d., tačiau į jas gali būti vykstama etapais</w:t>
            </w:r>
            <w:r>
              <w:rPr>
                <w:szCs w:val="24"/>
                <w:lang w:eastAsia="lt-LT"/>
              </w:rPr>
              <w:t>)</w:t>
            </w:r>
            <w:r w:rsidRPr="00ED1E73">
              <w:rPr>
                <w:szCs w:val="24"/>
                <w:lang w:eastAsia="lt-LT"/>
              </w:rPr>
              <w:t>;</w:t>
            </w:r>
          </w:p>
          <w:p w:rsidR="00C953C3" w:rsidRPr="00ED1E73" w:rsidRDefault="00C953C3" w:rsidP="004072F7">
            <w:pPr>
              <w:tabs>
                <w:tab w:val="left" w:pos="346"/>
                <w:tab w:val="left" w:pos="630"/>
              </w:tabs>
              <w:jc w:val="both"/>
              <w:rPr>
                <w:szCs w:val="24"/>
                <w:lang w:eastAsia="lt-LT"/>
              </w:rPr>
            </w:pPr>
            <w:r w:rsidRPr="00ED1E73">
              <w:rPr>
                <w:szCs w:val="24"/>
                <w:lang w:eastAsia="lt-LT"/>
              </w:rPr>
              <w:t>3.</w:t>
            </w:r>
            <w:r w:rsidRPr="00ED1E73">
              <w:rPr>
                <w:szCs w:val="24"/>
                <w:lang w:eastAsia="lt-LT"/>
              </w:rPr>
              <w:tab/>
            </w:r>
            <w:r w:rsidR="0086524E">
              <w:rPr>
                <w:szCs w:val="24"/>
                <w:lang w:eastAsia="lt-LT"/>
              </w:rPr>
              <w:t>e</w:t>
            </w:r>
            <w:r w:rsidRPr="00ED1E73">
              <w:rPr>
                <w:szCs w:val="24"/>
                <w:lang w:eastAsia="lt-LT"/>
              </w:rPr>
              <w:t>kspertų</w:t>
            </w:r>
            <w:r>
              <w:rPr>
                <w:szCs w:val="24"/>
                <w:lang w:eastAsia="lt-LT"/>
              </w:rPr>
              <w:t xml:space="preserve">, </w:t>
            </w:r>
            <w:r w:rsidRPr="00ED1E73">
              <w:rPr>
                <w:szCs w:val="24"/>
                <w:lang w:eastAsia="lt-LT"/>
              </w:rPr>
              <w:t>konsultantų, lektorių iš užsienio teikiamų paslaugų</w:t>
            </w:r>
            <w:r>
              <w:rPr>
                <w:szCs w:val="24"/>
                <w:lang w:eastAsia="lt-LT"/>
              </w:rPr>
              <w:t xml:space="preserve"> apmokėjimas (pagal darbo, paslaugų</w:t>
            </w:r>
            <w:r w:rsidRPr="00ED1E73">
              <w:rPr>
                <w:szCs w:val="24"/>
                <w:lang w:eastAsia="lt-LT"/>
              </w:rPr>
              <w:t xml:space="preserve"> ar autorines sutartis), įskaitant </w:t>
            </w:r>
            <w:r>
              <w:rPr>
                <w:szCs w:val="24"/>
                <w:lang w:eastAsia="lt-LT"/>
              </w:rPr>
              <w:t xml:space="preserve">jų </w:t>
            </w:r>
            <w:r w:rsidRPr="00ED1E73">
              <w:rPr>
                <w:szCs w:val="24"/>
                <w:lang w:eastAsia="lt-LT"/>
              </w:rPr>
              <w:t>kelionių ir apgyvendinimo išlaidas;</w:t>
            </w:r>
          </w:p>
          <w:p w:rsidR="00C953C3" w:rsidRDefault="00C953C3" w:rsidP="004072F7">
            <w:pPr>
              <w:tabs>
                <w:tab w:val="left" w:pos="346"/>
                <w:tab w:val="left" w:pos="630"/>
              </w:tabs>
              <w:jc w:val="both"/>
              <w:rPr>
                <w:szCs w:val="24"/>
                <w:lang w:eastAsia="lt-LT"/>
              </w:rPr>
            </w:pPr>
            <w:r w:rsidRPr="00ED1E73">
              <w:rPr>
                <w:szCs w:val="24"/>
                <w:lang w:eastAsia="lt-LT"/>
              </w:rPr>
              <w:t>4.</w:t>
            </w:r>
            <w:r w:rsidRPr="00ED1E73">
              <w:rPr>
                <w:szCs w:val="24"/>
                <w:lang w:eastAsia="lt-LT"/>
              </w:rPr>
              <w:tab/>
            </w:r>
            <w:r w:rsidR="0086524E">
              <w:rPr>
                <w:szCs w:val="24"/>
                <w:lang w:eastAsia="lt-LT"/>
              </w:rPr>
              <w:t>p</w:t>
            </w:r>
            <w:r>
              <w:rPr>
                <w:szCs w:val="24"/>
                <w:lang w:eastAsia="lt-LT"/>
              </w:rPr>
              <w:t>aslaugos: renginių, parodų ir kelionių organizavimo, leidybos, rinkų t</w:t>
            </w:r>
            <w:r w:rsidRPr="00ED1E73">
              <w:rPr>
                <w:szCs w:val="24"/>
                <w:lang w:eastAsia="lt-LT"/>
              </w:rPr>
              <w:t>yrimų</w:t>
            </w:r>
            <w:r w:rsidR="007A2A69">
              <w:rPr>
                <w:szCs w:val="24"/>
                <w:lang w:eastAsia="lt-LT"/>
              </w:rPr>
              <w:t xml:space="preserve"> ir</w:t>
            </w:r>
            <w:r>
              <w:rPr>
                <w:szCs w:val="24"/>
                <w:lang w:eastAsia="lt-LT"/>
              </w:rPr>
              <w:t xml:space="preserve"> paieškos; MTEP </w:t>
            </w:r>
            <w:r>
              <w:t>bandomųjų maketų ir prototipų parengimo;</w:t>
            </w:r>
            <w:r w:rsidRPr="00ED1E73">
              <w:rPr>
                <w:szCs w:val="24"/>
                <w:lang w:eastAsia="lt-LT"/>
              </w:rPr>
              <w:t xml:space="preserve"> </w:t>
            </w:r>
            <w:r>
              <w:t>vadybos sistemų (standartų) diegimo;</w:t>
            </w:r>
          </w:p>
          <w:p w:rsidR="00C953C3" w:rsidRDefault="00C953C3" w:rsidP="004072F7">
            <w:pPr>
              <w:tabs>
                <w:tab w:val="left" w:pos="346"/>
                <w:tab w:val="left" w:pos="630"/>
              </w:tabs>
              <w:jc w:val="both"/>
              <w:rPr>
                <w:szCs w:val="24"/>
                <w:lang w:eastAsia="lt-LT"/>
              </w:rPr>
            </w:pPr>
            <w:r>
              <w:rPr>
                <w:szCs w:val="24"/>
                <w:lang w:eastAsia="lt-LT"/>
              </w:rPr>
              <w:t xml:space="preserve">5. </w:t>
            </w:r>
            <w:r w:rsidRPr="00ED1E73">
              <w:rPr>
                <w:szCs w:val="24"/>
                <w:lang w:eastAsia="lt-LT"/>
              </w:rPr>
              <w:t xml:space="preserve">mokymų </w:t>
            </w:r>
            <w:r>
              <w:rPr>
                <w:szCs w:val="24"/>
                <w:lang w:eastAsia="lt-LT"/>
              </w:rPr>
              <w:t xml:space="preserve">intelektinės nuosavybės, antreprenerystės </w:t>
            </w:r>
            <w:r w:rsidRPr="00ED1E73">
              <w:rPr>
                <w:szCs w:val="24"/>
                <w:lang w:eastAsia="lt-LT"/>
              </w:rPr>
              <w:t xml:space="preserve">organizavimo </w:t>
            </w:r>
            <w:r>
              <w:rPr>
                <w:szCs w:val="24"/>
                <w:lang w:eastAsia="lt-LT"/>
              </w:rPr>
              <w:t xml:space="preserve">mokslo ir studijų institucijose klausimais organizavimo išlaidos </w:t>
            </w:r>
            <w:r>
              <w:t xml:space="preserve">(pripažįstamos tinkamomis tik tiems pareiškėjams, kurie nėra gavę  </w:t>
            </w:r>
            <w:r w:rsidRPr="00361DFC">
              <w:t xml:space="preserve">finansavimo pagal 01.2.2-CPVA-K-703 priemonės „Kompetencijos centrų ir inovacijų ir </w:t>
            </w:r>
            <w:r w:rsidRPr="00361DFC">
              <w:lastRenderedPageBreak/>
              <w:t>technologijų perdavimo centrų veiklos skatinimas“ projektų finansavimo sąlygų aprašą Nr. 1</w:t>
            </w:r>
            <w:r>
              <w:t>);</w:t>
            </w:r>
          </w:p>
          <w:p w:rsidR="00C953C3" w:rsidRDefault="00C953C3" w:rsidP="004072F7">
            <w:pPr>
              <w:tabs>
                <w:tab w:val="left" w:pos="346"/>
                <w:tab w:val="left" w:pos="630"/>
              </w:tabs>
              <w:jc w:val="both"/>
              <w:rPr>
                <w:szCs w:val="24"/>
                <w:lang w:eastAsia="lt-LT"/>
              </w:rPr>
            </w:pPr>
            <w:r>
              <w:rPr>
                <w:szCs w:val="24"/>
                <w:lang w:eastAsia="lt-LT"/>
              </w:rPr>
              <w:t xml:space="preserve">6. </w:t>
            </w:r>
            <w:r w:rsidRPr="00ED1E73">
              <w:rPr>
                <w:szCs w:val="24"/>
                <w:lang w:eastAsia="lt-LT"/>
              </w:rPr>
              <w:t xml:space="preserve">trumpalaikio turto, </w:t>
            </w:r>
            <w:r>
              <w:rPr>
                <w:szCs w:val="24"/>
                <w:lang w:eastAsia="lt-LT"/>
              </w:rPr>
              <w:t xml:space="preserve">skirto </w:t>
            </w:r>
            <w:r w:rsidRPr="008D4272">
              <w:rPr>
                <w:szCs w:val="24"/>
                <w:lang w:eastAsia="lt-LT"/>
              </w:rPr>
              <w:t>demonstruoti b</w:t>
            </w:r>
            <w:r w:rsidRPr="008D4272">
              <w:t>andomąsias MTEP produkto versijas</w:t>
            </w:r>
            <w:r>
              <w:t>,</w:t>
            </w:r>
            <w:r>
              <w:rPr>
                <w:szCs w:val="24"/>
                <w:lang w:eastAsia="lt-LT"/>
              </w:rPr>
              <w:t xml:space="preserve"> organizuoti antreprenerystės renginius,</w:t>
            </w:r>
            <w:r w:rsidRPr="00ED1E73">
              <w:rPr>
                <w:szCs w:val="24"/>
                <w:lang w:eastAsia="lt-LT"/>
              </w:rPr>
              <w:t xml:space="preserve"> pirkimo ir </w:t>
            </w:r>
            <w:r>
              <w:rPr>
                <w:szCs w:val="24"/>
                <w:lang w:eastAsia="lt-LT"/>
              </w:rPr>
              <w:t>(arba) nuomos išlaidos;</w:t>
            </w:r>
          </w:p>
          <w:p w:rsidR="00C953C3" w:rsidRPr="00F87504" w:rsidRDefault="00C953C3" w:rsidP="004072F7">
            <w:pPr>
              <w:tabs>
                <w:tab w:val="left" w:pos="346"/>
                <w:tab w:val="left" w:pos="630"/>
              </w:tabs>
              <w:jc w:val="both"/>
              <w:rPr>
                <w:szCs w:val="24"/>
                <w:lang w:eastAsia="lt-LT"/>
              </w:rPr>
            </w:pPr>
            <w:r>
              <w:rPr>
                <w:szCs w:val="24"/>
                <w:lang w:eastAsia="lt-LT"/>
              </w:rPr>
              <w:t>7. n</w:t>
            </w:r>
            <w:r w:rsidRPr="00ED1E73">
              <w:rPr>
                <w:szCs w:val="24"/>
                <w:lang w:eastAsia="lt-LT"/>
              </w:rPr>
              <w:t>arystės tarptautinėse organizacijose, skirtose bendradarbiauti mokslo vadybos ir antreprenerystės srityse</w:t>
            </w:r>
            <w:r>
              <w:rPr>
                <w:szCs w:val="24"/>
                <w:lang w:eastAsia="lt-LT"/>
              </w:rPr>
              <w:t>,</w:t>
            </w:r>
            <w:r w:rsidRPr="00ED1E73">
              <w:rPr>
                <w:szCs w:val="24"/>
                <w:lang w:eastAsia="lt-LT"/>
              </w:rPr>
              <w:t xml:space="preserve"> mokesčiai</w:t>
            </w:r>
            <w:r>
              <w:rPr>
                <w:szCs w:val="24"/>
                <w:lang w:eastAsia="lt-LT"/>
              </w:rPr>
              <w:t>,</w:t>
            </w:r>
            <w:r w:rsidRPr="00ED1E73">
              <w:rPr>
                <w:szCs w:val="24"/>
                <w:lang w:eastAsia="lt-LT"/>
              </w:rPr>
              <w:t xml:space="preserve"> mokesčiai už prieigą</w:t>
            </w:r>
            <w:r>
              <w:rPr>
                <w:szCs w:val="24"/>
                <w:lang w:eastAsia="lt-LT"/>
              </w:rPr>
              <w:t xml:space="preserve"> prie </w:t>
            </w:r>
            <w:r w:rsidRPr="00F87504">
              <w:t>MTEP rezultatų specializuotų komercinių duomenų bazių, skirtų intelektinės nuosavybei tirti ir reikalingos specifinėms analizėms ir rinkos tyrimams atlikti</w:t>
            </w:r>
            <w:r w:rsidRPr="00F87504">
              <w:rPr>
                <w:szCs w:val="24"/>
                <w:lang w:eastAsia="lt-LT"/>
              </w:rPr>
              <w:t>.</w:t>
            </w:r>
          </w:p>
          <w:p w:rsidR="00C953C3" w:rsidRDefault="00C953C3" w:rsidP="004072F7">
            <w:pPr>
              <w:tabs>
                <w:tab w:val="left" w:pos="346"/>
                <w:tab w:val="left" w:pos="630"/>
              </w:tabs>
              <w:jc w:val="both"/>
              <w:rPr>
                <w:szCs w:val="24"/>
                <w:lang w:eastAsia="lt-LT"/>
              </w:rPr>
            </w:pPr>
            <w:r>
              <w:t xml:space="preserve">8. su vadybos sistemų (standartų), reikalingų </w:t>
            </w:r>
            <w:r w:rsidR="003A24BA">
              <w:t>MTEP paslaugų kokybei akredituoti,</w:t>
            </w:r>
            <w:r>
              <w:t xml:space="preserve"> susijusios išlaidos.</w:t>
            </w:r>
          </w:p>
          <w:p w:rsidR="00C953C3" w:rsidRDefault="00C953C3" w:rsidP="004072F7">
            <w:pPr>
              <w:tabs>
                <w:tab w:val="left" w:pos="346"/>
                <w:tab w:val="left" w:pos="630"/>
              </w:tabs>
              <w:jc w:val="both"/>
              <w:rPr>
                <w:szCs w:val="24"/>
                <w:lang w:eastAsia="lt-LT"/>
              </w:rPr>
            </w:pPr>
          </w:p>
          <w:p w:rsidR="00C953C3" w:rsidRDefault="00C953C3" w:rsidP="004072F7">
            <w:pPr>
              <w:tabs>
                <w:tab w:val="left" w:pos="346"/>
                <w:tab w:val="left" w:pos="630"/>
              </w:tabs>
              <w:jc w:val="both"/>
              <w:rPr>
                <w:color w:val="000000"/>
                <w:szCs w:val="24"/>
                <w:lang w:eastAsia="lt-LT"/>
              </w:rPr>
            </w:pPr>
            <w:r w:rsidRPr="00815536">
              <w:rPr>
                <w:szCs w:val="24"/>
                <w:lang w:eastAsia="lt-LT"/>
              </w:rPr>
              <w:t>Kryžminio finansavimo lėšomis tinkamos finansuoti personalo, atliekančio žinių ir technologijų perdavimo, mokslo ir verslo bendradarbiavimo skatinimo funkcijas, kvalifikacijos kėlimo išlaidos.</w:t>
            </w:r>
          </w:p>
        </w:tc>
      </w:tr>
      <w:tr w:rsidR="00C953C3" w:rsidTr="004072F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hideMark/>
          </w:tcPr>
          <w:p w:rsidR="00C953C3" w:rsidRDefault="00C953C3" w:rsidP="00394B3C">
            <w:pPr>
              <w:jc w:val="both"/>
              <w:rPr>
                <w:i/>
                <w:szCs w:val="24"/>
                <w:lang w:eastAsia="lt-LT"/>
              </w:rPr>
            </w:pPr>
            <w:r w:rsidRPr="004B3FD0">
              <w:t>Tinkamos finansuoti tik privalomos informavimo apie projektą priemonės pagal Projektų taisyklių 37 skirsnį</w:t>
            </w:r>
            <w:r>
              <w:rPr>
                <w:szCs w:val="24"/>
                <w:lang w:eastAsia="lt-LT"/>
              </w:rPr>
              <w:t>.</w:t>
            </w:r>
          </w:p>
        </w:tc>
      </w:tr>
      <w:tr w:rsidR="00C953C3" w:rsidTr="004072F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953C3" w:rsidRDefault="00C953C3" w:rsidP="004072F7">
            <w:pPr>
              <w:rPr>
                <w:b/>
                <w:bCs/>
                <w:szCs w:val="24"/>
                <w:lang w:eastAsia="lt-LT"/>
              </w:rPr>
            </w:pPr>
            <w:r>
              <w:rPr>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C953C3" w:rsidRDefault="00C953C3" w:rsidP="00394B3C">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rsidR="00C74610" w:rsidRDefault="00F84C40" w:rsidP="00C953C3">
      <w:pPr>
        <w:overflowPunct w:val="0"/>
        <w:jc w:val="both"/>
        <w:textAlignment w:val="baseline"/>
      </w:pPr>
      <w:r w:rsidRPr="00815536">
        <w:t>Pastaba. Paraiškos formos projekto biudžeto lentelė pildoma vadovaujantis instrukcija Projekto biudžeto formos pildymas, pateikta Rekomendacijose dėl projektų išlaidų atitikties Europos Sąjungos struktūrinių fondų reikalavimams.</w:t>
      </w:r>
    </w:p>
    <w:p w:rsidR="00362019" w:rsidRDefault="00E10DE2">
      <w:pPr>
        <w:ind w:firstLine="709"/>
        <w:jc w:val="both"/>
        <w:rPr>
          <w:szCs w:val="24"/>
          <w:lang w:eastAsia="lt-LT"/>
        </w:rPr>
      </w:pPr>
      <w:r>
        <w:rPr>
          <w:lang w:eastAsia="lt-LT"/>
        </w:rPr>
        <w:t>40</w:t>
      </w:r>
      <w:r w:rsidR="008920BD">
        <w:rPr>
          <w:lang w:eastAsia="lt-LT"/>
        </w:rPr>
        <w:t xml:space="preserve">. </w:t>
      </w:r>
      <w:r w:rsidR="005A1CDA" w:rsidRPr="005A1CDA">
        <w:rPr>
          <w:lang w:eastAsia="lt-LT"/>
        </w:rPr>
        <w:t>Kryžminis finansavimas gali sudaryti ne daugiau kaip 10 procentų visų tinkamų finansuoti projekto išlaidų</w:t>
      </w:r>
      <w:r w:rsidR="008920BD">
        <w:rPr>
          <w:lang w:eastAsia="lt-LT"/>
        </w:rPr>
        <w:t>.</w:t>
      </w:r>
    </w:p>
    <w:p w:rsidR="00362019" w:rsidRDefault="00E10DE2">
      <w:pPr>
        <w:ind w:firstLine="709"/>
        <w:jc w:val="both"/>
        <w:rPr>
          <w:lang w:eastAsia="lt-LT"/>
        </w:rPr>
      </w:pPr>
      <w:r>
        <w:rPr>
          <w:lang w:eastAsia="lt-LT"/>
        </w:rPr>
        <w:t>41</w:t>
      </w:r>
      <w:r w:rsidR="008920BD">
        <w:rPr>
          <w:lang w:eastAsia="lt-LT"/>
        </w:rPr>
        <w:t>. Paraiškos parengimo išlaidos yra netinkamos finansuoti.</w:t>
      </w:r>
    </w:p>
    <w:p w:rsidR="00362019" w:rsidRDefault="00362019">
      <w:pPr>
        <w:rPr>
          <w:lang w:eastAsia="lt-LT"/>
        </w:rPr>
      </w:pPr>
    </w:p>
    <w:p w:rsidR="00362019" w:rsidRDefault="008920BD">
      <w:pPr>
        <w:jc w:val="center"/>
        <w:rPr>
          <w:b/>
          <w:szCs w:val="24"/>
          <w:lang w:eastAsia="lt-LT"/>
        </w:rPr>
      </w:pPr>
      <w:r>
        <w:rPr>
          <w:b/>
          <w:szCs w:val="24"/>
          <w:lang w:eastAsia="lt-LT"/>
        </w:rPr>
        <w:t>V SKYRIUS</w:t>
      </w:r>
    </w:p>
    <w:p w:rsidR="00362019" w:rsidRDefault="008920BD">
      <w:pPr>
        <w:jc w:val="center"/>
        <w:rPr>
          <w:b/>
          <w:szCs w:val="24"/>
          <w:lang w:eastAsia="lt-LT"/>
        </w:rPr>
      </w:pPr>
      <w:r>
        <w:rPr>
          <w:b/>
          <w:szCs w:val="24"/>
          <w:lang w:eastAsia="lt-LT"/>
        </w:rPr>
        <w:t>PARAIŠKŲ RENGIMAS, PAREIŠKĖJŲ INFORMAVIMAS, KONSULTAVIMAS, PARAIŠKŲ TEIKIMAS IR VERTINIMAS</w:t>
      </w:r>
    </w:p>
    <w:p w:rsidR="00362019" w:rsidRDefault="00362019">
      <w:pPr>
        <w:rPr>
          <w:lang w:eastAsia="lt-LT"/>
        </w:rPr>
      </w:pPr>
    </w:p>
    <w:p w:rsidR="00362019" w:rsidRDefault="00E10DE2">
      <w:pPr>
        <w:ind w:firstLine="709"/>
        <w:jc w:val="both"/>
        <w:rPr>
          <w:lang w:eastAsia="lt-LT"/>
        </w:rPr>
      </w:pPr>
      <w:r>
        <w:rPr>
          <w:lang w:eastAsia="lt-LT"/>
        </w:rPr>
        <w:t>42</w:t>
      </w:r>
      <w:r w:rsidR="008920BD">
        <w:rPr>
          <w:lang w:eastAsia="lt-LT"/>
        </w:rPr>
        <w:t>. 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rsidR="00362019" w:rsidRDefault="00E10DE2">
      <w:pPr>
        <w:ind w:firstLine="709"/>
        <w:jc w:val="both"/>
        <w:rPr>
          <w:lang w:eastAsia="lt-LT"/>
        </w:rPr>
      </w:pPr>
      <w:r>
        <w:rPr>
          <w:lang w:eastAsia="lt-LT"/>
        </w:rPr>
        <w:t>43</w:t>
      </w:r>
      <w:r w:rsidR="008920BD">
        <w:rPr>
          <w:lang w:eastAsia="lt-LT"/>
        </w:rPr>
        <w:t>. Pareiškėjas pild</w:t>
      </w:r>
      <w:r>
        <w:rPr>
          <w:lang w:eastAsia="lt-LT"/>
        </w:rPr>
        <w:t>o paraišką ir kartu su Aprašo 46</w:t>
      </w:r>
      <w:r w:rsidR="008920BD">
        <w:rPr>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w:t>
      </w:r>
    </w:p>
    <w:p w:rsidR="00362019" w:rsidRDefault="00E10DE2">
      <w:pPr>
        <w:ind w:firstLine="709"/>
        <w:jc w:val="both"/>
        <w:rPr>
          <w:i/>
          <w:lang w:eastAsia="lt-LT"/>
        </w:rPr>
      </w:pPr>
      <w:r>
        <w:rPr>
          <w:lang w:eastAsia="lt-LT"/>
        </w:rPr>
        <w:t>44</w:t>
      </w:r>
      <w:r w:rsidR="008920BD">
        <w:rPr>
          <w:lang w:eastAsia="lt-LT"/>
        </w:rPr>
        <w:t xml:space="preserve">. Paraiškos turi būti teikiamos per DMS. Pareiškėjas prie DMS jungiasi naudodamasis Valstybės informacinių išteklių sąveikumo platforma ir užsiregistravęs tampa DMS naudotoju. </w:t>
      </w:r>
    </w:p>
    <w:p w:rsidR="00362019" w:rsidRDefault="00E10DE2">
      <w:pPr>
        <w:ind w:firstLine="709"/>
        <w:jc w:val="both"/>
        <w:rPr>
          <w:lang w:eastAsia="lt-LT"/>
        </w:rPr>
      </w:pPr>
      <w:r>
        <w:rPr>
          <w:lang w:eastAsia="lt-LT"/>
        </w:rPr>
        <w:t>45</w:t>
      </w:r>
      <w:r w:rsidR="008920BD">
        <w:rPr>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w:t>
      </w:r>
      <w:r w:rsidR="008920BD">
        <w:rPr>
          <w:lang w:eastAsia="lt-LT"/>
        </w:rPr>
        <w:lastRenderedPageBreak/>
        <w:t>sudaro galimybę paraiškas ar jų priedus pateikti kitu būdu bei apie tai</w:t>
      </w:r>
      <w:r w:rsidR="008920BD">
        <w:rPr>
          <w:i/>
          <w:lang w:eastAsia="lt-LT"/>
        </w:rPr>
        <w:t xml:space="preserve"> </w:t>
      </w:r>
      <w:r w:rsidR="008920BD">
        <w:rPr>
          <w:lang w:eastAsia="lt-LT"/>
        </w:rPr>
        <w:t>paskelbia Projektų taisyklių 82 punkte nustatyta tvarka.</w:t>
      </w:r>
    </w:p>
    <w:p w:rsidR="00362019" w:rsidRDefault="00E10DE2">
      <w:pPr>
        <w:ind w:firstLine="709"/>
        <w:jc w:val="both"/>
        <w:rPr>
          <w:lang w:eastAsia="lt-LT"/>
        </w:rPr>
      </w:pPr>
      <w:r>
        <w:rPr>
          <w:lang w:eastAsia="lt-LT"/>
        </w:rPr>
        <w:t>46</w:t>
      </w:r>
      <w:r w:rsidR="008920BD">
        <w:rPr>
          <w:lang w:eastAsia="lt-LT"/>
        </w:rPr>
        <w:t>. Kartu su paraiška pareiškėjas turi p</w:t>
      </w:r>
      <w:r>
        <w:rPr>
          <w:lang w:eastAsia="lt-LT"/>
        </w:rPr>
        <w:t>ateikti šiuos priedus (Aprašo 47.2–47</w:t>
      </w:r>
      <w:r w:rsidR="008920BD">
        <w:rPr>
          <w:lang w:eastAsia="lt-LT"/>
        </w:rPr>
        <w:t>.3 papunkčiuose nurodytų paraiškos priedų formos skelbiamos ES struktūrinių fondų svetainės www.esinvesticijos.lt skiltyje „Dokumentai“, ieškant dokumento tipo „</w:t>
      </w:r>
      <w:r w:rsidR="008920BD">
        <w:rPr>
          <w:rFonts w:cs="Arial"/>
        </w:rPr>
        <w:t>paraiškų priedų formos“</w:t>
      </w:r>
      <w:r w:rsidR="008920BD">
        <w:rPr>
          <w:lang w:eastAsia="lt-LT"/>
        </w:rPr>
        <w:t xml:space="preserve">): </w:t>
      </w:r>
    </w:p>
    <w:p w:rsidR="00362019" w:rsidRDefault="009B3AEA">
      <w:pPr>
        <w:ind w:firstLine="709"/>
        <w:jc w:val="both"/>
        <w:rPr>
          <w:lang w:eastAsia="lt-LT"/>
        </w:rPr>
      </w:pPr>
      <w:r>
        <w:rPr>
          <w:lang w:eastAsia="lt-LT"/>
        </w:rPr>
        <w:t>46</w:t>
      </w:r>
      <w:r w:rsidR="008920BD">
        <w:rPr>
          <w:lang w:eastAsia="lt-LT"/>
        </w:rPr>
        <w:t>.1. Partnerio (-ių) deklaraciją (-as), jei projektą numatyta įgyvendinti kartu su partneriais (Partnerio deklaracijos forma integruota į pildomą paraiškos formą);</w:t>
      </w:r>
    </w:p>
    <w:p w:rsidR="00362019" w:rsidRDefault="009B3AEA">
      <w:pPr>
        <w:ind w:firstLine="709"/>
        <w:jc w:val="both"/>
        <w:rPr>
          <w:lang w:eastAsia="lt-LT"/>
        </w:rPr>
      </w:pPr>
      <w:r>
        <w:rPr>
          <w:lang w:eastAsia="lt-LT"/>
        </w:rPr>
        <w:t>46</w:t>
      </w:r>
      <w:r w:rsidR="008920BD">
        <w:rPr>
          <w:lang w:eastAsia="lt-LT"/>
        </w:rPr>
        <w:t xml:space="preserve">.2. Klausimyną apie pirkimo ir (arba) importo pridėtinės vertės mokesčio tinkamumą finansuoti iš Europos Sąjungos struktūrinių fondų ir (arba) Lietuvos Respublikos biudžeto lėšų, jei </w:t>
      </w:r>
      <w:r w:rsidR="008920BD">
        <w:t>pareiškėjas prašo pridėtinės vertės mokesčio išlaidas pripažinti tinkamomis finansuoti, t. y. įtraukia šias išlaidas į projekto biudžetą</w:t>
      </w:r>
      <w:r w:rsidR="008920BD">
        <w:rPr>
          <w:lang w:eastAsia="lt-LT"/>
        </w:rPr>
        <w:t>;</w:t>
      </w:r>
    </w:p>
    <w:p w:rsidR="00362019" w:rsidRDefault="009B3AEA">
      <w:pPr>
        <w:ind w:firstLine="709"/>
        <w:jc w:val="both"/>
        <w:rPr>
          <w:lang w:eastAsia="lt-LT"/>
        </w:rPr>
      </w:pPr>
      <w:r>
        <w:rPr>
          <w:lang w:eastAsia="lt-LT"/>
        </w:rPr>
        <w:t>46</w:t>
      </w:r>
      <w:r w:rsidR="008920BD">
        <w:rPr>
          <w:lang w:eastAsia="lt-LT"/>
        </w:rPr>
        <w:t>.3. projekto biudžeto paskirstymą pagal pareiškėją ir partnerį (-ius), jeigu projektas įgyvendinamas su parneriu (-iais);</w:t>
      </w:r>
    </w:p>
    <w:p w:rsidR="00362019" w:rsidRDefault="009B3AEA">
      <w:pPr>
        <w:ind w:firstLine="709"/>
        <w:jc w:val="both"/>
      </w:pPr>
      <w:r>
        <w:rPr>
          <w:lang w:eastAsia="lt-LT"/>
        </w:rPr>
        <w:t>46</w:t>
      </w:r>
      <w:r>
        <w:t>.4</w:t>
      </w:r>
      <w:r w:rsidR="008920BD">
        <w:t>. informaciją, reikalingą projekto atitikčiai projektų atrankos kriterijams įvertinti (Aprašo 3 priedas);</w:t>
      </w:r>
    </w:p>
    <w:p w:rsidR="00362019" w:rsidRDefault="009B3AEA">
      <w:pPr>
        <w:ind w:firstLine="709"/>
        <w:jc w:val="both"/>
      </w:pPr>
      <w:r>
        <w:t>46.5</w:t>
      </w:r>
      <w:r w:rsidR="008920BD">
        <w:t>. dokumentus, pagrindžiančius projekto biudžeto pagrįstumą (komerciniai pasiūlymai, nuorodos į rinkoje esančias kainas ir kt.);</w:t>
      </w:r>
    </w:p>
    <w:p w:rsidR="00ED2C3F" w:rsidRDefault="009B3AEA">
      <w:pPr>
        <w:ind w:firstLine="709"/>
        <w:jc w:val="both"/>
      </w:pPr>
      <w:r>
        <w:t>46.6</w:t>
      </w:r>
      <w:r w:rsidR="008920BD">
        <w:t>. finansavimo šaltinius (pareiškėjo įnašą ir netinkamų išlaidų padengimą) pagrindžiančius dokumentus, jei pareiškėjas ir (arba) partneris savo ir (arba) kitų šaltinių lėšomis prisi</w:t>
      </w:r>
      <w:r w:rsidR="004E117E">
        <w:t>deda prie projekto įgyvendinimo</w:t>
      </w:r>
      <w:r w:rsidR="00ED2C3F">
        <w:t>;</w:t>
      </w:r>
    </w:p>
    <w:p w:rsidR="00362019" w:rsidRPr="00B46ECA" w:rsidRDefault="00ED2C3F">
      <w:pPr>
        <w:ind w:firstLine="709"/>
        <w:jc w:val="both"/>
      </w:pPr>
      <w:r w:rsidRPr="00B46ECA">
        <w:t>46.7.</w:t>
      </w:r>
      <w:r w:rsidR="00B46ECA" w:rsidRPr="00B46ECA">
        <w:t xml:space="preserve"> </w:t>
      </w:r>
      <w:r w:rsidR="00394B3C" w:rsidRPr="00394B3C">
        <w:t xml:space="preserve">dokumentus, įrodančius, kad </w:t>
      </w:r>
      <w:r w:rsidR="00394B3C">
        <w:t>pareiškėjo (ir par</w:t>
      </w:r>
      <w:r w:rsidR="00B02EB1">
        <w:t>t</w:t>
      </w:r>
      <w:r w:rsidR="00394B3C">
        <w:t>nerio)</w:t>
      </w:r>
      <w:r w:rsidR="00394B3C" w:rsidRPr="00394B3C">
        <w:t xml:space="preserve"> atstovaujamos mokslo ir studijų institucijos vykdoma ekonominė veikla neviršija 20 proc. bendro metinio pajėgumo (tinkamą ekonominės ir neekonominės veiklos rūšių, jų išlaidų, finansavimo ir pajamų atskyrimą (pvz., paskutinė patvirtinta ir paskutinė tarpinė finansinė atskaitomybė, detalizuojant finansinės būklės ir veiklos rezultatų ataskaitų straipsnius pagal pajamų finansavimo šaltinius ir sumas, pagrindžiančius ekonominės veiklos pajamas/išlaidas</w:t>
      </w:r>
      <w:r w:rsidR="00394B3C">
        <w:t>)</w:t>
      </w:r>
      <w:r w:rsidR="004E117E" w:rsidRPr="00B46ECA">
        <w:t>.</w:t>
      </w:r>
    </w:p>
    <w:p w:rsidR="00362019" w:rsidRDefault="009B3AEA">
      <w:pPr>
        <w:ind w:firstLine="709"/>
        <w:jc w:val="both"/>
        <w:rPr>
          <w:lang w:eastAsia="lt-LT"/>
        </w:rPr>
      </w:pPr>
      <w:r>
        <w:rPr>
          <w:lang w:eastAsia="lt-LT"/>
        </w:rPr>
        <w:t>47</w:t>
      </w:r>
      <w:r w:rsidR="008920BD">
        <w:rPr>
          <w:lang w:eastAsia="lt-LT"/>
        </w:rPr>
        <w:t xml:space="preserve">. Jei priedai teikiami ne kartu su paraiška, jie turi būti pateikti iki paraiškai teikti nustatyto termino paskutinės dienos. </w:t>
      </w:r>
    </w:p>
    <w:p w:rsidR="00362019" w:rsidRDefault="009B3AEA">
      <w:pPr>
        <w:ind w:firstLine="709"/>
        <w:jc w:val="both"/>
        <w:rPr>
          <w:lang w:eastAsia="lt-LT"/>
        </w:rPr>
      </w:pPr>
      <w:r>
        <w:rPr>
          <w:lang w:eastAsia="lt-LT"/>
        </w:rPr>
        <w:t>48</w:t>
      </w:r>
      <w:r w:rsidR="008920BD">
        <w:rPr>
          <w:lang w:eastAsia="lt-LT"/>
        </w:rPr>
        <w:t xml:space="preserve">. Paraiškų pateikimo paskutinė diena nustatoma kvietime teikti paraiškas, kuris skelbiamas ES struktūrinių fondų svetainėje </w:t>
      </w:r>
      <w:r w:rsidR="008920BD">
        <w:rPr>
          <w:color w:val="000000"/>
          <w:lang w:eastAsia="lt-LT"/>
        </w:rPr>
        <w:t>www.esinvesticijos.lt.</w:t>
      </w:r>
    </w:p>
    <w:p w:rsidR="00362019" w:rsidRDefault="009B3AEA">
      <w:pPr>
        <w:ind w:firstLine="709"/>
        <w:jc w:val="both"/>
        <w:rPr>
          <w:color w:val="000000"/>
          <w:lang w:eastAsia="lt-LT"/>
        </w:rPr>
      </w:pPr>
      <w:r>
        <w:rPr>
          <w:lang w:eastAsia="lt-LT"/>
        </w:rPr>
        <w:t>49</w:t>
      </w:r>
      <w:r w:rsidR="008920BD">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t>
      </w:r>
      <w:r w:rsidR="008920BD">
        <w:rPr>
          <w:color w:val="000000"/>
          <w:lang w:eastAsia="lt-LT"/>
        </w:rPr>
        <w:t>www.esinvesticijos.lt.</w:t>
      </w:r>
    </w:p>
    <w:p w:rsidR="00362019" w:rsidRDefault="009B3AEA">
      <w:pPr>
        <w:ind w:firstLine="709"/>
        <w:jc w:val="both"/>
        <w:rPr>
          <w:lang w:eastAsia="lt-LT"/>
        </w:rPr>
      </w:pPr>
      <w:r>
        <w:rPr>
          <w:lang w:eastAsia="lt-LT"/>
        </w:rPr>
        <w:t>50</w:t>
      </w:r>
      <w:r w:rsidR="008920BD">
        <w:rPr>
          <w:lang w:eastAsia="lt-LT"/>
        </w:rPr>
        <w:t>. Įgyvendinančioji institucija atlieka projekto tinkamumo finansuoti vertinimą Projektų taisyklių 14 ir 15 skirsniuose nustaty</w:t>
      </w:r>
      <w:r>
        <w:rPr>
          <w:lang w:eastAsia="lt-LT"/>
        </w:rPr>
        <w:t>ta tvarka pagal Aprašo 1 priede</w:t>
      </w:r>
      <w:r w:rsidR="008920BD">
        <w:rPr>
          <w:lang w:eastAsia="lt-LT"/>
        </w:rPr>
        <w:t xml:space="preserve"> nustatytus reikalavimus, taip pat projekto naudos ir kokybės vertinimą Projektų taisyklių 14 ir 16 skirsniuose nustatyta tvarka pagal Aprašo 2 priede nustatytus reikalavimus.</w:t>
      </w:r>
    </w:p>
    <w:p w:rsidR="00362019" w:rsidRDefault="009B3AEA">
      <w:pPr>
        <w:ind w:firstLine="709"/>
        <w:jc w:val="both"/>
        <w:rPr>
          <w:lang w:eastAsia="lt-LT"/>
        </w:rPr>
      </w:pPr>
      <w:r>
        <w:rPr>
          <w:lang w:eastAsia="lt-LT"/>
        </w:rPr>
        <w:t>51</w:t>
      </w:r>
      <w:r w:rsidR="008920BD">
        <w:rPr>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rsidR="00362019" w:rsidRDefault="009B3AEA">
      <w:pPr>
        <w:ind w:firstLine="709"/>
        <w:jc w:val="both"/>
        <w:rPr>
          <w:lang w:eastAsia="lt-LT"/>
        </w:rPr>
      </w:pPr>
      <w:r>
        <w:rPr>
          <w:lang w:eastAsia="lt-LT"/>
        </w:rPr>
        <w:t>52</w:t>
      </w:r>
      <w:r w:rsidR="008920BD">
        <w:rPr>
          <w:lang w:eastAsia="lt-LT"/>
        </w:rPr>
        <w:t>. Paraiškos vertinamos ne ilgiau kaip 90 dienų nuo kvietimo teikti paraiškas skelbime nurodytos paskutinės paraiškų pateikimo dienos.</w:t>
      </w:r>
    </w:p>
    <w:p w:rsidR="00362019" w:rsidRDefault="009B3AEA">
      <w:pPr>
        <w:ind w:firstLine="709"/>
        <w:jc w:val="both"/>
        <w:rPr>
          <w:lang w:eastAsia="lt-LT"/>
        </w:rPr>
      </w:pPr>
      <w:r>
        <w:rPr>
          <w:lang w:eastAsia="lt-LT"/>
        </w:rPr>
        <w:t>53</w:t>
      </w:r>
      <w:r w:rsidR="008920BD">
        <w:rPr>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o jeigu nėra įdiegtos DMS funkcinės galimybės – raštu.</w:t>
      </w:r>
    </w:p>
    <w:p w:rsidR="00362019" w:rsidRDefault="009B3AEA">
      <w:pPr>
        <w:ind w:firstLine="709"/>
        <w:jc w:val="both"/>
        <w:rPr>
          <w:lang w:eastAsia="lt-LT"/>
        </w:rPr>
      </w:pPr>
      <w:r>
        <w:rPr>
          <w:lang w:eastAsia="lt-LT"/>
        </w:rPr>
        <w:lastRenderedPageBreak/>
        <w:t>54</w:t>
      </w:r>
      <w:r w:rsidR="008920BD">
        <w:rPr>
          <w:lang w:eastAsia="lt-LT"/>
        </w:rPr>
        <w:t xml:space="preserve">. Paraiška atmetama dėl priežasčių, nustatytų Apraše ir (arba) Projektų taisyklių 14–16 skirsniuose, juose nustatyta tvarka. Apie paraiškos atmetimą pareiškėjas informuojamas per DMS, </w:t>
      </w:r>
      <w:r w:rsidR="008920BD">
        <w:rPr>
          <w:shd w:val="clear" w:color="auto" w:fill="FFFFFF"/>
        </w:rPr>
        <w:t>o jeigu nėra į</w:t>
      </w:r>
      <w:r w:rsidR="008920BD">
        <w:rPr>
          <w:lang w:eastAsia="lt-LT"/>
        </w:rPr>
        <w:t>diegtos DMS funkcinės galimybės – raštu per 3 darbo dienas nuo sprendimo dėl paraiškos atmetimo priėmimo dienos.</w:t>
      </w:r>
    </w:p>
    <w:p w:rsidR="00362019" w:rsidRDefault="009B3AEA">
      <w:pPr>
        <w:ind w:firstLine="709"/>
        <w:jc w:val="both"/>
        <w:rPr>
          <w:lang w:eastAsia="lt-LT"/>
        </w:rPr>
      </w:pPr>
      <w:r>
        <w:rPr>
          <w:lang w:eastAsia="lt-LT"/>
        </w:rPr>
        <w:t>55</w:t>
      </w:r>
      <w:r w:rsidR="008920BD">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362019" w:rsidRDefault="009B3AEA">
      <w:pPr>
        <w:ind w:firstLine="709"/>
        <w:jc w:val="both"/>
        <w:rPr>
          <w:lang w:eastAsia="lt-LT"/>
        </w:rPr>
      </w:pPr>
      <w:r>
        <w:rPr>
          <w:lang w:eastAsia="lt-LT"/>
        </w:rPr>
        <w:t>56</w:t>
      </w:r>
      <w:r w:rsidR="008920BD">
        <w:rPr>
          <w:lang w:eastAsia="lt-LT"/>
        </w:rPr>
        <w:t>. Paraiškų baigiamąjį vertinimo aptarimą organizuoja ir Paraiškų baigiamojo vertinimo aptarimo grupės sudėtį tvirtina Ministerija Projektų taisyklių 146 punkte nustatyta tvarka. Paraiškų vertinimo aptarimo grupės veiklos principai nustatomi įsakyme, kuriuo tvirtinama grupės sudėtis, arba šios grupės darbo reglamente.</w:t>
      </w:r>
    </w:p>
    <w:p w:rsidR="00362019" w:rsidRDefault="009B3AEA">
      <w:pPr>
        <w:ind w:firstLine="709"/>
        <w:jc w:val="both"/>
        <w:rPr>
          <w:lang w:eastAsia="lt-LT"/>
        </w:rPr>
      </w:pPr>
      <w:r>
        <w:rPr>
          <w:lang w:eastAsia="lt-LT"/>
        </w:rPr>
        <w:t>57</w:t>
      </w:r>
      <w:r w:rsidR="008920BD">
        <w:rPr>
          <w:lang w:eastAsia="lt-LT"/>
        </w:rPr>
        <w:t>. Įgyvendinančiajai institucijai baigus paraiškų vertinimą, sprendimą dėl projekto finansavimo arba nefinansavimo priima Ministerija Projektų taisyklių 17 skirsnyje nustatyta tvarka.</w:t>
      </w:r>
    </w:p>
    <w:p w:rsidR="00362019" w:rsidRDefault="009B3AEA">
      <w:pPr>
        <w:ind w:firstLine="709"/>
        <w:jc w:val="both"/>
        <w:rPr>
          <w:lang w:eastAsia="lt-LT"/>
        </w:rPr>
      </w:pPr>
      <w:r>
        <w:rPr>
          <w:lang w:eastAsia="lt-LT"/>
        </w:rPr>
        <w:t>58</w:t>
      </w:r>
      <w:r w:rsidR="008920BD">
        <w:rPr>
          <w:lang w:eastAsia="lt-LT"/>
        </w:rPr>
        <w:t>. Ministerijai priėmus sprendimą finansuoti projektą, įgyvendinančioji institucija per 3 darbo dienas nuo šio sprendimo gavimo dienos per DMS, o jeigu nėra įdiegtos DMS funkcinės galimybės – raštu, pateikia šį sprendimą pareiškėjams.</w:t>
      </w:r>
    </w:p>
    <w:p w:rsidR="00362019" w:rsidRDefault="009B3AEA">
      <w:pPr>
        <w:ind w:firstLine="709"/>
        <w:jc w:val="both"/>
        <w:rPr>
          <w:lang w:eastAsia="lt-LT"/>
        </w:rPr>
      </w:pPr>
      <w:r>
        <w:rPr>
          <w:lang w:eastAsia="lt-LT"/>
        </w:rPr>
        <w:t>59</w:t>
      </w:r>
      <w:r w:rsidR="008920BD">
        <w:rPr>
          <w:lang w:eastAsia="lt-LT"/>
        </w:rPr>
        <w:t xml:space="preserve">. Pagal Aprašą finansuojamiems projektams įgyvendinti bus sudaromos dvišalės projektų sutartys tarp pareiškėjų ir įgyvendinančiosios institucijos. </w:t>
      </w:r>
    </w:p>
    <w:p w:rsidR="00362019" w:rsidRDefault="009B3AEA">
      <w:pPr>
        <w:ind w:firstLine="709"/>
        <w:jc w:val="both"/>
        <w:rPr>
          <w:i/>
          <w:lang w:eastAsia="lt-LT"/>
        </w:rPr>
      </w:pPr>
      <w:r>
        <w:rPr>
          <w:lang w:eastAsia="lt-LT"/>
        </w:rPr>
        <w:t>60</w:t>
      </w:r>
      <w:r w:rsidR="008920BD">
        <w:rPr>
          <w:lang w:eastAsia="lt-LT"/>
        </w:rPr>
        <w:t>. Ministerijai priėmus sprendimą dėl projekto finansavimo, įgyvendinančioji institucija Projektų taisyklių 18 skirsnyje nustatyta tvarka pagal Projektų taisyklių 4 priede nustatytą formą</w:t>
      </w:r>
      <w:r w:rsidR="008920BD">
        <w:rPr>
          <w:i/>
          <w:lang w:eastAsia="lt-LT"/>
        </w:rPr>
        <w:t xml:space="preserve"> </w:t>
      </w:r>
      <w:r w:rsidR="008920BD">
        <w:rPr>
          <w:lang w:eastAsia="lt-LT"/>
        </w:rPr>
        <w:t>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rsidR="00362019" w:rsidRDefault="009B3AEA">
      <w:pPr>
        <w:ind w:firstLine="709"/>
        <w:jc w:val="both"/>
        <w:rPr>
          <w:lang w:eastAsia="lt-LT"/>
        </w:rPr>
      </w:pPr>
      <w:r>
        <w:rPr>
          <w:lang w:eastAsia="lt-LT"/>
        </w:rPr>
        <w:t>61</w:t>
      </w:r>
      <w:r w:rsidR="008920BD">
        <w:rPr>
          <w:lang w:eastAsia="lt-LT"/>
        </w:rPr>
        <w:t xml:space="preserve">. Projekto sutarties originalas gali būti rengiamas ir teikiamas, vienu iš žemiau nurodytų būdų, priklausomai nuo to, kokią šio dokumento formą pasirenka projekto vykdytojas:  </w:t>
      </w:r>
    </w:p>
    <w:p w:rsidR="00362019" w:rsidRDefault="009B3AEA">
      <w:pPr>
        <w:ind w:firstLine="709"/>
        <w:jc w:val="both"/>
        <w:rPr>
          <w:lang w:eastAsia="lt-LT"/>
        </w:rPr>
      </w:pPr>
      <w:r>
        <w:rPr>
          <w:lang w:eastAsia="lt-LT"/>
        </w:rPr>
        <w:t>61</w:t>
      </w:r>
      <w:r w:rsidR="008920BD">
        <w:rPr>
          <w:lang w:eastAsia="lt-LT"/>
        </w:rPr>
        <w:t>.1. kaip pasirašytas popierinis dokumentas;</w:t>
      </w:r>
    </w:p>
    <w:p w:rsidR="00362019" w:rsidRDefault="009B3AEA">
      <w:pPr>
        <w:ind w:firstLine="709"/>
        <w:jc w:val="both"/>
        <w:rPr>
          <w:lang w:eastAsia="lt-LT"/>
        </w:rPr>
      </w:pPr>
      <w:r>
        <w:rPr>
          <w:lang w:eastAsia="lt-LT"/>
        </w:rPr>
        <w:t>61</w:t>
      </w:r>
      <w:r w:rsidR="008920BD">
        <w:rPr>
          <w:lang w:eastAsia="lt-LT"/>
        </w:rPr>
        <w:t>.2. kaip elektroninis dokumentas, pasirašytas elektroniniu parašu.</w:t>
      </w:r>
    </w:p>
    <w:p w:rsidR="00362019" w:rsidRDefault="00362019">
      <w:pPr>
        <w:rPr>
          <w:lang w:eastAsia="lt-LT"/>
        </w:rPr>
      </w:pPr>
    </w:p>
    <w:p w:rsidR="00362019" w:rsidRDefault="008920BD">
      <w:pPr>
        <w:jc w:val="center"/>
        <w:rPr>
          <w:b/>
          <w:szCs w:val="24"/>
          <w:lang w:eastAsia="lt-LT"/>
        </w:rPr>
      </w:pPr>
      <w:r>
        <w:rPr>
          <w:b/>
          <w:szCs w:val="24"/>
          <w:lang w:eastAsia="lt-LT"/>
        </w:rPr>
        <w:t>VI SKYRIUS</w:t>
      </w:r>
    </w:p>
    <w:p w:rsidR="00362019" w:rsidRDefault="008920BD">
      <w:pPr>
        <w:ind w:firstLine="62"/>
        <w:jc w:val="center"/>
        <w:rPr>
          <w:b/>
          <w:szCs w:val="24"/>
          <w:lang w:eastAsia="lt-LT"/>
        </w:rPr>
      </w:pPr>
      <w:r>
        <w:rPr>
          <w:b/>
          <w:szCs w:val="24"/>
          <w:lang w:eastAsia="lt-LT"/>
        </w:rPr>
        <w:t>PROJEKTŲ ĮGYVENDINIMO REIKALAVIMAI</w:t>
      </w:r>
    </w:p>
    <w:p w:rsidR="00362019" w:rsidRDefault="00362019">
      <w:pPr>
        <w:rPr>
          <w:lang w:eastAsia="lt-LT"/>
        </w:rPr>
      </w:pPr>
    </w:p>
    <w:p w:rsidR="00362019" w:rsidRDefault="00D452A4">
      <w:pPr>
        <w:ind w:firstLine="709"/>
        <w:jc w:val="both"/>
        <w:rPr>
          <w:iCs/>
        </w:rPr>
      </w:pPr>
      <w:r>
        <w:rPr>
          <w:lang w:eastAsia="lt-LT"/>
        </w:rPr>
        <w:t>62</w:t>
      </w:r>
      <w:r w:rsidR="008920BD">
        <w:rPr>
          <w:lang w:eastAsia="lt-LT"/>
        </w:rPr>
        <w:t xml:space="preserve">. Projektas įgyvendinamas pagal projekto sutartyje, Apraše ir Projektų taisyklėse nustatytus reikalavimus. </w:t>
      </w:r>
    </w:p>
    <w:p w:rsidR="00362019" w:rsidRDefault="00D452A4">
      <w:pPr>
        <w:ind w:firstLine="709"/>
        <w:jc w:val="both"/>
        <w:rPr>
          <w:iCs/>
        </w:rPr>
      </w:pPr>
      <w:r>
        <w:rPr>
          <w:iCs/>
        </w:rPr>
        <w:t>63</w:t>
      </w:r>
      <w:r w:rsidR="008920BD">
        <w:rPr>
          <w:iCs/>
        </w:rPr>
        <w:t>. Jei projekto veikla nepradėta įgyvendinti per 6 mėnesius nuo projekto sutarties pasirašymo dienos, įgyvendinančioji institucija, suderinusi su Ministerija, turi teisę vienašališkai nutraukti projekto sutartį.</w:t>
      </w:r>
    </w:p>
    <w:p w:rsidR="00362019" w:rsidRDefault="00D452A4">
      <w:pPr>
        <w:ind w:firstLine="709"/>
        <w:jc w:val="both"/>
        <w:rPr>
          <w:iCs/>
        </w:rPr>
      </w:pPr>
      <w:r>
        <w:rPr>
          <w:iCs/>
        </w:rPr>
        <w:t>64</w:t>
      </w:r>
      <w:r w:rsidR="008920BD">
        <w:rPr>
          <w:iCs/>
        </w:rPr>
        <w:t xml:space="preserve">. Projekto sutartyje nustatomas privalomas finansinis projekto lėšų įsisavinimo spartos rodiklis, t. y. nurodoma privaloma įsisavinti procentinė lėšų dalis nuo visų projektui įgyvendinti skirtų projekto finansavimo lėšų per </w:t>
      </w:r>
      <w:r w:rsidR="008920BD" w:rsidRPr="00F84C40">
        <w:rPr>
          <w:iCs/>
        </w:rPr>
        <w:t xml:space="preserve">12, 24 mėnesius nuo projekto sutarties pasirašymo dienos. Projektui gali būti neskirtas papildomas finansavimas </w:t>
      </w:r>
      <w:r w:rsidR="00552670" w:rsidRPr="00F84C40">
        <w:rPr>
          <w:iCs/>
        </w:rPr>
        <w:t>Aprašo 65</w:t>
      </w:r>
      <w:r w:rsidR="008920BD" w:rsidRPr="00F84C40">
        <w:rPr>
          <w:iCs/>
        </w:rPr>
        <w:t xml:space="preserve"> punkte nustatyta tvarka ir (arba) gali būti neleista pana</w:t>
      </w:r>
      <w:r w:rsidR="00552670" w:rsidRPr="00F84C40">
        <w:rPr>
          <w:iCs/>
        </w:rPr>
        <w:t>udoti sutaupytas lėšas Aprašo 66</w:t>
      </w:r>
      <w:r w:rsidR="008920BD" w:rsidRPr="00F84C40">
        <w:rPr>
          <w:iCs/>
        </w:rPr>
        <w:t xml:space="preserve"> punkte</w:t>
      </w:r>
      <w:r w:rsidR="008920BD">
        <w:rPr>
          <w:iCs/>
        </w:rPr>
        <w:t xml:space="preserve"> nustatyta tvarka, jeigu nėra pasiekiamas projekto sutartyje nustatytas privalomas finansinis projekto lėšų įsisavinimo spartos rodiklis.</w:t>
      </w:r>
    </w:p>
    <w:p w:rsidR="00362019" w:rsidRDefault="00552670">
      <w:pPr>
        <w:ind w:firstLine="709"/>
        <w:jc w:val="both"/>
        <w:rPr>
          <w:iCs/>
          <w:szCs w:val="24"/>
        </w:rPr>
      </w:pPr>
      <w:r>
        <w:rPr>
          <w:iCs/>
        </w:rPr>
        <w:t>65</w:t>
      </w:r>
      <w:r w:rsidR="008920BD">
        <w:rPr>
          <w:iCs/>
        </w:rPr>
        <w:t>. Projektui gali būti skiriamas papildomas finansavimas Projektų taisyklių 196.4 papunktyje nurodytu atveju. Svarstant galimybę skirti projektui papildomą finansavimą įvertinama, kaip projekto vykdytojas vykdo projekto sutartyje nustatytus įsipareigojimus:</w:t>
      </w:r>
    </w:p>
    <w:p w:rsidR="00362019" w:rsidRDefault="00552670">
      <w:pPr>
        <w:ind w:firstLine="709"/>
        <w:jc w:val="both"/>
        <w:rPr>
          <w:iCs/>
        </w:rPr>
      </w:pPr>
      <w:r>
        <w:rPr>
          <w:iCs/>
        </w:rPr>
        <w:t>65</w:t>
      </w:r>
      <w:r w:rsidR="008920BD">
        <w:rPr>
          <w:iCs/>
        </w:rPr>
        <w:t xml:space="preserve">.1. ar projekto įgyvendinimas vykdomas pagal projekto sutartyje nustatytą projekto veiklų įgyvendinimo grafiką; </w:t>
      </w:r>
    </w:p>
    <w:p w:rsidR="00362019" w:rsidRDefault="00552670" w:rsidP="00552670">
      <w:pPr>
        <w:ind w:firstLine="709"/>
        <w:jc w:val="both"/>
        <w:rPr>
          <w:iCs/>
        </w:rPr>
      </w:pPr>
      <w:r>
        <w:rPr>
          <w:iCs/>
        </w:rPr>
        <w:lastRenderedPageBreak/>
        <w:t>65</w:t>
      </w:r>
      <w:r w:rsidR="008920BD">
        <w:rPr>
          <w:iCs/>
        </w:rPr>
        <w:t>.2. ar pasiektas projekto sutartyje nustatytas finansinės projekto lė</w:t>
      </w:r>
      <w:r>
        <w:rPr>
          <w:iCs/>
        </w:rPr>
        <w:t>šų įsisavinimo spartos rodiklis</w:t>
      </w:r>
      <w:r w:rsidR="008920BD">
        <w:rPr>
          <w:iCs/>
        </w:rPr>
        <w:t>.</w:t>
      </w:r>
    </w:p>
    <w:p w:rsidR="00362019" w:rsidRDefault="00552670">
      <w:pPr>
        <w:ind w:firstLine="709"/>
        <w:jc w:val="both"/>
        <w:rPr>
          <w:iCs/>
        </w:rPr>
      </w:pPr>
      <w:r>
        <w:rPr>
          <w:iCs/>
        </w:rPr>
        <w:t>66</w:t>
      </w:r>
      <w:r w:rsidR="008920BD">
        <w:rPr>
          <w:iCs/>
        </w:rPr>
        <w:t>. Projektui gali būti leista panaudoti sutaupytas lėšas Projektų taisyklių 20 skirsnyje nustatyta tvarka. Svarstant tokią galimybę yra įvertinama, kaip projekto vykdytojas vykdo projekto sutartyje nustatytus įsipareigojimus:</w:t>
      </w:r>
    </w:p>
    <w:p w:rsidR="00362019" w:rsidRDefault="001446CD">
      <w:pPr>
        <w:ind w:firstLine="709"/>
        <w:jc w:val="both"/>
        <w:rPr>
          <w:iCs/>
        </w:rPr>
      </w:pPr>
      <w:r>
        <w:rPr>
          <w:iCs/>
        </w:rPr>
        <w:t>66</w:t>
      </w:r>
      <w:r w:rsidR="008920BD">
        <w:rPr>
          <w:iCs/>
        </w:rPr>
        <w:t xml:space="preserve">.1. ar projekto įgyvendinimas vykdomas pagal projekto sutartyje nustatytą projekto veiklų įgyvendinimo grafiką; </w:t>
      </w:r>
    </w:p>
    <w:p w:rsidR="00362019" w:rsidRDefault="001446CD" w:rsidP="00552670">
      <w:pPr>
        <w:ind w:firstLine="709"/>
        <w:jc w:val="both"/>
        <w:rPr>
          <w:iCs/>
        </w:rPr>
      </w:pPr>
      <w:r>
        <w:rPr>
          <w:iCs/>
        </w:rPr>
        <w:t>66</w:t>
      </w:r>
      <w:r w:rsidR="008920BD">
        <w:rPr>
          <w:iCs/>
        </w:rPr>
        <w:t>.2. ar pasiektas projekto sutartyje nustatytas finansinės projekto lė</w:t>
      </w:r>
      <w:r w:rsidR="00552670">
        <w:rPr>
          <w:iCs/>
        </w:rPr>
        <w:t>šų įsisavinimo spartos rodiklis</w:t>
      </w:r>
      <w:r w:rsidR="008920BD">
        <w:rPr>
          <w:iCs/>
        </w:rPr>
        <w:t>.</w:t>
      </w:r>
    </w:p>
    <w:p w:rsidR="00362019" w:rsidRDefault="001446CD">
      <w:pPr>
        <w:ind w:firstLine="709"/>
        <w:jc w:val="both"/>
      </w:pPr>
      <w:r>
        <w:rPr>
          <w:iCs/>
        </w:rPr>
        <w:t>67</w:t>
      </w:r>
      <w:r w:rsidR="008920BD">
        <w:rPr>
          <w:iCs/>
        </w:rPr>
        <w:t>. Jeigu projekto įgyvendinimo metu mokslo ir studijų inst</w:t>
      </w:r>
      <w:r>
        <w:rPr>
          <w:iCs/>
        </w:rPr>
        <w:t>itucija</w:t>
      </w:r>
      <w:r w:rsidR="008920BD">
        <w:rPr>
          <w:iCs/>
        </w:rPr>
        <w:t xml:space="preserve"> vykdo </w:t>
      </w:r>
      <w:r w:rsidR="008920BD">
        <w:t>ž</w:t>
      </w:r>
      <w:r w:rsidR="008920BD">
        <w:rPr>
          <w:color w:val="000000"/>
        </w:rPr>
        <w:t>inių perdavimo veiklą, visas šios veiklos pelnas turi būti reinvestuojamas į pagrindinę mokslo ir studijų institucijos</w:t>
      </w:r>
      <w:r>
        <w:t xml:space="preserve"> veiklą</w:t>
      </w:r>
      <w:r w:rsidR="008920BD">
        <w:t xml:space="preserve"> arba į mokslinių tyrimų infrastruktūrą.</w:t>
      </w:r>
    </w:p>
    <w:p w:rsidR="00362019" w:rsidRDefault="001446CD">
      <w:pPr>
        <w:ind w:firstLine="709"/>
        <w:jc w:val="both"/>
      </w:pPr>
      <w:r>
        <w:t>68</w:t>
      </w:r>
      <w:r w:rsidR="008920BD">
        <w:t>. Projekto įgyvendinimo metu pareiškėjas turi pateikti dokumentus, įrodančius tinkamą pareiškėjo ir partnerio ekonominės ir neekonominės veiklos rūšių, jų išlaidų, finansavimo ir pajamų atskyrimą (metines finansines ataskaitas).</w:t>
      </w:r>
    </w:p>
    <w:p w:rsidR="00362019" w:rsidRDefault="001446CD">
      <w:pPr>
        <w:ind w:firstLine="709"/>
        <w:jc w:val="both"/>
      </w:pPr>
      <w:r>
        <w:t>69</w:t>
      </w:r>
      <w:r w:rsidR="008920BD">
        <w:t>. Pareiškėjas ir partneris turi užtikrinti, kad projekto įgyvendinimo metu ir naudojant projekto metu sukurtus rezultatus nebus teikiama netiesioginė valstybės pagalba kitiems juridiniams asmenims.</w:t>
      </w:r>
    </w:p>
    <w:p w:rsidR="00362019" w:rsidRDefault="001446CD">
      <w:pPr>
        <w:ind w:firstLine="709"/>
        <w:jc w:val="both"/>
      </w:pPr>
      <w:r>
        <w:t>70</w:t>
      </w:r>
      <w:r w:rsidR="008920BD">
        <w:t>. Laikoma, kad netiesioginė valstybės pagalba per mokslo ir st</w:t>
      </w:r>
      <w:r>
        <w:t>udijų instituciją</w:t>
      </w:r>
      <w:r w:rsidR="008920BD">
        <w:t xml:space="preserve"> kitiems juridiniams asmenims neperduodama, jeigu tenkinama viena iš šių sąlygų: </w:t>
      </w:r>
    </w:p>
    <w:p w:rsidR="00362019" w:rsidRDefault="001446CD">
      <w:pPr>
        <w:ind w:firstLine="709"/>
        <w:jc w:val="both"/>
      </w:pPr>
      <w:r>
        <w:t>71</w:t>
      </w:r>
      <w:r w:rsidR="008920BD">
        <w:t xml:space="preserve">.1. visos intelektinės nuosavybės teisės į MTEP ir naujovių diegimo rezultatus, susijusius su mokslo ir studijų institucijos veikla projekte, yra visiškai suteikiamos mokslo ir studijų institucijai, t. y. mokslo ir studijų institucija arba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 (rezultatai, kuriems netaikomos intelektinės nuosavybės teisės, gali būti plačiai skleidžiami); </w:t>
      </w:r>
    </w:p>
    <w:p w:rsidR="00362019" w:rsidRDefault="001446CD">
      <w:pPr>
        <w:ind w:firstLine="709"/>
        <w:jc w:val="both"/>
      </w:pPr>
      <w:r>
        <w:t>72</w:t>
      </w:r>
      <w:r w:rsidR="008920BD">
        <w:t>.2. kai mokslo ir studijų institucija arba gauna juridinio asmens kompensaciją, lygią intelektinės nuosavybės teisių, kurios yra susijusios su mokslo ir studijų institucijos arba veikla įgyvendinant projektą ir kurios perduodamos juridiniams asmenims, rinkos kaina,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arba, kaip pardavėja, derėsis, kad gautų didžiausią naudą sutarties sudarymo metu. Bet kuris juridinio asmens įnašas dengiant mokslo ir studijų institucijos sąnaudas yra atimamas iš tokios kompensacijos.</w:t>
      </w:r>
    </w:p>
    <w:p w:rsidR="00362019" w:rsidRPr="00825D96" w:rsidRDefault="001446CD">
      <w:pPr>
        <w:ind w:firstLine="709"/>
        <w:jc w:val="both"/>
        <w:rPr>
          <w:iCs/>
        </w:rPr>
      </w:pPr>
      <w:r>
        <w:rPr>
          <w:iCs/>
        </w:rPr>
        <w:t>73</w:t>
      </w:r>
      <w:r w:rsidR="008920BD">
        <w:rPr>
          <w:iCs/>
        </w:rPr>
        <w:t xml:space="preserve">. Vadovaujantis </w:t>
      </w:r>
      <w:r w:rsidR="00286E9B" w:rsidRPr="00825D96">
        <w:t xml:space="preserve">Prioritetinių mokslinių tyrimų ir eksperimentinės plėtros ir inovacijų raidos (sumaniosios specializacijos) prioritetų įgyvendinimo programa, projekto vykdytojas ir partneris (-iai), esant poreikiui sumaniosios specializacijos programos įgyvendinimo laikotarpiu ir dvejus metus po sumaniosios specializacijos programos įgyvendinimo pabaigos, įsipareigoja teikti prašomą informaciją sumaniosios specializacijos programos įgyvendinimo analizę ir vertinimą atliekančioms institucijoms. </w:t>
      </w:r>
    </w:p>
    <w:p w:rsidR="00362019" w:rsidRDefault="001446CD">
      <w:pPr>
        <w:ind w:firstLine="709"/>
        <w:jc w:val="both"/>
      </w:pPr>
      <w:r>
        <w:rPr>
          <w:iCs/>
        </w:rPr>
        <w:t>74</w:t>
      </w:r>
      <w:r w:rsidR="008920BD">
        <w:rPr>
          <w:iCs/>
        </w:rPr>
        <w:t xml:space="preserve">. </w:t>
      </w:r>
      <w:r w:rsidR="008920BD">
        <w:rPr>
          <w:lang w:eastAsia="lt-LT"/>
        </w:rPr>
        <w:t xml:space="preserve">Penkis metus po projekto finansavimo pabaigos </w:t>
      </w:r>
      <w:r w:rsidR="008920BD">
        <w:t>turi būti užtikrintas investicijų tęstinumas Projektų taisyklių 27 skirsnyje nustatyta tvarka.</w:t>
      </w:r>
    </w:p>
    <w:p w:rsidR="006324AD" w:rsidRDefault="008126F6" w:rsidP="008126F6">
      <w:pPr>
        <w:ind w:firstLine="709"/>
        <w:jc w:val="both"/>
      </w:pPr>
      <w:r w:rsidRPr="002253F3">
        <w:t xml:space="preserve">75. </w:t>
      </w:r>
      <w:r>
        <w:t xml:space="preserve">Jeigu, vadovaujantis Aprašo </w:t>
      </w:r>
      <w:r w:rsidRPr="002253F3">
        <w:t xml:space="preserve">2 </w:t>
      </w:r>
      <w:r>
        <w:t>priede nurodytais</w:t>
      </w:r>
      <w:r w:rsidRPr="008126F6">
        <w:t xml:space="preserve"> prioritetiniais projektų atrankos kriterijais, vertinant projekto naudą ir kokybę </w:t>
      </w:r>
      <w:r w:rsidR="001864F1">
        <w:t>suteikiama</w:t>
      </w:r>
      <w:r w:rsidRPr="008126F6">
        <w:t xml:space="preserve"> balų už atitinkamus įsipareigojimų rodiklius, </w:t>
      </w:r>
      <w:r w:rsidR="001864F1">
        <w:t>pareiškėjo nurodytos įsipareigojimų pagal naudos ir kokybės vertinimo kriterijus reikšmės turi būti įtraukiamos į projekto sutartį.</w:t>
      </w:r>
      <w:r w:rsidR="00AC19AA">
        <w:t xml:space="preserve"> Projekto sutartyje taip pat nustatoma atsiskaitymo už šiuos rodiklius terminai ir tvarka.</w:t>
      </w:r>
    </w:p>
    <w:p w:rsidR="008126F6" w:rsidRPr="008126F6" w:rsidRDefault="001864F1" w:rsidP="001864F1">
      <w:pPr>
        <w:ind w:firstLine="709"/>
        <w:jc w:val="both"/>
      </w:pPr>
      <w:r w:rsidRPr="002253F3">
        <w:t xml:space="preserve">76. </w:t>
      </w:r>
      <w:r>
        <w:t>Jeigu</w:t>
      </w:r>
      <w:r w:rsidR="008126F6" w:rsidRPr="008126F6">
        <w:t xml:space="preserve"> paaiškė</w:t>
      </w:r>
      <w:r>
        <w:t>ja</w:t>
      </w:r>
      <w:r w:rsidR="008126F6" w:rsidRPr="008126F6">
        <w:t>, kad planuot</w:t>
      </w:r>
      <w:r>
        <w:t>os įsipareigojimų</w:t>
      </w:r>
      <w:r w:rsidR="008126F6" w:rsidRPr="008126F6">
        <w:t xml:space="preserve"> rodikli</w:t>
      </w:r>
      <w:r>
        <w:t>ų</w:t>
      </w:r>
      <w:r w:rsidR="008126F6" w:rsidRPr="008126F6">
        <w:t xml:space="preserve"> </w:t>
      </w:r>
      <w:r>
        <w:t xml:space="preserve">reikšmės </w:t>
      </w:r>
      <w:r w:rsidR="008126F6" w:rsidRPr="008126F6">
        <w:t>trečiaisiais finansiniais metais po projekto veiklų įgyvendinimo pabaigos yra nepasiekt</w:t>
      </w:r>
      <w:r>
        <w:t>os</w:t>
      </w:r>
      <w:r w:rsidR="008126F6" w:rsidRPr="008126F6">
        <w:t xml:space="preserve">, įgyvendinančioji </w:t>
      </w:r>
      <w:r w:rsidR="008126F6" w:rsidRPr="008126F6">
        <w:lastRenderedPageBreak/>
        <w:t>institucija priim</w:t>
      </w:r>
      <w:r w:rsidR="00702791">
        <w:t>a</w:t>
      </w:r>
      <w:r w:rsidR="008126F6" w:rsidRPr="008126F6">
        <w:t xml:space="preserve"> sprendimą grąžinti dalį išmokėtų lėšų. Finansinės korekcijos dydis apskaičiuojamas atsižvelgiant į įsipareigojimų rodiklio nepasiekimo procentinę dalį, skaičiuojamą nuo projekto finansavimo ir administravimo sutartyje nustatytos rodiklio reikšmės</w:t>
      </w:r>
      <w:r w:rsidR="00702791">
        <w:t xml:space="preserve">, vadovaujantis </w:t>
      </w:r>
      <w:r w:rsidR="00702791" w:rsidRPr="00702791">
        <w:t>Metodinėmis pažeidimų tyrimo ir nustatymo rekomendacijomis</w:t>
      </w:r>
      <w:r w:rsidR="00702791">
        <w:t xml:space="preserve">, patvirtintomis Lietuvos Respublikos finansų ministro </w:t>
      </w:r>
      <w:r w:rsidR="00702791" w:rsidRPr="00702791">
        <w:t xml:space="preserve">2009 m. gegužės 29 d. </w:t>
      </w:r>
      <w:r w:rsidR="00702791">
        <w:t xml:space="preserve">įsakymu </w:t>
      </w:r>
      <w:r w:rsidR="00702791" w:rsidRPr="00702791">
        <w:t xml:space="preserve">Nr. 1K-173 </w:t>
      </w:r>
      <w:r w:rsidR="00702791">
        <w:t>„Dėl Metodinių</w:t>
      </w:r>
      <w:r w:rsidR="00702791" w:rsidRPr="00702791">
        <w:t xml:space="preserve"> pažeidimų t</w:t>
      </w:r>
      <w:r w:rsidR="00702791">
        <w:t>yrimo ir nustatymo rekomendacijų patvirtinimo</w:t>
      </w:r>
      <w:r w:rsidR="008126F6" w:rsidRPr="008126F6">
        <w:t>.</w:t>
      </w:r>
      <w:r>
        <w:t xml:space="preserve"> </w:t>
      </w:r>
    </w:p>
    <w:p w:rsidR="00362019" w:rsidRPr="008126F6" w:rsidRDefault="00362019">
      <w:pPr>
        <w:rPr>
          <w:lang w:eastAsia="lt-LT"/>
        </w:rPr>
      </w:pPr>
    </w:p>
    <w:p w:rsidR="00362019" w:rsidRDefault="008920BD">
      <w:pPr>
        <w:jc w:val="center"/>
        <w:rPr>
          <w:b/>
          <w:szCs w:val="24"/>
          <w:lang w:eastAsia="lt-LT"/>
        </w:rPr>
      </w:pPr>
      <w:r>
        <w:rPr>
          <w:b/>
          <w:szCs w:val="24"/>
          <w:lang w:eastAsia="lt-LT"/>
        </w:rPr>
        <w:t>VII SKYRIUS</w:t>
      </w:r>
    </w:p>
    <w:p w:rsidR="00362019" w:rsidRDefault="008920BD">
      <w:pPr>
        <w:ind w:firstLine="62"/>
        <w:jc w:val="center"/>
        <w:rPr>
          <w:b/>
          <w:szCs w:val="24"/>
          <w:lang w:eastAsia="lt-LT"/>
        </w:rPr>
      </w:pPr>
      <w:r>
        <w:rPr>
          <w:b/>
          <w:szCs w:val="24"/>
          <w:lang w:eastAsia="lt-LT"/>
        </w:rPr>
        <w:t>APRAŠO KEITIMO TVARKA</w:t>
      </w:r>
    </w:p>
    <w:p w:rsidR="00362019" w:rsidRDefault="00362019">
      <w:pPr>
        <w:rPr>
          <w:lang w:eastAsia="lt-LT"/>
        </w:rPr>
      </w:pPr>
    </w:p>
    <w:p w:rsidR="00362019" w:rsidRDefault="008126F6">
      <w:pPr>
        <w:ind w:firstLine="709"/>
        <w:jc w:val="both"/>
        <w:rPr>
          <w:lang w:eastAsia="lt-LT"/>
        </w:rPr>
      </w:pPr>
      <w:r>
        <w:rPr>
          <w:lang w:eastAsia="lt-LT"/>
        </w:rPr>
        <w:t>7</w:t>
      </w:r>
      <w:r w:rsidR="00702791">
        <w:rPr>
          <w:lang w:val="en-US" w:eastAsia="lt-LT"/>
        </w:rPr>
        <w:t>7</w:t>
      </w:r>
      <w:r w:rsidR="008920BD">
        <w:rPr>
          <w:lang w:eastAsia="lt-LT"/>
        </w:rPr>
        <w:t xml:space="preserve">. Aprašo keitimo tvarka nustatyta Projektų taisyklių 11 skirsnyje. </w:t>
      </w:r>
    </w:p>
    <w:p w:rsidR="00362019" w:rsidRDefault="001446CD">
      <w:pPr>
        <w:ind w:firstLine="709"/>
        <w:jc w:val="both"/>
        <w:rPr>
          <w:lang w:eastAsia="lt-LT"/>
        </w:rPr>
      </w:pPr>
      <w:r>
        <w:rPr>
          <w:lang w:eastAsia="lt-LT"/>
        </w:rPr>
        <w:t>7</w:t>
      </w:r>
      <w:r w:rsidR="00702791">
        <w:rPr>
          <w:lang w:eastAsia="lt-LT"/>
        </w:rPr>
        <w:t>8</w:t>
      </w:r>
      <w:r w:rsidR="008920BD">
        <w:rPr>
          <w:lang w:eastAsia="lt-LT"/>
        </w:rPr>
        <w:t>. Jei Aprašas keičiamas jau atrinkus projektus, šie pakeitimai, nepažeidžiant lygiateisiškumo principo, taikomi ir įgyvendinamiems projektams Projektų taisyklių 91 punkte nustatytais atvejais.</w:t>
      </w:r>
    </w:p>
    <w:p w:rsidR="00362019" w:rsidRDefault="008920BD">
      <w:pPr>
        <w:jc w:val="center"/>
        <w:rPr>
          <w:lang w:eastAsia="lt-LT"/>
        </w:rPr>
      </w:pPr>
      <w:r>
        <w:rPr>
          <w:lang w:eastAsia="lt-LT"/>
        </w:rPr>
        <w:t>_______________________</w:t>
      </w:r>
    </w:p>
    <w:p w:rsidR="00362019" w:rsidRDefault="00362019">
      <w:pPr>
        <w:jc w:val="center"/>
        <w:rPr>
          <w:lang w:eastAsia="lt-LT"/>
        </w:rPr>
      </w:pPr>
    </w:p>
    <w:p w:rsidR="00362019" w:rsidRDefault="00362019">
      <w:pPr>
        <w:ind w:left="7938" w:right="-314"/>
        <w:sectPr w:rsidR="00362019">
          <w:headerReference w:type="default" r:id="rId13"/>
          <w:headerReference w:type="first" r:id="rId14"/>
          <w:pgSz w:w="11907" w:h="16840" w:code="9"/>
          <w:pgMar w:top="567" w:right="1134" w:bottom="1701" w:left="1701" w:header="288" w:footer="720" w:gutter="0"/>
          <w:pgNumType w:start="1"/>
          <w:cols w:space="720"/>
          <w:noEndnote/>
          <w:titlePg/>
          <w:docGrid w:linePitch="326"/>
        </w:sectPr>
      </w:pPr>
    </w:p>
    <w:p w:rsidR="00362019" w:rsidRDefault="008920BD" w:rsidP="004F5A19">
      <w:pPr>
        <w:ind w:left="7938" w:right="-29"/>
        <w:rPr>
          <w:rFonts w:eastAsia="Calibri"/>
          <w:szCs w:val="24"/>
        </w:rPr>
      </w:pPr>
      <w:r>
        <w:rPr>
          <w:rFonts w:eastAsia="Calibri"/>
          <w:szCs w:val="24"/>
        </w:rPr>
        <w:lastRenderedPageBreak/>
        <w:t xml:space="preserve">2014–2020 metų Europos Sąjungos fondų investicijų veiksmų </w:t>
      </w:r>
    </w:p>
    <w:p w:rsidR="00362019" w:rsidRDefault="008920BD" w:rsidP="004F5A19">
      <w:pPr>
        <w:ind w:left="7938" w:right="-29"/>
        <w:rPr>
          <w:rFonts w:eastAsia="Calibri"/>
          <w:szCs w:val="24"/>
        </w:rPr>
      </w:pPr>
      <w:r>
        <w:rPr>
          <w:rFonts w:eastAsia="Calibri"/>
          <w:szCs w:val="24"/>
        </w:rPr>
        <w:t xml:space="preserve">programos 1 prioriteto „Mokslinių tyrimų, eksperimentinės </w:t>
      </w:r>
    </w:p>
    <w:p w:rsidR="00362019" w:rsidRDefault="008920BD" w:rsidP="004F5A19">
      <w:pPr>
        <w:ind w:left="7938" w:right="-29"/>
        <w:rPr>
          <w:rFonts w:eastAsia="Calibri"/>
          <w:szCs w:val="24"/>
        </w:rPr>
      </w:pPr>
      <w:r>
        <w:rPr>
          <w:rFonts w:eastAsia="Calibri"/>
          <w:szCs w:val="24"/>
        </w:rPr>
        <w:t xml:space="preserve">plėtros ir inovacijų skatinimas“ 01.2.2-CPVA-K-703 priemonės </w:t>
      </w:r>
    </w:p>
    <w:p w:rsidR="00362019" w:rsidRDefault="008920BD" w:rsidP="004F5A19">
      <w:pPr>
        <w:ind w:left="7938" w:right="-29"/>
        <w:rPr>
          <w:rFonts w:eastAsia="Calibri"/>
          <w:szCs w:val="24"/>
        </w:rPr>
      </w:pPr>
      <w:r>
        <w:rPr>
          <w:rFonts w:eastAsia="Calibri"/>
          <w:szCs w:val="24"/>
        </w:rPr>
        <w:t xml:space="preserve">„Kompetencijos centrų ir inovacijų ir technologijų perdavimo </w:t>
      </w:r>
    </w:p>
    <w:p w:rsidR="00362019" w:rsidRDefault="008920BD" w:rsidP="004F5A19">
      <w:pPr>
        <w:ind w:left="7938" w:right="-29"/>
        <w:rPr>
          <w:rFonts w:eastAsia="Calibri"/>
          <w:szCs w:val="24"/>
        </w:rPr>
      </w:pPr>
      <w:r>
        <w:rPr>
          <w:rFonts w:eastAsia="Calibri"/>
          <w:szCs w:val="24"/>
        </w:rPr>
        <w:t>centrų veiklos skatinimas“ projektų finansavimo sąlygų aprašo Nr</w:t>
      </w:r>
      <w:r w:rsidR="00AF3908">
        <w:rPr>
          <w:rFonts w:eastAsia="Calibri"/>
          <w:szCs w:val="24"/>
        </w:rPr>
        <w:t>. 4</w:t>
      </w:r>
    </w:p>
    <w:p w:rsidR="00362019" w:rsidRDefault="008920BD" w:rsidP="004F5A19">
      <w:pPr>
        <w:ind w:left="7371" w:right="397" w:firstLine="567"/>
        <w:rPr>
          <w:rFonts w:eastAsia="Calibri"/>
          <w:szCs w:val="24"/>
        </w:rPr>
      </w:pPr>
      <w:r>
        <w:rPr>
          <w:szCs w:val="24"/>
          <w:lang w:eastAsia="lt-LT"/>
        </w:rPr>
        <w:t>1 priedas</w:t>
      </w:r>
    </w:p>
    <w:p w:rsidR="00362019" w:rsidRDefault="00362019">
      <w:pPr>
        <w:ind w:firstLine="680"/>
        <w:jc w:val="right"/>
        <w:rPr>
          <w:szCs w:val="24"/>
          <w:lang w:eastAsia="lt-LT"/>
        </w:rPr>
      </w:pPr>
    </w:p>
    <w:p w:rsidR="00362019" w:rsidRDefault="00362019">
      <w:pPr>
        <w:ind w:firstLine="680"/>
        <w:jc w:val="right"/>
        <w:rPr>
          <w:i/>
          <w:szCs w:val="24"/>
          <w:lang w:eastAsia="lt-LT"/>
        </w:rPr>
      </w:pPr>
    </w:p>
    <w:p w:rsidR="00362019" w:rsidRDefault="008920BD">
      <w:pPr>
        <w:ind w:firstLine="680"/>
        <w:jc w:val="center"/>
        <w:rPr>
          <w:b/>
          <w:szCs w:val="24"/>
          <w:lang w:eastAsia="lt-LT"/>
        </w:rPr>
      </w:pPr>
      <w:r>
        <w:rPr>
          <w:b/>
          <w:szCs w:val="24"/>
          <w:lang w:eastAsia="lt-LT"/>
        </w:rPr>
        <w:t>PROJEKTO TINKAMUMO FINANSUOTI VERTINIMO LENTELĖ</w:t>
      </w:r>
    </w:p>
    <w:p w:rsidR="00362019" w:rsidRDefault="00362019">
      <w:pPr>
        <w:ind w:firstLine="680"/>
        <w:jc w:val="center"/>
        <w:rPr>
          <w:b/>
          <w:szCs w:val="24"/>
          <w:lang w:eastAsia="lt-L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9850"/>
      </w:tblGrid>
      <w:tr w:rsidR="00362019">
        <w:tc>
          <w:tcPr>
            <w:tcW w:w="4536" w:type="dxa"/>
          </w:tcPr>
          <w:p w:rsidR="00362019" w:rsidRDefault="008920BD">
            <w:pPr>
              <w:rPr>
                <w:b/>
                <w:bCs/>
                <w:szCs w:val="24"/>
                <w:lang w:eastAsia="lt-LT"/>
              </w:rPr>
            </w:pPr>
            <w:r>
              <w:rPr>
                <w:b/>
                <w:bCs/>
                <w:szCs w:val="24"/>
                <w:lang w:eastAsia="lt-LT"/>
              </w:rPr>
              <w:t>Paraiškos kodas</w:t>
            </w:r>
          </w:p>
        </w:tc>
        <w:tc>
          <w:tcPr>
            <w:tcW w:w="10064" w:type="dxa"/>
          </w:tcPr>
          <w:p w:rsidR="00362019" w:rsidRDefault="008920BD">
            <w:pPr>
              <w:rPr>
                <w:bCs/>
                <w:i/>
                <w:szCs w:val="24"/>
                <w:lang w:eastAsia="lt-LT"/>
              </w:rPr>
            </w:pPr>
            <w:r>
              <w:rPr>
                <w:i/>
                <w:szCs w:val="24"/>
              </w:rPr>
              <w:t>Pildoma projekto tinkamumo finansuoti vertinimo metu.</w:t>
            </w:r>
          </w:p>
          <w:p w:rsidR="00362019" w:rsidRDefault="008920BD">
            <w:pPr>
              <w:widowControl w:val="0"/>
              <w:shd w:val="clear" w:color="auto" w:fill="FFFFFF"/>
              <w:tabs>
                <w:tab w:val="left" w:pos="2943"/>
              </w:tabs>
              <w:rPr>
                <w:i/>
                <w:szCs w:val="24"/>
              </w:rPr>
            </w:pPr>
            <w:r>
              <w:rPr>
                <w:rFonts w:eastAsia="Calibri"/>
                <w:i/>
                <w:szCs w:val="24"/>
              </w:rPr>
              <w:t>Galimas simbolių skaičius – 25.</w:t>
            </w:r>
          </w:p>
        </w:tc>
      </w:tr>
      <w:tr w:rsidR="00362019">
        <w:tc>
          <w:tcPr>
            <w:tcW w:w="4536" w:type="dxa"/>
          </w:tcPr>
          <w:p w:rsidR="00362019" w:rsidRDefault="008920BD">
            <w:pPr>
              <w:rPr>
                <w:b/>
                <w:bCs/>
                <w:szCs w:val="24"/>
                <w:lang w:eastAsia="lt-LT"/>
              </w:rPr>
            </w:pPr>
            <w:r>
              <w:rPr>
                <w:b/>
                <w:bCs/>
                <w:szCs w:val="24"/>
                <w:lang w:eastAsia="lt-LT"/>
              </w:rPr>
              <w:t>Pareiškėjo pavadinimas</w:t>
            </w:r>
          </w:p>
        </w:tc>
        <w:tc>
          <w:tcPr>
            <w:tcW w:w="10064" w:type="dxa"/>
          </w:tcPr>
          <w:p w:rsidR="00362019" w:rsidRDefault="008920BD">
            <w:pPr>
              <w:rPr>
                <w:bCs/>
                <w:i/>
                <w:szCs w:val="24"/>
                <w:lang w:eastAsia="lt-LT"/>
              </w:rPr>
            </w:pPr>
            <w:r>
              <w:rPr>
                <w:i/>
                <w:szCs w:val="24"/>
              </w:rPr>
              <w:t>Pildoma projekto tinkamumo finansuoti vertinimo metu.</w:t>
            </w:r>
          </w:p>
          <w:p w:rsidR="00362019" w:rsidRDefault="008920BD">
            <w:pPr>
              <w:rPr>
                <w:bCs/>
                <w:i/>
                <w:szCs w:val="24"/>
                <w:lang w:eastAsia="lt-LT"/>
              </w:rPr>
            </w:pPr>
            <w:r>
              <w:rPr>
                <w:rFonts w:eastAsia="Calibri"/>
                <w:i/>
                <w:szCs w:val="24"/>
              </w:rPr>
              <w:t>Galimas simbolių skaičius – 140.</w:t>
            </w:r>
          </w:p>
        </w:tc>
      </w:tr>
      <w:tr w:rsidR="00362019">
        <w:tc>
          <w:tcPr>
            <w:tcW w:w="4536" w:type="dxa"/>
          </w:tcPr>
          <w:p w:rsidR="00362019" w:rsidRDefault="008920BD">
            <w:pPr>
              <w:rPr>
                <w:b/>
                <w:bCs/>
                <w:szCs w:val="24"/>
                <w:lang w:eastAsia="lt-LT"/>
              </w:rPr>
            </w:pPr>
            <w:r>
              <w:rPr>
                <w:b/>
                <w:bCs/>
                <w:szCs w:val="24"/>
                <w:lang w:eastAsia="lt-LT"/>
              </w:rPr>
              <w:t>Projekto pavadinimas</w:t>
            </w:r>
          </w:p>
        </w:tc>
        <w:tc>
          <w:tcPr>
            <w:tcW w:w="10064" w:type="dxa"/>
          </w:tcPr>
          <w:p w:rsidR="00362019" w:rsidRDefault="008920BD">
            <w:pPr>
              <w:rPr>
                <w:bCs/>
                <w:i/>
                <w:szCs w:val="24"/>
                <w:lang w:eastAsia="lt-LT"/>
              </w:rPr>
            </w:pPr>
            <w:r>
              <w:rPr>
                <w:i/>
                <w:szCs w:val="24"/>
              </w:rPr>
              <w:t>Pildoma projekto tinkamumo finansuoti vertinimo metu.</w:t>
            </w:r>
          </w:p>
          <w:p w:rsidR="00362019" w:rsidRDefault="008920BD">
            <w:pPr>
              <w:rPr>
                <w:bCs/>
                <w:i/>
                <w:szCs w:val="24"/>
                <w:lang w:eastAsia="lt-LT"/>
              </w:rPr>
            </w:pPr>
            <w:r>
              <w:rPr>
                <w:rFonts w:eastAsia="Calibri"/>
                <w:i/>
                <w:szCs w:val="24"/>
              </w:rPr>
              <w:t>Galimas simbolių skaičius – 150.</w:t>
            </w:r>
          </w:p>
        </w:tc>
      </w:tr>
      <w:tr w:rsidR="00362019">
        <w:tc>
          <w:tcPr>
            <w:tcW w:w="14600" w:type="dxa"/>
            <w:gridSpan w:val="2"/>
          </w:tcPr>
          <w:p w:rsidR="00362019" w:rsidRDefault="008920BD">
            <w:pPr>
              <w:rPr>
                <w:b/>
                <w:bCs/>
                <w:szCs w:val="24"/>
                <w:lang w:eastAsia="lt-LT"/>
              </w:rPr>
            </w:pPr>
            <w:r>
              <w:rPr>
                <w:b/>
                <w:bCs/>
                <w:szCs w:val="24"/>
                <w:lang w:eastAsia="lt-LT"/>
              </w:rPr>
              <w:t xml:space="preserve">Projektą planuojama įgyvendinti: </w:t>
            </w:r>
            <w:r>
              <w:rPr>
                <w:bCs/>
                <w:i/>
                <w:szCs w:val="24"/>
                <w:lang w:eastAsia="lt-LT"/>
              </w:rPr>
              <w:t>(</w:t>
            </w:r>
            <w:r>
              <w:rPr>
                <w:i/>
                <w:szCs w:val="24"/>
              </w:rPr>
              <w:t>Pažymima projekto tinkamumo finansuoti vertinimo metu.)</w:t>
            </w:r>
          </w:p>
          <w:p w:rsidR="00362019" w:rsidRDefault="00362019">
            <w:pPr>
              <w:rPr>
                <w:sz w:val="10"/>
                <w:szCs w:val="10"/>
              </w:rPr>
            </w:pPr>
          </w:p>
          <w:p w:rsidR="00362019" w:rsidRDefault="008920BD">
            <w:pPr>
              <w:rPr>
                <w:b/>
                <w:bCs/>
                <w:szCs w:val="24"/>
                <w:lang w:eastAsia="lt-LT"/>
              </w:rPr>
            </w:pPr>
            <w:r>
              <w:rPr>
                <w:b/>
                <w:bCs/>
                <w:szCs w:val="24"/>
                <w:lang w:eastAsia="lt-LT"/>
              </w:rPr>
              <w:t xml:space="preserve"> su partneriu (-iais)              </w:t>
            </w:r>
            <w:r>
              <w:rPr>
                <w:b/>
                <w:bCs/>
                <w:szCs w:val="24"/>
                <w:lang w:eastAsia="lt-LT"/>
              </w:rPr>
              <w:t> be partnerio (-ių)</w:t>
            </w:r>
          </w:p>
        </w:tc>
      </w:tr>
      <w:tr w:rsidR="00362019">
        <w:tc>
          <w:tcPr>
            <w:tcW w:w="14600" w:type="dxa"/>
            <w:gridSpan w:val="2"/>
          </w:tcPr>
          <w:p w:rsidR="00362019" w:rsidRDefault="00362019">
            <w:pPr>
              <w:rPr>
                <w:sz w:val="10"/>
                <w:szCs w:val="10"/>
              </w:rPr>
            </w:pPr>
          </w:p>
          <w:p w:rsidR="00362019" w:rsidRDefault="008920BD">
            <w:pPr>
              <w:rPr>
                <w:b/>
                <w:bCs/>
                <w:szCs w:val="24"/>
                <w:lang w:eastAsia="lt-LT"/>
              </w:rPr>
            </w:pPr>
            <w:r>
              <w:rPr>
                <w:b/>
                <w:bCs/>
                <w:szCs w:val="24"/>
                <w:lang w:eastAsia="lt-LT"/>
              </w:rPr>
              <w:t xml:space="preserve"> PIRMINĖ               </w:t>
            </w:r>
            <w:r>
              <w:rPr>
                <w:b/>
                <w:bCs/>
                <w:szCs w:val="24"/>
                <w:lang w:eastAsia="lt-LT"/>
              </w:rPr>
              <w:t>PATIKSLINTA</w:t>
            </w:r>
          </w:p>
          <w:p w:rsidR="00362019" w:rsidRDefault="00362019">
            <w:pPr>
              <w:rPr>
                <w:sz w:val="10"/>
                <w:szCs w:val="10"/>
              </w:rPr>
            </w:pPr>
          </w:p>
          <w:p w:rsidR="00362019" w:rsidRDefault="008920BD">
            <w:pPr>
              <w:rPr>
                <w:bCs/>
                <w:i/>
                <w:szCs w:val="24"/>
                <w:lang w:eastAsia="lt-LT"/>
              </w:rPr>
            </w:pPr>
            <w:r>
              <w:rPr>
                <w:bCs/>
                <w:i/>
                <w:szCs w:val="24"/>
                <w:lang w:eastAsia="lt-LT"/>
              </w:rPr>
              <w:t>(Žymima „Patikslinta“ tais atvejais, kai ši lentelė tikslinama po to, kai paraiška grąžinama pakartotiniam vertinimui.)</w:t>
            </w:r>
          </w:p>
          <w:p w:rsidR="00362019" w:rsidRDefault="00362019">
            <w:pPr>
              <w:rPr>
                <w:sz w:val="10"/>
                <w:szCs w:val="10"/>
              </w:rPr>
            </w:pPr>
          </w:p>
          <w:p w:rsidR="00362019" w:rsidRDefault="008920BD">
            <w:pPr>
              <w:rPr>
                <w:bCs/>
                <w:i/>
                <w:szCs w:val="24"/>
                <w:lang w:eastAsia="lt-LT"/>
              </w:rPr>
            </w:pPr>
            <w:r>
              <w:rPr>
                <w:b/>
                <w:bCs/>
                <w:i/>
                <w:szCs w:val="24"/>
                <w:lang w:eastAsia="lt-LT"/>
              </w:rPr>
              <w:t>(</w:t>
            </w:r>
            <w:r>
              <w:rPr>
                <w:i/>
                <w:szCs w:val="24"/>
              </w:rPr>
              <w:t>Pažymima projekto tinkamumo finansuoti vertinimo metu.</w:t>
            </w:r>
            <w:r>
              <w:rPr>
                <w:rFonts w:eastAsia="Calibri"/>
                <w:i/>
                <w:szCs w:val="24"/>
              </w:rPr>
              <w:t>)</w:t>
            </w:r>
          </w:p>
        </w:tc>
      </w:tr>
    </w:tbl>
    <w:p w:rsidR="00362019" w:rsidRDefault="00362019">
      <w:pPr>
        <w:rPr>
          <w:i/>
          <w:szCs w:val="24"/>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722"/>
      </w:tblGrid>
      <w:tr w:rsidR="00362019" w:rsidTr="004F5A19">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362019" w:rsidRDefault="008920BD">
            <w:pPr>
              <w:jc w:val="center"/>
              <w:rPr>
                <w:b/>
                <w:bCs/>
                <w:lang w:eastAsia="lt-LT"/>
              </w:rPr>
            </w:pPr>
            <w:r>
              <w:rPr>
                <w:b/>
                <w:bCs/>
                <w:lang w:eastAsia="lt-LT"/>
              </w:rPr>
              <w:t>Bendrasis reikalavimas /</w:t>
            </w:r>
          </w:p>
          <w:p w:rsidR="00362019" w:rsidRDefault="008920BD">
            <w:pPr>
              <w:jc w:val="center"/>
              <w:rPr>
                <w:b/>
                <w:bCs/>
                <w:lang w:eastAsia="lt-LT"/>
              </w:rPr>
            </w:pPr>
            <w:r>
              <w:rPr>
                <w:b/>
                <w:bCs/>
                <w:lang w:eastAsia="lt-LT"/>
              </w:rPr>
              <w:t>specialusis projektų atrankos kriterijus (toliau – specialusis kriterijus), jo vertinimo aspektai ir paaiškinimai</w:t>
            </w:r>
          </w:p>
          <w:p w:rsidR="00362019" w:rsidRDefault="00362019">
            <w:pPr>
              <w:jc w:val="center"/>
              <w:rPr>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362019" w:rsidRDefault="008920BD">
            <w:pPr>
              <w:jc w:val="center"/>
              <w:rPr>
                <w:b/>
                <w:bCs/>
                <w:lang w:eastAsia="lt-LT"/>
              </w:rPr>
            </w:pPr>
            <w:r>
              <w:rPr>
                <w:b/>
                <w:bCs/>
                <w:lang w:eastAsia="lt-LT"/>
              </w:rPr>
              <w:t>Bendrojo reikalavimo / specialiojo kriterijaus detalizavimas</w:t>
            </w:r>
          </w:p>
          <w:p w:rsidR="00362019" w:rsidRDefault="008920BD">
            <w:pPr>
              <w:jc w:val="center"/>
              <w:rPr>
                <w:b/>
                <w:bCs/>
                <w:i/>
                <w:lang w:eastAsia="lt-LT"/>
              </w:rPr>
            </w:pPr>
            <w:r>
              <w:rPr>
                <w:b/>
                <w:bCs/>
                <w:i/>
                <w:lang w:eastAsia="lt-LT"/>
              </w:rPr>
              <w:t>(jei taikoma)</w:t>
            </w:r>
          </w:p>
          <w:p w:rsidR="00362019" w:rsidRDefault="00362019">
            <w:pPr>
              <w:jc w:val="center"/>
              <w:rPr>
                <w:bCs/>
                <w:i/>
                <w:lang w:eastAsia="lt-LT"/>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362019" w:rsidRDefault="008920BD">
            <w:pPr>
              <w:jc w:val="center"/>
              <w:rPr>
                <w:lang w:eastAsia="lt-LT"/>
              </w:rPr>
            </w:pPr>
            <w:r>
              <w:rPr>
                <w:b/>
                <w:bCs/>
                <w:lang w:eastAsia="lt-LT"/>
              </w:rPr>
              <w:t>Bendrojo reikalavimo / specialiojo kriterijaus vertinimas</w:t>
            </w:r>
          </w:p>
        </w:tc>
      </w:tr>
      <w:tr w:rsidR="00362019" w:rsidTr="004F5A19">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362019" w:rsidRDefault="00362019">
            <w:pPr>
              <w:rPr>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362019" w:rsidRDefault="00362019">
            <w:pPr>
              <w:jc w:val="center"/>
              <w:rPr>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362019" w:rsidRDefault="008920BD">
            <w:pPr>
              <w:jc w:val="center"/>
              <w:rPr>
                <w:lang w:eastAsia="lt-LT"/>
              </w:rPr>
            </w:pPr>
            <w:r>
              <w:rPr>
                <w:b/>
                <w:bCs/>
                <w:lang w:eastAsia="lt-LT"/>
              </w:rPr>
              <w:t>Taip / Ne / Netaikoma/ Taip su išlyga</w:t>
            </w:r>
          </w:p>
        </w:tc>
        <w:tc>
          <w:tcPr>
            <w:tcW w:w="2722" w:type="dxa"/>
            <w:tcBorders>
              <w:top w:val="single" w:sz="4" w:space="0" w:color="000000"/>
              <w:left w:val="single" w:sz="4" w:space="0" w:color="000000"/>
              <w:bottom w:val="single" w:sz="4" w:space="0" w:color="000000"/>
              <w:right w:val="single" w:sz="4" w:space="0" w:color="000000"/>
            </w:tcBorders>
            <w:shd w:val="clear" w:color="auto" w:fill="D9D9D9"/>
            <w:hideMark/>
          </w:tcPr>
          <w:p w:rsidR="00362019" w:rsidRDefault="008920BD">
            <w:pPr>
              <w:jc w:val="center"/>
              <w:rPr>
                <w:b/>
                <w:bCs/>
              </w:rPr>
            </w:pPr>
            <w:r>
              <w:rPr>
                <w:b/>
                <w:bCs/>
              </w:rPr>
              <w:t>Komentarai</w:t>
            </w:r>
          </w:p>
          <w:p w:rsidR="00362019" w:rsidRDefault="00362019">
            <w:pPr>
              <w:jc w:val="center"/>
              <w:rPr>
                <w:lang w:eastAsia="lt-LT"/>
              </w:rPr>
            </w:pPr>
          </w:p>
        </w:tc>
      </w:tr>
      <w:tr w:rsidR="00362019" w:rsidTr="004F5A19">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362019" w:rsidRDefault="00362019">
            <w:pPr>
              <w:widowControl w:val="0"/>
              <w:shd w:val="clear" w:color="auto" w:fill="FFFFFF"/>
              <w:tabs>
                <w:tab w:val="left" w:pos="2943"/>
              </w:tabs>
              <w:rPr>
                <w:i/>
              </w:rPr>
            </w:pPr>
          </w:p>
        </w:tc>
        <w:tc>
          <w:tcPr>
            <w:tcW w:w="4677" w:type="dxa"/>
            <w:tcBorders>
              <w:left w:val="single" w:sz="4" w:space="0" w:color="000000"/>
              <w:bottom w:val="single" w:sz="4" w:space="0" w:color="000000"/>
              <w:right w:val="single" w:sz="4" w:space="0" w:color="000000"/>
            </w:tcBorders>
            <w:shd w:val="clear" w:color="auto" w:fill="auto"/>
          </w:tcPr>
          <w:p w:rsidR="00362019" w:rsidRDefault="00362019">
            <w:pPr>
              <w:widowControl w:val="0"/>
              <w:shd w:val="clear" w:color="auto" w:fill="FFFFFF"/>
              <w:tabs>
                <w:tab w:val="left" w:pos="2943"/>
              </w:tabs>
              <w:rPr>
                <w:i/>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362019" w:rsidRDefault="00362019">
            <w:pPr>
              <w:rPr>
                <w:b/>
                <w:bCs/>
                <w:lang w:eastAsia="lt-LT"/>
              </w:rPr>
            </w:pPr>
          </w:p>
        </w:tc>
        <w:tc>
          <w:tcPr>
            <w:tcW w:w="2722" w:type="dxa"/>
            <w:tcBorders>
              <w:top w:val="single" w:sz="4" w:space="0" w:color="000000"/>
              <w:left w:val="single" w:sz="4" w:space="0" w:color="000000"/>
              <w:bottom w:val="single" w:sz="4" w:space="0" w:color="000000"/>
              <w:right w:val="single" w:sz="4" w:space="0" w:color="000000"/>
            </w:tcBorders>
            <w:shd w:val="clear" w:color="auto" w:fill="auto"/>
          </w:tcPr>
          <w:p w:rsidR="00362019" w:rsidRDefault="00362019">
            <w:pPr>
              <w:rPr>
                <w:b/>
                <w:bCs/>
              </w:rPr>
            </w:pPr>
          </w:p>
        </w:tc>
      </w:tr>
      <w:tr w:rsidR="00362019" w:rsidTr="004F5A19">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362019" w:rsidRDefault="008920BD">
            <w:pPr>
              <w:rPr>
                <w:lang w:eastAsia="lt-LT"/>
              </w:rPr>
            </w:pPr>
            <w:r>
              <w:rPr>
                <w:b/>
                <w:bCs/>
                <w:lang w:eastAsia="lt-LT"/>
              </w:rPr>
              <w:lastRenderedPageBreak/>
              <w:t>1. Planuojamu finansuoti projektu prisidedama prie bent vieno 2014–2020 metų Europos Sąjungos fondų investicijų veiksmų programos (toliau –veiksmų programa)  prioriteto konkretaus uždavinio įgyvendinimo, rezultato pasiekimo ir įgyvendinama bent viena pagal projektų finansavimo sąlygų aprašą numatoma finansuoti veikla.</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szCs w:val="24"/>
                <w:lang w:eastAsia="lt-LT"/>
              </w:rPr>
            </w:pPr>
            <w:r>
              <w:rPr>
                <w:lang w:eastAsia="lt-LT"/>
              </w:rPr>
              <w:t xml:space="preserve">1.1. </w:t>
            </w:r>
            <w:r>
              <w:rPr>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szCs w:val="24"/>
                <w:lang w:eastAsia="lt-LT"/>
              </w:rPr>
            </w:pPr>
            <w:r>
              <w:rPr>
                <w:szCs w:val="24"/>
                <w:lang w:eastAsia="lt-LT"/>
              </w:rPr>
              <w:t xml:space="preserve">Projekto tikslai ir uždaviniai turi atitikti veiksmų programos </w:t>
            </w:r>
            <w:r>
              <w:rPr>
                <w:rFonts w:eastAsia="Calibri"/>
                <w:szCs w:val="24"/>
              </w:rPr>
              <w:t xml:space="preserve">1 prioriteto </w:t>
            </w:r>
            <w:r>
              <w:rPr>
                <w:szCs w:val="24"/>
                <w:lang w:eastAsia="lt-LT"/>
              </w:rPr>
              <w:t>„Mokslinių tyrimų, eksperimentinės plėtros ir inovacijų skatinimas“ 1.2.2 konkretų uždavinį „Padidinti žinių komercinimo ir technologijų perdavimo mastą“ ir siekiamą rezultatą.</w:t>
            </w:r>
          </w:p>
          <w:p w:rsidR="00362019" w:rsidRDefault="00362019">
            <w:pPr>
              <w:jc w:val="both"/>
              <w:rPr>
                <w:szCs w:val="24"/>
                <w:lang w:eastAsia="lt-LT"/>
              </w:rPr>
            </w:pPr>
          </w:p>
          <w:p w:rsidR="00362019" w:rsidRDefault="008920BD">
            <w:pPr>
              <w:rPr>
                <w:lang w:eastAsia="lt-LT"/>
              </w:rPr>
            </w:pPr>
            <w:r>
              <w:rPr>
                <w:szCs w:val="24"/>
                <w:lang w:eastAsia="lt-LT"/>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i/>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lang w:eastAsia="lt-LT"/>
              </w:rPr>
            </w:pPr>
            <w:r>
              <w:rPr>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rFonts w:eastAsia="Calibri"/>
                <w:szCs w:val="24"/>
              </w:rPr>
            </w:pPr>
            <w:r>
              <w:rPr>
                <w:rFonts w:eastAsia="Calibri"/>
                <w:szCs w:val="24"/>
              </w:rPr>
              <w:t xml:space="preserve">Projekto tikslai, uždaviniai ir veiklos turi atitikti Aprašo 11 punkte nurodytą veiklą. </w:t>
            </w:r>
          </w:p>
          <w:p w:rsidR="00362019" w:rsidRDefault="00362019">
            <w:pPr>
              <w:rPr>
                <w:szCs w:val="24"/>
                <w:lang w:eastAsia="lt-LT"/>
              </w:rPr>
            </w:pPr>
          </w:p>
          <w:p w:rsidR="00362019" w:rsidRDefault="008920BD">
            <w:pPr>
              <w:jc w:val="both"/>
              <w:rPr>
                <w:szCs w:val="24"/>
                <w:lang w:eastAsia="lt-LT"/>
              </w:rPr>
            </w:pPr>
            <w:r>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r>
              <w:rPr>
                <w:lang w:eastAsia="lt-LT"/>
              </w:rPr>
              <w:t>1.3. Projektas atitinka kitus su projekto veiklomis susijusius projektų finansavimo sąlygų apraše nustatytus reikalavimus.</w:t>
            </w:r>
            <w:r>
              <w:rPr>
                <w:i/>
                <w:lang w:eastAsia="lt-LT"/>
              </w:rPr>
              <w:tab/>
            </w:r>
          </w:p>
        </w:tc>
        <w:tc>
          <w:tcPr>
            <w:tcW w:w="4677" w:type="dxa"/>
            <w:tcBorders>
              <w:top w:val="single" w:sz="4" w:space="0" w:color="auto"/>
              <w:left w:val="single" w:sz="4" w:space="0" w:color="000000"/>
              <w:bottom w:val="single" w:sz="4" w:space="0" w:color="auto"/>
              <w:right w:val="single" w:sz="4" w:space="0" w:color="000000"/>
            </w:tcBorders>
          </w:tcPr>
          <w:p w:rsidR="00362019" w:rsidRDefault="00362019">
            <w:pPr>
              <w:jc w:val="both"/>
              <w:rPr>
                <w:szCs w:val="24"/>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362019" w:rsidRDefault="008920BD">
            <w:pPr>
              <w:rPr>
                <w:lang w:eastAsia="lt-LT"/>
              </w:rPr>
            </w:pPr>
            <w:r>
              <w:rPr>
                <w:b/>
                <w:bCs/>
                <w:lang w:eastAsia="lt-LT"/>
              </w:rPr>
              <w:t>2. Projektas atitinka strateginio planavimo dokumentų nuostatas.</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2.1. Projektas atitinka strateginio planavimo dokumentų nuostatas</w:t>
            </w:r>
            <w:r>
              <w:t>.</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rFonts w:eastAsia="Calibri"/>
                <w:szCs w:val="24"/>
              </w:rPr>
            </w:pPr>
            <w:r>
              <w:rPr>
                <w:rFonts w:eastAsia="Calibri"/>
                <w:szCs w:val="24"/>
              </w:rPr>
              <w:t xml:space="preserve">Projektas turi atitikti nacionalinį strateginio planavimo dokumentą, nurodytą projektų finansavimo sąlygų aprašo </w:t>
            </w:r>
            <w:r w:rsidR="0067397B">
              <w:rPr>
                <w:rFonts w:eastAsia="Calibri"/>
                <w:szCs w:val="24"/>
                <w:shd w:val="clear" w:color="auto" w:fill="FFFFFF"/>
              </w:rPr>
              <w:t>17</w:t>
            </w:r>
            <w:r w:rsidR="0067397B">
              <w:rPr>
                <w:rFonts w:eastAsia="Calibri"/>
                <w:szCs w:val="24"/>
              </w:rPr>
              <w:t xml:space="preserve"> punkte.</w:t>
            </w:r>
          </w:p>
          <w:p w:rsidR="00362019" w:rsidRDefault="00362019">
            <w:pPr>
              <w:jc w:val="both"/>
              <w:rPr>
                <w:rFonts w:eastAsia="Calibri"/>
                <w:szCs w:val="24"/>
                <w:lang w:eastAsia="lt-LT"/>
              </w:rPr>
            </w:pPr>
          </w:p>
          <w:p w:rsidR="00362019" w:rsidRDefault="008920BD">
            <w:pPr>
              <w:jc w:val="both"/>
              <w:rPr>
                <w:szCs w:val="24"/>
                <w:lang w:eastAsia="lt-LT"/>
              </w:rPr>
            </w:pPr>
            <w:r>
              <w:rPr>
                <w:rFonts w:eastAsia="Calibri"/>
                <w:szCs w:val="24"/>
                <w:lang w:eastAsia="lt-LT"/>
              </w:rPr>
              <w:t>Informacijos šaltinis – paraiška, paraiško</w:t>
            </w:r>
            <w:r w:rsidR="0067397B">
              <w:rPr>
                <w:rFonts w:eastAsia="Calibri"/>
                <w:szCs w:val="24"/>
                <w:lang w:eastAsia="lt-LT"/>
              </w:rPr>
              <w:t>s priedas, nurodytas Aprašo 46.4</w:t>
            </w:r>
            <w:r>
              <w:rPr>
                <w:rFonts w:eastAsia="Calibri"/>
                <w:szCs w:val="24"/>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tcPr>
          <w:p w:rsidR="00362019" w:rsidRDefault="008920BD">
            <w:pPr>
              <w:tabs>
                <w:tab w:val="left" w:pos="709"/>
                <w:tab w:val="left" w:pos="851"/>
                <w:tab w:val="left" w:pos="1560"/>
                <w:tab w:val="left" w:pos="1701"/>
              </w:tabs>
              <w:ind w:firstLine="34"/>
              <w:jc w:val="both"/>
              <w:rPr>
                <w:szCs w:val="24"/>
                <w:lang w:eastAsia="lt-LT"/>
              </w:rPr>
            </w:pPr>
            <w:r>
              <w:rPr>
                <w:lang w:eastAsia="lt-LT"/>
              </w:rPr>
              <w:t xml:space="preserve">2.2. </w:t>
            </w:r>
            <w:r>
              <w:rPr>
                <w:szCs w:val="24"/>
                <w:lang w:eastAsia="lt-LT"/>
              </w:rPr>
              <w:t xml:space="preserve">Projektu prisidedama prie bent vieno 2009 m. spalio 30 d. Europos Vadovų Tarybos išvadomis Nr. 15265/09 patvirtintos Europos Sąjungos Baltijos jūros regiono strategijos, </w:t>
            </w:r>
            <w:r>
              <w:rPr>
                <w:szCs w:val="24"/>
                <w:lang w:eastAsia="lt-LT"/>
              </w:rPr>
              <w:lastRenderedPageBreak/>
              <w:t xml:space="preserve">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 xml:space="preserve">patvirtintame Europos Komisijos </w:t>
            </w:r>
            <w:r>
              <w:rPr>
                <w:rFonts w:eastAsia="Calibri"/>
                <w:iCs/>
                <w:lang w:eastAsia="lt-LT"/>
              </w:rPr>
              <w:t>2017 m. kovo 20 d. sprendimu Nr. SWD(2017)118</w:t>
            </w:r>
            <w:r>
              <w:rPr>
                <w:iCs/>
                <w:szCs w:val="24"/>
                <w:lang w:eastAsia="lt-LT"/>
              </w:rPr>
              <w:t>,</w:t>
            </w:r>
            <w:r>
              <w:rPr>
                <w:szCs w:val="24"/>
                <w:lang w:eastAsia="lt-LT"/>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rFonts w:eastAsia="Calibri"/>
                <w:szCs w:val="24"/>
              </w:rPr>
            </w:pPr>
            <w:r>
              <w:rPr>
                <w:rFonts w:eastAsia="Calibri"/>
                <w:szCs w:val="24"/>
              </w:rPr>
              <w:lastRenderedPageBreak/>
              <w:t xml:space="preserve">Projektas turi prisidėti </w:t>
            </w:r>
            <w:r>
              <w:rPr>
                <w:szCs w:val="24"/>
                <w:lang w:eastAsia="lt-LT"/>
              </w:rPr>
              <w:t xml:space="preserve">prie </w:t>
            </w:r>
            <w:r>
              <w:rPr>
                <w:bCs/>
                <w:szCs w:val="24"/>
                <w:lang w:eastAsia="lt-LT"/>
              </w:rPr>
              <w:t>ES BJRS tikslo įgyven</w:t>
            </w:r>
            <w:r w:rsidR="0067397B">
              <w:rPr>
                <w:bCs/>
                <w:szCs w:val="24"/>
                <w:lang w:eastAsia="lt-LT"/>
              </w:rPr>
              <w:t>dinimo, kaip nustatyta Aprašo 18</w:t>
            </w:r>
            <w:r>
              <w:rPr>
                <w:bCs/>
                <w:szCs w:val="24"/>
                <w:lang w:eastAsia="lt-LT"/>
              </w:rPr>
              <w:t xml:space="preserve"> punkte</w:t>
            </w:r>
            <w:r>
              <w:rPr>
                <w:rFonts w:eastAsia="Calibri"/>
                <w:szCs w:val="24"/>
              </w:rPr>
              <w:t>.</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362019" w:rsidRDefault="008920BD">
            <w:pPr>
              <w:rPr>
                <w:lang w:eastAsia="lt-LT"/>
              </w:rPr>
            </w:pPr>
            <w:r>
              <w:rPr>
                <w:b/>
                <w:bCs/>
                <w:lang w:eastAsia="lt-LT"/>
              </w:rPr>
              <w:t>3. Projektu siekiama aiškių ir realių kiekybinių uždavinių.</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 xml:space="preserve">3.1. Projektu prisidedama prie </w:t>
            </w:r>
            <w:r>
              <w:t>bent vieno projektų finansavimo sąlygų apraše nustatyto veiksmų programos  ir (arba) ministerijos priemonių įgyvendinimo plane nurodyto nacionalinio produkto ir (arba) rezultato rodiklio</w:t>
            </w:r>
            <w:r>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rFonts w:eastAsia="Calibri"/>
                <w:szCs w:val="24"/>
              </w:rPr>
            </w:pPr>
            <w:r>
              <w:rPr>
                <w:rFonts w:eastAsia="Calibri"/>
                <w:szCs w:val="24"/>
              </w:rPr>
              <w:t>Projektas turi siekti stebėsenos rodiklių ir minimalių jų siekt</w:t>
            </w:r>
            <w:r w:rsidR="0067397B">
              <w:rPr>
                <w:rFonts w:eastAsia="Calibri"/>
                <w:szCs w:val="24"/>
              </w:rPr>
              <w:t>inų reikšmių, nurodytų Aprašo 27</w:t>
            </w:r>
            <w:r>
              <w:rPr>
                <w:rFonts w:eastAsia="Calibri"/>
                <w:szCs w:val="24"/>
              </w:rPr>
              <w:t xml:space="preserve"> punkte.</w:t>
            </w:r>
          </w:p>
          <w:p w:rsidR="00362019" w:rsidRDefault="00362019">
            <w:pPr>
              <w:rPr>
                <w:rFonts w:eastAsia="Calibri"/>
                <w:szCs w:val="24"/>
              </w:rPr>
            </w:pPr>
          </w:p>
          <w:p w:rsidR="00362019" w:rsidRDefault="008920BD">
            <w:pPr>
              <w:jc w:val="both"/>
              <w:rPr>
                <w:szCs w:val="24"/>
                <w:lang w:eastAsia="lt-LT"/>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362019" w:rsidRDefault="008920BD">
            <w:pPr>
              <w:rPr>
                <w:lang w:eastAsia="lt-LT"/>
              </w:rPr>
            </w:pPr>
            <w:r>
              <w:rPr>
                <w:b/>
                <w:bCs/>
                <w:lang w:eastAsia="lt-LT"/>
              </w:rPr>
              <w:t xml:space="preserve">4. </w:t>
            </w:r>
            <w:r>
              <w:rPr>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 xml:space="preserve">4.1.1. aplinkosaugos srityje (aplinkos kokybė ir gamtos ištekliai, kraštovaizdžio ir biologinės </w:t>
            </w:r>
            <w:r>
              <w:rPr>
                <w:bCs/>
                <w:lang w:eastAsia="lt-LT"/>
              </w:rPr>
              <w:lastRenderedPageBreak/>
              <w:t xml:space="preserve">įvairovės apsauga, klimato kaita, aplinkos apsauga ir kt.); </w:t>
            </w:r>
          </w:p>
          <w:p w:rsidR="00362019" w:rsidRDefault="008920BD">
            <w:pPr>
              <w:rPr>
                <w:bCs/>
                <w:i/>
                <w:szCs w:val="24"/>
                <w:lang w:eastAsia="lt-LT"/>
              </w:rPr>
            </w:pPr>
            <w:r>
              <w:rPr>
                <w:bCs/>
                <w:i/>
                <w:szCs w:val="24"/>
                <w:lang w:eastAsia="lt-LT"/>
              </w:rPr>
              <w:t xml:space="preserve">(Vertinant, ar įgyvendinant projektą bus atsižvelgiama į aplinkos apsaugos reikalavimus, tikrinama: </w:t>
            </w:r>
          </w:p>
          <w:p w:rsidR="00362019" w:rsidRDefault="008920BD">
            <w:pPr>
              <w:rPr>
                <w:bCs/>
                <w:i/>
                <w:szCs w:val="24"/>
                <w:lang w:eastAsia="lt-LT"/>
              </w:rPr>
            </w:pPr>
            <w:r>
              <w:rPr>
                <w:bCs/>
                <w:i/>
                <w:szCs w:val="24"/>
                <w:lang w:eastAsia="lt-LT"/>
              </w:rPr>
              <w:t>- ar, vadovaujantis Lietuvos Respublikos planuojamos ūkinės veiklos poveikio aplinkai vertinimo įstatymu, būtinas poveikio aplinkai vertinimas;</w:t>
            </w:r>
          </w:p>
          <w:p w:rsidR="00362019" w:rsidRDefault="008920BD">
            <w:pPr>
              <w:rPr>
                <w:bCs/>
                <w:i/>
                <w:szCs w:val="24"/>
                <w:lang w:eastAsia="lt-LT"/>
              </w:rPr>
            </w:pPr>
            <w:r>
              <w:rPr>
                <w:bCs/>
                <w:i/>
                <w:szCs w:val="24"/>
                <w:lang w:eastAsia="lt-LT"/>
              </w:rPr>
              <w:t>- jei būtinas poveikio aplinkai vertinimas, ar jis yra atliktas;</w:t>
            </w:r>
          </w:p>
          <w:p w:rsidR="00362019" w:rsidRDefault="008920BD">
            <w:pPr>
              <w:rPr>
                <w:bCs/>
                <w:i/>
                <w:szCs w:val="24"/>
                <w:lang w:eastAsia="lt-LT"/>
              </w:rPr>
            </w:pPr>
            <w:r>
              <w:rPr>
                <w:bCs/>
                <w:i/>
                <w:szCs w:val="24"/>
                <w:lang w:eastAsia="lt-LT"/>
              </w:rPr>
              <w:t>- ar planuojama ūkinė veikla (arba planų ar programų įgyvendinimas) susijusi (-ęs) su įsteigtomis ar potencialiomis „Natura 2000“ teritorijomis ar artima tokių teritorijų aplinka;</w:t>
            </w:r>
          </w:p>
          <w:p w:rsidR="00362019" w:rsidRDefault="008920BD">
            <w:pPr>
              <w:rPr>
                <w:i/>
                <w:szCs w:val="24"/>
                <w:lang w:eastAsia="lt-LT"/>
              </w:rPr>
            </w:pPr>
            <w:r>
              <w:rPr>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Pr>
                <w:i/>
                <w:szCs w:val="24"/>
                <w:lang w:eastAsia="lt-LT"/>
              </w:rPr>
              <w:t>„Dėl Planų ar programų ir planuojamos ūkinės veiklos įgyvendinimo poveikio įsteigtoms ar potencialioms</w:t>
            </w:r>
          </w:p>
          <w:p w:rsidR="00362019" w:rsidRDefault="008920BD">
            <w:pPr>
              <w:rPr>
                <w:bCs/>
                <w:i/>
                <w:szCs w:val="24"/>
                <w:lang w:eastAsia="lt-LT"/>
              </w:rPr>
            </w:pPr>
            <w:r>
              <w:rPr>
                <w:i/>
                <w:szCs w:val="24"/>
                <w:lang w:eastAsia="lt-LT"/>
              </w:rPr>
              <w:t>„Natura 2000“ teritorijoms reikšmingumo nustatymo tvarkos aprašo patvirtinimo“</w:t>
            </w:r>
            <w:r>
              <w:rPr>
                <w:bCs/>
                <w:i/>
                <w:szCs w:val="24"/>
                <w:lang w:eastAsia="lt-LT"/>
              </w:rPr>
              <w:t>, nuostatomis.</w:t>
            </w:r>
          </w:p>
          <w:p w:rsidR="00362019" w:rsidRDefault="008920BD">
            <w:pPr>
              <w:rPr>
                <w:bCs/>
                <w:lang w:eastAsia="lt-LT"/>
              </w:rPr>
            </w:pPr>
            <w:r>
              <w:rPr>
                <w:bCs/>
                <w:i/>
                <w:szCs w:val="24"/>
                <w:lang w:eastAsia="lt-LT"/>
              </w:rPr>
              <w:t>Vertinant</w:t>
            </w:r>
            <w:r>
              <w:rPr>
                <w:bCs/>
                <w:i/>
                <w:szCs w:val="24"/>
              </w:rPr>
              <w:t xml:space="preserve"> techninės paramos projektus ir</w:t>
            </w:r>
            <w:r>
              <w:rPr>
                <w:bCs/>
                <w:i/>
                <w:szCs w:val="24"/>
                <w:lang w:eastAsia="lt-LT"/>
              </w:rPr>
              <w:t xml:space="preserve"> iš Europos socialinio fondo (toliau – ESF) </w:t>
            </w:r>
            <w:r>
              <w:rPr>
                <w:bCs/>
                <w:i/>
                <w:szCs w:val="24"/>
                <w:lang w:eastAsia="lt-LT"/>
              </w:rPr>
              <w:lastRenderedPageBreak/>
              <w:t>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lastRenderedPageBreak/>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lang w:eastAsia="lt-LT"/>
              </w:rPr>
            </w:pPr>
            <w:r>
              <w:rPr>
                <w:bCs/>
                <w:lang w:eastAsia="lt-LT"/>
              </w:rPr>
              <w:t>4.1.5. informacinės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rPr>
                <w:szCs w:val="24"/>
                <w:lang w:eastAsia="lt-LT"/>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rPr>
                <w:bCs/>
                <w:i/>
                <w:sz w:val="20"/>
                <w:lang w:eastAsia="lt-LT"/>
              </w:rPr>
            </w:pPr>
            <w:r>
              <w:rPr>
                <w:bCs/>
                <w:lang w:eastAsia="lt-LT"/>
              </w:rPr>
              <w:t xml:space="preserve">4.2. </w:t>
            </w:r>
            <w:r>
              <w:rPr>
                <w:bCs/>
                <w:szCs w:val="24"/>
                <w:lang w:eastAsia="lt-LT"/>
              </w:rPr>
              <w:t>Pasiūlyti konkretūs veiksmai (pademonstruotas iniciatyvus požiūris), kurie rodo, kad projektu skatinamas darnaus vystymosi principo įgyvendinimas.</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rPr>
                <w:szCs w:val="24"/>
                <w:lang w:eastAsia="lt-LT"/>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val="pt-BR" w:eastAsia="lt-LT"/>
              </w:rPr>
            </w:pPr>
            <w:r>
              <w:rPr>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381168">
              <w:rPr>
                <w:lang w:eastAsia="lt-LT"/>
              </w:rPr>
              <w:t xml:space="preserve"> </w:t>
            </w:r>
            <w:r w:rsidR="00381168" w:rsidRPr="00381168">
              <w:rPr>
                <w:sz w:val="22"/>
                <w:szCs w:val="22"/>
                <w:lang w:eastAsia="lt-LT"/>
              </w:rPr>
              <w:t>(Pavyzdžiui, jei pagal projektą finansuojama statinio statyba ar rekonstrukcija, vertinant nediskriminavimo dėl negalios aspektą, būtina patikrinti, ar numatytas statyti arba rekonstruoti statinys pritaikytas žmonių su negalia poreikiams, tokiems kaip patekimas į pastatą ar pan.) (Taikoma tik tais atvejais, kai pagal projektą finansuojama statinio statyba ar rekonstrukcija).</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val="pt-BR"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val="pt-BR"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362019" w:rsidRDefault="008920BD">
            <w:pPr>
              <w:tabs>
                <w:tab w:val="left" w:pos="709"/>
                <w:tab w:val="left" w:pos="851"/>
                <w:tab w:val="left" w:pos="1701"/>
              </w:tabs>
              <w:ind w:firstLine="34"/>
              <w:jc w:val="both"/>
              <w:rPr>
                <w:i/>
                <w:szCs w:val="24"/>
                <w:lang w:eastAsia="lt-LT"/>
              </w:rPr>
            </w:pPr>
            <w:r>
              <w:rPr>
                <w:lang w:eastAsia="lt-LT"/>
              </w:rPr>
              <w:t xml:space="preserve">4.4. </w:t>
            </w:r>
            <w:r>
              <w:rPr>
                <w:szCs w:val="24"/>
                <w:lang w:eastAsia="lt-LT"/>
              </w:rPr>
              <w:t xml:space="preserve">Pasiūlyti konkretūs veiksmai, kurie rodo, kad projektu prisidedama prie </w:t>
            </w:r>
            <w:r>
              <w:rPr>
                <w:bCs/>
                <w:szCs w:val="24"/>
                <w:lang w:eastAsia="lt-LT"/>
              </w:rPr>
              <w:t xml:space="preserve">moterų ir vyrų </w:t>
            </w:r>
            <w:r>
              <w:rPr>
                <w:szCs w:val="24"/>
                <w:lang w:eastAsia="lt-LT"/>
              </w:rPr>
              <w:lastRenderedPageBreak/>
              <w:t>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677" w:type="dxa"/>
            <w:tcBorders>
              <w:top w:val="single" w:sz="4" w:space="0" w:color="auto"/>
              <w:left w:val="single" w:sz="4" w:space="0" w:color="000000"/>
              <w:bottom w:val="single" w:sz="4" w:space="0" w:color="000000"/>
              <w:right w:val="single" w:sz="4" w:space="0" w:color="000000"/>
            </w:tcBorders>
          </w:tcPr>
          <w:p w:rsidR="00362019" w:rsidRDefault="008920BD">
            <w:pPr>
              <w:jc w:val="both"/>
              <w:rPr>
                <w:szCs w:val="24"/>
                <w:lang w:val="pt-BR" w:eastAsia="lt-LT"/>
              </w:rPr>
            </w:pPr>
            <w:r>
              <w:rPr>
                <w:szCs w:val="24"/>
                <w:lang w:val="pt-BR"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val="pt-BR"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val="pt-BR" w:eastAsia="lt-LT"/>
              </w:rPr>
            </w:pPr>
          </w:p>
        </w:tc>
      </w:tr>
      <w:tr w:rsidR="00362019" w:rsidTr="004F5A19">
        <w:trPr>
          <w:trHeight w:val="20"/>
        </w:trPr>
        <w:tc>
          <w:tcPr>
            <w:tcW w:w="4820" w:type="dxa"/>
            <w:tcBorders>
              <w:top w:val="single" w:sz="4" w:space="0" w:color="auto"/>
              <w:left w:val="single" w:sz="4" w:space="0" w:color="000000"/>
              <w:bottom w:val="single" w:sz="4" w:space="0" w:color="000000"/>
              <w:right w:val="single" w:sz="4" w:space="0" w:color="000000"/>
            </w:tcBorders>
          </w:tcPr>
          <w:p w:rsidR="00362019" w:rsidRDefault="008920BD">
            <w:pPr>
              <w:rPr>
                <w:lang w:eastAsia="lt-LT"/>
              </w:rPr>
            </w:pPr>
            <w:r>
              <w:rPr>
                <w:lang w:eastAsia="lt-LT"/>
              </w:rPr>
              <w:t xml:space="preserve">4.5. Projektas suderinamas su ES konkurencijos politikos nuostatomis: </w:t>
            </w:r>
          </w:p>
          <w:p w:rsidR="00362019" w:rsidRDefault="008920BD">
            <w:pPr>
              <w:rPr>
                <w:lang w:eastAsia="lt-LT"/>
              </w:rPr>
            </w:pPr>
            <w:r>
              <w:rPr>
                <w:lang w:eastAsia="lt-LT"/>
              </w:rPr>
              <w:t xml:space="preserve">4.5.1. </w:t>
            </w:r>
            <w:r>
              <w:rPr>
                <w:szCs w:val="24"/>
                <w:lang w:eastAsia="lt-LT"/>
              </w:rPr>
              <w:t>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r>
              <w:rPr>
                <w:i/>
                <w:szCs w:val="24"/>
                <w:lang w:eastAsia="lt-LT"/>
              </w:rPr>
              <w:t>(taikoma, jei projektui teikiama „de minimis“ pagalba. Pildomas projektų atitikties „de minimis“ pagalbos taisyklėms patikros lapas)</w:t>
            </w:r>
            <w:r>
              <w:rPr>
                <w:szCs w:val="24"/>
                <w:lang w:eastAsia="lt-LT"/>
              </w:rPr>
              <w:t>;</w:t>
            </w:r>
          </w:p>
          <w:p w:rsidR="00362019" w:rsidRDefault="008920BD">
            <w:pPr>
              <w:rPr>
                <w:lang w:eastAsia="lt-LT"/>
              </w:rPr>
            </w:pPr>
            <w:r>
              <w:rPr>
                <w:lang w:eastAsia="lt-LT"/>
              </w:rPr>
              <w:t xml:space="preserve">4.5.2. </w:t>
            </w:r>
            <w:r>
              <w:rPr>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Pr>
                <w:i/>
                <w:szCs w:val="24"/>
                <w:lang w:eastAsia="lt-LT"/>
              </w:rPr>
              <w:t xml:space="preserve">(taikoma, jei projektas finansuojamas pagal suderintą valstybės pagalbos schemą ar Europos Komisijos sprendimą arba pagal reglamentą (ES) Nr. 651/2014. </w:t>
            </w:r>
            <w:r>
              <w:rPr>
                <w:i/>
                <w:iCs/>
                <w:color w:val="000000"/>
                <w:szCs w:val="24"/>
              </w:rPr>
              <w:t>Pildomas projektų atitikties valstybės pagalbos taisyklėms patikros lapas)</w:t>
            </w:r>
            <w:r>
              <w:rPr>
                <w:iCs/>
                <w:color w:val="000000"/>
                <w:szCs w:val="24"/>
              </w:rPr>
              <w:t>;</w:t>
            </w:r>
          </w:p>
          <w:p w:rsidR="00362019" w:rsidRDefault="008920BD">
            <w:pPr>
              <w:rPr>
                <w:szCs w:val="24"/>
                <w:lang w:eastAsia="lt-LT"/>
              </w:rPr>
            </w:pPr>
            <w:r>
              <w:rPr>
                <w:lang w:eastAsia="lt-LT"/>
              </w:rPr>
              <w:t xml:space="preserve">4.5.3. </w:t>
            </w:r>
            <w:r>
              <w:rPr>
                <w:szCs w:val="24"/>
                <w:lang w:eastAsia="lt-LT"/>
              </w:rPr>
              <w:t xml:space="preserve">projekto finansavimas nereiškia neteisėtos valstybės pagalbos ar </w:t>
            </w:r>
            <w:r>
              <w:rPr>
                <w:i/>
                <w:szCs w:val="24"/>
                <w:lang w:eastAsia="lt-LT"/>
              </w:rPr>
              <w:t>de minimis</w:t>
            </w:r>
            <w:r>
              <w:rPr>
                <w:szCs w:val="24"/>
                <w:lang w:eastAsia="lt-LT"/>
              </w:rPr>
              <w:t xml:space="preserve"> pagalbos suteikimo </w:t>
            </w:r>
            <w:r>
              <w:rPr>
                <w:i/>
                <w:szCs w:val="24"/>
                <w:lang w:eastAsia="lt-LT"/>
              </w:rPr>
              <w:t xml:space="preserve">(taikoma, jei projektų </w:t>
            </w:r>
            <w:r>
              <w:rPr>
                <w:i/>
                <w:szCs w:val="24"/>
                <w:lang w:eastAsia="lt-LT"/>
              </w:rPr>
              <w:lastRenderedPageBreak/>
              <w:t xml:space="preserve">finansavimo sąlygų apraše nurodyta, kad pagal jį valstybės pagalba ir (ar) „de minimis“ pagalba nėra teikiama. </w:t>
            </w:r>
            <w:r>
              <w:rPr>
                <w:i/>
                <w:iCs/>
                <w:color w:val="000000"/>
                <w:szCs w:val="24"/>
              </w:rPr>
              <w:t xml:space="preserve">Pildomas patikros lapas dėl valstybės pagalbos ir </w:t>
            </w:r>
            <w:r>
              <w:rPr>
                <w:i/>
                <w:szCs w:val="24"/>
                <w:lang w:eastAsia="lt-LT"/>
              </w:rPr>
              <w:t>„</w:t>
            </w:r>
            <w:r>
              <w:rPr>
                <w:i/>
                <w:iCs/>
                <w:color w:val="000000"/>
                <w:szCs w:val="24"/>
              </w:rPr>
              <w:t xml:space="preserve">de minimis“ pagalbos buvimo ar nebuvimo, kurio forma skelbiama </w:t>
            </w:r>
            <w:r>
              <w:rPr>
                <w:i/>
                <w:szCs w:val="24"/>
                <w:lang w:eastAsia="lt-LT"/>
              </w:rPr>
              <w:t xml:space="preserve">svetainėje </w:t>
            </w:r>
            <w:r>
              <w:rPr>
                <w:i/>
                <w:color w:val="0000FF"/>
                <w:szCs w:val="24"/>
                <w:u w:val="single"/>
                <w:lang w:eastAsia="lt-LT"/>
              </w:rPr>
              <w:t>www.esinvesticijos.lt</w:t>
            </w:r>
            <w:r>
              <w:rPr>
                <w:i/>
                <w:szCs w:val="24"/>
                <w:lang w:eastAsia="lt-LT"/>
              </w:rPr>
              <w:t>)</w:t>
            </w:r>
            <w:r>
              <w:rPr>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p w:rsidR="00362019" w:rsidRDefault="00362019">
            <w:pPr>
              <w:rPr>
                <w:lang w:eastAsia="lt-LT"/>
              </w:rPr>
            </w:pPr>
          </w:p>
          <w:p w:rsidR="00362019" w:rsidRDefault="008920BD">
            <w:pPr>
              <w:rPr>
                <w:szCs w:val="24"/>
                <w:lang w:eastAsia="lt-LT"/>
              </w:rPr>
            </w:pPr>
            <w:r>
              <w:rPr>
                <w:szCs w:val="24"/>
                <w:lang w:eastAsia="lt-LT"/>
              </w:rPr>
              <w:t>Netaikoma.</w:t>
            </w:r>
          </w:p>
          <w:p w:rsidR="00362019" w:rsidRDefault="00362019">
            <w:pPr>
              <w:rPr>
                <w:lang w:eastAsia="lt-LT"/>
              </w:rPr>
            </w:pPr>
          </w:p>
          <w:p w:rsidR="00362019" w:rsidRDefault="00362019">
            <w:pPr>
              <w:rPr>
                <w:lang w:eastAsia="lt-LT"/>
              </w:rPr>
            </w:pPr>
          </w:p>
          <w:p w:rsidR="00362019" w:rsidRDefault="00362019">
            <w:pPr>
              <w:rPr>
                <w:lang w:eastAsia="lt-LT"/>
              </w:rPr>
            </w:pPr>
          </w:p>
          <w:p w:rsidR="00362019" w:rsidRDefault="00362019">
            <w:pPr>
              <w:rPr>
                <w:lang w:eastAsia="lt-LT"/>
              </w:rPr>
            </w:pPr>
          </w:p>
          <w:p w:rsidR="00362019" w:rsidRDefault="00362019">
            <w:pPr>
              <w:rPr>
                <w:lang w:eastAsia="lt-LT"/>
              </w:rPr>
            </w:pPr>
          </w:p>
          <w:p w:rsidR="00362019" w:rsidRDefault="0067397B">
            <w:pPr>
              <w:rPr>
                <w:szCs w:val="24"/>
                <w:lang w:eastAsia="lt-LT"/>
              </w:rPr>
            </w:pPr>
            <w:r>
              <w:rPr>
                <w:szCs w:val="24"/>
                <w:lang w:eastAsia="lt-LT"/>
              </w:rPr>
              <w:t>Netaikoma.</w:t>
            </w:r>
          </w:p>
          <w:p w:rsidR="00362019" w:rsidRDefault="00362019">
            <w:pPr>
              <w:rPr>
                <w:szCs w:val="24"/>
                <w:lang w:eastAsia="lt-LT"/>
              </w:rPr>
            </w:pPr>
          </w:p>
          <w:p w:rsidR="00362019" w:rsidRDefault="00362019">
            <w:pPr>
              <w:rPr>
                <w:szCs w:val="24"/>
                <w:lang w:eastAsia="lt-LT"/>
              </w:rPr>
            </w:pPr>
          </w:p>
          <w:p w:rsidR="00362019" w:rsidRDefault="00362019">
            <w:pPr>
              <w:rPr>
                <w:szCs w:val="24"/>
                <w:lang w:eastAsia="lt-LT"/>
              </w:rPr>
            </w:pPr>
          </w:p>
          <w:p w:rsidR="00362019" w:rsidRDefault="00362019">
            <w:pPr>
              <w:rPr>
                <w:szCs w:val="24"/>
                <w:lang w:eastAsia="lt-LT"/>
              </w:rPr>
            </w:pPr>
          </w:p>
          <w:p w:rsidR="00362019" w:rsidRDefault="00362019">
            <w:pPr>
              <w:rPr>
                <w:szCs w:val="24"/>
                <w:lang w:eastAsia="lt-LT"/>
              </w:rPr>
            </w:pPr>
          </w:p>
          <w:p w:rsidR="00362019" w:rsidRDefault="00362019">
            <w:pPr>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67397B" w:rsidRDefault="0067397B" w:rsidP="0067397B">
            <w:pPr>
              <w:jc w:val="both"/>
              <w:rPr>
                <w:szCs w:val="24"/>
                <w:lang w:eastAsia="lt-LT"/>
              </w:rPr>
            </w:pPr>
          </w:p>
          <w:p w:rsidR="00362019" w:rsidRDefault="0067397B" w:rsidP="0067397B">
            <w:pPr>
              <w:jc w:val="both"/>
              <w:rPr>
                <w:lang w:eastAsia="lt-LT"/>
              </w:rPr>
            </w:pPr>
            <w:r w:rsidRPr="0067397B">
              <w:rPr>
                <w:szCs w:val="24"/>
                <w:lang w:eastAsia="lt-LT"/>
              </w:rPr>
              <w:t xml:space="preserve">Projekto finansavimas turi nereikšti neteisėtos valstybės pagalbos ar </w:t>
            </w:r>
            <w:r w:rsidRPr="0067397B">
              <w:rPr>
                <w:i/>
                <w:szCs w:val="24"/>
                <w:lang w:eastAsia="lt-LT"/>
              </w:rPr>
              <w:t>de minimis</w:t>
            </w:r>
            <w:r w:rsidRPr="0067397B">
              <w:rPr>
                <w:szCs w:val="24"/>
                <w:lang w:eastAsia="lt-LT"/>
              </w:rPr>
              <w:t xml:space="preserve"> pagalbos </w:t>
            </w:r>
            <w:r>
              <w:rPr>
                <w:szCs w:val="24"/>
                <w:lang w:eastAsia="lt-LT"/>
              </w:rPr>
              <w:t>suteikimo, kadangi šio Aprašo 32</w:t>
            </w:r>
            <w:r w:rsidRPr="0067397B">
              <w:rPr>
                <w:szCs w:val="24"/>
                <w:lang w:eastAsia="lt-LT"/>
              </w:rPr>
              <w:t xml:space="preserve"> punkte yra </w:t>
            </w:r>
            <w:r w:rsidRPr="0067397B">
              <w:rPr>
                <w:szCs w:val="24"/>
                <w:lang w:eastAsia="lt-LT"/>
              </w:rPr>
              <w:lastRenderedPageBreak/>
              <w:t xml:space="preserve">nustatyta, kad pagal Aprašą valstybės pagalba ir (ar) </w:t>
            </w:r>
            <w:r w:rsidRPr="0067397B">
              <w:rPr>
                <w:i/>
                <w:szCs w:val="24"/>
                <w:lang w:eastAsia="lt-LT"/>
              </w:rPr>
              <w:t>de minimis</w:t>
            </w:r>
            <w:r w:rsidRPr="0067397B">
              <w:rPr>
                <w:szCs w:val="24"/>
                <w:lang w:eastAsia="lt-LT"/>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auto"/>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rsidR="00362019" w:rsidRDefault="008920BD">
            <w:pPr>
              <w:rPr>
                <w:lang w:eastAsia="lt-LT"/>
              </w:rPr>
            </w:pPr>
            <w:r>
              <w:rPr>
                <w:b/>
                <w:bCs/>
                <w:lang w:eastAsia="lt-LT"/>
              </w:rPr>
              <w:t>5. Pareiškėjas ir partneris (-iai) organizaciniu požiūriu yra pajėgūs tinkamai ir laiku įgyvendinti teikiamą projektą ir atitinka jam (jiems) keliamus reikalavimus.</w:t>
            </w: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bCs/>
                <w:lang w:eastAsia="lt-LT"/>
              </w:rPr>
            </w:pPr>
            <w:r>
              <w:rPr>
                <w:lang w:eastAsia="lt-LT"/>
              </w:rPr>
              <w:t xml:space="preserve">5.1. </w:t>
            </w:r>
            <w:r>
              <w:rPr>
                <w:bCs/>
                <w:szCs w:val="24"/>
                <w:lang w:eastAsia="lt-LT"/>
              </w:rPr>
              <w:t>Pareiškėjas ir partneris (-iai) yra juridiniai asmenys, juridinio asmens filialai, atstovybės (toliau – juridinis asmuo</w:t>
            </w:r>
            <w:r w:rsidR="00206006">
              <w:rPr>
                <w:bCs/>
                <w:szCs w:val="24"/>
                <w:lang w:eastAsia="lt-LT"/>
              </w:rPr>
              <w:t>) arba fiziniai asmenys,</w:t>
            </w:r>
            <w:r>
              <w:rPr>
                <w:szCs w:val="24"/>
                <w:lang w:eastAsia="lt-LT"/>
              </w:rPr>
              <w:t xml:space="preserve">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lang w:eastAsia="lt-LT"/>
              </w:rPr>
            </w:pPr>
            <w:r>
              <w:rPr>
                <w:lang w:eastAsia="lt-LT"/>
              </w:rPr>
              <w:t xml:space="preserve">5.2. </w:t>
            </w:r>
            <w:r>
              <w:rPr>
                <w:szCs w:val="24"/>
                <w:lang w:eastAsia="lt-LT"/>
              </w:rPr>
              <w:t>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362019" w:rsidRDefault="008920BD">
            <w:pPr>
              <w:jc w:val="both"/>
              <w:rPr>
                <w:rFonts w:eastAsia="Calibri"/>
                <w:szCs w:val="24"/>
              </w:rPr>
            </w:pPr>
            <w:r>
              <w:rPr>
                <w:rFonts w:eastAsia="Calibri"/>
                <w:szCs w:val="24"/>
              </w:rPr>
              <w:t>Tinkam</w:t>
            </w:r>
            <w:r w:rsidR="00603694">
              <w:rPr>
                <w:rFonts w:eastAsia="Calibri"/>
                <w:szCs w:val="24"/>
              </w:rPr>
              <w:t>i</w:t>
            </w:r>
            <w:r>
              <w:rPr>
                <w:rFonts w:eastAsia="Calibri"/>
                <w:szCs w:val="24"/>
              </w:rPr>
              <w:t xml:space="preserve"> pareiškėj</w:t>
            </w:r>
            <w:r w:rsidR="00603694">
              <w:rPr>
                <w:rFonts w:eastAsia="Calibri"/>
                <w:szCs w:val="24"/>
              </w:rPr>
              <w:t>ai</w:t>
            </w:r>
            <w:r>
              <w:rPr>
                <w:rFonts w:eastAsia="Calibri"/>
                <w:szCs w:val="24"/>
              </w:rPr>
              <w:t xml:space="preserve"> ir partneri</w:t>
            </w:r>
            <w:r w:rsidR="00603694">
              <w:rPr>
                <w:rFonts w:eastAsia="Calibri"/>
                <w:szCs w:val="24"/>
              </w:rPr>
              <w:t>ai</w:t>
            </w:r>
            <w:r>
              <w:rPr>
                <w:rFonts w:eastAsia="Calibri"/>
                <w:szCs w:val="24"/>
              </w:rPr>
              <w:t xml:space="preserve"> yra nurodyt</w:t>
            </w:r>
            <w:r w:rsidR="00603694">
              <w:rPr>
                <w:rFonts w:eastAsia="Calibri"/>
                <w:szCs w:val="24"/>
              </w:rPr>
              <w:t>i</w:t>
            </w:r>
            <w:r>
              <w:rPr>
                <w:rFonts w:eastAsia="Calibri"/>
                <w:szCs w:val="24"/>
              </w:rPr>
              <w:t xml:space="preserve"> Aprašo 13 punkte.</w:t>
            </w:r>
          </w:p>
          <w:p w:rsidR="00362019" w:rsidRDefault="00362019">
            <w:pPr>
              <w:jc w:val="both"/>
              <w:rPr>
                <w:szCs w:val="24"/>
                <w:lang w:eastAsia="lt-LT"/>
              </w:rPr>
            </w:pPr>
          </w:p>
          <w:p w:rsidR="00362019" w:rsidRDefault="008920BD">
            <w:pPr>
              <w:rPr>
                <w:lang w:eastAsia="lt-LT"/>
              </w:rPr>
            </w:pPr>
            <w:r>
              <w:rPr>
                <w:szCs w:val="24"/>
                <w:lang w:eastAsia="lt-LT"/>
              </w:rPr>
              <w:t>Informacijos šaltiniai: paraiška.</w:t>
            </w: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szCs w:val="24"/>
                <w:lang w:eastAsia="lt-LT"/>
              </w:rPr>
            </w:pPr>
            <w:r>
              <w:rPr>
                <w:lang w:eastAsia="lt-LT"/>
              </w:rPr>
              <w:t xml:space="preserve">5.3. </w:t>
            </w:r>
            <w:r>
              <w:rPr>
                <w:szCs w:val="24"/>
                <w:lang w:eastAsia="lt-LT"/>
              </w:rPr>
              <w:t>Pareiškėjas ir partneris (-iai) turi teisinį pagrindą užsiimti ta veikla (atlikti funkcijas), kuriai pradėti ir (arba) vykdyti, ir (arba) plėtoti skirtas projektas.</w:t>
            </w:r>
          </w:p>
          <w:p w:rsidR="00362019" w:rsidRDefault="008920BD">
            <w:pPr>
              <w:rPr>
                <w:lang w:eastAsia="lt-LT"/>
              </w:rPr>
            </w:pPr>
            <w:r>
              <w:rPr>
                <w:i/>
                <w:szCs w:val="24"/>
                <w:lang w:eastAsia="lt-LT"/>
              </w:rPr>
              <w:t>(</w:t>
            </w:r>
            <w:r>
              <w:rPr>
                <w:i/>
                <w:iCs/>
                <w:color w:val="000000"/>
                <w:szCs w:val="24"/>
                <w:lang w:eastAsia="lt-LT"/>
              </w:rPr>
              <w:t>Taikoma tais atvejais, kai nacionaliniuose teisės aktuose yra nustatyti reikalavimai turėti teisinį pagrindą vykdyti numatytą projekto veiklą.</w:t>
            </w:r>
            <w:r>
              <w:rPr>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Pr="00B56D2F" w:rsidRDefault="008920BD">
            <w:pPr>
              <w:tabs>
                <w:tab w:val="left" w:pos="851"/>
                <w:tab w:val="left" w:pos="1701"/>
              </w:tabs>
              <w:rPr>
                <w:szCs w:val="24"/>
                <w:lang w:eastAsia="lt-LT"/>
              </w:rPr>
            </w:pPr>
            <w:r w:rsidRPr="00B56D2F">
              <w:rPr>
                <w:szCs w:val="24"/>
                <w:lang w:eastAsia="lt-LT"/>
              </w:rPr>
              <w:t>5.4. Pareiškėjui ir partneriui (-iams) nėra apribojimų gauti finansavimą:</w:t>
            </w:r>
          </w:p>
          <w:p w:rsidR="00362019" w:rsidRPr="005741AE" w:rsidRDefault="008920BD">
            <w:pPr>
              <w:tabs>
                <w:tab w:val="left" w:pos="851"/>
                <w:tab w:val="left" w:pos="1701"/>
              </w:tabs>
              <w:jc w:val="both"/>
              <w:rPr>
                <w:szCs w:val="24"/>
                <w:lang w:eastAsia="lt-LT"/>
              </w:rPr>
            </w:pPr>
            <w:r w:rsidRPr="00B56D2F">
              <w:rPr>
                <w:szCs w:val="24"/>
                <w:lang w:eastAsia="lt-LT"/>
              </w:rPr>
              <w:t>5.4.1. pareiškėjui ir partneriui (-iams), kurie yra juridiniai asmenys, nėra</w:t>
            </w:r>
            <w:r>
              <w:rPr>
                <w:szCs w:val="24"/>
                <w:lang w:eastAsia="lt-LT"/>
              </w:rPr>
              <w:t xml:space="preserve"> iškelta byla dėl bankroto arba restruktūrizavimo, nėra pradėtas ikiteisminis tyrimas dėl ūkinės </w:t>
            </w:r>
            <w:r>
              <w:rPr>
                <w:bCs/>
                <w:szCs w:val="24"/>
                <w:lang w:eastAsia="lt-LT"/>
              </w:rPr>
              <w:t xml:space="preserve">ir (arba) ekonominės </w:t>
            </w:r>
            <w:r>
              <w:rPr>
                <w:szCs w:val="24"/>
                <w:lang w:eastAsia="lt-LT"/>
              </w:rPr>
              <w:t xml:space="preserve">veiklos arba jis (jie) nėra </w:t>
            </w:r>
            <w:r>
              <w:rPr>
                <w:szCs w:val="24"/>
                <w:lang w:eastAsia="lt-LT"/>
              </w:rPr>
              <w:lastRenderedPageBreak/>
              <w:t xml:space="preserve">likviduojamas (-i), nėra priimtas kreditorių susirinkimo nutarimas bankroto procedūras vykdyti ne teismo tvarka </w:t>
            </w:r>
            <w:r>
              <w:rPr>
                <w:i/>
                <w:szCs w:val="24"/>
                <w:lang w:eastAsia="lt-LT"/>
              </w:rPr>
              <w:t xml:space="preserve">(ši nuostata netaikoma biudžetinėms įstaigoms) </w:t>
            </w:r>
            <w:r>
              <w:rPr>
                <w:szCs w:val="24"/>
                <w:lang w:eastAsia="lt-LT"/>
              </w:rPr>
              <w:t xml:space="preserve">arba pareiškėjui ir partneriui (-iams), kurie yra fiziniai asmenys, nėra iškelta byla dėl bankroto, nėra pradėtas </w:t>
            </w:r>
            <w:r w:rsidRPr="005741AE">
              <w:rPr>
                <w:szCs w:val="24"/>
                <w:lang w:eastAsia="lt-LT"/>
              </w:rPr>
              <w:t xml:space="preserve">ikiteisminis tyrimas dėl ūkinės </w:t>
            </w:r>
            <w:r w:rsidRPr="005741AE">
              <w:rPr>
                <w:bCs/>
                <w:szCs w:val="24"/>
                <w:lang w:eastAsia="lt-LT"/>
              </w:rPr>
              <w:t xml:space="preserve">ir (arba) ekonominės </w:t>
            </w:r>
            <w:r w:rsidRPr="005741AE">
              <w:rPr>
                <w:szCs w:val="24"/>
                <w:lang w:eastAsia="lt-LT"/>
              </w:rPr>
              <w:t>veiklos;</w:t>
            </w:r>
          </w:p>
          <w:p w:rsidR="00362019" w:rsidRPr="005741AE" w:rsidRDefault="005741AE">
            <w:pPr>
              <w:tabs>
                <w:tab w:val="left" w:pos="851"/>
                <w:tab w:val="left" w:pos="1701"/>
              </w:tabs>
              <w:jc w:val="both"/>
              <w:rPr>
                <w:rFonts w:eastAsia="Calibri"/>
                <w:szCs w:val="24"/>
                <w:lang w:eastAsia="lt-LT"/>
              </w:rPr>
            </w:pPr>
            <w:r w:rsidRPr="005741AE">
              <w:rPr>
                <w:szCs w:val="24"/>
                <w:lang w:eastAsia="lt-LT"/>
              </w:rPr>
              <w:t xml:space="preserve">5.4.2. </w:t>
            </w:r>
            <w:r w:rsidRPr="005741AE">
              <w:rPr>
                <w:rFonts w:eastAsia="Calibri"/>
                <w:szCs w:val="24"/>
                <w:lang w:eastAsia="lt-LT"/>
              </w:rPr>
              <w:t>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w:t>
            </w:r>
            <w:r w:rsidRPr="005741AE" w:rsidDel="003C6C9F">
              <w:rPr>
                <w:rFonts w:eastAsia="Calibri"/>
                <w:szCs w:val="24"/>
                <w:lang w:eastAsia="lt-LT"/>
              </w:rPr>
              <w:t xml:space="preserve"> </w:t>
            </w:r>
            <w:r w:rsidRPr="005741AE">
              <w:rPr>
                <w:rFonts w:eastAsia="Calibri"/>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rsidR="00362019" w:rsidRDefault="008920BD">
            <w:pPr>
              <w:tabs>
                <w:tab w:val="left" w:pos="851"/>
                <w:tab w:val="left" w:pos="1701"/>
              </w:tabs>
              <w:jc w:val="both"/>
              <w:rPr>
                <w:b/>
                <w:color w:val="000000"/>
                <w:szCs w:val="24"/>
                <w:lang w:eastAsia="lt-LT"/>
              </w:rPr>
            </w:pPr>
            <w:r>
              <w:rPr>
                <w:szCs w:val="24"/>
                <w:lang w:eastAsia="lt-LT"/>
              </w:rPr>
              <w:t xml:space="preserve">5.4.3. paraiškos vertinimo metu pareiškėjas ir partneris (-iai), kurie yra fiziniai asmenys, arba </w:t>
            </w:r>
            <w:r>
              <w:rPr>
                <w:color w:val="000000"/>
                <w:szCs w:val="24"/>
                <w:lang w:eastAsia="lt-LT"/>
              </w:rPr>
              <w:t>pareiškėjo ir partnerio (-ių), kurie yra juridiniai asmenys, vadovas, pagrindinis akcininkas (turintis daugiau nei 50 proc. akcijų) ar savininkas, ūkinės bendrijos tikrasis narys (-iai) ar mažosios bendrijos atstovas (-ai), turintis (-</w:t>
            </w:r>
            <w:r>
              <w:rPr>
                <w:color w:val="000000"/>
                <w:szCs w:val="24"/>
                <w:lang w:eastAsia="lt-LT"/>
              </w:rPr>
              <w:lastRenderedPageBreak/>
              <w:t xml:space="preserve">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t>už dalyvavimą bendrininkų grupėje, organizuotoje grupėje, nusikalstamame susivienijime, jų organizavimą ar vadovavimą jiems,</w:t>
            </w:r>
            <w:r w:rsidR="00EA7DAA">
              <w:t xml:space="preserve"> </w:t>
            </w:r>
            <w:r w:rsidR="00EA7DAA" w:rsidRPr="00EA7DAA">
              <w:t>teroristinius ir su teroristine veikla susijusius nusikaltimus ar teroristų finansavimą, vaikų darbo ar kitų su prekyba žmonėmis susijusių nusikalstamų veikų</w:t>
            </w:r>
            <w:r w:rsidR="00EA7DAA">
              <w:t>,</w:t>
            </w:r>
            <w: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w:t>
            </w:r>
            <w:r>
              <w:lastRenderedPageBreak/>
              <w:t>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w:t>
            </w:r>
            <w:r>
              <w:rPr>
                <w:i/>
                <w:color w:val="000000"/>
                <w:szCs w:val="24"/>
                <w:lang w:eastAsia="lt-LT"/>
              </w:rPr>
              <w:t xml:space="preserve"> </w:t>
            </w:r>
          </w:p>
          <w:p w:rsidR="00362019" w:rsidRDefault="008920BD">
            <w:pPr>
              <w:tabs>
                <w:tab w:val="left" w:pos="851"/>
                <w:tab w:val="left" w:pos="1701"/>
              </w:tabs>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nebuvo taikoma išieškojimo procedūra </w:t>
            </w:r>
            <w:r>
              <w:rPr>
                <w:i/>
                <w:szCs w:val="24"/>
                <w:lang w:eastAsia="lt-LT"/>
              </w:rPr>
              <w:t>(ši nuostata nėra taikoma viešiesiems juridiniams asmenims)</w:t>
            </w:r>
            <w:r>
              <w:rPr>
                <w:szCs w:val="24"/>
                <w:lang w:eastAsia="lt-LT"/>
              </w:rPr>
              <w:t>;</w:t>
            </w:r>
          </w:p>
          <w:p w:rsidR="00362019" w:rsidRDefault="008920BD">
            <w:pPr>
              <w:tabs>
                <w:tab w:val="left" w:pos="851"/>
                <w:tab w:val="left" w:pos="1701"/>
              </w:tabs>
              <w:jc w:val="both"/>
              <w:rPr>
                <w:szCs w:val="24"/>
                <w:lang w:eastAsia="lt-LT"/>
              </w:rPr>
            </w:pPr>
            <w:r>
              <w:rPr>
                <w:szCs w:val="24"/>
                <w:lang w:eastAsia="lt-LT"/>
              </w:rPr>
              <w:lastRenderedPageBreak/>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rsidR="00362019" w:rsidRDefault="008920BD">
            <w:pPr>
              <w:tabs>
                <w:tab w:val="left" w:pos="851"/>
                <w:tab w:val="left" w:pos="1701"/>
              </w:tabs>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362019" w:rsidRDefault="008920BD">
            <w:pPr>
              <w:tabs>
                <w:tab w:val="left" w:pos="851"/>
                <w:tab w:val="left" w:pos="1701"/>
              </w:tabs>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 xml:space="preserve">(ši nuostata netaikoma, kai pareiškėjas yra fizinis asmuo; ši nuostata taikoma tik tais atvejais, kai finansines ataskaitas būtina rengti pagal įstatymus, </w:t>
            </w:r>
            <w:r>
              <w:rPr>
                <w:i/>
                <w:szCs w:val="24"/>
                <w:lang w:eastAsia="lt-LT"/>
              </w:rPr>
              <w:lastRenderedPageBreak/>
              <w:t>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362019" w:rsidRDefault="008920BD">
            <w:pPr>
              <w:jc w:val="both"/>
              <w:rPr>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Pr>
                <w:szCs w:val="24"/>
                <w:lang w:eastAsia="lt-LT"/>
              </w:rPr>
              <w:lastRenderedPageBreak/>
              <w:t>duomenys, taip pat kita įgyvendinančiajai institucijai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362019" w:rsidRPr="001A0288" w:rsidRDefault="001A0288" w:rsidP="001A0288">
            <w:pPr>
              <w:jc w:val="center"/>
              <w:rPr>
                <w:i/>
                <w:sz w:val="22"/>
                <w:szCs w:val="22"/>
                <w:lang w:eastAsia="lt-LT"/>
              </w:rPr>
            </w:pPr>
            <w:r w:rsidRPr="001A0288">
              <w:rPr>
                <w:i/>
                <w:sz w:val="22"/>
                <w:szCs w:val="22"/>
                <w:lang w:eastAsia="lt-LT"/>
              </w:rPr>
              <w:lastRenderedPageBreak/>
              <w:t xml:space="preserve">(Atsakant į 5.4 klausimą vadovaujamasi pareiškėjo (partnerio) pateikta deklaracija. Pareiškėjo (partnerio) </w:t>
            </w:r>
            <w:r w:rsidRPr="001A0288">
              <w:rPr>
                <w:i/>
                <w:sz w:val="22"/>
                <w:szCs w:val="22"/>
                <w:lang w:eastAsia="lt-LT"/>
              </w:rPr>
              <w:lastRenderedPageBreak/>
              <w:t>deklaracijoje pateiktų teiginių dėl 5.4 papunktyje nurodytų apribojimų tikrumas tikrinamas atrankiniu būdu vidaus procedūrų apraše nustatyta tvarka.)“.</w:t>
            </w: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lang w:eastAsia="lt-LT"/>
              </w:rPr>
            </w:pPr>
            <w:r>
              <w:rPr>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362019" w:rsidRDefault="008920BD">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1685"/>
        </w:trPr>
        <w:tc>
          <w:tcPr>
            <w:tcW w:w="4820" w:type="dxa"/>
            <w:vMerge w:val="restart"/>
            <w:tcBorders>
              <w:top w:val="single" w:sz="4" w:space="0" w:color="000000"/>
              <w:left w:val="single" w:sz="4" w:space="0" w:color="000000"/>
              <w:right w:val="single" w:sz="4" w:space="0" w:color="000000"/>
            </w:tcBorders>
            <w:hideMark/>
          </w:tcPr>
          <w:p w:rsidR="00362019" w:rsidRDefault="008920BD">
            <w:pPr>
              <w:rPr>
                <w:spacing w:val="-4"/>
                <w:szCs w:val="24"/>
                <w:lang w:eastAsia="lt-LT"/>
              </w:rPr>
            </w:pPr>
            <w:r>
              <w:rPr>
                <w:spacing w:val="-4"/>
                <w:lang w:eastAsia="lt-LT"/>
              </w:rPr>
              <w:t xml:space="preserve">5.6. </w:t>
            </w:r>
            <w:r>
              <w:rPr>
                <w:spacing w:val="-4"/>
                <w:szCs w:val="24"/>
                <w:lang w:eastAsia="lt-LT"/>
              </w:rPr>
              <w:t xml:space="preserve">Projekto parengtumas atitinka projektų finansavimo sąlygų apraše nustatytus reikalavimus. </w:t>
            </w:r>
          </w:p>
        </w:tc>
        <w:tc>
          <w:tcPr>
            <w:tcW w:w="4677" w:type="dxa"/>
            <w:vMerge w:val="restart"/>
            <w:tcBorders>
              <w:top w:val="single" w:sz="4" w:space="0" w:color="000000"/>
              <w:left w:val="single" w:sz="4" w:space="0" w:color="000000"/>
              <w:bottom w:val="single" w:sz="4" w:space="0" w:color="000000"/>
              <w:right w:val="single" w:sz="4" w:space="0" w:color="000000"/>
            </w:tcBorders>
          </w:tcPr>
          <w:p w:rsidR="00362019" w:rsidRDefault="008920BD">
            <w:pPr>
              <w:jc w:val="both"/>
              <w:rPr>
                <w:szCs w:val="24"/>
                <w:highlight w:val="cyan"/>
                <w:lang w:eastAsia="lt-LT"/>
              </w:rPr>
            </w:pPr>
            <w:r>
              <w:rPr>
                <w:rFonts w:eastAsia="Calibri"/>
                <w:szCs w:val="24"/>
              </w:rPr>
              <w:t>Netaikoma.</w:t>
            </w:r>
            <w:r>
              <w:rPr>
                <w:spacing w:val="-4"/>
                <w:szCs w:val="24"/>
                <w:lang w:eastAsia="lt-LT"/>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c>
          <w:tcPr>
            <w:tcW w:w="2722" w:type="dxa"/>
            <w:tcBorders>
              <w:top w:val="single" w:sz="4" w:space="0" w:color="000000"/>
              <w:left w:val="single" w:sz="4" w:space="0" w:color="000000"/>
              <w:right w:val="single" w:sz="4" w:space="0" w:color="000000"/>
            </w:tcBorders>
          </w:tcPr>
          <w:p w:rsidR="00362019" w:rsidRDefault="00362019">
            <w:pPr>
              <w:rPr>
                <w:lang w:eastAsia="lt-LT"/>
              </w:rPr>
            </w:pPr>
          </w:p>
        </w:tc>
      </w:tr>
      <w:tr w:rsidR="00362019" w:rsidTr="004F5A19">
        <w:trPr>
          <w:trHeight w:val="1685"/>
        </w:trPr>
        <w:tc>
          <w:tcPr>
            <w:tcW w:w="4820" w:type="dxa"/>
            <w:vMerge/>
            <w:tcBorders>
              <w:left w:val="single" w:sz="4" w:space="0" w:color="000000"/>
              <w:bottom w:val="single" w:sz="4" w:space="0" w:color="000000"/>
              <w:right w:val="single" w:sz="4" w:space="0" w:color="000000"/>
            </w:tcBorders>
          </w:tcPr>
          <w:p w:rsidR="00362019" w:rsidRDefault="00362019">
            <w:pPr>
              <w:rPr>
                <w:spacing w:val="-4"/>
                <w:lang w:eastAsia="lt-LT"/>
              </w:rPr>
            </w:pPr>
          </w:p>
        </w:tc>
        <w:tc>
          <w:tcPr>
            <w:tcW w:w="4677" w:type="dxa"/>
            <w:vMerge/>
            <w:tcBorders>
              <w:left w:val="single" w:sz="4" w:space="0" w:color="000000"/>
              <w:bottom w:val="single" w:sz="4" w:space="0" w:color="000000"/>
              <w:right w:val="single" w:sz="4" w:space="0" w:color="000000"/>
            </w:tcBorders>
          </w:tcPr>
          <w:p w:rsidR="00362019" w:rsidRDefault="00362019">
            <w:pPr>
              <w:rPr>
                <w:i/>
                <w:szCs w:val="24"/>
              </w:rPr>
            </w:pP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szCs w:val="24"/>
              </w:rPr>
            </w:pPr>
            <w:r>
              <w:t>5.7. Partnerystė įgyvendinant projektą yra pagrįsta ir teikia naudą</w:t>
            </w:r>
            <w:r>
              <w:rPr>
                <w:szCs w:val="24"/>
              </w:rPr>
              <w:t xml:space="preserve">. </w:t>
            </w:r>
          </w:p>
          <w:p w:rsidR="00362019" w:rsidRDefault="008920BD">
            <w:r>
              <w:rPr>
                <w:i/>
                <w:szCs w:val="24"/>
              </w:rPr>
              <w:t>(Šis</w:t>
            </w:r>
            <w:r>
              <w:rPr>
                <w:i/>
              </w:rPr>
              <w:t xml:space="preserve"> vertinimo aspektas vertinamas tik tais atvejais, jei pareiškėjas numato įgyvendinti projektą kartu su partneriu (-iais</w:t>
            </w:r>
            <w:r>
              <w:rPr>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362019" w:rsidRDefault="008920BD">
            <w:pPr>
              <w:jc w:val="both"/>
              <w:rPr>
                <w:lang w:eastAsia="lt-LT"/>
              </w:rPr>
            </w:pPr>
            <w:r>
              <w:rPr>
                <w:szCs w:val="24"/>
                <w:lang w:eastAsia="lt-LT"/>
              </w:rPr>
              <w:t>Informacijos šaltiniai: paraiška, paraiš</w:t>
            </w:r>
            <w:r w:rsidR="004E117E">
              <w:rPr>
                <w:szCs w:val="24"/>
                <w:lang w:eastAsia="lt-LT"/>
              </w:rPr>
              <w:t>kos priedas, nurodytas Aprašo 46</w:t>
            </w:r>
            <w:r>
              <w:rPr>
                <w:szCs w:val="24"/>
                <w:lang w:eastAsia="lt-LT"/>
              </w:rPr>
              <w:t>.1 papunktyje.</w:t>
            </w: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362019" w:rsidRDefault="008920BD">
            <w:pPr>
              <w:rPr>
                <w:lang w:eastAsia="lt-LT"/>
              </w:rPr>
            </w:pPr>
            <w:r>
              <w:rPr>
                <w:b/>
                <w:bCs/>
                <w:lang w:eastAsia="lt-LT"/>
              </w:rPr>
              <w:t xml:space="preserve">6. </w:t>
            </w:r>
            <w:r>
              <w:rPr>
                <w:b/>
                <w:bCs/>
                <w:szCs w:val="24"/>
                <w:lang w:eastAsia="lt-LT"/>
              </w:rPr>
              <w:t>Projekto išlaidų finansavimo šaltiniai aiškiai nustatyti ir užtikrinti.</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szCs w:val="24"/>
                <w:lang w:eastAsia="lt-LT"/>
              </w:rPr>
            </w:pPr>
            <w:r>
              <w:rPr>
                <w:lang w:eastAsia="lt-LT"/>
              </w:rPr>
              <w:t xml:space="preserve">6.1. </w:t>
            </w:r>
            <w:r>
              <w:rPr>
                <w:szCs w:val="24"/>
                <w:lang w:eastAsia="lt-LT"/>
              </w:rPr>
              <w:t xml:space="preserve">Pareiškėjo ir (ar) partnerio (-ių) įnašas atitinka projektų finansavimo sąlygų apraše nustatytus reikalavimus ir yra užtikrintas įnašo finansavimas. </w:t>
            </w:r>
          </w:p>
          <w:p w:rsidR="00362019" w:rsidRDefault="008920BD">
            <w:pPr>
              <w:rPr>
                <w:i/>
                <w:sz w:val="20"/>
                <w:lang w:eastAsia="lt-LT"/>
              </w:rPr>
            </w:pPr>
            <w:r>
              <w:rPr>
                <w:i/>
                <w:szCs w:val="24"/>
                <w:lang w:eastAsia="lt-LT"/>
              </w:rPr>
              <w:t xml:space="preserve">(Šis vertinimo aspektas taikomas tik tais atvejais, jei paraiškoje numatytas nuosavas įnašas ir (arba) nuosavas įnašas privalomas </w:t>
            </w:r>
            <w:r>
              <w:rPr>
                <w:i/>
                <w:szCs w:val="24"/>
                <w:lang w:eastAsia="lt-LT"/>
              </w:rPr>
              <w:lastRenderedPageBreak/>
              <w:t>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rFonts w:eastAsia="Calibri"/>
                <w:szCs w:val="24"/>
              </w:rPr>
            </w:pPr>
            <w:r>
              <w:rPr>
                <w:rFonts w:eastAsia="Calibri"/>
                <w:szCs w:val="24"/>
              </w:rPr>
              <w:lastRenderedPageBreak/>
              <w:t>Pareiškėjas ir (ar) partneris (-iai) turi prisidėti prie</w:t>
            </w:r>
            <w:r w:rsidR="004E117E">
              <w:rPr>
                <w:rFonts w:eastAsia="Calibri"/>
                <w:szCs w:val="24"/>
              </w:rPr>
              <w:t xml:space="preserve"> projekto įgyvendinimo Aprašo 38</w:t>
            </w:r>
            <w:r>
              <w:rPr>
                <w:rFonts w:eastAsia="Calibri"/>
                <w:szCs w:val="24"/>
              </w:rPr>
              <w:t xml:space="preserve"> punkte nurodyta lėšų dalimi.</w:t>
            </w:r>
          </w:p>
          <w:p w:rsidR="00362019" w:rsidRDefault="00362019">
            <w:pPr>
              <w:jc w:val="both"/>
              <w:rPr>
                <w:rFonts w:eastAsia="Calibri"/>
                <w:szCs w:val="24"/>
              </w:rPr>
            </w:pPr>
          </w:p>
          <w:p w:rsidR="00362019" w:rsidRDefault="008920BD">
            <w:pPr>
              <w:jc w:val="both"/>
              <w:rPr>
                <w:szCs w:val="24"/>
                <w:lang w:eastAsia="lt-LT"/>
              </w:rPr>
            </w:pPr>
            <w:r>
              <w:rPr>
                <w:rFonts w:eastAsia="Calibri"/>
                <w:szCs w:val="24"/>
              </w:rPr>
              <w:t xml:space="preserve">Informacijos šaltiniai: paraiška, paraiškos priedai nurodyti Aprašo </w:t>
            </w:r>
            <w:r w:rsidR="004E117E">
              <w:rPr>
                <w:rFonts w:eastAsia="Calibri"/>
                <w:szCs w:val="24"/>
              </w:rPr>
              <w:t>46.6</w:t>
            </w:r>
            <w:r>
              <w:rPr>
                <w:rFonts w:eastAsia="Calibri"/>
                <w:szCs w:val="24"/>
              </w:rPr>
              <w:t xml:space="preserve"> papunktyje (nuosavos lėšos, bankų ar kitų kredito įstaigų paskolos ir kiti šaltiniai).</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tcPr>
          <w:p w:rsidR="00362019" w:rsidRDefault="008920BD">
            <w:pPr>
              <w:rPr>
                <w:szCs w:val="24"/>
                <w:lang w:eastAsia="lt-LT"/>
              </w:rPr>
            </w:pPr>
            <w:r>
              <w:rPr>
                <w:lang w:eastAsia="lt-LT"/>
              </w:rPr>
              <w:t xml:space="preserve">6.2. </w:t>
            </w:r>
            <w:r>
              <w:rPr>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szCs w:val="24"/>
                <w:highlight w:val="yellow"/>
                <w:lang w:eastAsia="lt-LT"/>
              </w:rPr>
            </w:pPr>
            <w:r>
              <w:rPr>
                <w:szCs w:val="24"/>
                <w:lang w:eastAsia="lt-LT"/>
              </w:rPr>
              <w:t>Informacijos šaltiniai – paraiška, paraiška, para</w:t>
            </w:r>
            <w:r w:rsidR="00924DD9">
              <w:rPr>
                <w:szCs w:val="24"/>
                <w:lang w:eastAsia="lt-LT"/>
              </w:rPr>
              <w:t>iškos priedai nurodyti Aprašo 46.6</w:t>
            </w:r>
            <w:r>
              <w:rPr>
                <w:szCs w:val="24"/>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szCs w:val="24"/>
                <w:lang w:eastAsia="lt-LT"/>
              </w:rPr>
            </w:pPr>
            <w:r>
              <w:rPr>
                <w:lang w:eastAsia="lt-LT"/>
              </w:rPr>
              <w:t xml:space="preserve">6.3. </w:t>
            </w:r>
            <w:r>
              <w:rPr>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szCs w:val="24"/>
                <w:lang w:eastAsia="lt-LT"/>
              </w:rPr>
            </w:pPr>
            <w:r>
              <w:rPr>
                <w:szCs w:val="24"/>
                <w:lang w:eastAsia="lt-LT"/>
              </w:rPr>
              <w:t>Informacijos šaltiniai – paraiška, paraiška, paraiš</w:t>
            </w:r>
            <w:r w:rsidR="00924DD9">
              <w:rPr>
                <w:szCs w:val="24"/>
                <w:lang w:eastAsia="lt-LT"/>
              </w:rPr>
              <w:t>kos priedai nurodyti Aprašo 46.6</w:t>
            </w:r>
            <w:r>
              <w:rPr>
                <w:szCs w:val="24"/>
                <w:lang w:eastAsia="lt-LT"/>
              </w:rPr>
              <w:t xml:space="preserve"> papunktyje.</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tcPr>
          <w:p w:rsidR="00362019" w:rsidRDefault="008920BD">
            <w:pPr>
              <w:shd w:val="clear" w:color="auto" w:fill="FFFFFF"/>
              <w:ind w:left="34"/>
            </w:pPr>
            <w:r>
              <w:rPr>
                <w:bCs/>
                <w:lang w:eastAsia="lt-LT"/>
              </w:rPr>
              <w:t xml:space="preserve">6.4. </w:t>
            </w:r>
            <w:r>
              <w:t xml:space="preserve">Projektas atitinka Europos investicijų banko (toliau – EIB) nustatytas išlaidų tinkamumo finansuoti sąlygas. </w:t>
            </w:r>
          </w:p>
          <w:p w:rsidR="00362019" w:rsidRDefault="008920BD">
            <w:pPr>
              <w:shd w:val="clear" w:color="auto" w:fill="FFFFFF"/>
              <w:tabs>
                <w:tab w:val="left" w:pos="851"/>
              </w:tabs>
              <w:ind w:left="34"/>
              <w:rPr>
                <w:i/>
              </w:rPr>
            </w:pPr>
            <w:r>
              <w:t>(</w:t>
            </w:r>
            <w:r>
              <w:rPr>
                <w:i/>
              </w:rPr>
              <w:t xml:space="preserve">Šis vertinimo aspektas taikomas tik tais atvejais, jei projektą planuojama bendrai finansuoti iš Lietuvos Respublikos valstybės biudžeto lėšų </w:t>
            </w:r>
            <w:r>
              <w:rPr>
                <w:i/>
                <w:lang w:eastAsia="lt-LT"/>
              </w:rPr>
              <w:t xml:space="preserve">(įskaitant atvejus, kai projekto vykdytojo ir (arba) partnerio nuosavų lėšų šaltinis yra Lietuvos Respublikos biudžeto lėšos) arba </w:t>
            </w:r>
            <w:r>
              <w:rPr>
                <w:i/>
              </w:rPr>
              <w:t xml:space="preserve">projekto visą nuosavų lėšų sumą ar jos dalį planuojama bendrai finansuoti iš 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r>
              <w:rPr>
                <w:i/>
                <w:color w:val="0000FF"/>
                <w:u w:val="single"/>
              </w:rPr>
              <w:t>www.finmin.lrv.lt</w:t>
            </w:r>
            <w:r>
              <w:rPr>
                <w:i/>
              </w:rPr>
              <w:t xml:space="preserve"> ir www.esinvesticijos.lt, nuostatomis. Atsakant į šį klausimą įvertinama projekto atitiktis EIB nustatytoms išlaidų tinkamumo finansuoti sąlygoms, vadovaujantis </w:t>
            </w:r>
            <w:r>
              <w:rPr>
                <w:i/>
                <w:lang w:eastAsia="lt-LT"/>
              </w:rPr>
              <w:t xml:space="preserve">Projektų administravimo ir finansavimo </w:t>
            </w:r>
            <w:r>
              <w:rPr>
                <w:i/>
                <w:lang w:eastAsia="lt-LT"/>
              </w:rPr>
              <w:lastRenderedPageBreak/>
              <w:t>t</w:t>
            </w:r>
            <w:r>
              <w:rPr>
                <w:i/>
              </w:rPr>
              <w:t>aisyklių 11 priede nustatyta tvarka. Tuo atveju, kai:</w:t>
            </w:r>
          </w:p>
          <w:p w:rsidR="00362019" w:rsidRDefault="008920BD">
            <w:pPr>
              <w:shd w:val="clear" w:color="auto" w:fill="FFFFFF"/>
              <w:tabs>
                <w:tab w:val="left" w:pos="176"/>
              </w:tabs>
              <w:ind w:left="34"/>
              <w:jc w:val="both"/>
              <w:rPr>
                <w:i/>
              </w:rPr>
            </w:pPr>
            <w:r>
              <w:rPr>
                <w:sz w:val="22"/>
                <w:szCs w:val="22"/>
              </w:rPr>
              <w:t>-</w:t>
            </w:r>
            <w:r>
              <w:rPr>
                <w:sz w:val="22"/>
                <w:szCs w:val="22"/>
              </w:rPr>
              <w:tab/>
            </w:r>
            <w:r>
              <w:rPr>
                <w:i/>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rsidR="00362019" w:rsidRDefault="008920BD">
            <w:pPr>
              <w:shd w:val="clear" w:color="auto" w:fill="FFFFFF"/>
              <w:tabs>
                <w:tab w:val="left" w:pos="176"/>
              </w:tabs>
              <w:ind w:left="34"/>
              <w:jc w:val="both"/>
              <w:rPr>
                <w:i/>
              </w:rPr>
            </w:pPr>
            <w:r>
              <w:rPr>
                <w:sz w:val="22"/>
                <w:szCs w:val="22"/>
              </w:rPr>
              <w:t>-</w:t>
            </w:r>
            <w:r>
              <w:rPr>
                <w:sz w:val="22"/>
                <w:szCs w:val="22"/>
              </w:rPr>
              <w:tab/>
            </w:r>
            <w:r>
              <w:rPr>
                <w:i/>
              </w:rPr>
              <w:t xml:space="preserve">projektą planuojama bendrai finansuoti </w:t>
            </w:r>
            <w:r>
              <w:rPr>
                <w:i/>
                <w:lang w:eastAsia="lt-LT"/>
              </w:rPr>
              <w:t>Lietuvos Respublikos valstybės biudžeto lėšomis (įskaitant atvejus, kai projekto vykdytojo ir (arba) partnerio nuosavų lėšų šaltinis yra Lietuvos Respublikos biudžeto lėšos), tačiau jis neatitinka</w:t>
            </w:r>
            <w:r>
              <w:rPr>
                <w:i/>
              </w:rPr>
              <w:t xml:space="preserve"> EIB nustatytų išlaidų tinkamumo finansuoti sąlygų, šio papunkčio vertinimas turi būti „Ne“. </w:t>
            </w:r>
          </w:p>
          <w:p w:rsidR="00362019" w:rsidRDefault="008920BD">
            <w:pPr>
              <w:shd w:val="clear" w:color="auto" w:fill="FFFFFF"/>
              <w:tabs>
                <w:tab w:val="left" w:pos="851"/>
              </w:tabs>
              <w:ind w:left="34"/>
              <w:rPr>
                <w:b/>
                <w:i/>
              </w:rPr>
            </w:pPr>
            <w:r>
              <w:rPr>
                <w:i/>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362019" w:rsidRDefault="008920BD">
            <w:pPr>
              <w:rPr>
                <w:lang w:eastAsia="lt-LT"/>
              </w:rPr>
            </w:pPr>
            <w:r>
              <w:rPr>
                <w:b/>
                <w:bCs/>
                <w:lang w:eastAsia="lt-LT"/>
              </w:rPr>
              <w:t>7. Užtikrintas efektyvus projektui įgyvendinti reikalingų lėšų panaudojimas.</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75534C" w:rsidRPr="0075534C" w:rsidRDefault="0075534C" w:rsidP="0075534C">
            <w:pPr>
              <w:rPr>
                <w:szCs w:val="24"/>
                <w:lang w:eastAsia="lt-LT"/>
              </w:rPr>
            </w:pPr>
            <w:r w:rsidRPr="0075534C">
              <w:rPr>
                <w:szCs w:val="24"/>
                <w:lang w:eastAsia="lt-LT"/>
              </w:rPr>
              <w:t xml:space="preserve">7.1. </w:t>
            </w:r>
            <w:r w:rsidRPr="0075534C">
              <w:rPr>
                <w:color w:val="000000"/>
                <w:szCs w:val="24"/>
                <w:lang w:eastAsia="lt-LT"/>
              </w:rPr>
              <w:t>Projekto įgyvendinimo alternatyvos pasirinkimas pagrįstas sąnaudų ir naudos analizės (toliau – SNA)  rezultatais</w:t>
            </w:r>
            <w:r w:rsidRPr="0075534C">
              <w:rPr>
                <w:szCs w:val="24"/>
                <w:lang w:eastAsia="lt-LT"/>
              </w:rPr>
              <w:t xml:space="preserve">: </w:t>
            </w:r>
          </w:p>
          <w:p w:rsidR="0075534C" w:rsidRPr="0075534C" w:rsidRDefault="0075534C" w:rsidP="0075534C">
            <w:pPr>
              <w:rPr>
                <w:i/>
                <w:szCs w:val="24"/>
                <w:lang w:eastAsia="lt-LT"/>
              </w:rPr>
            </w:pPr>
            <w:r w:rsidRPr="0075534C">
              <w:rPr>
                <w:i/>
                <w:szCs w:val="24"/>
                <w:lang w:eastAsia="lt-LT"/>
              </w:rPr>
              <w:t>(Šis vertinimo aspektas taikomas projektams, kuriems teikiamas  investicijų projektas (pagal Projektų administravimo ir finansavimo taisyklių 67</w:t>
            </w:r>
            <w:r w:rsidRPr="0075534C">
              <w:rPr>
                <w:i/>
                <w:szCs w:val="24"/>
                <w:vertAlign w:val="superscript"/>
                <w:lang w:eastAsia="lt-LT"/>
              </w:rPr>
              <w:t>1</w:t>
            </w:r>
            <w:r w:rsidRPr="0075534C">
              <w:rPr>
                <w:i/>
                <w:szCs w:val="24"/>
                <w:lang w:eastAsia="lt-LT"/>
              </w:rPr>
              <w:t xml:space="preserve">punktą) ir investicijų projekto skaičiuoklė, ir kurių įgyvendinimo alternatyvų </w:t>
            </w:r>
            <w:r w:rsidRPr="0075534C">
              <w:rPr>
                <w:i/>
                <w:szCs w:val="24"/>
                <w:lang w:eastAsia="lt-LT"/>
              </w:rPr>
              <w:lastRenderedPageBreak/>
              <w:t xml:space="preserve">analizė ir palyginimas atlikti taikant SNA metodą. </w:t>
            </w:r>
          </w:p>
          <w:p w:rsidR="0075534C" w:rsidRPr="0075534C" w:rsidRDefault="0075534C" w:rsidP="0075534C">
            <w:pPr>
              <w:rPr>
                <w:i/>
                <w:szCs w:val="24"/>
                <w:lang w:eastAsia="lt-LT"/>
              </w:rPr>
            </w:pPr>
            <w:r w:rsidRPr="0075534C">
              <w:rPr>
                <w:rFonts w:eastAsia="Calibri"/>
                <w:i/>
                <w:szCs w:val="24"/>
              </w:rPr>
              <w:t xml:space="preserve">Įgyvendinančioji institucija </w:t>
            </w:r>
            <w:r w:rsidRPr="0075534C">
              <w:rPr>
                <w:i/>
                <w:szCs w:val="24"/>
                <w:lang w:eastAsia="lt-LT"/>
              </w:rPr>
              <w:t xml:space="preserve">vertina </w:t>
            </w:r>
            <w:r w:rsidRPr="0075534C">
              <w:rPr>
                <w:rFonts w:eastAsia="Calibri"/>
                <w:i/>
                <w:szCs w:val="24"/>
              </w:rPr>
              <w:t>atitiktį šiam vertinimo aspektui tik tais atvejais, jei projektas atrenkamas</w:t>
            </w:r>
            <w:r w:rsidRPr="0075534C">
              <w:rPr>
                <w:rFonts w:ascii="Calibri" w:eastAsia="Calibri" w:hAnsi="Calibri"/>
                <w:szCs w:val="24"/>
              </w:rPr>
              <w:t xml:space="preserve"> </w:t>
            </w:r>
            <w:r w:rsidRPr="0075534C">
              <w:rPr>
                <w:rFonts w:eastAsia="Calibri"/>
                <w:i/>
                <w:szCs w:val="24"/>
              </w:rPr>
              <w:t>projektų konkurso būdu arba tęstinės projektų atrankos būdu. Kitais atvejais atitiktį šiam vertinimo aspektui vertina ministerija arba Regioninės plėtros departamentas</w:t>
            </w:r>
            <w:r w:rsidRPr="0075534C">
              <w:rPr>
                <w:i/>
                <w:szCs w:val="24"/>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p>
          <w:p w:rsidR="0075534C" w:rsidRPr="0075534C" w:rsidRDefault="0075534C" w:rsidP="0075534C">
            <w:pPr>
              <w:rPr>
                <w:i/>
                <w:szCs w:val="24"/>
                <w:lang w:eastAsia="lt-LT"/>
              </w:rPr>
            </w:pPr>
            <w:r w:rsidRPr="0075534C">
              <w:rPr>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5" w:history="1">
              <w:r w:rsidRPr="0075534C">
                <w:rPr>
                  <w:i/>
                  <w:color w:val="0000FF"/>
                  <w:szCs w:val="24"/>
                  <w:u w:val="single"/>
                  <w:lang w:eastAsia="lt-LT"/>
                </w:rPr>
                <w:t>www.esinvesticijos.lt</w:t>
              </w:r>
            </w:hyperlink>
            <w:r w:rsidRPr="0075534C">
              <w:rPr>
                <w:i/>
                <w:szCs w:val="24"/>
                <w:lang w:eastAsia="lt-LT"/>
              </w:rPr>
              <w:t xml:space="preserve">. Jei Investicijų projektų rengimo metodiką numatoma taikyti su išimtimis, tokios išimtys turi būti suderintos su vadovaujančiąja institucija ir numatytos projektų finansavimo sąlygų apraše. </w:t>
            </w:r>
          </w:p>
          <w:p w:rsidR="00362019" w:rsidRPr="0075534C" w:rsidRDefault="0075534C" w:rsidP="0075534C">
            <w:pPr>
              <w:rPr>
                <w:szCs w:val="24"/>
                <w:lang w:eastAsia="lt-LT"/>
              </w:rPr>
            </w:pPr>
            <w:r w:rsidRPr="0075534C">
              <w:rPr>
                <w:i/>
                <w:szCs w:val="24"/>
                <w:lang w:eastAsia="lt-LT"/>
              </w:rPr>
              <w:t xml:space="preserve">Šis vertinimo aspektas netaikomas techninės paramos projektams ir projekto įgyvendinimo </w:t>
            </w:r>
            <w:r w:rsidRPr="0075534C">
              <w:rPr>
                <w:i/>
                <w:szCs w:val="24"/>
                <w:lang w:eastAsia="lt-LT"/>
              </w:rPr>
              <w:lastRenderedPageBreak/>
              <w:t>metu, išskyrus atvejus, kai taikomi Projektų administravimo ir finansavimo taisyklių 196.1 arba 196.5 papunkčio reikalavimai.)</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rPr>
                <w:lang w:eastAsia="lt-LT"/>
              </w:rPr>
            </w:pPr>
            <w:r>
              <w:rPr>
                <w:szCs w:val="24"/>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lastRenderedPageBreak/>
              <w:t xml:space="preserve">7.1.1. </w:t>
            </w:r>
            <w:r>
              <w:rPr>
                <w:szCs w:val="24"/>
                <w:lang w:eastAsia="lt-LT"/>
              </w:rPr>
              <w:t>projekto įgyvendinimo alternat</w:t>
            </w:r>
            <w:r w:rsidR="0075534C">
              <w:rPr>
                <w:szCs w:val="24"/>
                <w:lang w:eastAsia="lt-LT"/>
              </w:rPr>
              <w:t>yvai (-oms) įvertinti taikomos</w:t>
            </w:r>
            <w:r>
              <w:rPr>
                <w:szCs w:val="24"/>
                <w:lang w:eastAsia="lt-LT"/>
              </w:rPr>
              <w:t xml:space="preserve">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 xml:space="preserve">7.1.2. </w:t>
            </w:r>
            <w:r>
              <w:rPr>
                <w:szCs w:val="24"/>
                <w:lang w:eastAsia="lt-LT"/>
              </w:rPr>
              <w:t>projekto įgyvendinimo alternat</w:t>
            </w:r>
            <w:r w:rsidR="0075534C">
              <w:rPr>
                <w:szCs w:val="24"/>
                <w:lang w:eastAsia="lt-LT"/>
              </w:rPr>
              <w:t>yvai (-oms) įvertinti taikomas</w:t>
            </w:r>
            <w:r>
              <w:rPr>
                <w:szCs w:val="24"/>
                <w:lang w:eastAsia="lt-LT"/>
              </w:rPr>
              <w:t xml:space="preserve">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 xml:space="preserve">7.1.3. </w:t>
            </w:r>
            <w:r>
              <w:rPr>
                <w:szCs w:val="24"/>
                <w:lang w:eastAsia="lt-LT"/>
              </w:rPr>
              <w:t>projekto įgyvendinimo alternatyvai (-oms) įvert</w:t>
            </w:r>
            <w:r w:rsidR="0075534C">
              <w:rPr>
                <w:szCs w:val="24"/>
                <w:lang w:eastAsia="lt-LT"/>
              </w:rPr>
              <w:t>inti taikoma</w:t>
            </w:r>
            <w:r>
              <w:rPr>
                <w:szCs w:val="24"/>
                <w:lang w:eastAsia="lt-LT"/>
              </w:rPr>
              <w:t xml:space="preserve">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szCs w:val="24"/>
                <w:lang w:eastAsia="lt-LT"/>
              </w:rPr>
            </w:pPr>
            <w:r>
              <w:rPr>
                <w:lang w:eastAsia="lt-LT"/>
              </w:rPr>
              <w:t xml:space="preserve">7.1.4. </w:t>
            </w:r>
            <w:r>
              <w:rPr>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F1F0F" w:rsidRPr="00FF1F0F" w:rsidRDefault="00FF1F0F" w:rsidP="00FF1F0F">
            <w:pPr>
              <w:rPr>
                <w:szCs w:val="24"/>
                <w:lang w:eastAsia="lt-LT"/>
              </w:rPr>
            </w:pPr>
            <w:r w:rsidRPr="00FF1F0F">
              <w:rPr>
                <w:szCs w:val="24"/>
                <w:lang w:eastAsia="lt-LT"/>
              </w:rPr>
              <w:t xml:space="preserve">7.2. Projekto įgyvendinimo alternatyvos pasirinkimas pagrįstas sąnaudų veiksmingumo analizės (toliau – SVA) rodikliu. </w:t>
            </w:r>
          </w:p>
          <w:p w:rsidR="00362019" w:rsidRPr="00FF1F0F" w:rsidRDefault="00FF1F0F">
            <w:pPr>
              <w:rPr>
                <w:i/>
                <w:sz w:val="22"/>
                <w:szCs w:val="24"/>
                <w:lang w:eastAsia="lt-LT"/>
              </w:rPr>
            </w:pPr>
            <w:r w:rsidRPr="00FF1F0F">
              <w:rPr>
                <w:i/>
                <w:szCs w:val="24"/>
                <w:lang w:eastAsia="lt-LT"/>
              </w:rPr>
              <w:t>(Šis vertinimo aspektas taikomas projektams, kuriems įgyvendinti teikiamas investicijų projektas (pagal Projektų administravimo ir finansavimo taisyklių 67</w:t>
            </w:r>
            <w:r w:rsidRPr="00FF1F0F">
              <w:rPr>
                <w:i/>
                <w:szCs w:val="24"/>
                <w:vertAlign w:val="superscript"/>
                <w:lang w:eastAsia="lt-LT"/>
              </w:rPr>
              <w:t>1</w:t>
            </w:r>
            <w:r w:rsidRPr="00FF1F0F">
              <w:rPr>
                <w:i/>
                <w:szCs w:val="24"/>
                <w:lang w:eastAsia="lt-LT"/>
              </w:rPr>
              <w:t>punktą) ir investicijų projektų skaičiuoklė, kuriuose alternatyvų analizė ir palyginimas atlikti taikant SVA metodą.)</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rPr>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r>
              <w:rPr>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362019" w:rsidRDefault="008920BD">
            <w:pPr>
              <w:rPr>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362019" w:rsidRDefault="008920BD">
            <w:pPr>
              <w:jc w:val="both"/>
              <w:rPr>
                <w:rFonts w:eastAsia="Calibri"/>
                <w:szCs w:val="24"/>
              </w:rPr>
            </w:pPr>
            <w:r>
              <w:rPr>
                <w:rFonts w:eastAsia="Calibri"/>
                <w:szCs w:val="24"/>
              </w:rPr>
              <w:t>Projekto įgyvendinimo trukmė / terminas ir v</w:t>
            </w:r>
            <w:r w:rsidR="00924DD9">
              <w:rPr>
                <w:rFonts w:eastAsia="Calibri"/>
                <w:szCs w:val="24"/>
              </w:rPr>
              <w:t>ieta turi atitikti Aprašo 22</w:t>
            </w:r>
            <w:r>
              <w:rPr>
                <w:rFonts w:eastAsia="Calibri"/>
                <w:szCs w:val="24"/>
              </w:rPr>
              <w:t xml:space="preserve"> punkte nustatytus reikalavimus.</w:t>
            </w:r>
          </w:p>
          <w:p w:rsidR="00362019" w:rsidRDefault="00362019">
            <w:pPr>
              <w:jc w:val="both"/>
              <w:rPr>
                <w:rFonts w:eastAsia="Calibri"/>
                <w:szCs w:val="24"/>
              </w:rPr>
            </w:pPr>
          </w:p>
          <w:p w:rsidR="00362019" w:rsidRDefault="008920BD">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2127" w:type="dxa"/>
            <w:tcBorders>
              <w:top w:val="single" w:sz="4" w:space="0" w:color="000000"/>
              <w:left w:val="single" w:sz="4" w:space="0" w:color="000000"/>
              <w:bottom w:val="single" w:sz="4" w:space="0" w:color="000000"/>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000000"/>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rPr>
                <w:szCs w:val="24"/>
                <w:lang w:eastAsia="lt-LT"/>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362019" w:rsidRDefault="008920BD">
            <w:pPr>
              <w:rPr>
                <w:lang w:eastAsia="lt-LT"/>
              </w:rPr>
            </w:pPr>
            <w:r>
              <w:rPr>
                <w:lang w:eastAsia="lt-LT"/>
              </w:rPr>
              <w:t xml:space="preserve">7.7. Teisingai </w:t>
            </w:r>
            <w:r>
              <w:t>pritaikyti fiksuotoji projekto išlaidų norma, fiksuotieji</w:t>
            </w:r>
            <w:r>
              <w:rPr>
                <w:lang w:eastAsia="lt-LT"/>
              </w:rPr>
              <w:t xml:space="preserve"> projekto išlaidų </w:t>
            </w:r>
            <w:r>
              <w:t>vieneto įkainiai, fiksuotosios projekto išlaidų sumos ir (ar) apdovanojimai (</w:t>
            </w:r>
            <w:r>
              <w:rPr>
                <w:i/>
              </w:rPr>
              <w:t>taikoma</w:t>
            </w:r>
            <w:r>
              <w:rPr>
                <w:i/>
                <w:lang w:eastAsia="lt-LT"/>
              </w:rPr>
              <w:t xml:space="preserve"> tik tais atvejais, jei paraiškoje yra numatyta taikyti </w:t>
            </w:r>
            <w:r>
              <w:rPr>
                <w:i/>
              </w:rPr>
              <w:t>šiuos supaprastintus išlaidų apmokėjimo būdus ir (ar) apdovanojimus</w:t>
            </w:r>
            <w:r>
              <w:t>).</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jc w:val="both"/>
              <w:rPr>
                <w:szCs w:val="24"/>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tcPr>
          <w:p w:rsidR="00362019" w:rsidRDefault="008920BD">
            <w:pPr>
              <w:rPr>
                <w:szCs w:val="24"/>
                <w:lang w:eastAsia="lt-LT"/>
              </w:rPr>
            </w:pPr>
            <w:r>
              <w:rPr>
                <w:lang w:eastAsia="lt-LT"/>
              </w:rPr>
              <w:t xml:space="preserve">7.8. </w:t>
            </w:r>
            <w:r>
              <w:rPr>
                <w:szCs w:val="24"/>
                <w:lang w:eastAsia="lt-LT"/>
              </w:rPr>
              <w:t xml:space="preserve">Paraiškoje teisingai nurodyta projekto kategorija, iš projekto planuojamos gauti </w:t>
            </w:r>
            <w:r>
              <w:rPr>
                <w:szCs w:val="24"/>
                <w:lang w:eastAsia="lt-LT"/>
              </w:rPr>
              <w:lastRenderedPageBreak/>
              <w:t>pajamos (taip pat ir grynosios pajamos) teisingai apskaičiuotos ir teisingai nustatytas projektui reikiamo finansavimo dydis, atsižvelgiant į tai, ar įgyvendinant projektą:</w:t>
            </w:r>
          </w:p>
          <w:p w:rsidR="00362019" w:rsidRDefault="008920BD">
            <w:pPr>
              <w:rPr>
                <w:szCs w:val="24"/>
                <w:lang w:eastAsia="lt-LT"/>
              </w:rPr>
            </w:pPr>
            <w:r>
              <w:rPr>
                <w:szCs w:val="24"/>
                <w:lang w:eastAsia="lt-LT"/>
              </w:rPr>
              <w:t>– negaunama pajamų;</w:t>
            </w:r>
          </w:p>
          <w:p w:rsidR="00362019" w:rsidRDefault="008920BD">
            <w:pPr>
              <w:rPr>
                <w:szCs w:val="24"/>
                <w:lang w:eastAsia="lt-LT"/>
              </w:rPr>
            </w:pPr>
            <w:r>
              <w:rPr>
                <w:szCs w:val="24"/>
                <w:lang w:eastAsia="lt-LT"/>
              </w:rPr>
              <w:t>– gaunama pajamų ir jos yra įvertintos iš anksto;</w:t>
            </w:r>
          </w:p>
          <w:p w:rsidR="00362019" w:rsidRDefault="008920BD">
            <w:pPr>
              <w:rPr>
                <w:szCs w:val="24"/>
                <w:lang w:eastAsia="lt-LT"/>
              </w:rPr>
            </w:pPr>
            <w:r>
              <w:rPr>
                <w:szCs w:val="24"/>
                <w:lang w:eastAsia="lt-LT"/>
              </w:rPr>
              <w:t xml:space="preserve">– gaunama pajamų, bet jų iš anksto neįmanoma apskaičiuoti. </w:t>
            </w:r>
          </w:p>
          <w:p w:rsidR="00362019" w:rsidRDefault="008920BD">
            <w:pPr>
              <w:rPr>
                <w:i/>
                <w:szCs w:val="24"/>
                <w:lang w:eastAsia="lt-LT"/>
              </w:rPr>
            </w:pPr>
            <w:r>
              <w:rPr>
                <w:i/>
                <w:szCs w:val="24"/>
                <w:lang w:eastAsia="lt-LT"/>
              </w:rPr>
              <w:t xml:space="preserve">(Šis vertinimo aspektas netaikomas, kai iš Europos regioninės plėtros fondo ar Sanglaudos fondo bendrai finansuojamo projekto tinkamų finansuoti išlaidų suma neviršija </w:t>
            </w:r>
          </w:p>
          <w:p w:rsidR="00362019" w:rsidRDefault="008920BD">
            <w:pPr>
              <w:rPr>
                <w:sz w:val="20"/>
                <w:lang w:eastAsia="lt-LT"/>
              </w:rPr>
            </w:pPr>
            <w:r>
              <w:rPr>
                <w:i/>
                <w:szCs w:val="24"/>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i/>
                <w:szCs w:val="24"/>
              </w:rPr>
              <w:t xml:space="preserve">, taip pat techninės paramos projektams, taip pat jeigu pagal reglamento (ES) Nr. 1303/2013 61 straipsnio 3 dalies a </w:t>
            </w:r>
            <w:r w:rsidR="006837D6">
              <w:rPr>
                <w:i/>
                <w:szCs w:val="24"/>
              </w:rPr>
              <w:t xml:space="preserve">arba aa </w:t>
            </w:r>
            <w:r>
              <w:rPr>
                <w:i/>
                <w:szCs w:val="24"/>
              </w:rPr>
              <w:t>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r w:rsidR="00362019" w:rsidTr="004F5A19">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rsidR="00362019" w:rsidRDefault="008920BD">
            <w:pPr>
              <w:rPr>
                <w:lang w:eastAsia="lt-LT"/>
              </w:rPr>
            </w:pPr>
            <w:r>
              <w:rPr>
                <w:b/>
                <w:bCs/>
                <w:lang w:eastAsia="lt-LT"/>
              </w:rPr>
              <w:t xml:space="preserve">8. </w:t>
            </w:r>
            <w:r>
              <w:rPr>
                <w:b/>
                <w:bCs/>
                <w:szCs w:val="24"/>
                <w:lang w:eastAsia="lt-LT"/>
              </w:rPr>
              <w:t>Projekto veiklos vykdomos veiksmų programos įgyvendinimo teritorijoje.</w:t>
            </w:r>
          </w:p>
        </w:tc>
      </w:tr>
      <w:tr w:rsidR="00362019" w:rsidTr="004F5A19">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96E80" w:rsidRPr="00E96E80" w:rsidRDefault="00E96E80" w:rsidP="00E96E80">
            <w:pPr>
              <w:rPr>
                <w:szCs w:val="24"/>
                <w:lang w:eastAsia="lt-LT"/>
              </w:rPr>
            </w:pPr>
            <w:r w:rsidRPr="00E96E80">
              <w:rPr>
                <w:szCs w:val="24"/>
                <w:lang w:eastAsia="lt-LT"/>
              </w:rPr>
              <w:t xml:space="preserve">8.1. Projekto veiklos vykdomos Lietuvos Respublikoje arba ne Lietuvos Respublikoje, </w:t>
            </w:r>
            <w:r w:rsidRPr="00E96E80">
              <w:rPr>
                <w:szCs w:val="24"/>
                <w:lang w:eastAsia="lt-LT"/>
              </w:rPr>
              <w:lastRenderedPageBreak/>
              <w:t>bet jas vykdant sukurti produktai, gauti rezultatai ir nauda (ar jų dalis, proporcinga Lietuvos Respublikos finansiniam įnašui) atitenka Lietuvos Respublikai (arba ES, kai vykdomos projektų veiklos pagal reglamento (ES) Nr. 1303/2013 9 straipsnio pirmosios pastraipos 1 punktą) ir projektas atitinka bent vieną iš šių sąlygų:</w:t>
            </w:r>
          </w:p>
          <w:p w:rsidR="00E96E80" w:rsidRPr="00E96E80" w:rsidRDefault="00E96E80" w:rsidP="00E96E80">
            <w:pPr>
              <w:rPr>
                <w:szCs w:val="24"/>
                <w:lang w:eastAsia="lt-LT"/>
              </w:rPr>
            </w:pPr>
            <w:r w:rsidRPr="00E96E80">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rsidR="00362019" w:rsidRDefault="008920BD">
            <w:pPr>
              <w:rPr>
                <w:szCs w:val="24"/>
                <w:lang w:eastAsia="lt-LT"/>
              </w:rPr>
            </w:pPr>
            <w:r>
              <w:rPr>
                <w:szCs w:val="24"/>
                <w:lang w:eastAsia="lt-LT"/>
              </w:rPr>
              <w:t xml:space="preserve">8.1.2. iš ESF bendrai finansuojamo projekto veiklos vykdomos: </w:t>
            </w:r>
          </w:p>
          <w:p w:rsidR="00362019" w:rsidRDefault="008920BD">
            <w:pPr>
              <w:tabs>
                <w:tab w:val="left" w:pos="402"/>
              </w:tabs>
              <w:ind w:left="720" w:hanging="360"/>
              <w:rPr>
                <w:szCs w:val="24"/>
                <w:lang w:eastAsia="lt-LT"/>
              </w:rPr>
            </w:pPr>
            <w:r>
              <w:rPr>
                <w:rFonts w:eastAsia="Calibri"/>
                <w:szCs w:val="24"/>
                <w:lang w:eastAsia="lt-LT"/>
              </w:rPr>
              <w:t>-</w:t>
            </w:r>
            <w:r>
              <w:rPr>
                <w:rFonts w:eastAsia="Calibri"/>
                <w:szCs w:val="24"/>
                <w:lang w:eastAsia="lt-LT"/>
              </w:rPr>
              <w:tab/>
            </w:r>
            <w:r>
              <w:rPr>
                <w:szCs w:val="24"/>
                <w:lang w:eastAsia="lt-LT"/>
              </w:rPr>
              <w:t>ES teritorijoje;</w:t>
            </w:r>
          </w:p>
          <w:p w:rsidR="00362019" w:rsidRDefault="008920BD">
            <w:pPr>
              <w:tabs>
                <w:tab w:val="left" w:pos="402"/>
                <w:tab w:val="left" w:pos="743"/>
              </w:tabs>
              <w:ind w:left="34" w:firstLine="326"/>
              <w:rPr>
                <w:szCs w:val="24"/>
                <w:lang w:eastAsia="lt-LT"/>
              </w:rPr>
            </w:pPr>
            <w:r>
              <w:rPr>
                <w:rFonts w:eastAsia="Calibri"/>
                <w:szCs w:val="24"/>
                <w:lang w:eastAsia="lt-LT"/>
              </w:rPr>
              <w:t>-</w:t>
            </w:r>
            <w:r>
              <w:rPr>
                <w:rFonts w:eastAsia="Calibri"/>
                <w:szCs w:val="24"/>
                <w:lang w:eastAsia="lt-LT"/>
              </w:rPr>
              <w:tab/>
            </w:r>
            <w:r>
              <w:rPr>
                <w:szCs w:val="24"/>
                <w:lang w:eastAsia="lt-LT"/>
              </w:rPr>
              <w:t>ne ES teritorijoje, bet tokių veiklų išlaidos neviršija procento, nustatyto projektų finansavimo sąlygų apraše;</w:t>
            </w:r>
          </w:p>
          <w:p w:rsidR="00362019" w:rsidRDefault="008920BD">
            <w:pPr>
              <w:rPr>
                <w:lang w:eastAsia="lt-LT"/>
              </w:rPr>
            </w:pPr>
            <w:r>
              <w:rPr>
                <w:szCs w:val="24"/>
                <w:lang w:eastAsia="lt-LT"/>
              </w:rPr>
              <w:t xml:space="preserve">8.1.3. vykdomos techninės paramos projektų veiklos. </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362019" w:rsidRDefault="008920BD">
            <w:pPr>
              <w:jc w:val="both"/>
              <w:rPr>
                <w:rFonts w:eastAsia="Calibri"/>
                <w:szCs w:val="24"/>
              </w:rPr>
            </w:pPr>
            <w:r>
              <w:rPr>
                <w:rFonts w:eastAsia="Calibri"/>
                <w:szCs w:val="24"/>
              </w:rPr>
              <w:lastRenderedPageBreak/>
              <w:t>Projekto veiklų vykdymo te</w:t>
            </w:r>
            <w:r w:rsidR="00924DD9">
              <w:rPr>
                <w:rFonts w:eastAsia="Calibri"/>
                <w:szCs w:val="24"/>
              </w:rPr>
              <w:t>ritorija turi atitikti Aprašo 25</w:t>
            </w:r>
            <w:r>
              <w:rPr>
                <w:rFonts w:eastAsia="Calibri"/>
                <w:szCs w:val="24"/>
              </w:rPr>
              <w:t xml:space="preserve"> punkte nustatytus reikalavimus.</w:t>
            </w:r>
          </w:p>
          <w:p w:rsidR="00362019" w:rsidRDefault="00362019">
            <w:pPr>
              <w:jc w:val="both"/>
              <w:rPr>
                <w:szCs w:val="24"/>
                <w:lang w:eastAsia="lt-LT"/>
              </w:rPr>
            </w:pPr>
          </w:p>
          <w:p w:rsidR="00362019" w:rsidRDefault="008920BD">
            <w:pPr>
              <w:rPr>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rsidR="00362019" w:rsidRDefault="00362019">
            <w:pPr>
              <w:jc w:val="center"/>
              <w:rPr>
                <w:lang w:eastAsia="lt-LT"/>
              </w:rPr>
            </w:pPr>
          </w:p>
        </w:tc>
        <w:tc>
          <w:tcPr>
            <w:tcW w:w="2722" w:type="dxa"/>
            <w:tcBorders>
              <w:top w:val="single" w:sz="4" w:space="0" w:color="000000"/>
              <w:left w:val="single" w:sz="4" w:space="0" w:color="000000"/>
              <w:bottom w:val="single" w:sz="4" w:space="0" w:color="auto"/>
              <w:right w:val="single" w:sz="4" w:space="0" w:color="000000"/>
            </w:tcBorders>
          </w:tcPr>
          <w:p w:rsidR="00362019" w:rsidRDefault="00362019">
            <w:pPr>
              <w:rPr>
                <w:lang w:eastAsia="lt-LT"/>
              </w:rPr>
            </w:pPr>
          </w:p>
        </w:tc>
      </w:tr>
    </w:tbl>
    <w:p w:rsidR="00362019" w:rsidRDefault="008920BD">
      <w:pPr>
        <w:rPr>
          <w:b/>
          <w:lang w:eastAsia="lt-LT"/>
        </w:rPr>
      </w:pPr>
      <w:r>
        <w:rPr>
          <w:b/>
          <w:lang w:eastAsia="lt-LT"/>
        </w:rPr>
        <w:br w:type="page"/>
      </w:r>
    </w:p>
    <w:p w:rsidR="00362019" w:rsidRDefault="008920BD">
      <w:pPr>
        <w:keepNext/>
        <w:rPr>
          <w:b/>
          <w:lang w:eastAsia="lt-LT"/>
        </w:rPr>
      </w:pPr>
      <w:r>
        <w:rPr>
          <w:b/>
          <w:lang w:eastAsia="lt-LT"/>
        </w:rPr>
        <w:lastRenderedPageBreak/>
        <w:t>GALUTINĖ PROJEKTO ATITIKTIES BENDRIESIEMS REIKALAVIMAMS VERTINIMO IŠVADA:</w:t>
      </w:r>
    </w:p>
    <w:p w:rsidR="00362019" w:rsidRDefault="008920BD">
      <w:pPr>
        <w:ind w:left="720" w:hanging="360"/>
        <w:rPr>
          <w:b/>
          <w:lang w:eastAsia="lt-LT"/>
        </w:rPr>
      </w:pPr>
      <w:r>
        <w:rPr>
          <w:b/>
          <w:lang w:eastAsia="lt-LT"/>
        </w:rPr>
        <w:t>1)</w:t>
      </w:r>
      <w:r>
        <w:rPr>
          <w:b/>
          <w:lang w:eastAsia="lt-LT"/>
        </w:rPr>
        <w:tab/>
        <w:t>Ar paraiška atitinka projektinį pasiūlymą ir valstybės ar regionų projektų sąrašą?</w:t>
      </w:r>
    </w:p>
    <w:p w:rsidR="00362019" w:rsidRDefault="008920BD">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rsidR="00362019" w:rsidRDefault="008920BD">
      <w:pPr>
        <w:ind w:left="720"/>
        <w:rPr>
          <w:lang w:eastAsia="lt-LT"/>
        </w:rPr>
      </w:pPr>
      <w:r>
        <w:rPr>
          <w:lang w:eastAsia="lt-LT"/>
        </w:rPr>
        <w:t>Komentarai: ____________________________________________________________________</w:t>
      </w:r>
    </w:p>
    <w:p w:rsidR="00362019" w:rsidRDefault="00362019">
      <w:pPr>
        <w:rPr>
          <w:lang w:eastAsia="lt-LT"/>
        </w:rPr>
      </w:pPr>
    </w:p>
    <w:p w:rsidR="00362019" w:rsidRDefault="008920BD">
      <w:pPr>
        <w:tabs>
          <w:tab w:val="left" w:pos="212"/>
          <w:tab w:val="left" w:pos="629"/>
          <w:tab w:val="left" w:pos="884"/>
        </w:tabs>
        <w:ind w:left="629"/>
        <w:jc w:val="both"/>
        <w:rPr>
          <w:i/>
          <w:lang w:eastAsia="lt-LT"/>
        </w:rPr>
      </w:pPr>
      <w:r>
        <w:rPr>
          <w:lang w:eastAsia="lt-LT"/>
        </w:rPr>
        <w:t>(</w:t>
      </w:r>
      <w:r>
        <w:rPr>
          <w:i/>
        </w:rPr>
        <w:t xml:space="preserve">Pildoma projekto tinkamumo finansuoti vertinimo metu. </w:t>
      </w:r>
      <w:r>
        <w:rPr>
          <w:rFonts w:eastAsia="Calibri"/>
          <w:i/>
        </w:rPr>
        <w:t xml:space="preserve">Galimas simbolių skaičius – 1000. </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362019" w:rsidRDefault="008920BD">
      <w:pPr>
        <w:tabs>
          <w:tab w:val="left" w:pos="212"/>
          <w:tab w:val="left" w:pos="629"/>
          <w:tab w:val="left" w:pos="884"/>
        </w:tabs>
        <w:ind w:left="629"/>
        <w:jc w:val="both"/>
        <w:rPr>
          <w:i/>
          <w:lang w:eastAsia="lt-LT"/>
        </w:rPr>
      </w:pPr>
      <w:r>
        <w:rPr>
          <w:i/>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362019" w:rsidRDefault="008920BD">
      <w:pPr>
        <w:tabs>
          <w:tab w:val="left" w:pos="212"/>
          <w:tab w:val="left" w:pos="629"/>
          <w:tab w:val="left" w:pos="884"/>
        </w:tabs>
        <w:ind w:left="629"/>
        <w:jc w:val="both"/>
        <w:rPr>
          <w:lang w:eastAsia="lt-LT"/>
        </w:rPr>
      </w:pPr>
      <w:r>
        <w:rPr>
          <w:i/>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lang w:eastAsia="lt-LT"/>
        </w:rPr>
        <w:t>)</w:t>
      </w:r>
    </w:p>
    <w:p w:rsidR="00362019" w:rsidRDefault="00362019">
      <w:pPr>
        <w:tabs>
          <w:tab w:val="left" w:pos="212"/>
          <w:tab w:val="left" w:pos="629"/>
          <w:tab w:val="left" w:pos="884"/>
        </w:tabs>
        <w:ind w:left="629"/>
        <w:jc w:val="both"/>
        <w:rPr>
          <w:lang w:eastAsia="lt-LT"/>
        </w:rPr>
      </w:pPr>
    </w:p>
    <w:p w:rsidR="00362019" w:rsidRDefault="00362019">
      <w:pPr>
        <w:tabs>
          <w:tab w:val="left" w:pos="212"/>
          <w:tab w:val="left" w:pos="629"/>
          <w:tab w:val="left" w:pos="884"/>
        </w:tabs>
        <w:ind w:left="629"/>
        <w:rPr>
          <w:szCs w:val="24"/>
          <w:lang w:eastAsia="lt-LT"/>
        </w:rPr>
      </w:pPr>
    </w:p>
    <w:p w:rsidR="00362019" w:rsidRDefault="008920BD">
      <w:pPr>
        <w:ind w:left="720" w:hanging="360"/>
        <w:rPr>
          <w:b/>
          <w:lang w:eastAsia="lt-LT"/>
        </w:rPr>
      </w:pPr>
      <w:r>
        <w:rPr>
          <w:b/>
          <w:lang w:eastAsia="lt-LT"/>
        </w:rPr>
        <w:t>2)</w:t>
      </w:r>
      <w:r>
        <w:rPr>
          <w:b/>
          <w:lang w:eastAsia="lt-LT"/>
        </w:rPr>
        <w:tab/>
        <w:t>Paraiška įvertinta teigiamai pagal visus bendruosius reikalavimus ir specialiuosius kriterijus:</w:t>
      </w:r>
    </w:p>
    <w:p w:rsidR="00362019" w:rsidRDefault="008920BD">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rsidR="00362019" w:rsidRDefault="008920BD">
      <w:pPr>
        <w:ind w:left="720"/>
        <w:rPr>
          <w:lang w:eastAsia="lt-LT"/>
        </w:rPr>
      </w:pPr>
      <w:r>
        <w:rPr>
          <w:lang w:eastAsia="lt-LT"/>
        </w:rPr>
        <w:t>Komentarai: ____________________________________________________________________</w:t>
      </w:r>
    </w:p>
    <w:p w:rsidR="00362019" w:rsidRDefault="008920BD">
      <w:pPr>
        <w:ind w:left="720"/>
        <w:rPr>
          <w:i/>
          <w:lang w:eastAsia="lt-LT"/>
        </w:rPr>
      </w:pPr>
      <w:r>
        <w:rPr>
          <w:i/>
          <w:lang w:eastAsia="lt-LT"/>
        </w:rPr>
        <w:t>(</w:t>
      </w:r>
      <w:r>
        <w:rPr>
          <w:i/>
        </w:rPr>
        <w:t xml:space="preserve">Pildoma projekto tinkamumo finansuoti vertinimo metu. </w:t>
      </w:r>
      <w:r>
        <w:rPr>
          <w:rFonts w:eastAsia="Calibri"/>
          <w:i/>
        </w:rPr>
        <w:t xml:space="preserve">Galimas simbolių skaičius – 1000. </w:t>
      </w:r>
      <w:r>
        <w:rPr>
          <w:i/>
          <w:lang w:eastAsia="lt-LT"/>
        </w:rPr>
        <w:t>Jei pažymimas rezultatas „Ne“ arba „Taip su išlyga“, pildomas komentaras.)</w:t>
      </w:r>
    </w:p>
    <w:p w:rsidR="00362019" w:rsidRDefault="00362019">
      <w:pPr>
        <w:ind w:left="720"/>
        <w:rPr>
          <w:lang w:eastAsia="lt-LT"/>
        </w:rPr>
      </w:pPr>
    </w:p>
    <w:p w:rsidR="00362019" w:rsidRDefault="008920BD">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rsidR="00362019" w:rsidRDefault="008920BD">
      <w:pPr>
        <w:ind w:left="720"/>
        <w:rPr>
          <w:lang w:eastAsia="lt-LT"/>
        </w:rPr>
      </w:pPr>
      <w:r>
        <w:rPr>
          <w:lang w:eastAsia="lt-LT"/>
        </w:rPr>
        <w:sym w:font="Symbol" w:char="F07F"/>
      </w:r>
      <w:r>
        <w:rPr>
          <w:lang w:eastAsia="lt-LT"/>
        </w:rPr>
        <w:t xml:space="preserve"> Taip, nebandė</w:t>
      </w:r>
    </w:p>
    <w:p w:rsidR="00362019" w:rsidRDefault="008920BD">
      <w:pPr>
        <w:ind w:left="720"/>
        <w:rPr>
          <w:lang w:eastAsia="lt-LT"/>
        </w:rPr>
      </w:pPr>
      <w:r>
        <w:rPr>
          <w:lang w:eastAsia="lt-LT"/>
        </w:rPr>
        <w:sym w:font="Symbol" w:char="F07F"/>
      </w:r>
      <w:r>
        <w:rPr>
          <w:lang w:eastAsia="lt-LT"/>
        </w:rPr>
        <w:t xml:space="preserve"> Ne, bandė</w:t>
      </w:r>
    </w:p>
    <w:p w:rsidR="00362019" w:rsidRDefault="008920BD">
      <w:pPr>
        <w:ind w:left="720"/>
        <w:rPr>
          <w:szCs w:val="24"/>
          <w:lang w:eastAsia="lt-LT"/>
        </w:rPr>
      </w:pPr>
      <w:r>
        <w:rPr>
          <w:lang w:eastAsia="lt-LT"/>
        </w:rPr>
        <w:t>Komentarai: ____________________________________________________________________</w:t>
      </w:r>
    </w:p>
    <w:p w:rsidR="00362019" w:rsidRDefault="008920BD">
      <w:pPr>
        <w:ind w:left="720"/>
        <w:rPr>
          <w:rFonts w:eastAsia="Calibri"/>
          <w:i/>
        </w:rPr>
      </w:pPr>
      <w:r>
        <w:rPr>
          <w:i/>
        </w:rPr>
        <w:t xml:space="preserve">(Privaloma pildyti tik atsakius „Ne, bandė“, t. y. nurodomos faktinės aplinkybės. Pildoma projekto tinkamumo finansuoti vertinimo metu. </w:t>
      </w:r>
      <w:r>
        <w:rPr>
          <w:rFonts w:eastAsia="Calibri"/>
          <w:i/>
        </w:rPr>
        <w:t>Galimas simbolių skaičius – 1000.)</w:t>
      </w:r>
    </w:p>
    <w:p w:rsidR="00362019" w:rsidRDefault="008920BD">
      <w:pPr>
        <w:rPr>
          <w:lang w:eastAsia="lt-LT"/>
        </w:rPr>
      </w:pPr>
      <w:r>
        <w:rPr>
          <w:lang w:eastAsia="lt-LT"/>
        </w:rPr>
        <w:br w:type="page"/>
      </w:r>
    </w:p>
    <w:p w:rsidR="00362019" w:rsidRDefault="008920BD">
      <w:pPr>
        <w:keepNext/>
        <w:ind w:left="720" w:hanging="360"/>
        <w:rPr>
          <w:b/>
          <w:color w:val="000000"/>
          <w:szCs w:val="24"/>
          <w:lang w:eastAsia="lt-LT"/>
        </w:rPr>
      </w:pPr>
      <w:r>
        <w:rPr>
          <w:b/>
          <w:color w:val="000000"/>
          <w:szCs w:val="24"/>
          <w:lang w:eastAsia="lt-LT"/>
        </w:rPr>
        <w:lastRenderedPageBreak/>
        <w:t>4)</w:t>
      </w:r>
      <w:r>
        <w:rPr>
          <w:b/>
          <w:color w:val="000000"/>
          <w:szCs w:val="24"/>
          <w:lang w:eastAsia="lt-LT"/>
        </w:rPr>
        <w:tab/>
      </w:r>
      <w:r>
        <w:rPr>
          <w:b/>
          <w:szCs w:val="24"/>
        </w:rPr>
        <w:t>Projekto tinkamumo finansuoti vertinimo metu nustatytos</w:t>
      </w:r>
      <w:r>
        <w:rPr>
          <w:b/>
          <w:szCs w:val="24"/>
          <w:lang w:eastAsia="lt-LT"/>
        </w:rPr>
        <w:t xml:space="preserve"> projekto</w:t>
      </w:r>
      <w:r>
        <w:rPr>
          <w:szCs w:val="24"/>
          <w:lang w:eastAsia="lt-LT"/>
        </w:rPr>
        <w:t xml:space="preserve"> </w:t>
      </w:r>
      <w:r>
        <w:rPr>
          <w:b/>
          <w:color w:val="000000"/>
          <w:szCs w:val="24"/>
          <w:lang w:eastAsia="lt-LT"/>
        </w:rPr>
        <w:t>tinkamos finansuoti ir tinkamos deklaruoti Europos Komisijai (toliau – EK) išlaidos:</w:t>
      </w:r>
    </w:p>
    <w:p w:rsidR="00362019" w:rsidRDefault="00362019">
      <w:pPr>
        <w:ind w:left="720"/>
        <w:rPr>
          <w:i/>
        </w:rPr>
      </w:pPr>
    </w:p>
    <w:tbl>
      <w:tblPr>
        <w:tblW w:w="4808" w:type="pct"/>
        <w:tblInd w:w="466" w:type="dxa"/>
        <w:tblLayout w:type="fixed"/>
        <w:tblCellMar>
          <w:left w:w="40" w:type="dxa"/>
          <w:right w:w="40" w:type="dxa"/>
        </w:tblCellMar>
        <w:tblLook w:val="0000" w:firstRow="0" w:lastRow="0" w:firstColumn="0" w:lastColumn="0" w:noHBand="0" w:noVBand="0"/>
      </w:tblPr>
      <w:tblGrid>
        <w:gridCol w:w="2264"/>
        <w:gridCol w:w="1334"/>
        <w:gridCol w:w="1467"/>
        <w:gridCol w:w="1466"/>
        <w:gridCol w:w="1467"/>
        <w:gridCol w:w="1599"/>
        <w:gridCol w:w="1599"/>
        <w:gridCol w:w="1400"/>
        <w:gridCol w:w="1401"/>
      </w:tblGrid>
      <w:tr w:rsidR="00362019">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362019" w:rsidRDefault="008920BD">
            <w:pPr>
              <w:ind w:right="57"/>
              <w:jc w:val="center"/>
              <w:rPr>
                <w:b/>
                <w:sz w:val="20"/>
              </w:rPr>
            </w:pPr>
            <w:r>
              <w:rPr>
                <w:b/>
                <w:sz w:val="20"/>
              </w:rPr>
              <w:t>Bendra projekto vertė</w:t>
            </w:r>
            <w:r>
              <w:rPr>
                <w:b/>
                <w:sz w:val="20"/>
                <w:vertAlign w:val="superscript"/>
              </w:rPr>
              <w:footnoteReference w:id="1"/>
            </w:r>
            <w:r>
              <w:rPr>
                <w:b/>
                <w:sz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362019" w:rsidRDefault="008920BD">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362019" w:rsidRDefault="008920BD">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362019" w:rsidRDefault="008920BD">
            <w:pPr>
              <w:jc w:val="center"/>
              <w:rPr>
                <w:b/>
                <w:sz w:val="20"/>
              </w:rPr>
            </w:pPr>
            <w:r>
              <w:rPr>
                <w:b/>
                <w:sz w:val="20"/>
              </w:rPr>
              <w:t>Tinkamos deklaruoti EK išlaidos</w:t>
            </w:r>
          </w:p>
        </w:tc>
      </w:tr>
      <w:tr w:rsidR="0036201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362019" w:rsidRDefault="00362019">
            <w:pPr>
              <w:rPr>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362019" w:rsidRDefault="008920BD">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362019" w:rsidRDefault="008920BD">
            <w:pPr>
              <w:jc w:val="center"/>
              <w:rPr>
                <w:b/>
                <w:sz w:val="20"/>
              </w:rPr>
            </w:pPr>
            <w:r>
              <w:rPr>
                <w:b/>
                <w:sz w:val="20"/>
              </w:rPr>
              <w:t>Iš jų:</w:t>
            </w:r>
          </w:p>
        </w:tc>
        <w:tc>
          <w:tcPr>
            <w:tcW w:w="1701" w:type="dxa"/>
            <w:vMerge/>
            <w:tcBorders>
              <w:left w:val="single" w:sz="6" w:space="0" w:color="auto"/>
              <w:right w:val="single" w:sz="4" w:space="0" w:color="auto"/>
            </w:tcBorders>
            <w:vAlign w:val="center"/>
          </w:tcPr>
          <w:p w:rsidR="00362019" w:rsidRDefault="00362019">
            <w:pPr>
              <w:jc w:val="center"/>
              <w:rPr>
                <w:sz w:val="20"/>
              </w:rPr>
            </w:pPr>
          </w:p>
        </w:tc>
        <w:tc>
          <w:tcPr>
            <w:tcW w:w="1488" w:type="dxa"/>
            <w:vMerge w:val="restart"/>
            <w:tcBorders>
              <w:top w:val="single" w:sz="4" w:space="0" w:color="auto"/>
              <w:left w:val="single" w:sz="4" w:space="0" w:color="auto"/>
              <w:right w:val="single" w:sz="4" w:space="0" w:color="auto"/>
            </w:tcBorders>
            <w:vAlign w:val="center"/>
          </w:tcPr>
          <w:p w:rsidR="00362019" w:rsidRDefault="008920BD">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362019" w:rsidRDefault="008920BD">
            <w:pPr>
              <w:jc w:val="center"/>
              <w:rPr>
                <w:b/>
                <w:sz w:val="20"/>
              </w:rPr>
            </w:pPr>
            <w:r>
              <w:rPr>
                <w:b/>
                <w:sz w:val="20"/>
              </w:rPr>
              <w:t>Dalis nuo tinkamų finansuoti išlaidų, proc.</w:t>
            </w:r>
          </w:p>
        </w:tc>
      </w:tr>
      <w:tr w:rsidR="00362019">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362019" w:rsidRDefault="00362019">
            <w:pPr>
              <w:rPr>
                <w:sz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362019" w:rsidRDefault="00362019">
            <w:pPr>
              <w:rPr>
                <w:sz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362019" w:rsidRDefault="00362019">
            <w:pPr>
              <w:ind w:left="-57" w:right="-57"/>
              <w:jc w:val="center"/>
              <w:rPr>
                <w:b/>
                <w:sz w:val="20"/>
              </w:rPr>
            </w:pPr>
          </w:p>
          <w:p w:rsidR="00362019" w:rsidRDefault="008920BD">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362019" w:rsidRDefault="008920BD">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362019" w:rsidRDefault="008920BD">
            <w:pPr>
              <w:ind w:left="-57" w:right="-57"/>
              <w:jc w:val="center"/>
              <w:rPr>
                <w:b/>
                <w:sz w:val="20"/>
              </w:rPr>
            </w:pPr>
            <w:r>
              <w:rPr>
                <w:b/>
                <w:sz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362019" w:rsidRDefault="008920BD">
            <w:pPr>
              <w:ind w:left="-57" w:right="-57"/>
              <w:jc w:val="center"/>
              <w:rPr>
                <w:b/>
                <w:sz w:val="20"/>
              </w:rPr>
            </w:pPr>
            <w:r>
              <w:rPr>
                <w:b/>
                <w:sz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362019" w:rsidRDefault="00362019">
            <w:pPr>
              <w:ind w:left="-57" w:right="-57"/>
              <w:jc w:val="center"/>
              <w:rPr>
                <w:sz w:val="20"/>
              </w:rPr>
            </w:pPr>
          </w:p>
        </w:tc>
        <w:tc>
          <w:tcPr>
            <w:tcW w:w="1488" w:type="dxa"/>
            <w:vMerge/>
            <w:tcBorders>
              <w:left w:val="single" w:sz="4" w:space="0" w:color="auto"/>
              <w:bottom w:val="single" w:sz="4" w:space="0" w:color="auto"/>
              <w:right w:val="single" w:sz="4" w:space="0" w:color="auto"/>
            </w:tcBorders>
            <w:vAlign w:val="center"/>
          </w:tcPr>
          <w:p w:rsidR="00362019" w:rsidRDefault="00362019">
            <w:pPr>
              <w:ind w:left="-57" w:right="-57"/>
              <w:jc w:val="center"/>
              <w:rPr>
                <w:sz w:val="20"/>
              </w:rPr>
            </w:pPr>
          </w:p>
        </w:tc>
        <w:tc>
          <w:tcPr>
            <w:tcW w:w="1489" w:type="dxa"/>
            <w:vMerge/>
            <w:tcBorders>
              <w:left w:val="single" w:sz="4" w:space="0" w:color="auto"/>
              <w:bottom w:val="single" w:sz="4" w:space="0" w:color="auto"/>
              <w:right w:val="single" w:sz="4" w:space="0" w:color="auto"/>
            </w:tcBorders>
            <w:vAlign w:val="center"/>
          </w:tcPr>
          <w:p w:rsidR="00362019" w:rsidRDefault="00362019">
            <w:pPr>
              <w:ind w:left="-57" w:right="-57"/>
              <w:jc w:val="center"/>
              <w:rPr>
                <w:sz w:val="20"/>
              </w:rPr>
            </w:pPr>
          </w:p>
        </w:tc>
      </w:tr>
      <w:tr w:rsidR="00362019">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362019" w:rsidRDefault="008920BD">
            <w:pPr>
              <w:ind w:left="-57" w:right="-57"/>
              <w:jc w:val="center"/>
              <w:rPr>
                <w:sz w:val="18"/>
                <w:szCs w:val="18"/>
              </w:rPr>
            </w:pPr>
            <w:r>
              <w:rPr>
                <w:sz w:val="18"/>
                <w:szCs w:val="18"/>
              </w:rPr>
              <w:t>9=(8/2)*100</w:t>
            </w:r>
          </w:p>
        </w:tc>
      </w:tr>
      <w:tr w:rsidR="00362019">
        <w:trPr>
          <w:cantSplit/>
          <w:trHeight w:val="23"/>
        </w:trPr>
        <w:tc>
          <w:tcPr>
            <w:tcW w:w="2410" w:type="dxa"/>
            <w:tcBorders>
              <w:top w:val="single" w:sz="6" w:space="0" w:color="auto"/>
              <w:left w:val="single" w:sz="6" w:space="0" w:color="auto"/>
              <w:bottom w:val="single" w:sz="6" w:space="0" w:color="auto"/>
              <w:right w:val="single" w:sz="6" w:space="0" w:color="auto"/>
            </w:tcBorders>
          </w:tcPr>
          <w:p w:rsidR="00362019" w:rsidRDefault="008920BD">
            <w:pPr>
              <w:rPr>
                <w:sz w:val="20"/>
                <w:lang w:eastAsia="lt-LT"/>
              </w:rPr>
            </w:pPr>
            <w:r>
              <w:rPr>
                <w:rFonts w:eastAsia="Calibri"/>
                <w:i/>
                <w:sz w:val="20"/>
              </w:rPr>
              <w:t>Galimas simbolių skaičius kiekviename laukelyje – 9 iki kablelio ir 2 po kablelio.</w:t>
            </w:r>
          </w:p>
          <w:p w:rsidR="00362019" w:rsidRDefault="00362019">
            <w:pPr>
              <w:jc w:val="center"/>
              <w:rPr>
                <w:sz w:val="20"/>
              </w:rPr>
            </w:pPr>
          </w:p>
        </w:tc>
        <w:tc>
          <w:tcPr>
            <w:tcW w:w="1417" w:type="dxa"/>
            <w:tcBorders>
              <w:top w:val="single" w:sz="6" w:space="0" w:color="auto"/>
              <w:left w:val="single" w:sz="6" w:space="0" w:color="auto"/>
              <w:bottom w:val="single" w:sz="6" w:space="0" w:color="auto"/>
              <w:right w:val="single" w:sz="6" w:space="0" w:color="auto"/>
            </w:tcBorders>
          </w:tcPr>
          <w:p w:rsidR="00362019" w:rsidRDefault="008920BD">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362019" w:rsidRDefault="008920BD">
            <w:pPr>
              <w:rPr>
                <w:sz w:val="20"/>
                <w:lang w:eastAsia="lt-LT"/>
              </w:rPr>
            </w:pPr>
            <w:r>
              <w:rPr>
                <w:rFonts w:eastAsia="Calibri"/>
                <w:i/>
                <w:sz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362019" w:rsidRDefault="008920B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362019" w:rsidRDefault="008920BD">
            <w:pPr>
              <w:rPr>
                <w:sz w:val="20"/>
                <w:lang w:eastAsia="lt-LT"/>
              </w:rPr>
            </w:pPr>
            <w:r>
              <w:rPr>
                <w:rFonts w:eastAsia="Calibri"/>
                <w:i/>
                <w:sz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362019" w:rsidRDefault="008920B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362019" w:rsidRDefault="008920BD">
            <w:pPr>
              <w:rPr>
                <w:sz w:val="20"/>
                <w:lang w:eastAsia="lt-LT"/>
              </w:rPr>
            </w:pPr>
            <w:r>
              <w:rPr>
                <w:rFonts w:eastAsia="Calibri"/>
                <w:i/>
                <w:sz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362019" w:rsidRDefault="008920BD">
            <w:pPr>
              <w:rPr>
                <w:sz w:val="20"/>
                <w:lang w:eastAsia="lt-LT"/>
              </w:rPr>
            </w:pPr>
            <w:r>
              <w:rPr>
                <w:rFonts w:eastAsia="Calibri"/>
                <w:i/>
                <w:sz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362019" w:rsidRDefault="008920BD">
            <w:pPr>
              <w:rPr>
                <w:sz w:val="20"/>
              </w:rPr>
            </w:pPr>
            <w:r>
              <w:rPr>
                <w:i/>
                <w:color w:val="000000"/>
                <w:sz w:val="20"/>
                <w:lang w:eastAsia="lt-LT"/>
              </w:rPr>
              <w:t xml:space="preserve">Automatiškai apskaičiuojama pagal formulę. </w:t>
            </w:r>
            <w:r>
              <w:rPr>
                <w:rFonts w:eastAsia="Calibri"/>
                <w:i/>
                <w:color w:val="000000"/>
                <w:sz w:val="20"/>
              </w:rPr>
              <w:t>Galimas simbolių skaičius – 3 prieš kablelį ir 2 po kablelio.</w:t>
            </w:r>
          </w:p>
        </w:tc>
      </w:tr>
      <w:tr w:rsidR="00362019">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362019" w:rsidRDefault="00362019">
            <w:pPr>
              <w:rPr>
                <w:i/>
              </w:rPr>
            </w:pPr>
          </w:p>
        </w:tc>
        <w:tc>
          <w:tcPr>
            <w:tcW w:w="1417" w:type="dxa"/>
            <w:tcBorders>
              <w:top w:val="single" w:sz="6" w:space="0" w:color="auto"/>
              <w:left w:val="single" w:sz="6" w:space="0" w:color="auto"/>
              <w:bottom w:val="single" w:sz="6" w:space="0" w:color="auto"/>
              <w:right w:val="single" w:sz="6" w:space="0" w:color="auto"/>
            </w:tcBorders>
            <w:vAlign w:val="center"/>
          </w:tcPr>
          <w:p w:rsidR="00362019" w:rsidRDefault="00362019">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362019" w:rsidRDefault="00362019">
            <w:pPr>
              <w:jc w:val="center"/>
            </w:pPr>
          </w:p>
        </w:tc>
        <w:tc>
          <w:tcPr>
            <w:tcW w:w="1559" w:type="dxa"/>
            <w:tcBorders>
              <w:top w:val="single" w:sz="6" w:space="0" w:color="auto"/>
              <w:left w:val="single" w:sz="6" w:space="0" w:color="auto"/>
              <w:bottom w:val="single" w:sz="6" w:space="0" w:color="auto"/>
              <w:right w:val="single" w:sz="6" w:space="0" w:color="auto"/>
            </w:tcBorders>
            <w:vAlign w:val="center"/>
          </w:tcPr>
          <w:p w:rsidR="00362019" w:rsidRDefault="00362019">
            <w:pPr>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362019" w:rsidRDefault="00362019">
            <w:pPr>
              <w:jc w:val="center"/>
            </w:pPr>
          </w:p>
        </w:tc>
        <w:tc>
          <w:tcPr>
            <w:tcW w:w="1701" w:type="dxa"/>
            <w:tcBorders>
              <w:top w:val="single" w:sz="6" w:space="0" w:color="auto"/>
              <w:left w:val="single" w:sz="6" w:space="0" w:color="auto"/>
              <w:bottom w:val="single" w:sz="6" w:space="0" w:color="auto"/>
              <w:right w:val="single" w:sz="6" w:space="0" w:color="auto"/>
            </w:tcBorders>
            <w:vAlign w:val="center"/>
          </w:tcPr>
          <w:p w:rsidR="00362019" w:rsidRDefault="00362019">
            <w:pPr>
              <w:jc w:val="center"/>
            </w:pPr>
          </w:p>
        </w:tc>
        <w:tc>
          <w:tcPr>
            <w:tcW w:w="1701" w:type="dxa"/>
            <w:tcBorders>
              <w:top w:val="single" w:sz="6" w:space="0" w:color="auto"/>
              <w:left w:val="single" w:sz="6" w:space="0" w:color="auto"/>
              <w:bottom w:val="single" w:sz="6" w:space="0" w:color="auto"/>
              <w:right w:val="single" w:sz="4" w:space="0" w:color="auto"/>
            </w:tcBorders>
          </w:tcPr>
          <w:p w:rsidR="00362019" w:rsidRDefault="00362019">
            <w:pPr>
              <w:jc w:val="center"/>
            </w:pPr>
          </w:p>
        </w:tc>
        <w:tc>
          <w:tcPr>
            <w:tcW w:w="1488" w:type="dxa"/>
            <w:tcBorders>
              <w:top w:val="single" w:sz="4" w:space="0" w:color="auto"/>
              <w:left w:val="single" w:sz="4" w:space="0" w:color="auto"/>
              <w:bottom w:val="single" w:sz="4" w:space="0" w:color="auto"/>
              <w:right w:val="single" w:sz="4" w:space="0" w:color="auto"/>
            </w:tcBorders>
          </w:tcPr>
          <w:p w:rsidR="00362019" w:rsidRDefault="00362019">
            <w:pPr>
              <w:jc w:val="center"/>
            </w:pPr>
          </w:p>
        </w:tc>
        <w:tc>
          <w:tcPr>
            <w:tcW w:w="1489" w:type="dxa"/>
            <w:tcBorders>
              <w:top w:val="single" w:sz="4" w:space="0" w:color="auto"/>
              <w:left w:val="single" w:sz="4" w:space="0" w:color="auto"/>
              <w:bottom w:val="single" w:sz="4" w:space="0" w:color="auto"/>
              <w:right w:val="single" w:sz="4" w:space="0" w:color="auto"/>
            </w:tcBorders>
          </w:tcPr>
          <w:p w:rsidR="00362019" w:rsidRDefault="00362019">
            <w:pPr>
              <w:jc w:val="center"/>
            </w:pPr>
          </w:p>
        </w:tc>
      </w:tr>
    </w:tbl>
    <w:p w:rsidR="00362019" w:rsidRDefault="008920BD">
      <w:pPr>
        <w:ind w:left="426"/>
      </w:pPr>
      <w:r>
        <w:rPr>
          <w:i/>
        </w:rPr>
        <w:t>(Pildoma projekto tinkamumo finansuoti vertinimo metu. Kai įgyvendinami techninės paramos prioritetai, ši lentelė nepildoma.)</w:t>
      </w:r>
    </w:p>
    <w:p w:rsidR="00362019" w:rsidRDefault="008920BD">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8"/>
      </w:tblGrid>
      <w:tr w:rsidR="00362019">
        <w:tc>
          <w:tcPr>
            <w:tcW w:w="15080" w:type="dxa"/>
          </w:tcPr>
          <w:p w:rsidR="00362019" w:rsidRDefault="008920BD">
            <w:pPr>
              <w:rPr>
                <w:i/>
                <w:sz w:val="22"/>
                <w:szCs w:val="22"/>
              </w:rPr>
            </w:pPr>
            <w:r>
              <w:rPr>
                <w:i/>
                <w:sz w:val="22"/>
                <w:szCs w:val="22"/>
              </w:rPr>
              <w:t>(Šiame laukelyje pagal poreikį gali būti įrašomos papildomos sąlygos, kurias įgyvendinančioji institucija, atsižvelgdama į projekto rizikingumą, siūlo įtraukti į projekto sutartį.</w:t>
            </w:r>
          </w:p>
          <w:p w:rsidR="00362019" w:rsidRDefault="008920BD">
            <w:pPr>
              <w:rPr>
                <w:sz w:val="22"/>
                <w:szCs w:val="22"/>
                <w:lang w:eastAsia="lt-LT"/>
              </w:rPr>
            </w:pPr>
            <w:r>
              <w:rPr>
                <w:i/>
                <w:sz w:val="22"/>
                <w:szCs w:val="22"/>
              </w:rPr>
              <w:t xml:space="preserve">Pildoma projekto tinkamumo finansuoti vertinimo metu. </w:t>
            </w:r>
            <w:r>
              <w:rPr>
                <w:rFonts w:eastAsia="Calibri"/>
                <w:i/>
                <w:sz w:val="22"/>
                <w:szCs w:val="22"/>
              </w:rPr>
              <w:t>Galimas simbolių skaičius – 1000.</w:t>
            </w:r>
            <w:r>
              <w:rPr>
                <w:i/>
                <w:sz w:val="22"/>
                <w:szCs w:val="22"/>
              </w:rPr>
              <w:t xml:space="preserve">) </w:t>
            </w:r>
          </w:p>
          <w:p w:rsidR="00362019" w:rsidRDefault="00362019">
            <w:pPr>
              <w:rPr>
                <w:i/>
                <w:sz w:val="22"/>
                <w:szCs w:val="22"/>
              </w:rPr>
            </w:pPr>
          </w:p>
        </w:tc>
      </w:tr>
    </w:tbl>
    <w:p w:rsidR="00362019" w:rsidRDefault="00362019"/>
    <w:p w:rsidR="00362019" w:rsidRDefault="008920BD">
      <w:pPr>
        <w:tabs>
          <w:tab w:val="left" w:pos="9639"/>
        </w:tabs>
        <w:ind w:left="426"/>
        <w:jc w:val="both"/>
      </w:pPr>
      <w:r>
        <w:t>____________________________________                                     ______________________</w:t>
      </w:r>
      <w:r>
        <w:tab/>
        <w:t>___________________________</w:t>
      </w:r>
    </w:p>
    <w:p w:rsidR="00362019" w:rsidRDefault="008920BD">
      <w:pPr>
        <w:tabs>
          <w:tab w:val="center" w:pos="10800"/>
        </w:tabs>
        <w:ind w:left="426"/>
        <w:jc w:val="both"/>
      </w:pPr>
      <w:r>
        <w:t>(paraiškos vertinimą atlikusios institucijos atsakingo                                        (data)                                     (vardas ir pavardė, parašas*)</w:t>
      </w:r>
    </w:p>
    <w:p w:rsidR="00362019" w:rsidRDefault="008920BD">
      <w:pPr>
        <w:tabs>
          <w:tab w:val="center" w:pos="10800"/>
        </w:tabs>
        <w:ind w:left="426"/>
        <w:jc w:val="both"/>
      </w:pPr>
      <w:r>
        <w:t>asmens pareigų pavadinimas)</w:t>
      </w:r>
    </w:p>
    <w:p w:rsidR="00362019" w:rsidRDefault="00362019">
      <w:pPr>
        <w:ind w:left="426"/>
        <w:rPr>
          <w:i/>
        </w:rPr>
      </w:pPr>
    </w:p>
    <w:p w:rsidR="00362019" w:rsidRDefault="008920BD">
      <w:pPr>
        <w:ind w:left="426"/>
        <w:rPr>
          <w:i/>
          <w:sz w:val="20"/>
        </w:rPr>
      </w:pPr>
      <w:r>
        <w:rPr>
          <w:i/>
          <w:sz w:val="20"/>
        </w:rPr>
        <w:t>* Jei pildoma popierinė versija</w:t>
      </w:r>
    </w:p>
    <w:p w:rsidR="00362019" w:rsidRDefault="00362019">
      <w:pPr>
        <w:jc w:val="center"/>
        <w:rPr>
          <w:lang w:eastAsia="lt-LT"/>
        </w:rPr>
      </w:pPr>
    </w:p>
    <w:p w:rsidR="00362019" w:rsidRDefault="00362019">
      <w:pPr>
        <w:jc w:val="center"/>
        <w:rPr>
          <w:lang w:eastAsia="lt-LT"/>
        </w:rPr>
      </w:pPr>
    </w:p>
    <w:p w:rsidR="00362019" w:rsidRDefault="00362019">
      <w:pPr>
        <w:ind w:left="7797" w:right="-881"/>
        <w:sectPr w:rsidR="00362019">
          <w:pgSz w:w="16840" w:h="11907" w:orient="landscape" w:code="9"/>
          <w:pgMar w:top="1701" w:right="567" w:bottom="1134" w:left="1701" w:header="288" w:footer="720" w:gutter="0"/>
          <w:pgNumType w:start="1"/>
          <w:cols w:space="720"/>
          <w:noEndnote/>
          <w:titlePg/>
          <w:docGrid w:linePitch="326"/>
        </w:sectPr>
      </w:pPr>
    </w:p>
    <w:p w:rsidR="00362019" w:rsidRDefault="008920BD" w:rsidP="004F5A19">
      <w:pPr>
        <w:ind w:left="7797" w:right="-425"/>
        <w:rPr>
          <w:rFonts w:eastAsia="Calibri"/>
          <w:szCs w:val="24"/>
        </w:rPr>
      </w:pPr>
      <w:r>
        <w:rPr>
          <w:rFonts w:eastAsia="Calibri"/>
          <w:szCs w:val="24"/>
        </w:rPr>
        <w:lastRenderedPageBreak/>
        <w:t xml:space="preserve">2014–2020 metų Europos Sąjungos fondų investicijų veiksmų programos 1 prioriteto „Mokslinių tyrimų, eksperimentinės plėtros ir inovacijų skatinimas“ 01.2.2-CPVA-K-703 priemonės „Kompetencijos centrų ir inovacijų ir technologijų perdavimo centrų veiklos skatinimas“ projektų </w:t>
      </w:r>
      <w:r w:rsidR="00924DD9">
        <w:rPr>
          <w:rFonts w:eastAsia="Calibri"/>
          <w:szCs w:val="24"/>
        </w:rPr>
        <w:t>finansavimo sąlygų aprašo Nr. 4</w:t>
      </w:r>
    </w:p>
    <w:p w:rsidR="00362019" w:rsidRDefault="008920BD" w:rsidP="004F5A19">
      <w:pPr>
        <w:ind w:left="7371" w:right="-425" w:firstLine="405"/>
        <w:rPr>
          <w:rFonts w:eastAsia="Calibri"/>
          <w:b/>
          <w:bCs/>
        </w:rPr>
      </w:pPr>
      <w:r>
        <w:rPr>
          <w:rFonts w:eastAsia="Calibri"/>
        </w:rPr>
        <w:t>2 priedas</w:t>
      </w:r>
    </w:p>
    <w:tbl>
      <w:tblPr>
        <w:tblW w:w="14940" w:type="dxa"/>
        <w:tblInd w:w="108" w:type="dxa"/>
        <w:tblLayout w:type="fixed"/>
        <w:tblLook w:val="0000" w:firstRow="0" w:lastRow="0" w:firstColumn="0" w:lastColumn="0" w:noHBand="0" w:noVBand="0"/>
      </w:tblPr>
      <w:tblGrid>
        <w:gridCol w:w="14940"/>
      </w:tblGrid>
      <w:tr w:rsidR="00362019">
        <w:trPr>
          <w:trHeight w:val="20"/>
        </w:trPr>
        <w:tc>
          <w:tcPr>
            <w:tcW w:w="14940" w:type="dxa"/>
            <w:tcBorders>
              <w:top w:val="nil"/>
              <w:left w:val="nil"/>
              <w:right w:val="nil"/>
            </w:tcBorders>
          </w:tcPr>
          <w:p w:rsidR="00362019" w:rsidRDefault="00362019" w:rsidP="004F5A19">
            <w:pPr>
              <w:spacing w:line="276" w:lineRule="auto"/>
              <w:rPr>
                <w:rFonts w:eastAsia="Calibri"/>
                <w:b/>
                <w:bCs/>
                <w:caps/>
                <w:szCs w:val="24"/>
              </w:rPr>
            </w:pPr>
          </w:p>
          <w:p w:rsidR="00362019" w:rsidRDefault="008920BD">
            <w:pPr>
              <w:spacing w:line="276" w:lineRule="auto"/>
              <w:jc w:val="center"/>
              <w:rPr>
                <w:rFonts w:eastAsia="Calibri"/>
                <w:b/>
                <w:bCs/>
                <w:caps/>
                <w:szCs w:val="24"/>
              </w:rPr>
            </w:pPr>
            <w:r>
              <w:rPr>
                <w:rFonts w:eastAsia="Calibri"/>
                <w:b/>
                <w:bCs/>
                <w:caps/>
                <w:szCs w:val="24"/>
              </w:rPr>
              <w:t>PROJEKTO Naudos ir kokybės vertinimo LENTELĖ</w:t>
            </w:r>
          </w:p>
          <w:p w:rsidR="00362019" w:rsidRDefault="00362019">
            <w:pPr>
              <w:spacing w:line="276" w:lineRule="auto"/>
              <w:rPr>
                <w:rFonts w:eastAsia="Calibri"/>
                <w:bCs/>
                <w:caps/>
                <w:szCs w:val="24"/>
              </w:rPr>
            </w:pP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80"/>
            </w:tblGrid>
            <w:tr w:rsidR="00362019" w:rsidTr="004F5A19">
              <w:tc>
                <w:tcPr>
                  <w:tcW w:w="3856" w:type="dxa"/>
                  <w:shd w:val="clear" w:color="auto" w:fill="auto"/>
                </w:tcPr>
                <w:p w:rsidR="00362019" w:rsidRDefault="008920BD" w:rsidP="004F5A19">
                  <w:pPr>
                    <w:spacing w:line="276" w:lineRule="auto"/>
                    <w:rPr>
                      <w:rFonts w:eastAsia="Calibri"/>
                      <w:bCs/>
                      <w:i/>
                      <w:caps/>
                      <w:szCs w:val="24"/>
                    </w:rPr>
                  </w:pPr>
                  <w:r>
                    <w:rPr>
                      <w:rFonts w:eastAsia="Calibri"/>
                      <w:b/>
                      <w:bCs/>
                      <w:szCs w:val="24"/>
                      <w:lang w:eastAsia="lt-LT"/>
                    </w:rPr>
                    <w:t>Paraiškos kodas</w:t>
                  </w:r>
                </w:p>
              </w:tc>
              <w:tc>
                <w:tcPr>
                  <w:tcW w:w="10380" w:type="dxa"/>
                  <w:shd w:val="clear" w:color="auto" w:fill="auto"/>
                </w:tcPr>
                <w:p w:rsidR="00362019" w:rsidRDefault="008920BD" w:rsidP="004F5A19">
                  <w:pPr>
                    <w:spacing w:line="276" w:lineRule="auto"/>
                    <w:rPr>
                      <w:rFonts w:eastAsia="Calibri"/>
                      <w:i/>
                      <w:szCs w:val="24"/>
                    </w:rPr>
                  </w:pPr>
                  <w:r>
                    <w:rPr>
                      <w:rFonts w:eastAsia="Calibri"/>
                      <w:i/>
                      <w:szCs w:val="24"/>
                    </w:rPr>
                    <w:t xml:space="preserve">Pildoma projekto naudos ir kokybės vertinimo metu. </w:t>
                  </w:r>
                </w:p>
              </w:tc>
            </w:tr>
            <w:tr w:rsidR="00362019" w:rsidTr="004F5A19">
              <w:tc>
                <w:tcPr>
                  <w:tcW w:w="3856" w:type="dxa"/>
                  <w:shd w:val="clear" w:color="auto" w:fill="auto"/>
                </w:tcPr>
                <w:p w:rsidR="00362019" w:rsidRDefault="008920BD" w:rsidP="004F5A19">
                  <w:pPr>
                    <w:spacing w:line="276" w:lineRule="auto"/>
                    <w:rPr>
                      <w:rFonts w:eastAsia="Calibri"/>
                      <w:b/>
                      <w:bCs/>
                      <w:szCs w:val="24"/>
                      <w:lang w:eastAsia="lt-LT"/>
                    </w:rPr>
                  </w:pPr>
                  <w:r>
                    <w:rPr>
                      <w:rFonts w:eastAsia="Calibri"/>
                      <w:b/>
                      <w:bCs/>
                      <w:szCs w:val="24"/>
                      <w:lang w:eastAsia="lt-LT"/>
                    </w:rPr>
                    <w:t>Pareiškėjo pavadinimas</w:t>
                  </w:r>
                </w:p>
              </w:tc>
              <w:tc>
                <w:tcPr>
                  <w:tcW w:w="10380" w:type="dxa"/>
                  <w:shd w:val="clear" w:color="auto" w:fill="auto"/>
                </w:tcPr>
                <w:p w:rsidR="00362019" w:rsidRDefault="008920BD" w:rsidP="004F5A19">
                  <w:pPr>
                    <w:spacing w:line="276" w:lineRule="auto"/>
                    <w:rPr>
                      <w:rFonts w:eastAsia="Calibri"/>
                      <w:bCs/>
                      <w:i/>
                      <w:szCs w:val="24"/>
                      <w:lang w:eastAsia="lt-LT"/>
                    </w:rPr>
                  </w:pPr>
                  <w:r>
                    <w:rPr>
                      <w:rFonts w:eastAsia="Calibri"/>
                      <w:i/>
                      <w:szCs w:val="24"/>
                    </w:rPr>
                    <w:t xml:space="preserve">Pildoma projekto naudos ir kokybės vertinimo metu. </w:t>
                  </w:r>
                </w:p>
              </w:tc>
            </w:tr>
            <w:tr w:rsidR="00362019" w:rsidTr="004F5A19">
              <w:tc>
                <w:tcPr>
                  <w:tcW w:w="3856" w:type="dxa"/>
                  <w:shd w:val="clear" w:color="auto" w:fill="auto"/>
                </w:tcPr>
                <w:p w:rsidR="00362019" w:rsidRDefault="008920BD" w:rsidP="004F5A19">
                  <w:pPr>
                    <w:spacing w:line="276" w:lineRule="auto"/>
                    <w:rPr>
                      <w:rFonts w:eastAsia="Calibri"/>
                      <w:bCs/>
                      <w:i/>
                      <w:caps/>
                      <w:szCs w:val="24"/>
                    </w:rPr>
                  </w:pPr>
                  <w:r>
                    <w:rPr>
                      <w:rFonts w:eastAsia="Calibri"/>
                      <w:b/>
                      <w:bCs/>
                      <w:szCs w:val="24"/>
                      <w:lang w:eastAsia="lt-LT"/>
                    </w:rPr>
                    <w:t>Projekto pavadinimas</w:t>
                  </w:r>
                </w:p>
              </w:tc>
              <w:tc>
                <w:tcPr>
                  <w:tcW w:w="10380" w:type="dxa"/>
                  <w:shd w:val="clear" w:color="auto" w:fill="auto"/>
                </w:tcPr>
                <w:p w:rsidR="00362019" w:rsidRDefault="008920BD" w:rsidP="004F5A19">
                  <w:pPr>
                    <w:spacing w:line="276" w:lineRule="auto"/>
                    <w:rPr>
                      <w:rFonts w:eastAsia="Calibri"/>
                      <w:bCs/>
                      <w:i/>
                      <w:szCs w:val="24"/>
                      <w:lang w:eastAsia="lt-LT"/>
                    </w:rPr>
                  </w:pPr>
                  <w:r>
                    <w:rPr>
                      <w:rFonts w:eastAsia="Calibri"/>
                      <w:i/>
                      <w:szCs w:val="24"/>
                    </w:rPr>
                    <w:t xml:space="preserve">Pildoma projekto naudos ir kokybės vertinimo metu. </w:t>
                  </w:r>
                </w:p>
              </w:tc>
            </w:tr>
            <w:tr w:rsidR="00362019" w:rsidTr="004F5A19">
              <w:tc>
                <w:tcPr>
                  <w:tcW w:w="14236" w:type="dxa"/>
                  <w:gridSpan w:val="2"/>
                  <w:shd w:val="clear" w:color="auto" w:fill="auto"/>
                </w:tcPr>
                <w:p w:rsidR="00362019" w:rsidRDefault="008920BD" w:rsidP="004F5A19">
                  <w:pPr>
                    <w:spacing w:line="276" w:lineRule="auto"/>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rsidR="00362019" w:rsidRDefault="008920BD" w:rsidP="004F5A19">
                  <w:pPr>
                    <w:spacing w:line="276" w:lineRule="auto"/>
                    <w:rPr>
                      <w:rFonts w:eastAsia="Calibri"/>
                      <w:b/>
                      <w:bCs/>
                      <w:szCs w:val="24"/>
                      <w:lang w:eastAsia="lt-LT"/>
                    </w:rPr>
                  </w:pPr>
                  <w:r>
                    <w:rPr>
                      <w:rFonts w:eastAsia="Calibri"/>
                      <w:b/>
                      <w:bCs/>
                      <w:szCs w:val="24"/>
                      <w:lang w:eastAsia="lt-LT"/>
                    </w:rPr>
                    <w:t xml:space="preserve"> su partneriu (-iais)              </w:t>
                  </w:r>
                  <w:r>
                    <w:rPr>
                      <w:rFonts w:eastAsia="Calibri"/>
                      <w:b/>
                      <w:bCs/>
                      <w:szCs w:val="24"/>
                      <w:lang w:eastAsia="lt-LT"/>
                    </w:rPr>
                    <w:t> be partnerio (-ių)</w:t>
                  </w:r>
                </w:p>
              </w:tc>
            </w:tr>
            <w:tr w:rsidR="00362019" w:rsidTr="004F5A19">
              <w:tc>
                <w:tcPr>
                  <w:tcW w:w="14236" w:type="dxa"/>
                  <w:gridSpan w:val="2"/>
                  <w:shd w:val="clear" w:color="auto" w:fill="auto"/>
                </w:tcPr>
                <w:p w:rsidR="00362019" w:rsidRDefault="00362019" w:rsidP="004F5A19">
                  <w:pPr>
                    <w:spacing w:line="276" w:lineRule="auto"/>
                    <w:rPr>
                      <w:rFonts w:eastAsia="Calibri"/>
                      <w:b/>
                      <w:bCs/>
                      <w:szCs w:val="24"/>
                      <w:lang w:eastAsia="lt-LT"/>
                    </w:rPr>
                  </w:pPr>
                </w:p>
                <w:p w:rsidR="00362019" w:rsidRDefault="008920BD" w:rsidP="004F5A19">
                  <w:pPr>
                    <w:spacing w:line="276" w:lineRule="auto"/>
                    <w:rPr>
                      <w:rFonts w:eastAsia="Calibri"/>
                      <w:b/>
                      <w:bCs/>
                      <w:szCs w:val="24"/>
                      <w:lang w:eastAsia="lt-LT"/>
                    </w:rPr>
                  </w:pPr>
                  <w:r>
                    <w:rPr>
                      <w:rFonts w:eastAsia="Calibri"/>
                      <w:b/>
                      <w:bCs/>
                      <w:szCs w:val="24"/>
                      <w:lang w:eastAsia="lt-LT"/>
                    </w:rPr>
                    <w:t xml:space="preserve"> PIRMINĖ               </w:t>
                  </w:r>
                  <w:r>
                    <w:rPr>
                      <w:rFonts w:eastAsia="Calibri"/>
                      <w:b/>
                      <w:bCs/>
                      <w:szCs w:val="24"/>
                      <w:lang w:eastAsia="lt-LT"/>
                    </w:rPr>
                    <w:t> PATIKSLINTA</w:t>
                  </w:r>
                </w:p>
                <w:p w:rsidR="00362019" w:rsidRDefault="008920BD" w:rsidP="004F5A19">
                  <w:pPr>
                    <w:spacing w:line="276" w:lineRule="auto"/>
                    <w:rPr>
                      <w:rFonts w:eastAsia="Calibri"/>
                      <w:bCs/>
                      <w:i/>
                      <w:szCs w:val="24"/>
                      <w:lang w:eastAsia="lt-LT"/>
                    </w:rPr>
                  </w:pPr>
                  <w:r>
                    <w:rPr>
                      <w:rFonts w:eastAsia="Calibri"/>
                      <w:bCs/>
                      <w:i/>
                      <w:szCs w:val="24"/>
                      <w:lang w:eastAsia="lt-LT"/>
                    </w:rPr>
                    <w:t>(Žymima „Patikslinta“ tais atvejais, kai ši lentelė tikslinama po to, kai paraiška grąžinama pakartotiniam vertinimui.)</w:t>
                  </w:r>
                </w:p>
                <w:p w:rsidR="00362019" w:rsidRDefault="008920BD" w:rsidP="004F5A19">
                  <w:pPr>
                    <w:spacing w:line="276" w:lineRule="auto"/>
                    <w:rPr>
                      <w:rFonts w:eastAsia="Calibri"/>
                      <w:bCs/>
                      <w:i/>
                      <w:caps/>
                      <w:szCs w:val="24"/>
                    </w:rPr>
                  </w:pPr>
                  <w:r>
                    <w:rPr>
                      <w:rFonts w:eastAsia="Calibri"/>
                      <w:i/>
                      <w:szCs w:val="24"/>
                    </w:rPr>
                    <w:t>Pildoma projekto naudos ir kokybės vertinimo metu.</w:t>
                  </w:r>
                </w:p>
              </w:tc>
            </w:tr>
          </w:tbl>
          <w:p w:rsidR="00362019" w:rsidRDefault="00362019">
            <w:pPr>
              <w:spacing w:line="276" w:lineRule="auto"/>
              <w:ind w:right="373"/>
              <w:rPr>
                <w:rFonts w:eastAsia="Calibri"/>
                <w:b/>
                <w:szCs w:val="24"/>
              </w:rPr>
            </w:pPr>
          </w:p>
          <w:tbl>
            <w:tblPr>
              <w:tblW w:w="14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5985"/>
              <w:gridCol w:w="286"/>
              <w:gridCol w:w="1699"/>
              <w:gridCol w:w="1701"/>
              <w:gridCol w:w="1559"/>
            </w:tblGrid>
            <w:tr w:rsidR="00362019" w:rsidTr="004F5A19">
              <w:trPr>
                <w:trHeight w:val="285"/>
              </w:trPr>
              <w:tc>
                <w:tcPr>
                  <w:tcW w:w="3006" w:type="dxa"/>
                  <w:vMerge w:val="restart"/>
                  <w:shd w:val="clear" w:color="auto" w:fill="auto"/>
                </w:tcPr>
                <w:p w:rsidR="00362019" w:rsidRDefault="008920BD">
                  <w:pPr>
                    <w:keepNext/>
                    <w:jc w:val="center"/>
                    <w:rPr>
                      <w:rFonts w:eastAsia="Calibri"/>
                      <w:b/>
                      <w:bCs/>
                      <w:caps/>
                      <w:szCs w:val="24"/>
                    </w:rPr>
                  </w:pPr>
                  <w:r>
                    <w:rPr>
                      <w:rFonts w:eastAsia="Calibri"/>
                      <w:b/>
                      <w:bCs/>
                      <w:szCs w:val="24"/>
                    </w:rPr>
                    <w:t>Prioritetinio projektų atrankos kriterijaus  (toliau – kriterijus) pavadinimas</w:t>
                  </w:r>
                </w:p>
              </w:tc>
              <w:tc>
                <w:tcPr>
                  <w:tcW w:w="5985" w:type="dxa"/>
                  <w:vMerge w:val="restart"/>
                  <w:shd w:val="clear" w:color="auto" w:fill="auto"/>
                </w:tcPr>
                <w:p w:rsidR="00362019" w:rsidRDefault="008920BD">
                  <w:pPr>
                    <w:keepNext/>
                    <w:jc w:val="center"/>
                    <w:rPr>
                      <w:rFonts w:eastAsia="Calibri"/>
                      <w:b/>
                      <w:bCs/>
                      <w:szCs w:val="24"/>
                    </w:rPr>
                  </w:pPr>
                  <w:r>
                    <w:rPr>
                      <w:rFonts w:eastAsia="Calibri"/>
                      <w:b/>
                      <w:bCs/>
                      <w:szCs w:val="24"/>
                    </w:rPr>
                    <w:t xml:space="preserve">Kriterijaus vertinimo aspektai ir paaiškinimai </w:t>
                  </w:r>
                </w:p>
                <w:p w:rsidR="00362019" w:rsidRDefault="00362019">
                  <w:pPr>
                    <w:keepNext/>
                    <w:jc w:val="center"/>
                    <w:rPr>
                      <w:rFonts w:eastAsia="Calibri"/>
                      <w:b/>
                      <w:bCs/>
                      <w:i/>
                      <w:caps/>
                      <w:szCs w:val="24"/>
                    </w:rPr>
                  </w:pPr>
                </w:p>
              </w:tc>
              <w:tc>
                <w:tcPr>
                  <w:tcW w:w="1985" w:type="dxa"/>
                  <w:gridSpan w:val="2"/>
                  <w:vMerge w:val="restart"/>
                  <w:shd w:val="clear" w:color="auto" w:fill="auto"/>
                </w:tcPr>
                <w:p w:rsidR="00362019" w:rsidRDefault="008920BD">
                  <w:pPr>
                    <w:keepNext/>
                    <w:jc w:val="center"/>
                    <w:rPr>
                      <w:rFonts w:eastAsia="Calibri"/>
                      <w:b/>
                      <w:bCs/>
                      <w:caps/>
                      <w:szCs w:val="24"/>
                    </w:rPr>
                  </w:pPr>
                  <w:r>
                    <w:rPr>
                      <w:rFonts w:eastAsia="Calibri"/>
                      <w:b/>
                      <w:bCs/>
                      <w:szCs w:val="24"/>
                    </w:rPr>
                    <w:t>Didžiausias galimas kriterijaus balas</w:t>
                  </w:r>
                </w:p>
              </w:tc>
              <w:tc>
                <w:tcPr>
                  <w:tcW w:w="1701" w:type="dxa"/>
                  <w:vMerge w:val="restart"/>
                  <w:shd w:val="clear" w:color="auto" w:fill="auto"/>
                </w:tcPr>
                <w:p w:rsidR="00362019" w:rsidRDefault="008920BD">
                  <w:pPr>
                    <w:keepNext/>
                    <w:jc w:val="center"/>
                    <w:rPr>
                      <w:rFonts w:eastAsia="Calibri"/>
                      <w:b/>
                      <w:bCs/>
                      <w:caps/>
                      <w:szCs w:val="24"/>
                    </w:rPr>
                  </w:pPr>
                  <w:r>
                    <w:rPr>
                      <w:rFonts w:eastAsia="Calibri"/>
                      <w:b/>
                      <w:bCs/>
                      <w:szCs w:val="24"/>
                    </w:rPr>
                    <w:t>Vertinimo metu suteiktų balų skaičius</w:t>
                  </w:r>
                </w:p>
              </w:tc>
              <w:tc>
                <w:tcPr>
                  <w:tcW w:w="1559" w:type="dxa"/>
                  <w:vMerge w:val="restart"/>
                  <w:shd w:val="clear" w:color="auto" w:fill="auto"/>
                </w:tcPr>
                <w:p w:rsidR="00362019" w:rsidRDefault="008920BD">
                  <w:pPr>
                    <w:keepNext/>
                    <w:jc w:val="center"/>
                    <w:rPr>
                      <w:rFonts w:eastAsia="Calibri"/>
                      <w:b/>
                      <w:bCs/>
                      <w:caps/>
                      <w:szCs w:val="24"/>
                    </w:rPr>
                  </w:pPr>
                  <w:r>
                    <w:rPr>
                      <w:rFonts w:eastAsia="Calibri"/>
                      <w:b/>
                      <w:bCs/>
                      <w:szCs w:val="24"/>
                    </w:rPr>
                    <w:t>Komentarai</w:t>
                  </w:r>
                </w:p>
              </w:tc>
            </w:tr>
            <w:tr w:rsidR="00362019" w:rsidTr="004F5A19">
              <w:trPr>
                <w:trHeight w:val="285"/>
              </w:trPr>
              <w:tc>
                <w:tcPr>
                  <w:tcW w:w="3006" w:type="dxa"/>
                  <w:vMerge/>
                  <w:shd w:val="clear" w:color="auto" w:fill="auto"/>
                </w:tcPr>
                <w:p w:rsidR="00362019" w:rsidRDefault="00362019">
                  <w:pPr>
                    <w:rPr>
                      <w:rFonts w:eastAsia="Calibri"/>
                      <w:b/>
                      <w:bCs/>
                      <w:caps/>
                      <w:szCs w:val="24"/>
                    </w:rPr>
                  </w:pPr>
                </w:p>
              </w:tc>
              <w:tc>
                <w:tcPr>
                  <w:tcW w:w="5985" w:type="dxa"/>
                  <w:vMerge/>
                  <w:shd w:val="clear" w:color="auto" w:fill="auto"/>
                </w:tcPr>
                <w:p w:rsidR="00362019" w:rsidRDefault="00362019">
                  <w:pPr>
                    <w:jc w:val="center"/>
                    <w:rPr>
                      <w:rFonts w:eastAsia="Calibri"/>
                      <w:bCs/>
                      <w:i/>
                      <w:caps/>
                      <w:szCs w:val="24"/>
                    </w:rPr>
                  </w:pPr>
                </w:p>
              </w:tc>
              <w:tc>
                <w:tcPr>
                  <w:tcW w:w="1985" w:type="dxa"/>
                  <w:gridSpan w:val="2"/>
                  <w:vMerge/>
                  <w:shd w:val="clear" w:color="auto" w:fill="auto"/>
                </w:tcPr>
                <w:p w:rsidR="00362019" w:rsidRDefault="00362019">
                  <w:pPr>
                    <w:jc w:val="center"/>
                    <w:rPr>
                      <w:rFonts w:eastAsia="Calibri"/>
                      <w:bCs/>
                      <w:i/>
                      <w:szCs w:val="24"/>
                    </w:rPr>
                  </w:pPr>
                </w:p>
              </w:tc>
              <w:tc>
                <w:tcPr>
                  <w:tcW w:w="1701" w:type="dxa"/>
                  <w:vMerge/>
                  <w:shd w:val="clear" w:color="auto" w:fill="auto"/>
                </w:tcPr>
                <w:p w:rsidR="00362019" w:rsidRDefault="00362019">
                  <w:pPr>
                    <w:jc w:val="center"/>
                    <w:rPr>
                      <w:rFonts w:eastAsia="Calibri"/>
                      <w:b/>
                      <w:bCs/>
                      <w:caps/>
                      <w:szCs w:val="24"/>
                    </w:rPr>
                  </w:pPr>
                </w:p>
              </w:tc>
              <w:tc>
                <w:tcPr>
                  <w:tcW w:w="1559" w:type="dxa"/>
                  <w:vMerge/>
                  <w:shd w:val="clear" w:color="auto" w:fill="auto"/>
                </w:tcPr>
                <w:p w:rsidR="00362019" w:rsidRDefault="00362019">
                  <w:pPr>
                    <w:jc w:val="center"/>
                    <w:rPr>
                      <w:rFonts w:eastAsia="Calibri"/>
                      <w:b/>
                      <w:bCs/>
                      <w:caps/>
                      <w:szCs w:val="24"/>
                    </w:rPr>
                  </w:pPr>
                </w:p>
              </w:tc>
            </w:tr>
            <w:tr w:rsidR="00362019" w:rsidTr="004F5A19">
              <w:tc>
                <w:tcPr>
                  <w:tcW w:w="3006" w:type="dxa"/>
                  <w:shd w:val="clear" w:color="auto" w:fill="auto"/>
                </w:tcPr>
                <w:p w:rsidR="00362019" w:rsidRDefault="008920BD" w:rsidP="00924DD9">
                  <w:pPr>
                    <w:jc w:val="both"/>
                    <w:rPr>
                      <w:rFonts w:eastAsia="Calibri"/>
                      <w:b/>
                      <w:bCs/>
                      <w:caps/>
                      <w:szCs w:val="24"/>
                    </w:rPr>
                  </w:pPr>
                  <w:r>
                    <w:rPr>
                      <w:b/>
                      <w:bCs/>
                      <w:szCs w:val="24"/>
                      <w:lang w:eastAsia="lt-LT"/>
                    </w:rPr>
                    <w:t xml:space="preserve">1. </w:t>
                  </w:r>
                  <w:r w:rsidR="00924DD9" w:rsidRPr="00924DD9">
                    <w:rPr>
                      <w:b/>
                      <w:bCs/>
                      <w:szCs w:val="24"/>
                      <w:lang w:eastAsia="lt-LT"/>
                    </w:rPr>
                    <w:t>Projekto pareiškėjas turi veikiančią MTEP rezultatų komercinimo ir (ar) žinių ir technologijų perdavimo organizacinę struktūrą.</w:t>
                  </w:r>
                </w:p>
              </w:tc>
              <w:tc>
                <w:tcPr>
                  <w:tcW w:w="5985" w:type="dxa"/>
                  <w:shd w:val="clear" w:color="auto" w:fill="auto"/>
                </w:tcPr>
                <w:p w:rsidR="00362019" w:rsidRDefault="00924DD9" w:rsidP="00924DD9">
                  <w:pPr>
                    <w:jc w:val="both"/>
                    <w:rPr>
                      <w:bCs/>
                      <w:szCs w:val="24"/>
                      <w:lang w:eastAsia="lt-LT"/>
                    </w:rPr>
                  </w:pPr>
                  <w:r w:rsidRPr="00924DD9">
                    <w:rPr>
                      <w:bCs/>
                      <w:szCs w:val="24"/>
                      <w:lang w:eastAsia="lt-LT"/>
                    </w:rPr>
                    <w:t>Prioritetas teikiamas projektams, kurių pareiškėjas yra įsteigęs vidinius specializuotus padalinius mokslo vadybos, žinių ir technologijų perdavimo ir MTEP paslaugų plėtros funkcijoms vykdyti.</w:t>
                  </w:r>
                </w:p>
                <w:p w:rsidR="00D04B9F" w:rsidRDefault="00D04B9F" w:rsidP="00924DD9">
                  <w:pPr>
                    <w:jc w:val="both"/>
                    <w:rPr>
                      <w:bCs/>
                      <w:szCs w:val="24"/>
                      <w:lang w:eastAsia="lt-LT"/>
                    </w:rPr>
                  </w:pPr>
                </w:p>
              </w:tc>
              <w:tc>
                <w:tcPr>
                  <w:tcW w:w="1985" w:type="dxa"/>
                  <w:gridSpan w:val="2"/>
                  <w:shd w:val="clear" w:color="auto" w:fill="auto"/>
                </w:tcPr>
                <w:p w:rsidR="00362019" w:rsidRDefault="00605D88">
                  <w:pPr>
                    <w:jc w:val="center"/>
                    <w:rPr>
                      <w:rFonts w:eastAsia="Calibri"/>
                      <w:bCs/>
                      <w:szCs w:val="24"/>
                      <w:lang w:val="en-US"/>
                    </w:rPr>
                  </w:pPr>
                  <w:r>
                    <w:rPr>
                      <w:rFonts w:eastAsia="Calibri"/>
                      <w:bCs/>
                      <w:szCs w:val="24"/>
                      <w:lang w:val="en-US"/>
                    </w:rPr>
                    <w:t>5</w:t>
                  </w:r>
                </w:p>
              </w:tc>
              <w:tc>
                <w:tcPr>
                  <w:tcW w:w="1701" w:type="dxa"/>
                  <w:shd w:val="clear" w:color="auto" w:fill="auto"/>
                </w:tcPr>
                <w:p w:rsidR="00362019" w:rsidRDefault="00362019">
                  <w:pPr>
                    <w:jc w:val="center"/>
                    <w:rPr>
                      <w:rFonts w:eastAsia="Calibri"/>
                      <w:bCs/>
                      <w:i/>
                      <w:szCs w:val="24"/>
                    </w:rPr>
                  </w:pPr>
                </w:p>
              </w:tc>
              <w:tc>
                <w:tcPr>
                  <w:tcW w:w="1559" w:type="dxa"/>
                  <w:shd w:val="clear" w:color="auto" w:fill="auto"/>
                </w:tcPr>
                <w:p w:rsidR="00362019" w:rsidRDefault="00362019">
                  <w:pPr>
                    <w:jc w:val="center"/>
                    <w:rPr>
                      <w:rFonts w:eastAsia="Calibri"/>
                      <w:i/>
                      <w:szCs w:val="24"/>
                    </w:rPr>
                  </w:pPr>
                </w:p>
              </w:tc>
            </w:tr>
            <w:tr w:rsidR="00362019" w:rsidTr="004F5A19">
              <w:tc>
                <w:tcPr>
                  <w:tcW w:w="3006" w:type="dxa"/>
                  <w:shd w:val="clear" w:color="auto" w:fill="auto"/>
                </w:tcPr>
                <w:p w:rsidR="00362019" w:rsidRDefault="008920BD" w:rsidP="00924DD9">
                  <w:pPr>
                    <w:jc w:val="both"/>
                    <w:rPr>
                      <w:rFonts w:eastAsia="Calibri"/>
                      <w:b/>
                      <w:bCs/>
                      <w:caps/>
                      <w:szCs w:val="24"/>
                    </w:rPr>
                  </w:pPr>
                  <w:r>
                    <w:rPr>
                      <w:rFonts w:eastAsia="Calibri"/>
                      <w:b/>
                      <w:bCs/>
                      <w:caps/>
                      <w:szCs w:val="24"/>
                    </w:rPr>
                    <w:lastRenderedPageBreak/>
                    <w:t xml:space="preserve">2. </w:t>
                  </w:r>
                  <w:r w:rsidR="00924DD9" w:rsidRPr="00924DD9">
                    <w:rPr>
                      <w:b/>
                      <w:bCs/>
                      <w:szCs w:val="24"/>
                      <w:lang w:eastAsia="lt-LT"/>
                    </w:rPr>
                    <w:t>Pareiškėjo personalo patirtis antreprenerystės veikloje.</w:t>
                  </w:r>
                </w:p>
              </w:tc>
              <w:tc>
                <w:tcPr>
                  <w:tcW w:w="6271" w:type="dxa"/>
                  <w:gridSpan w:val="2"/>
                  <w:shd w:val="clear" w:color="auto" w:fill="auto"/>
                </w:tcPr>
                <w:p w:rsidR="00924DD9" w:rsidRPr="00924DD9" w:rsidRDefault="00924DD9" w:rsidP="00924DD9">
                  <w:pPr>
                    <w:widowControl w:val="0"/>
                    <w:jc w:val="both"/>
                    <w:textAlignment w:val="baseline"/>
                    <w:rPr>
                      <w:szCs w:val="24"/>
                    </w:rPr>
                  </w:pPr>
                  <w:r w:rsidRPr="00924DD9">
                    <w:rPr>
                      <w:szCs w:val="24"/>
                    </w:rPr>
                    <w:t>Didesnis balų skaičius suteikiamas pareiškėjui, kurio projektą vykdantis personalas turi ilgesnę antreprenerystės veiklos pareiškėjo institucijoje patirtį ir kuris turi daugiau tokio personalo, dirbančio ne mažiau kaip 0,5 etato. Vertinant personalo patirtį, vertinama tik tų darbuotojų patirtis, kurie turi ne mažesnę kaip šešių mėnesių iki paraiškos pateikimo dienos antreprenerystės veiklos patirtį.</w:t>
                  </w:r>
                </w:p>
                <w:p w:rsidR="00362019" w:rsidRDefault="00924DD9" w:rsidP="00924DD9">
                  <w:pPr>
                    <w:widowControl w:val="0"/>
                    <w:jc w:val="both"/>
                    <w:textAlignment w:val="baseline"/>
                    <w:rPr>
                      <w:szCs w:val="24"/>
                    </w:rPr>
                  </w:pPr>
                  <w:r w:rsidRPr="00924DD9">
                    <w:rPr>
                      <w:szCs w:val="24"/>
                    </w:rPr>
                    <w:t>Patirtis vertinama pagal pareiškėjo pateiktus MTEP rezultatų komercinimo ir (ar) žinių ir technologijų perdavimo funkcijas atliekančių darbuotojų patirtį įrodančius dokumentus (atstovaujamos pareiškėjo institucijos darbuotojų CV, darbo sutartys arba atitinkami įdarbinimo dokumentai, pareigybės aprašymai, pritrūkus duomenų - kiti dokumentai, pagal kuriuos galima įvertinti darbuotojų patirtį ir jos trukmę, skirtą reprezentuoti, komercinti MTEP rezultatus).</w:t>
                  </w:r>
                </w:p>
                <w:p w:rsidR="00605D88" w:rsidRPr="00036D12" w:rsidRDefault="00605D88" w:rsidP="00036D12">
                  <w:r w:rsidRPr="00036D12">
                    <w:t>Vertinimo skalė:</w:t>
                  </w:r>
                </w:p>
                <w:p w:rsidR="00605D88" w:rsidRPr="00036D12" w:rsidRDefault="00605D88" w:rsidP="00036D12">
                  <w:r w:rsidRPr="00036D12">
                    <w:t>Už projektą vykdančio personalo antreprenerystės veiklos trukmę suteikiami balai:</w:t>
                  </w:r>
                </w:p>
                <w:p w:rsidR="007F7822" w:rsidRPr="00036D12" w:rsidRDefault="007F7822" w:rsidP="00036D12">
                  <w:pPr>
                    <w:ind w:firstLine="628"/>
                  </w:pPr>
                  <w:r w:rsidRPr="00036D12">
                    <w:t>nuo 6 mėn. iki 1 metų – 3 balai;</w:t>
                  </w:r>
                </w:p>
                <w:p w:rsidR="007F7822" w:rsidRPr="00036D12" w:rsidRDefault="007F7822" w:rsidP="00036D12">
                  <w:pPr>
                    <w:ind w:firstLine="628"/>
                  </w:pPr>
                  <w:r w:rsidRPr="00036D12">
                    <w:t>nuo 1 metų iki 2 metų – 5 balai;</w:t>
                  </w:r>
                </w:p>
                <w:p w:rsidR="004C60A3" w:rsidRPr="00036D12" w:rsidRDefault="007F7822" w:rsidP="00036D12">
                  <w:pPr>
                    <w:ind w:firstLine="628"/>
                  </w:pPr>
                  <w:r w:rsidRPr="00036D12">
                    <w:t>2 ir daugiau metų – 8 balai</w:t>
                  </w:r>
                  <w:r w:rsidR="004C60A3" w:rsidRPr="00036D12">
                    <w:t>.</w:t>
                  </w:r>
                </w:p>
                <w:p w:rsidR="000F1B6E" w:rsidRDefault="004C60A3" w:rsidP="008D6DC2">
                  <w:pPr>
                    <w:jc w:val="both"/>
                  </w:pPr>
                  <w:r w:rsidRPr="00036D12">
                    <w:t xml:space="preserve">Skaičiuojamas už </w:t>
                  </w:r>
                  <w:r w:rsidR="001A7259" w:rsidRPr="00036D12">
                    <w:t>visų</w:t>
                  </w:r>
                  <w:r w:rsidRPr="00036D12">
                    <w:t xml:space="preserve"> darbuo</w:t>
                  </w:r>
                  <w:r w:rsidR="001A7259" w:rsidRPr="00036D12">
                    <w:t>tojų</w:t>
                  </w:r>
                  <w:r w:rsidRPr="00036D12">
                    <w:t xml:space="preserve"> veiklos trukmę suteiktų balų vidurkis </w:t>
                  </w:r>
                  <w:r w:rsidRPr="00036D12">
                    <w:rPr>
                      <w:i/>
                    </w:rPr>
                    <w:t>T</w:t>
                  </w:r>
                  <w:r w:rsidRPr="00036D12">
                    <w:t xml:space="preserve"> pagal formulę </w:t>
                  </w:r>
                  <w:r w:rsidRPr="00036D12">
                    <w:rPr>
                      <w:i/>
                    </w:rPr>
                    <w:t xml:space="preserve">T = </w:t>
                  </w:r>
                  <w:r w:rsidR="00220DCD" w:rsidRPr="00036D12">
                    <w:rPr>
                      <w:i/>
                    </w:rPr>
                    <w:t>(n</w:t>
                  </w:r>
                  <w:r w:rsidR="00220DCD" w:rsidRPr="00036D12">
                    <w:rPr>
                      <w:i/>
                      <w:vertAlign w:val="subscript"/>
                    </w:rPr>
                    <w:t>1</w:t>
                  </w:r>
                  <w:r w:rsidR="00220DCD" w:rsidRPr="00036D12">
                    <w:rPr>
                      <w:i/>
                    </w:rPr>
                    <w:t xml:space="preserve"> + n</w:t>
                  </w:r>
                  <w:r w:rsidR="00220DCD" w:rsidRPr="00036D12">
                    <w:rPr>
                      <w:i/>
                      <w:vertAlign w:val="subscript"/>
                    </w:rPr>
                    <w:t>2</w:t>
                  </w:r>
                  <w:r w:rsidR="00220DCD" w:rsidRPr="00036D12">
                    <w:rPr>
                      <w:i/>
                    </w:rPr>
                    <w:t xml:space="preserve"> +… n</w:t>
                  </w:r>
                  <w:r w:rsidR="00220DCD" w:rsidRPr="00036D12">
                    <w:rPr>
                      <w:i/>
                      <w:vertAlign w:val="subscript"/>
                    </w:rPr>
                    <w:t>i</w:t>
                  </w:r>
                  <w:r w:rsidR="00220DCD" w:rsidRPr="00036D12">
                    <w:rPr>
                      <w:i/>
                    </w:rPr>
                    <w:t>)/i</w:t>
                  </w:r>
                  <w:r w:rsidR="00220DCD" w:rsidRPr="00036D12">
                    <w:t xml:space="preserve">, kur </w:t>
                  </w:r>
                  <w:r w:rsidR="00220DCD" w:rsidRPr="00036D12">
                    <w:rPr>
                      <w:i/>
                    </w:rPr>
                    <w:t>n</w:t>
                  </w:r>
                  <w:r w:rsidR="00220DCD" w:rsidRPr="00036D12">
                    <w:t xml:space="preserve"> – už konkretaus asmens patirtį suteiktas balas; </w:t>
                  </w:r>
                  <w:r w:rsidR="00220DCD" w:rsidRPr="00036D12">
                    <w:rPr>
                      <w:i/>
                    </w:rPr>
                    <w:t>i</w:t>
                  </w:r>
                  <w:r w:rsidR="00220DCD" w:rsidRPr="00036D12">
                    <w:t xml:space="preserve"> </w:t>
                  </w:r>
                  <w:r w:rsidR="001A7259" w:rsidRPr="00036D12">
                    <w:t>–</w:t>
                  </w:r>
                  <w:r w:rsidR="00220DCD" w:rsidRPr="00036D12">
                    <w:t xml:space="preserve"> </w:t>
                  </w:r>
                  <w:r w:rsidR="001A7259" w:rsidRPr="00036D12">
                    <w:t>apskaitytų personalo darbuotojų skaičius.</w:t>
                  </w:r>
                  <w:r w:rsidR="000F1B6E">
                    <w:t xml:space="preserve"> A</w:t>
                  </w:r>
                  <w:r w:rsidR="000F1B6E" w:rsidRPr="00662157">
                    <w:rPr>
                      <w:szCs w:val="24"/>
                    </w:rPr>
                    <w:t>pvalinama iki sveiko skaičiaus pagal matematines taisykles</w:t>
                  </w:r>
                  <w:r w:rsidR="000F1B6E">
                    <w:rPr>
                      <w:szCs w:val="24"/>
                    </w:rPr>
                    <w:t>.</w:t>
                  </w:r>
                  <w:r w:rsidR="000F1B6E" w:rsidRPr="00036D12">
                    <w:t xml:space="preserve"> </w:t>
                  </w:r>
                </w:p>
                <w:p w:rsidR="007F7822" w:rsidRPr="00036D12" w:rsidRDefault="007F7822" w:rsidP="00036D12">
                  <w:r w:rsidRPr="00036D12">
                    <w:t>Už pareiškėjo personalo skaičių suteikiami balai:</w:t>
                  </w:r>
                </w:p>
                <w:p w:rsidR="007F7822" w:rsidRPr="00036D12" w:rsidRDefault="007F7822" w:rsidP="00036D12">
                  <w:pPr>
                    <w:ind w:firstLine="628"/>
                  </w:pPr>
                  <w:r w:rsidRPr="00036D12">
                    <w:t>iki 2 darbuotojų – 3 balai;</w:t>
                  </w:r>
                </w:p>
                <w:p w:rsidR="007F7822" w:rsidRPr="00036D12" w:rsidRDefault="007F7822" w:rsidP="00036D12">
                  <w:pPr>
                    <w:ind w:firstLine="628"/>
                  </w:pPr>
                  <w:r w:rsidRPr="00036D12">
                    <w:t>iki 5 darbuotojų – 5 balai;</w:t>
                  </w:r>
                </w:p>
                <w:p w:rsidR="007F7822" w:rsidRPr="007F7822" w:rsidRDefault="007F7822" w:rsidP="00036D12">
                  <w:pPr>
                    <w:ind w:firstLine="628"/>
                  </w:pPr>
                  <w:r w:rsidRPr="00036D12">
                    <w:t>daugiau nei 5 darbuotojai – 7 balai.</w:t>
                  </w:r>
                </w:p>
              </w:tc>
              <w:tc>
                <w:tcPr>
                  <w:tcW w:w="1699" w:type="dxa"/>
                  <w:shd w:val="clear" w:color="auto" w:fill="auto"/>
                </w:tcPr>
                <w:p w:rsidR="00362019" w:rsidRPr="00907061" w:rsidRDefault="00605D88">
                  <w:pPr>
                    <w:jc w:val="center"/>
                    <w:rPr>
                      <w:rFonts w:eastAsia="Calibri"/>
                      <w:bCs/>
                      <w:szCs w:val="24"/>
                      <w:lang w:val="en-GB"/>
                    </w:rPr>
                  </w:pPr>
                  <w:r>
                    <w:rPr>
                      <w:rFonts w:eastAsia="Calibri"/>
                      <w:bCs/>
                      <w:szCs w:val="24"/>
                      <w:lang w:val="en-GB"/>
                    </w:rPr>
                    <w:t>15</w:t>
                  </w:r>
                </w:p>
              </w:tc>
              <w:tc>
                <w:tcPr>
                  <w:tcW w:w="1701" w:type="dxa"/>
                  <w:shd w:val="clear" w:color="auto" w:fill="auto"/>
                </w:tcPr>
                <w:p w:rsidR="00362019" w:rsidRDefault="00362019">
                  <w:pPr>
                    <w:jc w:val="center"/>
                    <w:rPr>
                      <w:rFonts w:eastAsia="Calibri"/>
                      <w:bCs/>
                      <w:i/>
                      <w:szCs w:val="24"/>
                    </w:rPr>
                  </w:pPr>
                </w:p>
              </w:tc>
              <w:tc>
                <w:tcPr>
                  <w:tcW w:w="1559" w:type="dxa"/>
                  <w:shd w:val="clear" w:color="auto" w:fill="auto"/>
                </w:tcPr>
                <w:p w:rsidR="00362019" w:rsidRDefault="00362019">
                  <w:pPr>
                    <w:jc w:val="center"/>
                    <w:rPr>
                      <w:rFonts w:eastAsia="Calibri"/>
                      <w:i/>
                      <w:szCs w:val="24"/>
                    </w:rPr>
                  </w:pPr>
                </w:p>
              </w:tc>
            </w:tr>
            <w:tr w:rsidR="00924DD9" w:rsidTr="004F5A19">
              <w:tc>
                <w:tcPr>
                  <w:tcW w:w="3006" w:type="dxa"/>
                  <w:shd w:val="clear" w:color="auto" w:fill="auto"/>
                </w:tcPr>
                <w:p w:rsidR="00924DD9" w:rsidRDefault="00924DD9" w:rsidP="00924DD9">
                  <w:pPr>
                    <w:jc w:val="both"/>
                    <w:rPr>
                      <w:rFonts w:eastAsia="Calibri"/>
                      <w:b/>
                      <w:bCs/>
                      <w:caps/>
                      <w:szCs w:val="24"/>
                    </w:rPr>
                  </w:pPr>
                  <w:r>
                    <w:rPr>
                      <w:rFonts w:eastAsia="Calibri"/>
                      <w:b/>
                      <w:bCs/>
                      <w:caps/>
                      <w:szCs w:val="24"/>
                    </w:rPr>
                    <w:t xml:space="preserve">3. </w:t>
                  </w:r>
                  <w:r w:rsidRPr="00924DD9">
                    <w:rPr>
                      <w:b/>
                      <w:bCs/>
                      <w:szCs w:val="24"/>
                      <w:lang w:eastAsia="lt-LT"/>
                    </w:rPr>
                    <w:t xml:space="preserve">Lėšų, gautų iš ūkio subjektų užsakymų per </w:t>
                  </w:r>
                  <w:r w:rsidRPr="00924DD9">
                    <w:rPr>
                      <w:b/>
                      <w:bCs/>
                      <w:szCs w:val="24"/>
                      <w:lang w:eastAsia="lt-LT"/>
                    </w:rPr>
                    <w:lastRenderedPageBreak/>
                    <w:t>2016–2018 metus, tenkančių institucijos mokslininko visos darbo dienos ekvivalentui, vidurkis, tūkst. Eur.</w:t>
                  </w:r>
                </w:p>
              </w:tc>
              <w:tc>
                <w:tcPr>
                  <w:tcW w:w="6271" w:type="dxa"/>
                  <w:gridSpan w:val="2"/>
                  <w:shd w:val="clear" w:color="auto" w:fill="auto"/>
                </w:tcPr>
                <w:p w:rsidR="00924DD9" w:rsidRPr="00924DD9" w:rsidRDefault="00924DD9" w:rsidP="00924DD9">
                  <w:pPr>
                    <w:widowControl w:val="0"/>
                    <w:jc w:val="both"/>
                    <w:textAlignment w:val="baseline"/>
                    <w:rPr>
                      <w:szCs w:val="24"/>
                    </w:rPr>
                  </w:pPr>
                  <w:r w:rsidRPr="00924DD9">
                    <w:rPr>
                      <w:szCs w:val="24"/>
                    </w:rPr>
                    <w:lastRenderedPageBreak/>
                    <w:t xml:space="preserve">Vertinamas pareiškėjų lėšų, gautų iš ūkio subjektų užsakymų (toliau – užsakymų lėšos) per 2016–2018 metus vidurkis (tūkst. </w:t>
                  </w:r>
                  <w:r w:rsidRPr="00924DD9">
                    <w:rPr>
                      <w:szCs w:val="24"/>
                    </w:rPr>
                    <w:lastRenderedPageBreak/>
                    <w:t>Eur), tenkantis institucijos mokslininko visos darbo dienos ekvivalentui. Vertinamos užsakymų lėšos apima lėšas, gautas:</w:t>
                  </w:r>
                </w:p>
                <w:p w:rsidR="00924DD9" w:rsidRPr="00924DD9" w:rsidRDefault="00924DD9" w:rsidP="00924DD9">
                  <w:pPr>
                    <w:widowControl w:val="0"/>
                    <w:jc w:val="both"/>
                    <w:textAlignment w:val="baseline"/>
                    <w:rPr>
                      <w:szCs w:val="24"/>
                    </w:rPr>
                  </w:pPr>
                  <w:r w:rsidRPr="00924DD9">
                    <w:rPr>
                      <w:szCs w:val="24"/>
                    </w:rPr>
                    <w:t>1) per patentų (ar patentų paraiškų) licencines sutartis;</w:t>
                  </w:r>
                </w:p>
                <w:p w:rsidR="00924DD9" w:rsidRPr="00924DD9" w:rsidRDefault="00924DD9" w:rsidP="00924DD9">
                  <w:pPr>
                    <w:widowControl w:val="0"/>
                    <w:jc w:val="both"/>
                    <w:textAlignment w:val="baseline"/>
                    <w:rPr>
                      <w:szCs w:val="24"/>
                    </w:rPr>
                  </w:pPr>
                  <w:r w:rsidRPr="00924DD9">
                    <w:rPr>
                      <w:szCs w:val="24"/>
                    </w:rPr>
                    <w:t>2) už ūkio subjektų meno užsakymų vykdymą;</w:t>
                  </w:r>
                </w:p>
                <w:p w:rsidR="00924DD9" w:rsidRPr="00924DD9" w:rsidRDefault="00924DD9" w:rsidP="00924DD9">
                  <w:pPr>
                    <w:widowControl w:val="0"/>
                    <w:jc w:val="both"/>
                    <w:textAlignment w:val="baseline"/>
                    <w:rPr>
                      <w:szCs w:val="24"/>
                    </w:rPr>
                  </w:pPr>
                  <w:r w:rsidRPr="00924DD9">
                    <w:rPr>
                      <w:szCs w:val="24"/>
                    </w:rPr>
                    <w:t>3) už ūkio subjektų MTEP užsakymų vykdymą.</w:t>
                  </w:r>
                </w:p>
                <w:p w:rsidR="00924DD9" w:rsidRPr="00924DD9" w:rsidRDefault="00924DD9" w:rsidP="00924DD9">
                  <w:pPr>
                    <w:widowControl w:val="0"/>
                    <w:jc w:val="both"/>
                    <w:textAlignment w:val="baseline"/>
                    <w:rPr>
                      <w:szCs w:val="24"/>
                    </w:rPr>
                  </w:pPr>
                  <w:r w:rsidRPr="00924DD9">
                    <w:rPr>
                      <w:szCs w:val="24"/>
                    </w:rPr>
                    <w:t>Prioritetas teikiamas tiems projektams, kurių pareiškėjų užsakymų lėšų vidurkis per nustatytą periodą, tenkantis vienam mokslininko visos darbo dienos ekvivalentui, yra didesnis.</w:t>
                  </w:r>
                </w:p>
                <w:p w:rsidR="00924DD9" w:rsidRDefault="00924DD9" w:rsidP="00924DD9">
                  <w:pPr>
                    <w:widowControl w:val="0"/>
                    <w:jc w:val="both"/>
                    <w:textAlignment w:val="baseline"/>
                    <w:rPr>
                      <w:szCs w:val="24"/>
                    </w:rPr>
                  </w:pPr>
                  <w:r w:rsidRPr="00924DD9">
                    <w:rPr>
                      <w:szCs w:val="24"/>
                    </w:rPr>
                    <w:t xml:space="preserve">Vertinama pagal kasmetinio universitetų ir mokslinių tyrimų institutų MTEP ir meno veiklos vertinimo rezultatus, šaltinis www.lmt.lt; </w:t>
                  </w:r>
                  <w:hyperlink r:id="rId16" w:history="1">
                    <w:r w:rsidR="00EF1232" w:rsidRPr="00A92252">
                      <w:rPr>
                        <w:rStyle w:val="Hipersaitas"/>
                        <w:szCs w:val="24"/>
                      </w:rPr>
                      <w:t>https://www.lmt.lt/lt/mokslo-kokybe/mokslo-meno-veiklos-rezultatu-vertinimas/182</w:t>
                    </w:r>
                  </w:hyperlink>
                </w:p>
                <w:p w:rsidR="00662157" w:rsidRPr="00662157" w:rsidRDefault="00662157" w:rsidP="000F1B6E">
                  <w:pPr>
                    <w:widowControl w:val="0"/>
                    <w:jc w:val="both"/>
                    <w:textAlignment w:val="baseline"/>
                    <w:rPr>
                      <w:szCs w:val="24"/>
                    </w:rPr>
                  </w:pPr>
                  <w:r w:rsidRPr="00662157">
                    <w:rPr>
                      <w:szCs w:val="24"/>
                    </w:rPr>
                    <w:t>Projektai išdėstomi iš eilės nuo didžiausio iki mažiausio pagal užsakymų lėšų vidurk</w:t>
                  </w:r>
                  <w:r>
                    <w:rPr>
                      <w:szCs w:val="24"/>
                    </w:rPr>
                    <w:t>į</w:t>
                  </w:r>
                  <w:r w:rsidRPr="00662157">
                    <w:rPr>
                      <w:szCs w:val="24"/>
                    </w:rPr>
                    <w:t xml:space="preserve"> per nustatytą periodą, tenkant</w:t>
                  </w:r>
                  <w:r>
                    <w:rPr>
                      <w:szCs w:val="24"/>
                    </w:rPr>
                    <w:t>į</w:t>
                  </w:r>
                  <w:r w:rsidRPr="00662157">
                    <w:rPr>
                      <w:szCs w:val="24"/>
                    </w:rPr>
                    <w:t xml:space="preserve"> vienam mokslininko visos darbo dienos ekvivalentui. </w:t>
                  </w:r>
                  <w:r w:rsidR="00F41E60">
                    <w:rPr>
                      <w:szCs w:val="24"/>
                    </w:rPr>
                    <w:t>2</w:t>
                  </w:r>
                  <w:r w:rsidRPr="00662157">
                    <w:rPr>
                      <w:szCs w:val="24"/>
                    </w:rPr>
                    <w:t>0 procentų projektų (apvalinama iki sveiko skaičiaus, pagal matematines taisykles), kuriuose užsakymų lėšų vidurkis per nustatytą periodą, tenkantis vienam mokslininko visos darbo d</w:t>
                  </w:r>
                  <w:r>
                    <w:rPr>
                      <w:szCs w:val="24"/>
                    </w:rPr>
                    <w:t>ienos ekvivalentui, yra didžiausias</w:t>
                  </w:r>
                  <w:r w:rsidRPr="00662157">
                    <w:rPr>
                      <w:szCs w:val="24"/>
                    </w:rPr>
                    <w:t xml:space="preserve">, vertinami </w:t>
                  </w:r>
                  <w:r w:rsidRPr="003735AC">
                    <w:rPr>
                      <w:szCs w:val="24"/>
                      <w:lang w:val="en-US"/>
                    </w:rPr>
                    <w:t>2</w:t>
                  </w:r>
                  <w:r w:rsidRPr="00662157">
                    <w:rPr>
                      <w:szCs w:val="24"/>
                    </w:rPr>
                    <w:t xml:space="preserve">0 balų. Į kiekvieną kitą </w:t>
                  </w:r>
                  <w:r w:rsidR="00F41E60">
                    <w:rPr>
                      <w:szCs w:val="24"/>
                    </w:rPr>
                    <w:t>20</w:t>
                  </w:r>
                  <w:r w:rsidRPr="00662157">
                    <w:rPr>
                      <w:szCs w:val="24"/>
                    </w:rPr>
                    <w:t xml:space="preserve"> procentų intervalą patenkantys projektai vertinami suteikiant 5 balais mažesnį įvertinimą (apvalinama iki sveiko skaičiaus pagal matematines taisykles).</w:t>
                  </w:r>
                  <w:r w:rsidR="00036D12">
                    <w:rPr>
                      <w:szCs w:val="24"/>
                    </w:rPr>
                    <w:t xml:space="preserve"> Projektai</w:t>
                  </w:r>
                  <w:r w:rsidR="008D6DC2">
                    <w:rPr>
                      <w:szCs w:val="24"/>
                    </w:rPr>
                    <w:t>,</w:t>
                  </w:r>
                  <w:r w:rsidR="00036D12">
                    <w:rPr>
                      <w:szCs w:val="24"/>
                    </w:rPr>
                    <w:t xml:space="preserve"> pagal šį kriterijų turintys 0 užsakymų lėšų, į prioritetų eilę netraukiami, jiems skiriamas balas 0.</w:t>
                  </w:r>
                </w:p>
              </w:tc>
              <w:tc>
                <w:tcPr>
                  <w:tcW w:w="1699" w:type="dxa"/>
                  <w:shd w:val="clear" w:color="auto" w:fill="auto"/>
                </w:tcPr>
                <w:p w:rsidR="00924DD9" w:rsidRDefault="00605D88">
                  <w:pPr>
                    <w:jc w:val="center"/>
                    <w:rPr>
                      <w:rFonts w:eastAsia="Calibri"/>
                      <w:bCs/>
                      <w:szCs w:val="24"/>
                      <w:lang w:val="en-US"/>
                    </w:rPr>
                  </w:pPr>
                  <w:r>
                    <w:rPr>
                      <w:rFonts w:eastAsia="Calibri"/>
                      <w:bCs/>
                      <w:szCs w:val="24"/>
                      <w:lang w:val="en-US"/>
                    </w:rPr>
                    <w:lastRenderedPageBreak/>
                    <w:t>20</w:t>
                  </w:r>
                </w:p>
              </w:tc>
              <w:tc>
                <w:tcPr>
                  <w:tcW w:w="1701" w:type="dxa"/>
                  <w:shd w:val="clear" w:color="auto" w:fill="auto"/>
                </w:tcPr>
                <w:p w:rsidR="00924DD9" w:rsidRDefault="00924DD9">
                  <w:pPr>
                    <w:jc w:val="center"/>
                    <w:rPr>
                      <w:rFonts w:eastAsia="Calibri"/>
                      <w:bCs/>
                      <w:i/>
                      <w:szCs w:val="24"/>
                    </w:rPr>
                  </w:pPr>
                </w:p>
              </w:tc>
              <w:tc>
                <w:tcPr>
                  <w:tcW w:w="1559" w:type="dxa"/>
                  <w:shd w:val="clear" w:color="auto" w:fill="auto"/>
                </w:tcPr>
                <w:p w:rsidR="00924DD9" w:rsidRDefault="00924DD9">
                  <w:pPr>
                    <w:jc w:val="center"/>
                    <w:rPr>
                      <w:rFonts w:eastAsia="Calibri"/>
                      <w:i/>
                      <w:szCs w:val="24"/>
                    </w:rPr>
                  </w:pPr>
                </w:p>
              </w:tc>
            </w:tr>
            <w:tr w:rsidR="00924DD9" w:rsidTr="004F5A19">
              <w:tc>
                <w:tcPr>
                  <w:tcW w:w="3006" w:type="dxa"/>
                  <w:shd w:val="clear" w:color="auto" w:fill="auto"/>
                </w:tcPr>
                <w:p w:rsidR="00924DD9" w:rsidRDefault="00EF1232" w:rsidP="00924DD9">
                  <w:pPr>
                    <w:jc w:val="both"/>
                    <w:rPr>
                      <w:rFonts w:eastAsia="Calibri"/>
                      <w:b/>
                      <w:bCs/>
                      <w:caps/>
                      <w:szCs w:val="24"/>
                    </w:rPr>
                  </w:pPr>
                  <w:r>
                    <w:rPr>
                      <w:rFonts w:eastAsia="Calibri"/>
                      <w:b/>
                      <w:bCs/>
                      <w:caps/>
                      <w:szCs w:val="24"/>
                    </w:rPr>
                    <w:t xml:space="preserve">4. </w:t>
                  </w:r>
                  <w:r w:rsidRPr="00EF1232">
                    <w:rPr>
                      <w:b/>
                      <w:bCs/>
                      <w:szCs w:val="24"/>
                      <w:lang w:eastAsia="lt-LT"/>
                    </w:rPr>
                    <w:t>Lėšų, gautų iš ūkio subjektų užsakymų per 2015–2018 metų laikotarpį, akumuliuotas pokytis, procentais.</w:t>
                  </w:r>
                </w:p>
              </w:tc>
              <w:tc>
                <w:tcPr>
                  <w:tcW w:w="6271" w:type="dxa"/>
                  <w:gridSpan w:val="2"/>
                  <w:shd w:val="clear" w:color="auto" w:fill="auto"/>
                </w:tcPr>
                <w:p w:rsidR="00EF1232" w:rsidRPr="00EF1232" w:rsidRDefault="00EF1232" w:rsidP="00EF1232">
                  <w:pPr>
                    <w:widowControl w:val="0"/>
                    <w:jc w:val="both"/>
                    <w:textAlignment w:val="baseline"/>
                    <w:rPr>
                      <w:szCs w:val="24"/>
                    </w:rPr>
                  </w:pPr>
                  <w:r w:rsidRPr="00EF1232">
                    <w:rPr>
                      <w:szCs w:val="24"/>
                    </w:rPr>
                    <w:t>Vertinamas pareiškėjų lėšų (eurais), gautų iš ūkio subjektų užsakymų (toliau – užsakymų lėšos) per 2015–2018 metų laikotarpį, akumuliuotas pokytis (procentais). Vertinamos užsakymų lėšos apima lėšas, gautas:</w:t>
                  </w:r>
                </w:p>
                <w:p w:rsidR="00EF1232" w:rsidRPr="00EF1232" w:rsidRDefault="00EF1232" w:rsidP="00EF1232">
                  <w:pPr>
                    <w:widowControl w:val="0"/>
                    <w:jc w:val="both"/>
                    <w:textAlignment w:val="baseline"/>
                    <w:rPr>
                      <w:szCs w:val="24"/>
                    </w:rPr>
                  </w:pPr>
                  <w:r w:rsidRPr="00EF1232">
                    <w:rPr>
                      <w:szCs w:val="24"/>
                    </w:rPr>
                    <w:t>1. per patentų (ar patentų paraiškų) licencines sutartis;</w:t>
                  </w:r>
                </w:p>
                <w:p w:rsidR="00EF1232" w:rsidRPr="00EF1232" w:rsidRDefault="00EF1232" w:rsidP="00EF1232">
                  <w:pPr>
                    <w:widowControl w:val="0"/>
                    <w:jc w:val="both"/>
                    <w:textAlignment w:val="baseline"/>
                    <w:rPr>
                      <w:szCs w:val="24"/>
                    </w:rPr>
                  </w:pPr>
                  <w:r w:rsidRPr="00EF1232">
                    <w:rPr>
                      <w:szCs w:val="24"/>
                    </w:rPr>
                    <w:t>2. už ūkio subjektų meno užsakymų vykdymą;</w:t>
                  </w:r>
                </w:p>
                <w:p w:rsidR="00EF1232" w:rsidRPr="00EF1232" w:rsidRDefault="00EF1232" w:rsidP="00EF1232">
                  <w:pPr>
                    <w:widowControl w:val="0"/>
                    <w:jc w:val="both"/>
                    <w:textAlignment w:val="baseline"/>
                    <w:rPr>
                      <w:szCs w:val="24"/>
                    </w:rPr>
                  </w:pPr>
                  <w:r w:rsidRPr="00EF1232">
                    <w:rPr>
                      <w:szCs w:val="24"/>
                    </w:rPr>
                    <w:t>3. už ūkio subjektų MTEP užsakymų vykdymą.</w:t>
                  </w:r>
                </w:p>
                <w:p w:rsidR="00EF1232" w:rsidRPr="00EF1232" w:rsidRDefault="00EF1232" w:rsidP="00EF1232">
                  <w:pPr>
                    <w:widowControl w:val="0"/>
                    <w:jc w:val="both"/>
                    <w:textAlignment w:val="baseline"/>
                    <w:rPr>
                      <w:szCs w:val="24"/>
                    </w:rPr>
                  </w:pPr>
                  <w:r w:rsidRPr="00EF1232">
                    <w:rPr>
                      <w:szCs w:val="24"/>
                    </w:rPr>
                    <w:t>Akumuliuota</w:t>
                  </w:r>
                  <w:r w:rsidR="00E44E17">
                    <w:rPr>
                      <w:szCs w:val="24"/>
                    </w:rPr>
                    <w:t>s</w:t>
                  </w:r>
                  <w:r w:rsidRPr="00EF1232">
                    <w:rPr>
                      <w:szCs w:val="24"/>
                    </w:rPr>
                    <w:t xml:space="preserve"> pokytis, kuris apskaičiuojamas kaip santykis tarp </w:t>
                  </w:r>
                  <w:r w:rsidRPr="00EF1232">
                    <w:rPr>
                      <w:szCs w:val="24"/>
                    </w:rPr>
                    <w:lastRenderedPageBreak/>
                    <w:t>gautų lėšų per trejus metus (2016–2018), lyginant su 2015 metais. Vertinama pagal formulę:</w:t>
                  </w:r>
                </w:p>
                <w:p w:rsidR="00EF1232" w:rsidRPr="00EF1232" w:rsidRDefault="00EF1232" w:rsidP="00EF1232">
                  <w:pPr>
                    <w:widowControl w:val="0"/>
                    <w:jc w:val="both"/>
                    <w:textAlignment w:val="baseline"/>
                    <w:rPr>
                      <w:szCs w:val="24"/>
                    </w:rPr>
                  </w:pPr>
                  <w:r w:rsidRPr="00EF1232">
                    <w:rPr>
                      <w:szCs w:val="24"/>
                    </w:rPr>
                    <w:t xml:space="preserve">D=((N+1-N) + (N+2-N) + (N+3–N))/N*100 proc., kur: </w:t>
                  </w:r>
                </w:p>
                <w:p w:rsidR="00EF1232" w:rsidRPr="00EF1232" w:rsidRDefault="00EF1232" w:rsidP="00EF1232">
                  <w:pPr>
                    <w:widowControl w:val="0"/>
                    <w:jc w:val="both"/>
                    <w:textAlignment w:val="baseline"/>
                    <w:rPr>
                      <w:szCs w:val="24"/>
                    </w:rPr>
                  </w:pPr>
                  <w:r w:rsidRPr="00EF1232">
                    <w:rPr>
                      <w:szCs w:val="24"/>
                    </w:rPr>
                    <w:t>D – užsakymų lėšų padidėjimas procentais;</w:t>
                  </w:r>
                </w:p>
                <w:p w:rsidR="00EF1232" w:rsidRPr="00EF1232" w:rsidRDefault="00EF1232" w:rsidP="00EF1232">
                  <w:pPr>
                    <w:widowControl w:val="0"/>
                    <w:jc w:val="both"/>
                    <w:textAlignment w:val="baseline"/>
                    <w:rPr>
                      <w:szCs w:val="24"/>
                    </w:rPr>
                  </w:pPr>
                  <w:r w:rsidRPr="00EF1232">
                    <w:rPr>
                      <w:szCs w:val="24"/>
                    </w:rPr>
                    <w:t>N –užsakymų lėšos 2015 metais;</w:t>
                  </w:r>
                </w:p>
                <w:p w:rsidR="00EF1232" w:rsidRPr="00EF1232" w:rsidRDefault="00EF1232" w:rsidP="00EF1232">
                  <w:pPr>
                    <w:widowControl w:val="0"/>
                    <w:jc w:val="both"/>
                    <w:textAlignment w:val="baseline"/>
                    <w:rPr>
                      <w:szCs w:val="24"/>
                    </w:rPr>
                  </w:pPr>
                  <w:r w:rsidRPr="00EF1232">
                    <w:rPr>
                      <w:szCs w:val="24"/>
                    </w:rPr>
                    <w:t>N+1 – užsakymų lėšos 2016 metais;</w:t>
                  </w:r>
                </w:p>
                <w:p w:rsidR="00EF1232" w:rsidRPr="00EF1232" w:rsidRDefault="00EF1232" w:rsidP="00EF1232">
                  <w:pPr>
                    <w:widowControl w:val="0"/>
                    <w:jc w:val="both"/>
                    <w:textAlignment w:val="baseline"/>
                    <w:rPr>
                      <w:szCs w:val="24"/>
                    </w:rPr>
                  </w:pPr>
                  <w:r w:rsidRPr="00EF1232">
                    <w:rPr>
                      <w:szCs w:val="24"/>
                    </w:rPr>
                    <w:t>N+2 – užsakymų lėšos 2017 metais;</w:t>
                  </w:r>
                </w:p>
                <w:p w:rsidR="00EF1232" w:rsidRPr="00EF1232" w:rsidRDefault="00EF1232" w:rsidP="00EF1232">
                  <w:pPr>
                    <w:widowControl w:val="0"/>
                    <w:jc w:val="both"/>
                    <w:textAlignment w:val="baseline"/>
                    <w:rPr>
                      <w:szCs w:val="24"/>
                    </w:rPr>
                  </w:pPr>
                  <w:r w:rsidRPr="00EF1232">
                    <w:rPr>
                      <w:szCs w:val="24"/>
                    </w:rPr>
                    <w:t>N+3 – užsakymų lėšos 2018 metais.</w:t>
                  </w:r>
                </w:p>
                <w:p w:rsidR="00924DD9" w:rsidRDefault="00EF1232" w:rsidP="00EF1232">
                  <w:pPr>
                    <w:widowControl w:val="0"/>
                    <w:jc w:val="both"/>
                    <w:textAlignment w:val="baseline"/>
                    <w:rPr>
                      <w:szCs w:val="24"/>
                    </w:rPr>
                  </w:pPr>
                  <w:r w:rsidRPr="00EF1232">
                    <w:rPr>
                      <w:szCs w:val="24"/>
                    </w:rPr>
                    <w:t xml:space="preserve">Didesnis prioritetas teikiamas projektams, kurių </w:t>
                  </w:r>
                  <w:r w:rsidR="00E44E17">
                    <w:rPr>
                      <w:szCs w:val="24"/>
                    </w:rPr>
                    <w:t xml:space="preserve">iš </w:t>
                  </w:r>
                  <w:r w:rsidRPr="00EF1232">
                    <w:rPr>
                      <w:szCs w:val="24"/>
                    </w:rPr>
                    <w:t>užsakymų gautų lėšų per numatytus terminus augimo procentas yra didesnis.</w:t>
                  </w:r>
                </w:p>
                <w:p w:rsidR="00E44E17" w:rsidRPr="00E44E17" w:rsidRDefault="00E44E17" w:rsidP="00E95FD5">
                  <w:pPr>
                    <w:widowControl w:val="0"/>
                    <w:jc w:val="both"/>
                    <w:textAlignment w:val="baseline"/>
                    <w:rPr>
                      <w:szCs w:val="24"/>
                    </w:rPr>
                  </w:pPr>
                  <w:r w:rsidRPr="00E44E17">
                    <w:rPr>
                      <w:szCs w:val="24"/>
                    </w:rPr>
                    <w:t xml:space="preserve">Projektai išdėstomi iš eilės nuo didžiausio iki mažiausio pagal </w:t>
                  </w:r>
                  <w:r w:rsidR="00736D37" w:rsidRPr="00736D37">
                    <w:rPr>
                      <w:szCs w:val="24"/>
                    </w:rPr>
                    <w:t>iš užsakymų gautų lėšų per numatytus terminus augimo procent</w:t>
                  </w:r>
                  <w:r w:rsidR="00736D37">
                    <w:rPr>
                      <w:szCs w:val="24"/>
                    </w:rPr>
                    <w:t>ą</w:t>
                  </w:r>
                  <w:r w:rsidRPr="00E44E17">
                    <w:rPr>
                      <w:szCs w:val="24"/>
                    </w:rPr>
                    <w:t xml:space="preserve">. 20 procentų projektų (apvalinama iki sveiko skaičiaus, pagal matematines taisykles), kuriuose </w:t>
                  </w:r>
                  <w:r w:rsidR="00736D37" w:rsidRPr="00736D37">
                    <w:rPr>
                      <w:szCs w:val="24"/>
                    </w:rPr>
                    <w:t>iš užsakymų gautų lėšų per numatytus terminus augimo procent</w:t>
                  </w:r>
                  <w:r w:rsidR="00736D37">
                    <w:rPr>
                      <w:szCs w:val="24"/>
                    </w:rPr>
                    <w:t>as</w:t>
                  </w:r>
                  <w:r w:rsidRPr="00E44E17">
                    <w:rPr>
                      <w:szCs w:val="24"/>
                    </w:rPr>
                    <w:t xml:space="preserve"> yra didžiausias, vertinami </w:t>
                  </w:r>
                  <w:r w:rsidR="00736D37" w:rsidRPr="00801454">
                    <w:rPr>
                      <w:szCs w:val="24"/>
                    </w:rPr>
                    <w:t>30</w:t>
                  </w:r>
                  <w:r w:rsidRPr="00E44E17">
                    <w:rPr>
                      <w:szCs w:val="24"/>
                    </w:rPr>
                    <w:t xml:space="preserve"> balų. Į kiekvieną kitą 20 procentų intervalą patenkantys projektai vertinami suteikiant 5 balais mažesnį įvertinimą (apvalinama iki sveiko skaičiaus, pagal matematines taisykles).</w:t>
                  </w:r>
                  <w:r w:rsidR="00AE08BA">
                    <w:rPr>
                      <w:szCs w:val="24"/>
                    </w:rPr>
                    <w:t xml:space="preserve"> Projektai</w:t>
                  </w:r>
                  <w:r w:rsidR="008D6DC2">
                    <w:rPr>
                      <w:szCs w:val="24"/>
                    </w:rPr>
                    <w:t>,</w:t>
                  </w:r>
                  <w:r w:rsidR="00AE08BA">
                    <w:rPr>
                      <w:szCs w:val="24"/>
                    </w:rPr>
                    <w:t xml:space="preserve"> pagal šį kriterijų turintys </w:t>
                  </w:r>
                  <w:r w:rsidR="00E95FD5">
                    <w:rPr>
                      <w:szCs w:val="24"/>
                    </w:rPr>
                    <w:t xml:space="preserve">augimo procentą </w:t>
                  </w:r>
                  <w:r w:rsidR="00AE08BA">
                    <w:rPr>
                      <w:szCs w:val="24"/>
                    </w:rPr>
                    <w:t xml:space="preserve">0, į prioritetų eilę netraukiami, jiems </w:t>
                  </w:r>
                  <w:r w:rsidR="00E95FD5">
                    <w:rPr>
                      <w:szCs w:val="24"/>
                    </w:rPr>
                    <w:t xml:space="preserve">pagal šį kriterijų </w:t>
                  </w:r>
                  <w:r w:rsidR="00AE08BA">
                    <w:rPr>
                      <w:szCs w:val="24"/>
                    </w:rPr>
                    <w:t xml:space="preserve">skiriamas balas 0. </w:t>
                  </w:r>
                </w:p>
              </w:tc>
              <w:tc>
                <w:tcPr>
                  <w:tcW w:w="1699" w:type="dxa"/>
                  <w:shd w:val="clear" w:color="auto" w:fill="auto"/>
                </w:tcPr>
                <w:p w:rsidR="00924DD9" w:rsidRDefault="00605D88">
                  <w:pPr>
                    <w:jc w:val="center"/>
                    <w:rPr>
                      <w:rFonts w:eastAsia="Calibri"/>
                      <w:bCs/>
                      <w:szCs w:val="24"/>
                      <w:lang w:val="en-US"/>
                    </w:rPr>
                  </w:pPr>
                  <w:r>
                    <w:rPr>
                      <w:rFonts w:eastAsia="Calibri"/>
                      <w:bCs/>
                      <w:szCs w:val="24"/>
                      <w:lang w:val="en-US"/>
                    </w:rPr>
                    <w:lastRenderedPageBreak/>
                    <w:t>30</w:t>
                  </w:r>
                </w:p>
              </w:tc>
              <w:tc>
                <w:tcPr>
                  <w:tcW w:w="1701" w:type="dxa"/>
                  <w:shd w:val="clear" w:color="auto" w:fill="auto"/>
                </w:tcPr>
                <w:p w:rsidR="00924DD9" w:rsidRDefault="00924DD9">
                  <w:pPr>
                    <w:jc w:val="center"/>
                    <w:rPr>
                      <w:rFonts w:eastAsia="Calibri"/>
                      <w:bCs/>
                      <w:i/>
                      <w:szCs w:val="24"/>
                    </w:rPr>
                  </w:pPr>
                </w:p>
              </w:tc>
              <w:tc>
                <w:tcPr>
                  <w:tcW w:w="1559" w:type="dxa"/>
                  <w:shd w:val="clear" w:color="auto" w:fill="auto"/>
                </w:tcPr>
                <w:p w:rsidR="00924DD9" w:rsidRDefault="00924DD9">
                  <w:pPr>
                    <w:jc w:val="center"/>
                    <w:rPr>
                      <w:rFonts w:eastAsia="Calibri"/>
                      <w:i/>
                      <w:szCs w:val="24"/>
                    </w:rPr>
                  </w:pPr>
                </w:p>
              </w:tc>
            </w:tr>
            <w:tr w:rsidR="00EF1232" w:rsidTr="004F5A19">
              <w:tc>
                <w:tcPr>
                  <w:tcW w:w="3006" w:type="dxa"/>
                  <w:shd w:val="clear" w:color="auto" w:fill="auto"/>
                </w:tcPr>
                <w:p w:rsidR="00EF1232" w:rsidRDefault="00EF1232" w:rsidP="00924DD9">
                  <w:pPr>
                    <w:jc w:val="both"/>
                    <w:rPr>
                      <w:rFonts w:eastAsia="Calibri"/>
                      <w:b/>
                      <w:bCs/>
                      <w:caps/>
                      <w:szCs w:val="24"/>
                    </w:rPr>
                  </w:pPr>
                  <w:r>
                    <w:rPr>
                      <w:rFonts w:eastAsia="Calibri"/>
                      <w:b/>
                      <w:bCs/>
                      <w:caps/>
                      <w:szCs w:val="24"/>
                    </w:rPr>
                    <w:t xml:space="preserve">5. </w:t>
                  </w:r>
                  <w:r w:rsidRPr="00EF1232">
                    <w:rPr>
                      <w:b/>
                      <w:bCs/>
                      <w:szCs w:val="24"/>
                      <w:lang w:eastAsia="lt-LT"/>
                    </w:rPr>
                    <w:t>Įgyvendinus projektą iš ūkio subjektų už MTEP ir meno užsakymus  planuojamos gauti lėšos, tenkančios institucijos mokslininko visos darbo dienos atitikmeniui, (tūkst. Eur).</w:t>
                  </w:r>
                </w:p>
              </w:tc>
              <w:tc>
                <w:tcPr>
                  <w:tcW w:w="6271" w:type="dxa"/>
                  <w:gridSpan w:val="2"/>
                  <w:shd w:val="clear" w:color="auto" w:fill="auto"/>
                </w:tcPr>
                <w:p w:rsidR="00EF1232" w:rsidRPr="00EF1232" w:rsidRDefault="00EF1232" w:rsidP="00EF1232">
                  <w:pPr>
                    <w:widowControl w:val="0"/>
                    <w:jc w:val="both"/>
                    <w:textAlignment w:val="baseline"/>
                    <w:rPr>
                      <w:szCs w:val="24"/>
                    </w:rPr>
                  </w:pPr>
                  <w:r w:rsidRPr="00EF1232">
                    <w:rPr>
                      <w:szCs w:val="24"/>
                    </w:rPr>
                    <w:t>Vertinama pareiškėjo pateikta pagrįsta analizė dėl prognozuojamų gauti lėšų iš ūkio subjektų užsakymų trečiaisiais finansiniais metais po projekto veiklų įgyvendinimo pabaigos.</w:t>
                  </w:r>
                </w:p>
                <w:p w:rsidR="00EF1232" w:rsidRPr="00EF1232" w:rsidRDefault="00EF1232" w:rsidP="00EF1232">
                  <w:pPr>
                    <w:widowControl w:val="0"/>
                    <w:jc w:val="both"/>
                    <w:textAlignment w:val="baseline"/>
                    <w:rPr>
                      <w:szCs w:val="24"/>
                    </w:rPr>
                  </w:pPr>
                  <w:r w:rsidRPr="00EF1232">
                    <w:rPr>
                      <w:szCs w:val="24"/>
                    </w:rPr>
                    <w:t xml:space="preserve">Vadovaujantis Lietuvos Respublikos valstybės biudžeto lėšų moksliniams tyrimams, eksperimentinei plėtrai ir meno veiklai plėtoti skyrimo mokslo ir studijų institucijoms tvarkos aprašu, patvirtintu Lietuvos Respublikos Vyriausybės 2017 m. kovo 1 d. nutarimu Nr. 149 (2017 m. rugpjūčio 9 d. nutarimo Nr. 668 redakcija), užsakymų lėšos apima pareiškėjo lėšas, planuojamas </w:t>
                  </w:r>
                  <w:r w:rsidRPr="00EF1232">
                    <w:rPr>
                      <w:szCs w:val="24"/>
                    </w:rPr>
                    <w:lastRenderedPageBreak/>
                    <w:t>gauti:</w:t>
                  </w:r>
                </w:p>
                <w:p w:rsidR="00EF1232" w:rsidRPr="00EF1232" w:rsidRDefault="00EF1232" w:rsidP="00EF1232">
                  <w:pPr>
                    <w:widowControl w:val="0"/>
                    <w:jc w:val="both"/>
                    <w:textAlignment w:val="baseline"/>
                    <w:rPr>
                      <w:szCs w:val="24"/>
                    </w:rPr>
                  </w:pPr>
                  <w:r w:rsidRPr="00EF1232">
                    <w:rPr>
                      <w:szCs w:val="24"/>
                    </w:rPr>
                    <w:t>1) per patentų (ar patentų paraiškų) licencines sutartis;</w:t>
                  </w:r>
                </w:p>
                <w:p w:rsidR="00EF1232" w:rsidRPr="00EF1232" w:rsidRDefault="00EF1232" w:rsidP="00EF1232">
                  <w:pPr>
                    <w:widowControl w:val="0"/>
                    <w:jc w:val="both"/>
                    <w:textAlignment w:val="baseline"/>
                    <w:rPr>
                      <w:szCs w:val="24"/>
                    </w:rPr>
                  </w:pPr>
                  <w:r w:rsidRPr="00EF1232">
                    <w:rPr>
                      <w:szCs w:val="24"/>
                    </w:rPr>
                    <w:t>2) už ūkio subjektų meno užsakymų vykdymą;</w:t>
                  </w:r>
                </w:p>
                <w:p w:rsidR="00EF1232" w:rsidRPr="00EF1232" w:rsidRDefault="00EF1232" w:rsidP="00EF1232">
                  <w:pPr>
                    <w:widowControl w:val="0"/>
                    <w:jc w:val="both"/>
                    <w:textAlignment w:val="baseline"/>
                    <w:rPr>
                      <w:szCs w:val="24"/>
                    </w:rPr>
                  </w:pPr>
                  <w:r w:rsidRPr="00EF1232">
                    <w:rPr>
                      <w:szCs w:val="24"/>
                    </w:rPr>
                    <w:t>3) už ūkio subjektų MTEP užsakymų vykdymą.</w:t>
                  </w:r>
                </w:p>
                <w:p w:rsidR="00EF1232" w:rsidRDefault="00EF1232" w:rsidP="00EF1232">
                  <w:pPr>
                    <w:widowControl w:val="0"/>
                    <w:jc w:val="both"/>
                    <w:textAlignment w:val="baseline"/>
                    <w:rPr>
                      <w:szCs w:val="24"/>
                    </w:rPr>
                  </w:pPr>
                  <w:r w:rsidRPr="00EF1232">
                    <w:rPr>
                      <w:szCs w:val="24"/>
                    </w:rPr>
                    <w:t xml:space="preserve">Didesnis prioritetinis balas suteikiamas tiems projektams, kuriuose pareiškėjas, įgyvendinęs projekto veiklas, įsipareigoja užtikrinti didesnę lėšų, planuojamų gauti </w:t>
                  </w:r>
                  <w:r w:rsidR="005E6563">
                    <w:rPr>
                      <w:szCs w:val="24"/>
                    </w:rPr>
                    <w:t>už MTEP ir me</w:t>
                  </w:r>
                  <w:r w:rsidR="00CC753C">
                    <w:rPr>
                      <w:szCs w:val="24"/>
                    </w:rPr>
                    <w:t xml:space="preserve">no veiklas </w:t>
                  </w:r>
                  <w:r w:rsidRPr="00EF1232">
                    <w:rPr>
                      <w:szCs w:val="24"/>
                    </w:rPr>
                    <w:t>iš ūkio subjektų, apimtį. Analizuojami rodikliai paskaičiuoti institucijos mokslininko visos darbo dienos atitikmeniui.</w:t>
                  </w:r>
                </w:p>
                <w:p w:rsidR="00CC753C" w:rsidRPr="00E56134" w:rsidRDefault="00CC753C" w:rsidP="00CC753C">
                  <w:r w:rsidRPr="00E56134">
                    <w:t>Vertinimo skalė</w:t>
                  </w:r>
                  <w:r w:rsidR="00E56134" w:rsidRPr="00E56134">
                    <w:t>:</w:t>
                  </w:r>
                </w:p>
                <w:p w:rsidR="00CC753C" w:rsidRPr="00E56134" w:rsidRDefault="00CC753C" w:rsidP="00E56134">
                  <w:pPr>
                    <w:jc w:val="both"/>
                  </w:pPr>
                  <w:r w:rsidRPr="00E56134">
                    <w:t xml:space="preserve">Projektams, kurie prognozuoja gauti lėšų iš ūkio subjektų užsakymų, skaičiuojant institucijos mokslininko visos darbo dienos ekvivalentui: </w:t>
                  </w:r>
                </w:p>
                <w:p w:rsidR="00CC753C" w:rsidRPr="00E56134" w:rsidRDefault="00CC753C" w:rsidP="00CC753C">
                  <w:pPr>
                    <w:ind w:firstLine="628"/>
                  </w:pPr>
                  <w:r w:rsidRPr="00E56134">
                    <w:t xml:space="preserve">lygiai arba daugiau kaip 3 tūkst. </w:t>
                  </w:r>
                  <w:r w:rsidR="00CB411C">
                    <w:t xml:space="preserve">eurų </w:t>
                  </w:r>
                  <w:r w:rsidRPr="00E56134">
                    <w:t xml:space="preserve">– 20 balų; </w:t>
                  </w:r>
                </w:p>
                <w:p w:rsidR="00CC753C" w:rsidRPr="00E56134" w:rsidRDefault="00CC753C" w:rsidP="00CC753C">
                  <w:pPr>
                    <w:ind w:firstLine="628"/>
                  </w:pPr>
                  <w:r w:rsidRPr="00E56134">
                    <w:t xml:space="preserve">lygiai arba daugiau kaip 2 tūkst. </w:t>
                  </w:r>
                  <w:r w:rsidR="00CB411C">
                    <w:t>eurų</w:t>
                  </w:r>
                  <w:r w:rsidR="00FC2319">
                    <w:t xml:space="preserve"> </w:t>
                  </w:r>
                  <w:r w:rsidRPr="00E56134">
                    <w:t xml:space="preserve">– 15 balų; </w:t>
                  </w:r>
                </w:p>
                <w:p w:rsidR="00CC753C" w:rsidRPr="00E56134" w:rsidRDefault="00CC753C" w:rsidP="00CC753C">
                  <w:pPr>
                    <w:ind w:firstLine="628"/>
                  </w:pPr>
                  <w:r w:rsidRPr="00E56134">
                    <w:t xml:space="preserve">lygiai arba daugiau kaip 1 tūkst. </w:t>
                  </w:r>
                  <w:r w:rsidR="00FC2319">
                    <w:t xml:space="preserve">eurų </w:t>
                  </w:r>
                  <w:r w:rsidRPr="00E56134">
                    <w:t>– 10 balų;</w:t>
                  </w:r>
                </w:p>
                <w:p w:rsidR="00E44E17" w:rsidRPr="00E44E17" w:rsidRDefault="00CC753C" w:rsidP="00E56134">
                  <w:pPr>
                    <w:widowControl w:val="0"/>
                    <w:ind w:firstLine="628"/>
                    <w:jc w:val="both"/>
                    <w:textAlignment w:val="baseline"/>
                    <w:rPr>
                      <w:szCs w:val="24"/>
                    </w:rPr>
                  </w:pPr>
                  <w:r w:rsidRPr="00E56134">
                    <w:t xml:space="preserve">lygiai arba daugiau kaip 0,5 tūkst. </w:t>
                  </w:r>
                  <w:r w:rsidR="00FC2319">
                    <w:t xml:space="preserve">eurų </w:t>
                  </w:r>
                  <w:r w:rsidRPr="00E56134">
                    <w:t>– 5 balai.</w:t>
                  </w:r>
                </w:p>
              </w:tc>
              <w:tc>
                <w:tcPr>
                  <w:tcW w:w="1699" w:type="dxa"/>
                  <w:shd w:val="clear" w:color="auto" w:fill="auto"/>
                </w:tcPr>
                <w:p w:rsidR="00EF1232" w:rsidRDefault="00736D37">
                  <w:pPr>
                    <w:jc w:val="center"/>
                    <w:rPr>
                      <w:rFonts w:eastAsia="Calibri"/>
                      <w:bCs/>
                      <w:szCs w:val="24"/>
                      <w:lang w:val="en-US"/>
                    </w:rPr>
                  </w:pPr>
                  <w:r>
                    <w:rPr>
                      <w:rFonts w:eastAsia="Calibri"/>
                      <w:bCs/>
                      <w:szCs w:val="24"/>
                      <w:lang w:val="en-US"/>
                    </w:rPr>
                    <w:lastRenderedPageBreak/>
                    <w:t>20</w:t>
                  </w:r>
                </w:p>
              </w:tc>
              <w:tc>
                <w:tcPr>
                  <w:tcW w:w="1701" w:type="dxa"/>
                  <w:shd w:val="clear" w:color="auto" w:fill="auto"/>
                </w:tcPr>
                <w:p w:rsidR="00EF1232" w:rsidRDefault="00EF1232">
                  <w:pPr>
                    <w:jc w:val="center"/>
                    <w:rPr>
                      <w:rFonts w:eastAsia="Calibri"/>
                      <w:bCs/>
                      <w:i/>
                      <w:szCs w:val="24"/>
                    </w:rPr>
                  </w:pPr>
                </w:p>
              </w:tc>
              <w:tc>
                <w:tcPr>
                  <w:tcW w:w="1559" w:type="dxa"/>
                  <w:shd w:val="clear" w:color="auto" w:fill="auto"/>
                </w:tcPr>
                <w:p w:rsidR="00EF1232" w:rsidRDefault="00EF1232">
                  <w:pPr>
                    <w:jc w:val="center"/>
                    <w:rPr>
                      <w:rFonts w:eastAsia="Calibri"/>
                      <w:i/>
                      <w:szCs w:val="24"/>
                    </w:rPr>
                  </w:pPr>
                </w:p>
              </w:tc>
            </w:tr>
            <w:tr w:rsidR="00EF1232" w:rsidTr="004F5A19">
              <w:tc>
                <w:tcPr>
                  <w:tcW w:w="3006" w:type="dxa"/>
                  <w:shd w:val="clear" w:color="auto" w:fill="auto"/>
                </w:tcPr>
                <w:p w:rsidR="00EF1232" w:rsidRDefault="00EF1232" w:rsidP="00924DD9">
                  <w:pPr>
                    <w:jc w:val="both"/>
                    <w:rPr>
                      <w:rFonts w:eastAsia="Calibri"/>
                      <w:b/>
                      <w:bCs/>
                      <w:caps/>
                      <w:szCs w:val="24"/>
                    </w:rPr>
                  </w:pPr>
                  <w:r>
                    <w:rPr>
                      <w:rFonts w:eastAsia="Calibri"/>
                      <w:b/>
                      <w:bCs/>
                      <w:caps/>
                      <w:szCs w:val="24"/>
                    </w:rPr>
                    <w:t xml:space="preserve">6. </w:t>
                  </w:r>
                  <w:r w:rsidRPr="00EF1232">
                    <w:rPr>
                      <w:b/>
                      <w:bCs/>
                      <w:szCs w:val="24"/>
                      <w:lang w:eastAsia="lt-LT"/>
                    </w:rPr>
                    <w:t>Planuojamas unikalių išorės vartotojų MTEP ir meno užsakymams skaičiaus padidėjimas (vnt.) įgyvendinus projektą.</w:t>
                  </w:r>
                </w:p>
              </w:tc>
              <w:tc>
                <w:tcPr>
                  <w:tcW w:w="6271" w:type="dxa"/>
                  <w:gridSpan w:val="2"/>
                  <w:shd w:val="clear" w:color="auto" w:fill="auto"/>
                </w:tcPr>
                <w:p w:rsidR="00EF1232" w:rsidRPr="00EF1232" w:rsidRDefault="00EF1232" w:rsidP="00EF1232">
                  <w:pPr>
                    <w:widowControl w:val="0"/>
                    <w:jc w:val="both"/>
                    <w:textAlignment w:val="baseline"/>
                    <w:rPr>
                      <w:szCs w:val="24"/>
                    </w:rPr>
                  </w:pPr>
                  <w:r w:rsidRPr="00EF1232">
                    <w:rPr>
                      <w:szCs w:val="24"/>
                    </w:rPr>
                    <w:t>Vertinama pareiškėjo pateikta pagrįsta analizė dėl prognozuojamų unikalių išorės vartotojų MTEP ir meno užsakymams skaičiaus padidėjimo trečiaisiais finansiniais metais po projekto veiklų įgyvendinimo pabaigos lyginant su 2019 metais.</w:t>
                  </w:r>
                </w:p>
                <w:p w:rsidR="00EF1232" w:rsidRPr="00EF1232" w:rsidRDefault="00EF1232" w:rsidP="00EF1232">
                  <w:pPr>
                    <w:widowControl w:val="0"/>
                    <w:jc w:val="both"/>
                    <w:textAlignment w:val="baseline"/>
                    <w:rPr>
                      <w:szCs w:val="24"/>
                    </w:rPr>
                  </w:pPr>
                  <w:r w:rsidRPr="00EF1232">
                    <w:rPr>
                      <w:szCs w:val="24"/>
                    </w:rPr>
                    <w:t>Didesnis prioritetinis balas suteikimas tiems projektams, po kurių įgyvendinimo pareiškėjas įsipareigoja:</w:t>
                  </w:r>
                </w:p>
                <w:p w:rsidR="00EF1232" w:rsidRPr="00EF1232" w:rsidRDefault="00EF1232" w:rsidP="00EF1232">
                  <w:pPr>
                    <w:widowControl w:val="0"/>
                    <w:jc w:val="both"/>
                    <w:textAlignment w:val="baseline"/>
                    <w:rPr>
                      <w:szCs w:val="24"/>
                    </w:rPr>
                  </w:pPr>
                  <w:r w:rsidRPr="00EF1232">
                    <w:rPr>
                      <w:szCs w:val="24"/>
                    </w:rPr>
                    <w:t>- užtikrinti tam tikrą unikalių išorės vartotojų skaičiaus augimą;</w:t>
                  </w:r>
                </w:p>
                <w:p w:rsidR="00EF1232" w:rsidRPr="00EF1232" w:rsidRDefault="00EF1232" w:rsidP="00EF1232">
                  <w:pPr>
                    <w:widowControl w:val="0"/>
                    <w:jc w:val="both"/>
                    <w:textAlignment w:val="baseline"/>
                    <w:rPr>
                      <w:szCs w:val="24"/>
                    </w:rPr>
                  </w:pPr>
                  <w:r w:rsidRPr="00EF1232">
                    <w:rPr>
                      <w:szCs w:val="24"/>
                    </w:rPr>
                    <w:t xml:space="preserve">- </w:t>
                  </w:r>
                  <w:r w:rsidRPr="001B3D7A">
                    <w:rPr>
                      <w:szCs w:val="24"/>
                    </w:rPr>
                    <w:t>pasiekti tam tikrą užsienio vartotojų skaičiaus augimą</w:t>
                  </w:r>
                  <w:r w:rsidRPr="00EF1232">
                    <w:rPr>
                      <w:szCs w:val="24"/>
                    </w:rPr>
                    <w:t>.</w:t>
                  </w:r>
                </w:p>
                <w:p w:rsidR="00EF1232" w:rsidRDefault="00EF1232" w:rsidP="00EF1232">
                  <w:pPr>
                    <w:widowControl w:val="0"/>
                    <w:jc w:val="both"/>
                    <w:textAlignment w:val="baseline"/>
                    <w:rPr>
                      <w:rStyle w:val="Hipersaitas"/>
                      <w:szCs w:val="24"/>
                    </w:rPr>
                  </w:pPr>
                  <w:r w:rsidRPr="00EF1232">
                    <w:rPr>
                      <w:szCs w:val="24"/>
                    </w:rPr>
                    <w:t xml:space="preserve">Vertinama pagal su išorės vartotojais planuojamas sudaryti sutartis MTEP ir meno užsakymams vykdyti. Užsakymai pripažįstami MTEP paslaugomis, vadovaujantis Ekonominio bendradarbiavimo ir plėtros organizacijos parengta standartine praktika, kuri siūloma MTEP duomenų rinkimo ir teikimo </w:t>
                  </w:r>
                  <w:r w:rsidRPr="00EF1232">
                    <w:rPr>
                      <w:szCs w:val="24"/>
                    </w:rPr>
                    <w:lastRenderedPageBreak/>
                    <w:t xml:space="preserve">gairių leidinio „Frascati vadovas“ (2015) 2 skyriaus 2.6–2.8 papunkčių nuostatomis: </w:t>
                  </w:r>
                  <w:hyperlink r:id="rId17" w:history="1">
                    <w:r w:rsidRPr="00A92252">
                      <w:rPr>
                        <w:rStyle w:val="Hipersaitas"/>
                        <w:szCs w:val="24"/>
                      </w:rPr>
                      <w:t>https://www.oecd.org/sti/inno/frascati-manual.htm</w:t>
                    </w:r>
                  </w:hyperlink>
                </w:p>
                <w:p w:rsidR="00D251D8" w:rsidRDefault="00D251D8" w:rsidP="00EF1232">
                  <w:pPr>
                    <w:widowControl w:val="0"/>
                    <w:jc w:val="both"/>
                    <w:textAlignment w:val="baseline"/>
                    <w:rPr>
                      <w:szCs w:val="24"/>
                    </w:rPr>
                  </w:pPr>
                </w:p>
                <w:p w:rsidR="00B52645" w:rsidRPr="0053763C" w:rsidRDefault="001B3D7A" w:rsidP="0053763C">
                  <w:pPr>
                    <w:jc w:val="both"/>
                  </w:pPr>
                  <w:r w:rsidRPr="0053763C">
                    <w:t>Už kiekvienų</w:t>
                  </w:r>
                  <w:r w:rsidR="00B52645" w:rsidRPr="0053763C">
                    <w:t xml:space="preserve"> 2 vnt. unikalių vartotojų pritraukimą </w:t>
                  </w:r>
                  <w:r w:rsidRPr="0053763C">
                    <w:t>projektui skiriamas 1 balas. Maksimali</w:t>
                  </w:r>
                  <w:r w:rsidR="00B52645" w:rsidRPr="0053763C">
                    <w:t xml:space="preserve"> </w:t>
                  </w:r>
                  <w:r w:rsidRPr="0053763C">
                    <w:t>balų</w:t>
                  </w:r>
                  <w:r w:rsidR="00B52645" w:rsidRPr="0053763C">
                    <w:t xml:space="preserve"> už </w:t>
                  </w:r>
                  <w:r w:rsidR="00B52645" w:rsidRPr="0053763C">
                    <w:rPr>
                      <w:szCs w:val="24"/>
                    </w:rPr>
                    <w:t xml:space="preserve">unikalių išorės vartotojų MTEP ir meno užsakymams skaičiaus padidėjimą </w:t>
                  </w:r>
                  <w:r w:rsidRPr="0053763C">
                    <w:rPr>
                      <w:szCs w:val="24"/>
                    </w:rPr>
                    <w:t>suma – 5 balai</w:t>
                  </w:r>
                  <w:r w:rsidR="00B52645" w:rsidRPr="0053763C">
                    <w:rPr>
                      <w:szCs w:val="24"/>
                    </w:rPr>
                    <w:t>.</w:t>
                  </w:r>
                </w:p>
                <w:p w:rsidR="00B52645" w:rsidRPr="0053763C" w:rsidRDefault="00B52645" w:rsidP="00B52645"/>
                <w:p w:rsidR="003267D2" w:rsidRPr="009A26AC" w:rsidRDefault="00B52645" w:rsidP="003267D2">
                  <w:pPr>
                    <w:widowControl w:val="0"/>
                    <w:jc w:val="both"/>
                    <w:textAlignment w:val="baseline"/>
                    <w:rPr>
                      <w:szCs w:val="24"/>
                    </w:rPr>
                  </w:pPr>
                  <w:r w:rsidRPr="0053763C">
                    <w:t xml:space="preserve">Už kiekvieno </w:t>
                  </w:r>
                  <w:r w:rsidR="001B3D7A" w:rsidRPr="0053763C">
                    <w:t>papildomo unikalaus užsienio</w:t>
                  </w:r>
                  <w:r w:rsidRPr="0053763C">
                    <w:t xml:space="preserve"> vartotojo pritraukimą projektui skiriamas 1 balas. </w:t>
                  </w:r>
                  <w:r w:rsidR="001B3D7A" w:rsidRPr="0053763C">
                    <w:t>Maksimali balų</w:t>
                  </w:r>
                  <w:r w:rsidRPr="0053763C">
                    <w:t xml:space="preserve"> už </w:t>
                  </w:r>
                  <w:r w:rsidRPr="0053763C">
                    <w:rPr>
                      <w:szCs w:val="24"/>
                    </w:rPr>
                    <w:t xml:space="preserve">unikalių tarptautinių išorės vartotojų MTEP ir </w:t>
                  </w:r>
                  <w:r w:rsidRPr="001B3D7A">
                    <w:rPr>
                      <w:szCs w:val="24"/>
                    </w:rPr>
                    <w:t xml:space="preserve">meno užsakymams skaičiaus padidėjimą </w:t>
                  </w:r>
                  <w:r w:rsidR="001B3D7A" w:rsidRPr="0053763C">
                    <w:rPr>
                      <w:szCs w:val="24"/>
                    </w:rPr>
                    <w:t xml:space="preserve">suma </w:t>
                  </w:r>
                  <w:r w:rsidRPr="001B3D7A">
                    <w:rPr>
                      <w:szCs w:val="24"/>
                    </w:rPr>
                    <w:t xml:space="preserve">– </w:t>
                  </w:r>
                  <w:r w:rsidR="000F1B6E" w:rsidRPr="001B3D7A">
                    <w:rPr>
                      <w:szCs w:val="24"/>
                    </w:rPr>
                    <w:t>5</w:t>
                  </w:r>
                  <w:r w:rsidRPr="001B3D7A">
                    <w:rPr>
                      <w:szCs w:val="24"/>
                    </w:rPr>
                    <w:t xml:space="preserve"> </w:t>
                  </w:r>
                  <w:r w:rsidR="000F1B6E" w:rsidRPr="001B3D7A">
                    <w:rPr>
                      <w:szCs w:val="24"/>
                    </w:rPr>
                    <w:t>balai</w:t>
                  </w:r>
                  <w:r w:rsidRPr="001B3D7A">
                    <w:rPr>
                      <w:szCs w:val="24"/>
                    </w:rPr>
                    <w:t>.</w:t>
                  </w:r>
                </w:p>
              </w:tc>
              <w:tc>
                <w:tcPr>
                  <w:tcW w:w="1699" w:type="dxa"/>
                  <w:shd w:val="clear" w:color="auto" w:fill="auto"/>
                </w:tcPr>
                <w:p w:rsidR="00EF1232" w:rsidRDefault="00907061">
                  <w:pPr>
                    <w:jc w:val="center"/>
                    <w:rPr>
                      <w:rFonts w:eastAsia="Calibri"/>
                      <w:bCs/>
                      <w:szCs w:val="24"/>
                      <w:lang w:val="en-US"/>
                    </w:rPr>
                  </w:pPr>
                  <w:r>
                    <w:rPr>
                      <w:rFonts w:eastAsia="Calibri"/>
                      <w:bCs/>
                      <w:szCs w:val="24"/>
                      <w:lang w:val="en-US"/>
                    </w:rPr>
                    <w:lastRenderedPageBreak/>
                    <w:t>1</w:t>
                  </w:r>
                  <w:r w:rsidR="00F12052">
                    <w:rPr>
                      <w:rFonts w:eastAsia="Calibri"/>
                      <w:bCs/>
                      <w:szCs w:val="24"/>
                      <w:lang w:val="en-US"/>
                    </w:rPr>
                    <w:t>0</w:t>
                  </w:r>
                </w:p>
              </w:tc>
              <w:tc>
                <w:tcPr>
                  <w:tcW w:w="1701" w:type="dxa"/>
                  <w:shd w:val="clear" w:color="auto" w:fill="auto"/>
                </w:tcPr>
                <w:p w:rsidR="00EF1232" w:rsidRDefault="00EF1232">
                  <w:pPr>
                    <w:jc w:val="center"/>
                    <w:rPr>
                      <w:rFonts w:eastAsia="Calibri"/>
                      <w:bCs/>
                      <w:i/>
                      <w:szCs w:val="24"/>
                    </w:rPr>
                  </w:pPr>
                </w:p>
              </w:tc>
              <w:tc>
                <w:tcPr>
                  <w:tcW w:w="1559" w:type="dxa"/>
                  <w:shd w:val="clear" w:color="auto" w:fill="auto"/>
                </w:tcPr>
                <w:p w:rsidR="00EF1232" w:rsidRDefault="00EF1232">
                  <w:pPr>
                    <w:jc w:val="center"/>
                    <w:rPr>
                      <w:rFonts w:eastAsia="Calibri"/>
                      <w:i/>
                      <w:szCs w:val="24"/>
                    </w:rPr>
                  </w:pPr>
                </w:p>
              </w:tc>
            </w:tr>
            <w:tr w:rsidR="00362019" w:rsidTr="004F5A19">
              <w:tc>
                <w:tcPr>
                  <w:tcW w:w="9277" w:type="dxa"/>
                  <w:gridSpan w:val="3"/>
                  <w:shd w:val="clear" w:color="auto" w:fill="auto"/>
                </w:tcPr>
                <w:p w:rsidR="00362019" w:rsidRDefault="008920BD">
                  <w:pPr>
                    <w:jc w:val="right"/>
                    <w:rPr>
                      <w:rFonts w:eastAsia="Calibri"/>
                      <w:b/>
                      <w:bCs/>
                      <w:caps/>
                      <w:szCs w:val="24"/>
                    </w:rPr>
                  </w:pPr>
                  <w:r>
                    <w:rPr>
                      <w:rFonts w:eastAsia="Calibri"/>
                      <w:b/>
                      <w:bCs/>
                      <w:szCs w:val="24"/>
                    </w:rPr>
                    <w:t>Suma</w:t>
                  </w:r>
                  <w:r>
                    <w:rPr>
                      <w:rFonts w:eastAsia="Calibri"/>
                      <w:b/>
                      <w:bCs/>
                      <w:caps/>
                      <w:szCs w:val="24"/>
                    </w:rPr>
                    <w:t>:</w:t>
                  </w:r>
                </w:p>
              </w:tc>
              <w:tc>
                <w:tcPr>
                  <w:tcW w:w="1699" w:type="dxa"/>
                  <w:shd w:val="clear" w:color="auto" w:fill="auto"/>
                </w:tcPr>
                <w:p w:rsidR="00362019" w:rsidRDefault="008920BD">
                  <w:pPr>
                    <w:jc w:val="center"/>
                    <w:rPr>
                      <w:rFonts w:eastAsia="Calibri"/>
                      <w:b/>
                      <w:bCs/>
                      <w:caps/>
                      <w:szCs w:val="24"/>
                      <w:highlight w:val="yellow"/>
                    </w:rPr>
                  </w:pPr>
                  <w:r>
                    <w:rPr>
                      <w:rFonts w:eastAsia="Calibri"/>
                      <w:b/>
                      <w:bCs/>
                      <w:caps/>
                      <w:szCs w:val="24"/>
                    </w:rPr>
                    <w:t>100</w:t>
                  </w:r>
                </w:p>
              </w:tc>
              <w:tc>
                <w:tcPr>
                  <w:tcW w:w="1701" w:type="dxa"/>
                  <w:shd w:val="clear" w:color="auto" w:fill="auto"/>
                </w:tcPr>
                <w:p w:rsidR="00362019" w:rsidRDefault="00362019">
                  <w:pPr>
                    <w:ind w:left="-57" w:right="-57"/>
                    <w:rPr>
                      <w:rFonts w:eastAsia="Calibri"/>
                      <w:bCs/>
                      <w:i/>
                      <w:szCs w:val="24"/>
                    </w:rPr>
                  </w:pPr>
                </w:p>
              </w:tc>
              <w:tc>
                <w:tcPr>
                  <w:tcW w:w="1559" w:type="dxa"/>
                  <w:shd w:val="clear" w:color="auto" w:fill="BFBFBF"/>
                </w:tcPr>
                <w:p w:rsidR="00362019" w:rsidRDefault="00362019">
                  <w:pPr>
                    <w:jc w:val="center"/>
                    <w:rPr>
                      <w:rFonts w:eastAsia="Calibri"/>
                      <w:b/>
                      <w:bCs/>
                      <w:caps/>
                      <w:szCs w:val="24"/>
                    </w:rPr>
                  </w:pPr>
                </w:p>
              </w:tc>
            </w:tr>
            <w:tr w:rsidR="00362019" w:rsidTr="004F5A19">
              <w:tc>
                <w:tcPr>
                  <w:tcW w:w="9277" w:type="dxa"/>
                  <w:gridSpan w:val="3"/>
                  <w:shd w:val="clear" w:color="auto" w:fill="auto"/>
                </w:tcPr>
                <w:p w:rsidR="00362019" w:rsidRDefault="008920BD">
                  <w:pPr>
                    <w:jc w:val="right"/>
                    <w:rPr>
                      <w:rFonts w:eastAsia="Calibri"/>
                      <w:b/>
                      <w:bCs/>
                      <w:szCs w:val="24"/>
                    </w:rPr>
                  </w:pPr>
                  <w:r>
                    <w:rPr>
                      <w:rFonts w:eastAsia="Calibri"/>
                      <w:b/>
                      <w:bCs/>
                      <w:szCs w:val="24"/>
                    </w:rPr>
                    <w:t>Minimali privaloma surinkti balų suma:</w:t>
                  </w:r>
                </w:p>
              </w:tc>
              <w:tc>
                <w:tcPr>
                  <w:tcW w:w="1699" w:type="dxa"/>
                  <w:shd w:val="clear" w:color="auto" w:fill="auto"/>
                </w:tcPr>
                <w:p w:rsidR="00362019" w:rsidRPr="00EE0CEC" w:rsidRDefault="00F84C40">
                  <w:pPr>
                    <w:jc w:val="center"/>
                    <w:rPr>
                      <w:rFonts w:eastAsia="Calibri"/>
                      <w:b/>
                      <w:bCs/>
                      <w:caps/>
                      <w:szCs w:val="24"/>
                      <w:highlight w:val="yellow"/>
                      <w:lang w:val="en-GB"/>
                    </w:rPr>
                  </w:pPr>
                  <w:r w:rsidRPr="0053763C">
                    <w:rPr>
                      <w:rFonts w:eastAsia="Calibri"/>
                      <w:b/>
                      <w:bCs/>
                      <w:caps/>
                      <w:szCs w:val="24"/>
                      <w:lang w:val="en-US"/>
                    </w:rPr>
                    <w:t>31</w:t>
                  </w:r>
                </w:p>
              </w:tc>
              <w:tc>
                <w:tcPr>
                  <w:tcW w:w="1701" w:type="dxa"/>
                  <w:shd w:val="clear" w:color="auto" w:fill="auto"/>
                </w:tcPr>
                <w:p w:rsidR="00362019" w:rsidRDefault="00362019">
                  <w:pPr>
                    <w:jc w:val="center"/>
                    <w:rPr>
                      <w:rFonts w:eastAsia="Calibri"/>
                      <w:bCs/>
                      <w:i/>
                      <w:szCs w:val="24"/>
                    </w:rPr>
                  </w:pPr>
                </w:p>
              </w:tc>
              <w:tc>
                <w:tcPr>
                  <w:tcW w:w="1559" w:type="dxa"/>
                  <w:shd w:val="clear" w:color="auto" w:fill="BFBFBF"/>
                </w:tcPr>
                <w:p w:rsidR="00362019" w:rsidRDefault="00362019">
                  <w:pPr>
                    <w:jc w:val="center"/>
                    <w:rPr>
                      <w:rFonts w:eastAsia="Calibri"/>
                      <w:b/>
                      <w:bCs/>
                      <w:caps/>
                      <w:szCs w:val="24"/>
                    </w:rPr>
                  </w:pPr>
                </w:p>
              </w:tc>
            </w:tr>
          </w:tbl>
          <w:p w:rsidR="00362019" w:rsidRDefault="00362019">
            <w:pPr>
              <w:spacing w:line="276" w:lineRule="auto"/>
              <w:jc w:val="center"/>
              <w:rPr>
                <w:rFonts w:eastAsia="Calibri"/>
                <w:caps/>
                <w:szCs w:val="24"/>
              </w:rPr>
            </w:pPr>
          </w:p>
        </w:tc>
      </w:tr>
    </w:tbl>
    <w:p w:rsidR="00362019" w:rsidRDefault="00362019">
      <w:pPr>
        <w:tabs>
          <w:tab w:val="left" w:pos="9639"/>
        </w:tabs>
        <w:ind w:left="426"/>
        <w:jc w:val="both"/>
        <w:rPr>
          <w:rFonts w:eastAsia="Calibri"/>
        </w:rPr>
      </w:pPr>
    </w:p>
    <w:p w:rsidR="00362019" w:rsidRDefault="00362019">
      <w:pPr>
        <w:rPr>
          <w:sz w:val="18"/>
          <w:szCs w:val="18"/>
        </w:rPr>
      </w:pPr>
    </w:p>
    <w:p w:rsidR="00362019" w:rsidRDefault="008920BD">
      <w:pPr>
        <w:tabs>
          <w:tab w:val="left" w:pos="9639"/>
        </w:tabs>
        <w:jc w:val="both"/>
        <w:rPr>
          <w:rFonts w:eastAsia="Calibri"/>
        </w:rPr>
      </w:pPr>
      <w:r>
        <w:rPr>
          <w:rFonts w:eastAsia="Calibri"/>
        </w:rPr>
        <w:t>____________________________________                   ______________________</w:t>
      </w:r>
      <w:r>
        <w:rPr>
          <w:rFonts w:eastAsia="Calibri"/>
        </w:rPr>
        <w:tab/>
        <w:t>_______________________________________</w:t>
      </w:r>
    </w:p>
    <w:p w:rsidR="00362019" w:rsidRDefault="008920BD">
      <w:pPr>
        <w:tabs>
          <w:tab w:val="center" w:pos="10800"/>
        </w:tabs>
        <w:ind w:left="426" w:hanging="426"/>
        <w:jc w:val="both"/>
        <w:rPr>
          <w:rFonts w:eastAsia="Calibri"/>
          <w:sz w:val="18"/>
          <w:szCs w:val="18"/>
        </w:rPr>
      </w:pPr>
      <w:r>
        <w:rPr>
          <w:rFonts w:eastAsia="Calibri"/>
          <w:sz w:val="18"/>
          <w:szCs w:val="18"/>
        </w:rPr>
        <w:t>(paraiškos vertinimą atlikusios institucijos atsakingo                                                 (data)                                                                           (vardas ir pavardė, parašas, jei pildoma popierinė versija)</w:t>
      </w:r>
    </w:p>
    <w:p w:rsidR="00362019" w:rsidRDefault="008920BD">
      <w:pPr>
        <w:rPr>
          <w:rFonts w:eastAsia="Calibri"/>
          <w:sz w:val="18"/>
          <w:szCs w:val="18"/>
        </w:rPr>
      </w:pPr>
      <w:r>
        <w:rPr>
          <w:rFonts w:eastAsia="Calibri"/>
          <w:sz w:val="18"/>
          <w:szCs w:val="18"/>
        </w:rPr>
        <w:t>asmens pareigų pavadinimas)</w:t>
      </w:r>
    </w:p>
    <w:p w:rsidR="00362019" w:rsidRDefault="00362019">
      <w:pPr>
        <w:rPr>
          <w:rFonts w:eastAsia="Calibri"/>
          <w:szCs w:val="24"/>
        </w:rPr>
      </w:pPr>
    </w:p>
    <w:p w:rsidR="00362019" w:rsidRPr="00EF1232" w:rsidRDefault="008920BD" w:rsidP="00EF1232">
      <w:pPr>
        <w:jc w:val="center"/>
        <w:rPr>
          <w:szCs w:val="24"/>
        </w:rPr>
      </w:pPr>
      <w:r>
        <w:rPr>
          <w:rFonts w:eastAsia="Calibri"/>
          <w:szCs w:val="24"/>
        </w:rPr>
        <w:t>______________</w:t>
      </w:r>
    </w:p>
    <w:p w:rsidR="00362019" w:rsidRDefault="00362019">
      <w:pPr>
        <w:ind w:left="5529"/>
        <w:sectPr w:rsidR="00362019" w:rsidSect="0053763C">
          <w:pgSz w:w="16840" w:h="11907" w:orient="landscape" w:code="9"/>
          <w:pgMar w:top="1701" w:right="1105" w:bottom="1134" w:left="1701" w:header="288" w:footer="720" w:gutter="0"/>
          <w:pgNumType w:start="1"/>
          <w:cols w:space="720"/>
          <w:noEndnote/>
          <w:titlePg/>
          <w:docGrid w:linePitch="326"/>
        </w:sectPr>
      </w:pPr>
    </w:p>
    <w:p w:rsidR="00362019" w:rsidRDefault="008920BD" w:rsidP="004F5A19">
      <w:pPr>
        <w:ind w:right="-567" w:firstLine="4536"/>
        <w:rPr>
          <w:rFonts w:eastAsia="Calibri"/>
        </w:rPr>
      </w:pPr>
      <w:r>
        <w:rPr>
          <w:rFonts w:eastAsia="Calibri"/>
        </w:rPr>
        <w:lastRenderedPageBreak/>
        <w:t>2014–2020 metų Europos Sąjungos fondų</w:t>
      </w:r>
    </w:p>
    <w:p w:rsidR="00362019" w:rsidRDefault="008920BD" w:rsidP="004F5A19">
      <w:pPr>
        <w:ind w:right="-567" w:firstLine="4536"/>
        <w:rPr>
          <w:rFonts w:eastAsia="Calibri"/>
        </w:rPr>
      </w:pPr>
      <w:r>
        <w:rPr>
          <w:rFonts w:eastAsia="Calibri"/>
        </w:rPr>
        <w:t xml:space="preserve">investicijų veiksmų programos 1 prioriteto </w:t>
      </w:r>
    </w:p>
    <w:p w:rsidR="00362019" w:rsidRDefault="008920BD" w:rsidP="004F5A19">
      <w:pPr>
        <w:ind w:right="-567" w:firstLine="4536"/>
        <w:rPr>
          <w:rFonts w:eastAsia="Calibri"/>
        </w:rPr>
      </w:pPr>
      <w:r>
        <w:rPr>
          <w:rFonts w:eastAsia="Calibri"/>
        </w:rPr>
        <w:t>„Mokslinių tyrimų, eksperimentinės plėtros ir</w:t>
      </w:r>
    </w:p>
    <w:p w:rsidR="00362019" w:rsidRDefault="008920BD" w:rsidP="004F5A19">
      <w:pPr>
        <w:ind w:right="-567" w:firstLine="4536"/>
        <w:rPr>
          <w:rFonts w:eastAsia="Calibri"/>
        </w:rPr>
      </w:pPr>
      <w:r>
        <w:rPr>
          <w:rFonts w:eastAsia="Calibri"/>
        </w:rPr>
        <w:t>inovacijų skatinimas“ 01.2.2-CPVA-K-703</w:t>
      </w:r>
    </w:p>
    <w:p w:rsidR="00362019" w:rsidRDefault="008920BD" w:rsidP="004F5A19">
      <w:pPr>
        <w:ind w:right="-567" w:firstLine="4536"/>
        <w:rPr>
          <w:rFonts w:eastAsia="Calibri"/>
        </w:rPr>
      </w:pPr>
      <w:r>
        <w:rPr>
          <w:rFonts w:eastAsia="Calibri"/>
        </w:rPr>
        <w:t>priemonės „Kompetencijos centrų ir inovacijų ir</w:t>
      </w:r>
    </w:p>
    <w:p w:rsidR="004F5A19" w:rsidRDefault="008920BD" w:rsidP="004F5A19">
      <w:pPr>
        <w:ind w:right="-567" w:firstLine="4536"/>
        <w:rPr>
          <w:rFonts w:eastAsia="Calibri"/>
        </w:rPr>
      </w:pPr>
      <w:r>
        <w:rPr>
          <w:rFonts w:eastAsia="Calibri"/>
        </w:rPr>
        <w:t>technologijų perdavimo centrų veiklos skatinimas“</w:t>
      </w:r>
    </w:p>
    <w:p w:rsidR="00362019" w:rsidRDefault="008920BD" w:rsidP="004F5A19">
      <w:pPr>
        <w:ind w:right="-567" w:firstLine="4536"/>
        <w:rPr>
          <w:rFonts w:eastAsia="Calibri"/>
        </w:rPr>
      </w:pPr>
      <w:r>
        <w:rPr>
          <w:rFonts w:eastAsia="Calibri"/>
        </w:rPr>
        <w:t xml:space="preserve">projektų </w:t>
      </w:r>
      <w:r w:rsidR="00FF7F7D">
        <w:rPr>
          <w:rFonts w:eastAsia="Calibri"/>
        </w:rPr>
        <w:t>finansavimo sąlygų aprašo Nr. 4</w:t>
      </w:r>
    </w:p>
    <w:p w:rsidR="00362019" w:rsidRDefault="008920BD" w:rsidP="00FF7F7D">
      <w:pPr>
        <w:ind w:right="-709" w:firstLine="4536"/>
      </w:pPr>
      <w:r>
        <w:t>3 priedas</w:t>
      </w:r>
    </w:p>
    <w:p w:rsidR="00362019" w:rsidRDefault="00362019">
      <w:pPr>
        <w:jc w:val="both"/>
        <w:rPr>
          <w:szCs w:val="24"/>
          <w:lang w:eastAsia="lt-LT"/>
        </w:rPr>
      </w:pPr>
    </w:p>
    <w:p w:rsidR="00362019" w:rsidRDefault="008920BD">
      <w:pPr>
        <w:jc w:val="center"/>
        <w:rPr>
          <w:rFonts w:eastAsia="Calibri"/>
          <w:b/>
          <w:caps/>
        </w:rPr>
      </w:pPr>
      <w:r>
        <w:rPr>
          <w:rFonts w:eastAsia="Calibri"/>
          <w:b/>
          <w:caps/>
        </w:rPr>
        <w:t>INFORMACIJa, reikalingA projekto atitikČIAI projektų atrankos kriterijams įvertinti</w:t>
      </w:r>
    </w:p>
    <w:p w:rsidR="00362019" w:rsidRDefault="00362019">
      <w:pPr>
        <w:jc w:val="both"/>
        <w:rPr>
          <w:b/>
          <w:szCs w:val="24"/>
          <w:lang w:eastAsia="lt-LT"/>
        </w:rPr>
      </w:pPr>
    </w:p>
    <w:p w:rsidR="00170C9D" w:rsidRPr="00170C9D" w:rsidRDefault="0046725C" w:rsidP="00170C9D">
      <w:pPr>
        <w:ind w:right="-709"/>
        <w:jc w:val="both"/>
        <w:rPr>
          <w:rFonts w:eastAsia="Calibri"/>
          <w:szCs w:val="24"/>
        </w:rPr>
      </w:pPr>
      <w:r w:rsidRPr="00801454">
        <w:rPr>
          <w:b/>
          <w:szCs w:val="24"/>
          <w:lang w:eastAsia="lt-LT"/>
        </w:rPr>
        <w:t xml:space="preserve">1. </w:t>
      </w:r>
      <w:r w:rsidR="008920BD" w:rsidRPr="00170C9D">
        <w:rPr>
          <w:b/>
          <w:szCs w:val="24"/>
          <w:lang w:eastAsia="lt-LT"/>
        </w:rPr>
        <w:t>Projektas priskiriamas p</w:t>
      </w:r>
      <w:r w:rsidR="008920BD" w:rsidRPr="00170C9D">
        <w:rPr>
          <w:rFonts w:eastAsia="Calibri"/>
          <w:b/>
          <w:szCs w:val="24"/>
        </w:rPr>
        <w:t>rioritetinių mokslinių tyrimų ir eksperim</w:t>
      </w:r>
      <w:r w:rsidR="00FF7F7D" w:rsidRPr="00170C9D">
        <w:rPr>
          <w:rFonts w:eastAsia="Calibri"/>
          <w:b/>
          <w:szCs w:val="24"/>
        </w:rPr>
        <w:t>entinės</w:t>
      </w:r>
      <w:r w:rsidR="008920BD" w:rsidRPr="00170C9D">
        <w:rPr>
          <w:rFonts w:eastAsia="Calibri"/>
          <w:b/>
          <w:szCs w:val="24"/>
        </w:rPr>
        <w:t xml:space="preserve"> plėtros ir inovacijų raidos (sumanios</w:t>
      </w:r>
      <w:r w:rsidR="00FF7F7D" w:rsidRPr="00170C9D">
        <w:rPr>
          <w:rFonts w:eastAsia="Calibri"/>
          <w:b/>
          <w:szCs w:val="24"/>
        </w:rPr>
        <w:t>ios</w:t>
      </w:r>
      <w:r w:rsidR="008920BD" w:rsidRPr="00170C9D">
        <w:rPr>
          <w:rFonts w:eastAsia="Calibri"/>
          <w:b/>
          <w:szCs w:val="24"/>
        </w:rPr>
        <w:t xml:space="preserve"> speci</w:t>
      </w:r>
      <w:r w:rsidR="00FF7F7D" w:rsidRPr="00170C9D">
        <w:rPr>
          <w:rFonts w:eastAsia="Calibri"/>
          <w:b/>
          <w:szCs w:val="24"/>
        </w:rPr>
        <w:t>alizacijos)</w:t>
      </w:r>
      <w:r w:rsidR="008920BD" w:rsidRPr="00170C9D">
        <w:rPr>
          <w:rFonts w:eastAsia="Calibri"/>
          <w:b/>
          <w:szCs w:val="24"/>
        </w:rPr>
        <w:t xml:space="preserve"> prioritetui</w:t>
      </w:r>
      <w:r w:rsidR="00FF7F7D" w:rsidRPr="00170C9D">
        <w:rPr>
          <w:rFonts w:eastAsia="Calibri"/>
          <w:b/>
          <w:szCs w:val="24"/>
        </w:rPr>
        <w:t xml:space="preserve"> (-ams)</w:t>
      </w:r>
      <w:r w:rsidR="008920BD" w:rsidRPr="00170C9D">
        <w:rPr>
          <w:b/>
        </w:rPr>
        <w:t xml:space="preserve"> </w:t>
      </w:r>
      <w:r w:rsidR="00FF7F7D" w:rsidRPr="00170C9D">
        <w:rPr>
          <w:b/>
        </w:rPr>
        <w:t>ir jo (jų) įgyvendinimo tematikoms</w:t>
      </w:r>
      <w:r w:rsidR="00FF7F7D">
        <w:t xml:space="preserve"> </w:t>
      </w:r>
      <w:r w:rsidR="008920BD" w:rsidRPr="00170C9D">
        <w:rPr>
          <w:rFonts w:eastAsia="Calibri"/>
          <w:i/>
          <w:szCs w:val="24"/>
        </w:rPr>
        <w:t>(taikoma vertinant projekto atitiktį 2014–2020 metų Europos Sąjungos fondų investicijų veiksmų programos 1 prioriteto „Mokslinių tyrimų, eksperimentinės plėtros ir inovacijų skatinimas“ 01.2.2-CPVA-K-703 priemonės „Kompetencijos centrų ir inovacijų ir technologijų perdavimo centrų veiklos skatinimas“ projektų</w:t>
      </w:r>
      <w:r w:rsidR="00FF7F7D" w:rsidRPr="00170C9D">
        <w:rPr>
          <w:rFonts w:eastAsia="Calibri"/>
          <w:i/>
          <w:szCs w:val="24"/>
        </w:rPr>
        <w:t xml:space="preserve"> finansavimo sąlygų </w:t>
      </w:r>
      <w:r w:rsidR="00ED3DDC">
        <w:rPr>
          <w:rFonts w:eastAsia="Calibri"/>
          <w:i/>
          <w:szCs w:val="24"/>
        </w:rPr>
        <w:t xml:space="preserve">aprašo Nr. 4 </w:t>
      </w:r>
      <w:r w:rsidR="00FF7F7D" w:rsidRPr="00170C9D">
        <w:rPr>
          <w:rFonts w:eastAsia="Calibri"/>
          <w:i/>
          <w:szCs w:val="24"/>
        </w:rPr>
        <w:t>17 punkto reikalavimams</w:t>
      </w:r>
      <w:r w:rsidR="008920BD" w:rsidRPr="00170C9D">
        <w:rPr>
          <w:rFonts w:eastAsia="Calibri"/>
          <w:i/>
          <w:szCs w:val="24"/>
        </w:rPr>
        <w:t>)</w:t>
      </w:r>
      <w:r w:rsidR="00170C9D" w:rsidRPr="00170C9D">
        <w:rPr>
          <w:rFonts w:eastAsia="Calibri"/>
          <w:szCs w:val="24"/>
        </w:rPr>
        <w:t>:</w:t>
      </w:r>
    </w:p>
    <w:p w:rsidR="00170C9D" w:rsidRPr="00170C9D" w:rsidRDefault="00170C9D" w:rsidP="00170C9D">
      <w:pPr>
        <w:ind w:right="-709"/>
        <w:jc w:val="both"/>
        <w:rPr>
          <w:rFonts w:eastAsia="Calibri"/>
          <w:szCs w:val="24"/>
        </w:rPr>
      </w:pPr>
    </w:p>
    <w:tbl>
      <w:tblPr>
        <w:tblStyle w:val="Lentelstinklelis"/>
        <w:tblW w:w="9776" w:type="dxa"/>
        <w:tblLayout w:type="fixed"/>
        <w:tblLook w:val="04A0" w:firstRow="1" w:lastRow="0" w:firstColumn="1" w:lastColumn="0" w:noHBand="0" w:noVBand="1"/>
      </w:tblPr>
      <w:tblGrid>
        <w:gridCol w:w="2614"/>
        <w:gridCol w:w="755"/>
        <w:gridCol w:w="5415"/>
        <w:gridCol w:w="992"/>
      </w:tblGrid>
      <w:tr w:rsidR="00FF7F7D" w:rsidRPr="00D44AFA" w:rsidTr="00FF7F7D">
        <w:tc>
          <w:tcPr>
            <w:tcW w:w="3369" w:type="dxa"/>
            <w:gridSpan w:val="2"/>
            <w:shd w:val="clear" w:color="auto" w:fill="EEECE1"/>
            <w:vAlign w:val="center"/>
          </w:tcPr>
          <w:p w:rsidR="00FF7F7D" w:rsidRPr="00D44AFA" w:rsidRDefault="00FF7F7D" w:rsidP="00FF7F7D">
            <w:pPr>
              <w:jc w:val="both"/>
              <w:rPr>
                <w:b/>
                <w:szCs w:val="24"/>
              </w:rPr>
            </w:pPr>
            <w:r w:rsidRPr="00D44AFA">
              <w:rPr>
                <w:b/>
                <w:szCs w:val="24"/>
              </w:rPr>
              <w:t>Sumaniosios specializacijos prioritetas</w:t>
            </w:r>
          </w:p>
        </w:tc>
        <w:tc>
          <w:tcPr>
            <w:tcW w:w="6407" w:type="dxa"/>
            <w:gridSpan w:val="2"/>
            <w:shd w:val="clear" w:color="auto" w:fill="EEECE1"/>
            <w:vAlign w:val="center"/>
          </w:tcPr>
          <w:p w:rsidR="00FF7F7D" w:rsidRPr="00D44AFA" w:rsidRDefault="00FF7F7D" w:rsidP="00FF7F7D">
            <w:pPr>
              <w:jc w:val="both"/>
              <w:rPr>
                <w:b/>
                <w:szCs w:val="24"/>
              </w:rPr>
            </w:pPr>
            <w:r w:rsidRPr="00D44AFA">
              <w:rPr>
                <w:b/>
                <w:szCs w:val="24"/>
              </w:rPr>
              <w:t>Sumaniosios specializacijos prioriteto įgyvendinimo tematika</w:t>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1. Energetika ir tvari aplinka.</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1.1. Paskirstytojo ir centralizuoto generavimo, tinklų ir efektyvaus energijos vartojimo sistemos sąveikumo stiprinimas.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1.2. Esamų ir naujų galutinių vartotojų poreikių tenkinimas, energijos vartojimo efektyvumo, išmanumo stiprinimas.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1.3. Atsinaujinančiųjų biomasės ir saulės energijos išteklių panaudojimo ir atliekų perdirbimo energijai gauti plėtra.</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2. Sveikatos technologijos ir biotechnologijos</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2.1. Molekulinės technologijos medicinai ir biofarmacijai.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2.2. Pažangios taikomosios technologijos asmens ir visuomenės sveikatai.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2.3. Pažangi medicinos inžinerija ankstyvai diagnostikai ir gydymui.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3. Agroinovacijos ir maisto technologijos</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3.1. Tvarūs agrobiologiniai ištekliai ir saugus maistas.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vAlign w:val="center"/>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3.2. Beatliekis biožaliavų perdirbimas į vertingus komponentus</w:t>
            </w:r>
            <w:r w:rsidRPr="00D44AFA" w:rsidDel="00B86780">
              <w:rPr>
                <w:b/>
                <w:szCs w:val="24"/>
              </w:rPr>
              <w:t xml:space="preserve"> </w:t>
            </w:r>
            <w:r w:rsidRPr="00D44AFA">
              <w:rPr>
                <w:b/>
                <w:szCs w:val="24"/>
              </w:rPr>
              <w:t>.</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4. Nauji gamybos procesai, medžiagos ir technologijos</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4.1. Fotoninės ir lazerinės technologijos.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4.2. Pažangiosios medžiagos ir konstrukcijos.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4.3. Lanksčios produktų kūrimo ir gamybos technologijos</w:t>
            </w:r>
            <w:r w:rsidRPr="00D44AFA" w:rsidDel="00B86780">
              <w:rPr>
                <w:b/>
                <w:szCs w:val="24"/>
              </w:rPr>
              <w:t xml:space="preserve"> </w:t>
            </w:r>
            <w:r w:rsidRPr="00D44AFA">
              <w:rPr>
                <w:b/>
                <w:szCs w:val="24"/>
              </w:rPr>
              <w:t>.</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5. Išmanusis, netaršus, susietas transportas</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5.1. Išmaniosios transporto sistemos.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5.2. Tarptautinių transporto koridorių valdymo ir transporto rūšių integracijos technologijos (modeliai).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tcPr>
          <w:p w:rsidR="00FF7F7D" w:rsidRPr="00D44AFA" w:rsidRDefault="00FF7F7D" w:rsidP="00FF7F7D">
            <w:pPr>
              <w:jc w:val="both"/>
              <w:rPr>
                <w:b/>
                <w:szCs w:val="24"/>
              </w:rPr>
            </w:pPr>
            <w:r w:rsidRPr="00D44AFA">
              <w:rPr>
                <w:b/>
                <w:szCs w:val="24"/>
              </w:rPr>
              <w:t>6. Informacinės ir ryšių technologijos</w:t>
            </w:r>
          </w:p>
        </w:tc>
        <w:tc>
          <w:tcPr>
            <w:tcW w:w="755" w:type="dxa"/>
            <w:vMerge w:val="restart"/>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6.1. Dirbtinis intelektas, didieji ir paskirstytieji duomenys.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6.2. Daiktų internetas.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6.3. Įvairiarūšė analizė, apdorojimas ir diegimas.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6.4. Kibernetinis saugumas.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6.5. Finansinės technologijos ir blokų grandinės.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c>
          <w:tcPr>
            <w:tcW w:w="2614" w:type="dxa"/>
            <w:vMerge w:val="restart"/>
            <w:vAlign w:val="center"/>
          </w:tcPr>
          <w:p w:rsidR="00FF7F7D" w:rsidRPr="00D44AFA" w:rsidRDefault="00FF7F7D" w:rsidP="00FF7F7D">
            <w:pPr>
              <w:jc w:val="both"/>
              <w:rPr>
                <w:b/>
                <w:szCs w:val="24"/>
              </w:rPr>
            </w:pPr>
            <w:r w:rsidRPr="00D44AFA">
              <w:rPr>
                <w:b/>
                <w:szCs w:val="24"/>
              </w:rPr>
              <w:t>7. Įtrauki ir kūrybinga visuomenė</w:t>
            </w:r>
          </w:p>
        </w:tc>
        <w:tc>
          <w:tcPr>
            <w:tcW w:w="755" w:type="dxa"/>
            <w:vMerge w:val="restart"/>
            <w:vAlign w:val="center"/>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c>
          <w:tcPr>
            <w:tcW w:w="5415" w:type="dxa"/>
          </w:tcPr>
          <w:p w:rsidR="00FF7F7D" w:rsidRPr="00D44AFA" w:rsidRDefault="00FF7F7D" w:rsidP="00FF7F7D">
            <w:pPr>
              <w:jc w:val="both"/>
              <w:rPr>
                <w:b/>
                <w:szCs w:val="24"/>
              </w:rPr>
            </w:pPr>
            <w:r w:rsidRPr="00D44AFA">
              <w:rPr>
                <w:b/>
                <w:szCs w:val="24"/>
              </w:rPr>
              <w:t>7.1. Modernios ugdymosi technologijos ir procesai.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rPr>
          <w:trHeight w:val="612"/>
        </w:trPr>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7.2. Dizaino ir audiovizualinių medijų technologijos ir produktai</w:t>
            </w:r>
            <w:r w:rsidRPr="00D44AFA" w:rsidDel="00B86780">
              <w:rPr>
                <w:b/>
                <w:szCs w:val="24"/>
              </w:rPr>
              <w:t xml:space="preserve"> </w:t>
            </w:r>
            <w:r w:rsidRPr="00D44AFA">
              <w:rPr>
                <w:b/>
                <w:szCs w:val="24"/>
              </w:rPr>
              <w:t>.</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rPr>
          <w:trHeight w:val="612"/>
        </w:trPr>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7.3. Socialinės ir kultūrinės inovacijos visuomenės vystymo produktams ir paslaugoms kurti,  novatoriški verslo modeliai.</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tr>
      <w:tr w:rsidR="00FF7F7D" w:rsidRPr="00D44AFA" w:rsidTr="00FF7F7D">
        <w:trPr>
          <w:trHeight w:val="612"/>
        </w:trPr>
        <w:tc>
          <w:tcPr>
            <w:tcW w:w="2614" w:type="dxa"/>
            <w:vMerge/>
          </w:tcPr>
          <w:p w:rsidR="00FF7F7D" w:rsidRPr="00D44AFA" w:rsidRDefault="00FF7F7D" w:rsidP="00FF7F7D">
            <w:pPr>
              <w:jc w:val="both"/>
              <w:rPr>
                <w:b/>
                <w:szCs w:val="24"/>
              </w:rPr>
            </w:pPr>
          </w:p>
        </w:tc>
        <w:tc>
          <w:tcPr>
            <w:tcW w:w="755" w:type="dxa"/>
            <w:vMerge/>
          </w:tcPr>
          <w:p w:rsidR="00FF7F7D" w:rsidRPr="00D44AFA" w:rsidRDefault="00FF7F7D" w:rsidP="00FF7F7D">
            <w:pPr>
              <w:jc w:val="both"/>
              <w:rPr>
                <w:b/>
                <w:szCs w:val="24"/>
              </w:rPr>
            </w:pPr>
          </w:p>
        </w:tc>
        <w:tc>
          <w:tcPr>
            <w:tcW w:w="5415" w:type="dxa"/>
          </w:tcPr>
          <w:p w:rsidR="00FF7F7D" w:rsidRPr="00D44AFA" w:rsidRDefault="00FF7F7D" w:rsidP="00FF7F7D">
            <w:pPr>
              <w:jc w:val="both"/>
              <w:rPr>
                <w:b/>
                <w:szCs w:val="24"/>
              </w:rPr>
            </w:pPr>
            <w:r w:rsidRPr="00D44AFA">
              <w:rPr>
                <w:b/>
                <w:szCs w:val="24"/>
              </w:rPr>
              <w:t>7.4. Lanksčiosios ir taikomosios procesų valdymo technologijos.</w:t>
            </w:r>
          </w:p>
        </w:tc>
        <w:tc>
          <w:tcPr>
            <w:tcW w:w="992" w:type="dxa"/>
          </w:tcPr>
          <w:p w:rsidR="00FF7F7D" w:rsidRPr="00D44AFA" w:rsidRDefault="00FF7F7D" w:rsidP="00FF7F7D">
            <w:pPr>
              <w:jc w:val="both"/>
              <w:rPr>
                <w:b/>
                <w:szCs w:val="24"/>
              </w:rPr>
            </w:pPr>
            <w:r w:rsidRPr="00D44AFA">
              <w:rPr>
                <w:b/>
                <w:szCs w:val="24"/>
              </w:rPr>
              <w:fldChar w:fldCharType="begin">
                <w:ffData>
                  <w:name w:val=""/>
                  <w:enabled/>
                  <w:calcOnExit w:val="0"/>
                  <w:checkBox>
                    <w:sizeAuto/>
                    <w:default w:val="0"/>
                  </w:checkBox>
                </w:ffData>
              </w:fldChar>
            </w:r>
            <w:r w:rsidRPr="00D44AFA">
              <w:rPr>
                <w:b/>
                <w:szCs w:val="24"/>
              </w:rPr>
              <w:instrText xml:space="preserve"> FORMCHECKBOX </w:instrText>
            </w:r>
            <w:r w:rsidR="005D1DC1">
              <w:rPr>
                <w:b/>
                <w:szCs w:val="24"/>
              </w:rPr>
            </w:r>
            <w:r w:rsidR="005D1DC1">
              <w:rPr>
                <w:b/>
                <w:szCs w:val="24"/>
              </w:rPr>
              <w:fldChar w:fldCharType="separate"/>
            </w:r>
            <w:r w:rsidRPr="00D44AFA">
              <w:rPr>
                <w:b/>
                <w:szCs w:val="24"/>
              </w:rPr>
              <w:fldChar w:fldCharType="end"/>
            </w:r>
          </w:p>
        </w:tc>
        <w:bookmarkStart w:id="0" w:name="_GoBack"/>
        <w:bookmarkEnd w:id="0"/>
      </w:tr>
      <w:tr w:rsidR="00FF7F7D" w:rsidRPr="00D44AFA" w:rsidTr="00FF7F7D">
        <w:trPr>
          <w:trHeight w:val="612"/>
        </w:trPr>
        <w:tc>
          <w:tcPr>
            <w:tcW w:w="9776" w:type="dxa"/>
            <w:gridSpan w:val="4"/>
          </w:tcPr>
          <w:p w:rsidR="00FF7F7D" w:rsidRPr="00D44AFA" w:rsidRDefault="00FF7F7D" w:rsidP="00FF7F7D">
            <w:pPr>
              <w:jc w:val="both"/>
              <w:rPr>
                <w:i/>
                <w:szCs w:val="24"/>
              </w:rPr>
            </w:pPr>
            <w:r w:rsidRPr="00D44AFA">
              <w:rPr>
                <w:i/>
                <w:szCs w:val="24"/>
              </w:rPr>
              <w:t>Pateikiamas projekto atitikimo pasirinkto (-ų) prioriteto (-ų) įgyvendinimo tematikoms.</w:t>
            </w:r>
          </w:p>
        </w:tc>
      </w:tr>
    </w:tbl>
    <w:p w:rsidR="00F84C40" w:rsidRDefault="00F84C40" w:rsidP="00F84C40">
      <w:pPr>
        <w:jc w:val="both"/>
        <w:rPr>
          <w:b/>
          <w:szCs w:val="24"/>
        </w:rPr>
      </w:pPr>
    </w:p>
    <w:p w:rsidR="00F84C40" w:rsidRDefault="00F84C40" w:rsidP="00284A00">
      <w:pPr>
        <w:jc w:val="both"/>
        <w:rPr>
          <w:szCs w:val="24"/>
        </w:rPr>
      </w:pPr>
      <w:r>
        <w:rPr>
          <w:b/>
          <w:szCs w:val="24"/>
        </w:rPr>
        <w:t>2. Projekto pareiškėjas turi veikiančią MTEP rezultatų komercinimo ir (ar) žinių ir technologijų perdavimo organizacinę struktūrą: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84C40" w:rsidTr="00F84C40">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C40" w:rsidRPr="002867FA" w:rsidRDefault="00F84C40" w:rsidP="003267D2">
            <w:pPr>
              <w:jc w:val="both"/>
              <w:rPr>
                <w:rFonts w:eastAsia="Calibri"/>
                <w:i/>
                <w:szCs w:val="24"/>
              </w:rPr>
            </w:pPr>
            <w:r w:rsidRPr="002867FA">
              <w:rPr>
                <w:rFonts w:eastAsia="Calibri"/>
                <w:i/>
                <w:szCs w:val="24"/>
                <w:lang w:eastAsia="lt-LT"/>
              </w:rPr>
              <w:t>Aprašoma, kaip bus užtikrinamas tęstinis mokslo vadybos, žinių ir technologijų perdavimo ir MTEP paslaugų plėtros funkcijų vykdymas mokslo ir studijų institucijoje. Pateikiama informacija, ar pareiškėjas yra įsteigęs vidinius specializuotus padalinius mokslo, vadybos, žinių ir technologijų perdavimo ir MTEP paslaugų plėtros funkcijoms vykdyti arba šių funkcijų vykdymui turi sutartis su mokslo ir studijų institucija (-mis) ar šių funkcijų vykdymui yra įsteigęs atskirą juridinį asmenį.</w:t>
            </w:r>
          </w:p>
          <w:p w:rsidR="00F84C40" w:rsidRDefault="00F84C40" w:rsidP="003267D2">
            <w:pPr>
              <w:jc w:val="both"/>
              <w:rPr>
                <w:rFonts w:eastAsia="Calibri"/>
                <w:szCs w:val="24"/>
              </w:rPr>
            </w:pPr>
            <w:r w:rsidRPr="002867FA">
              <w:rPr>
                <w:rFonts w:eastAsia="Calibri"/>
                <w:i/>
                <w:szCs w:val="24"/>
                <w:lang w:eastAsia="lt-LT"/>
              </w:rPr>
              <w:t>Kartu su paraiška turi būti pateikti atitinkamo padalinio veiklos dokumentai / nuostatai, jei sudaryta sutartis su kita mokslo ir studijų institucija, pateikiama sutarties kopija arba jei įsteigtas atskiras juridinis asmuo pateikiami įstatai ar nuostatai, ar kitas dokumentas, iš kurio matytųsi MTEP rezultatų komercinimo ir (ar) žinių ir technologijų perdavimo organizacinė struktūra.</w:t>
            </w:r>
          </w:p>
        </w:tc>
      </w:tr>
      <w:tr w:rsidR="00F84C40" w:rsidTr="00F84C40">
        <w:tc>
          <w:tcPr>
            <w:tcW w:w="9776" w:type="dxa"/>
            <w:tcBorders>
              <w:top w:val="single" w:sz="4" w:space="0" w:color="auto"/>
              <w:left w:val="single" w:sz="4" w:space="0" w:color="auto"/>
              <w:bottom w:val="single" w:sz="4" w:space="0" w:color="auto"/>
              <w:right w:val="single" w:sz="4" w:space="0" w:color="auto"/>
            </w:tcBorders>
          </w:tcPr>
          <w:p w:rsidR="00F84C40" w:rsidRDefault="00F84C40" w:rsidP="003267D2">
            <w:pPr>
              <w:jc w:val="both"/>
              <w:rPr>
                <w:rFonts w:eastAsia="Calibri"/>
                <w:b/>
                <w:szCs w:val="24"/>
              </w:rPr>
            </w:pPr>
          </w:p>
        </w:tc>
      </w:tr>
    </w:tbl>
    <w:p w:rsidR="00170C9D" w:rsidRDefault="00170C9D" w:rsidP="00D94305">
      <w:pPr>
        <w:rPr>
          <w:rFonts w:eastAsia="Calibri"/>
          <w:b/>
          <w:szCs w:val="24"/>
        </w:rPr>
      </w:pPr>
    </w:p>
    <w:p w:rsidR="00716FC2" w:rsidRPr="00716FC2" w:rsidRDefault="005918DA" w:rsidP="00716FC2">
      <w:pPr>
        <w:jc w:val="both"/>
        <w:rPr>
          <w:b/>
          <w:szCs w:val="24"/>
        </w:rPr>
      </w:pPr>
      <w:r>
        <w:rPr>
          <w:rFonts w:eastAsia="Calibri"/>
          <w:b/>
          <w:szCs w:val="24"/>
          <w:lang w:val="en-US"/>
        </w:rPr>
        <w:t xml:space="preserve">3. </w:t>
      </w:r>
      <w:r w:rsidR="00716FC2" w:rsidRPr="00716FC2">
        <w:rPr>
          <w:b/>
          <w:szCs w:val="24"/>
        </w:rPr>
        <w:t>Pareiškėjo personalo pat</w:t>
      </w:r>
      <w:r w:rsidR="00716FC2">
        <w:rPr>
          <w:b/>
          <w:szCs w:val="24"/>
        </w:rPr>
        <w:t>irtis antreprenerystės veikloje</w:t>
      </w:r>
      <w:r w:rsidR="00716FC2" w:rsidRPr="00716FC2">
        <w:rPr>
          <w:b/>
          <w:szCs w:val="24"/>
        </w:rPr>
        <w:t>:</w:t>
      </w:r>
    </w:p>
    <w:p w:rsidR="00716FC2" w:rsidRPr="00716FC2" w:rsidRDefault="00485EA5" w:rsidP="00716FC2">
      <w:pPr>
        <w:jc w:val="both"/>
        <w:rPr>
          <w:i/>
          <w:szCs w:val="24"/>
        </w:rPr>
      </w:pPr>
      <w:r>
        <w:rPr>
          <w:i/>
          <w:szCs w:val="24"/>
        </w:rPr>
        <w:t>P</w:t>
      </w:r>
      <w:r w:rsidR="00716FC2" w:rsidRPr="00716FC2">
        <w:rPr>
          <w:i/>
          <w:szCs w:val="24"/>
        </w:rPr>
        <w:t>ateikiama informacija apie</w:t>
      </w:r>
      <w:r w:rsidR="00716FC2" w:rsidRPr="00716FC2">
        <w:t xml:space="preserve"> </w:t>
      </w:r>
      <w:r w:rsidR="00716FC2">
        <w:rPr>
          <w:i/>
          <w:szCs w:val="24"/>
        </w:rPr>
        <w:t>projektą vykdančio personalo antreprenerystės veiklos patirtį ir tokio personalo (</w:t>
      </w:r>
      <w:r w:rsidR="00716FC2" w:rsidRPr="00716FC2">
        <w:rPr>
          <w:i/>
          <w:szCs w:val="24"/>
        </w:rPr>
        <w:t>dirbančio ne mažiau kaip 0,5 etato</w:t>
      </w:r>
      <w:r w:rsidR="00716FC2">
        <w:rPr>
          <w:i/>
          <w:szCs w:val="24"/>
        </w:rPr>
        <w:t>)</w:t>
      </w:r>
      <w:r w:rsidR="00716FC2" w:rsidRPr="00716FC2">
        <w:rPr>
          <w:i/>
          <w:szCs w:val="24"/>
        </w:rPr>
        <w:t xml:space="preserve"> </w:t>
      </w:r>
      <w:r w:rsidR="00244AD1">
        <w:rPr>
          <w:i/>
          <w:szCs w:val="24"/>
        </w:rPr>
        <w:t>skaičių</w:t>
      </w:r>
      <w:r w:rsidR="00716FC2">
        <w:rPr>
          <w:i/>
          <w:szCs w:val="24"/>
        </w:rPr>
        <w:t>. Nurodomi tik tie darbuotojai</w:t>
      </w:r>
      <w:r w:rsidR="00716FC2" w:rsidRPr="00716FC2">
        <w:rPr>
          <w:i/>
          <w:szCs w:val="24"/>
        </w:rPr>
        <w:t>, kurie turi ne mažesnę kaip šešių mėnesių iki paraiškos pateikimo dienos antreprenerystės veiklos patirtį.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3083"/>
        <w:gridCol w:w="3523"/>
      </w:tblGrid>
      <w:tr w:rsidR="00716FC2" w:rsidRPr="00716FC2" w:rsidTr="00244AD1">
        <w:trPr>
          <w:trHeight w:val="495"/>
        </w:trPr>
        <w:tc>
          <w:tcPr>
            <w:tcW w:w="3170" w:type="dxa"/>
            <w:tcBorders>
              <w:top w:val="single" w:sz="4" w:space="0" w:color="auto"/>
              <w:left w:val="single" w:sz="4" w:space="0" w:color="auto"/>
              <w:bottom w:val="single" w:sz="4" w:space="0" w:color="auto"/>
              <w:right w:val="single" w:sz="4" w:space="0" w:color="auto"/>
            </w:tcBorders>
            <w:shd w:val="clear" w:color="auto" w:fill="D9D9D9"/>
            <w:hideMark/>
          </w:tcPr>
          <w:p w:rsidR="00716FC2" w:rsidRPr="00716FC2" w:rsidRDefault="00716FC2" w:rsidP="00716FC2">
            <w:pPr>
              <w:jc w:val="both"/>
              <w:rPr>
                <w:rFonts w:eastAsia="Calibri"/>
                <w:b/>
                <w:szCs w:val="24"/>
              </w:rPr>
            </w:pPr>
            <w:r w:rsidRPr="00716FC2">
              <w:rPr>
                <w:rFonts w:eastAsia="Calibri"/>
                <w:b/>
                <w:szCs w:val="24"/>
                <w:lang w:eastAsia="lt-LT"/>
              </w:rPr>
              <w:t>Projektą vykdančio asmens vardas, pavardė, funkcijos projekte</w:t>
            </w:r>
          </w:p>
        </w:tc>
        <w:tc>
          <w:tcPr>
            <w:tcW w:w="3083" w:type="dxa"/>
            <w:tcBorders>
              <w:top w:val="single" w:sz="4" w:space="0" w:color="auto"/>
              <w:left w:val="single" w:sz="4" w:space="0" w:color="auto"/>
              <w:bottom w:val="single" w:sz="4" w:space="0" w:color="auto"/>
              <w:right w:val="single" w:sz="4" w:space="0" w:color="auto"/>
            </w:tcBorders>
            <w:shd w:val="clear" w:color="auto" w:fill="D9D9D9"/>
            <w:hideMark/>
          </w:tcPr>
          <w:p w:rsidR="00716FC2" w:rsidRPr="00716FC2" w:rsidRDefault="00716FC2" w:rsidP="00716FC2">
            <w:pPr>
              <w:jc w:val="both"/>
              <w:rPr>
                <w:rFonts w:eastAsia="Calibri"/>
                <w:b/>
                <w:szCs w:val="24"/>
              </w:rPr>
            </w:pPr>
            <w:r>
              <w:rPr>
                <w:rFonts w:eastAsia="Calibri"/>
                <w:b/>
                <w:szCs w:val="24"/>
                <w:lang w:eastAsia="lt-LT"/>
              </w:rPr>
              <w:t>Atnreprenerystės veiklos trukmė</w:t>
            </w:r>
          </w:p>
        </w:tc>
        <w:tc>
          <w:tcPr>
            <w:tcW w:w="3523" w:type="dxa"/>
            <w:tcBorders>
              <w:top w:val="single" w:sz="4" w:space="0" w:color="auto"/>
              <w:left w:val="single" w:sz="4" w:space="0" w:color="auto"/>
              <w:bottom w:val="single" w:sz="4" w:space="0" w:color="auto"/>
              <w:right w:val="single" w:sz="4" w:space="0" w:color="auto"/>
            </w:tcBorders>
            <w:shd w:val="clear" w:color="auto" w:fill="D9D9D9"/>
            <w:hideMark/>
          </w:tcPr>
          <w:p w:rsidR="00716FC2" w:rsidRPr="00716FC2" w:rsidRDefault="00716FC2" w:rsidP="00716FC2">
            <w:pPr>
              <w:jc w:val="both"/>
              <w:rPr>
                <w:rFonts w:eastAsia="Calibri"/>
                <w:b/>
                <w:szCs w:val="24"/>
              </w:rPr>
            </w:pPr>
            <w:r>
              <w:rPr>
                <w:rFonts w:eastAsia="Calibri"/>
                <w:b/>
                <w:szCs w:val="24"/>
                <w:lang w:eastAsia="lt-LT"/>
              </w:rPr>
              <w:t>Pateikiamų dokume</w:t>
            </w:r>
            <w:r w:rsidR="00EF20AE">
              <w:rPr>
                <w:rFonts w:eastAsia="Calibri"/>
                <w:b/>
                <w:szCs w:val="24"/>
                <w:lang w:eastAsia="lt-LT"/>
              </w:rPr>
              <w:t>n</w:t>
            </w:r>
            <w:r>
              <w:rPr>
                <w:rFonts w:eastAsia="Calibri"/>
                <w:b/>
                <w:szCs w:val="24"/>
                <w:lang w:eastAsia="lt-LT"/>
              </w:rPr>
              <w:t xml:space="preserve">tų, pagal kuriuos vertinama </w:t>
            </w:r>
            <w:r w:rsidR="00EF20AE">
              <w:rPr>
                <w:rFonts w:eastAsia="Calibri"/>
                <w:b/>
                <w:szCs w:val="24"/>
                <w:lang w:eastAsia="lt-LT"/>
              </w:rPr>
              <w:t>darbuotojų patirtis ir  jos trukmė</w:t>
            </w:r>
          </w:p>
        </w:tc>
      </w:tr>
      <w:tr w:rsidR="00716FC2" w:rsidRPr="00716FC2" w:rsidTr="00244AD1">
        <w:tc>
          <w:tcPr>
            <w:tcW w:w="3170" w:type="dxa"/>
            <w:tcBorders>
              <w:top w:val="single" w:sz="4" w:space="0" w:color="auto"/>
              <w:left w:val="single" w:sz="4" w:space="0" w:color="auto"/>
              <w:bottom w:val="single" w:sz="4" w:space="0" w:color="auto"/>
              <w:right w:val="single" w:sz="4" w:space="0" w:color="auto"/>
            </w:tcBorders>
          </w:tcPr>
          <w:p w:rsidR="00716FC2" w:rsidRPr="00716FC2" w:rsidRDefault="00716FC2" w:rsidP="00716FC2">
            <w:pPr>
              <w:jc w:val="both"/>
              <w:rPr>
                <w:rFonts w:eastAsia="Calibri"/>
                <w:b/>
                <w:szCs w:val="24"/>
              </w:rPr>
            </w:pPr>
          </w:p>
        </w:tc>
        <w:tc>
          <w:tcPr>
            <w:tcW w:w="3083" w:type="dxa"/>
            <w:tcBorders>
              <w:top w:val="single" w:sz="4" w:space="0" w:color="auto"/>
              <w:left w:val="single" w:sz="4" w:space="0" w:color="auto"/>
              <w:bottom w:val="single" w:sz="4" w:space="0" w:color="auto"/>
              <w:right w:val="single" w:sz="4" w:space="0" w:color="auto"/>
            </w:tcBorders>
          </w:tcPr>
          <w:p w:rsidR="00716FC2" w:rsidRPr="00716FC2" w:rsidRDefault="00716FC2" w:rsidP="00716FC2">
            <w:pPr>
              <w:jc w:val="both"/>
              <w:rPr>
                <w:rFonts w:eastAsia="Calibri"/>
                <w:b/>
                <w:szCs w:val="24"/>
              </w:rPr>
            </w:pPr>
          </w:p>
        </w:tc>
        <w:tc>
          <w:tcPr>
            <w:tcW w:w="3523" w:type="dxa"/>
            <w:tcBorders>
              <w:top w:val="single" w:sz="4" w:space="0" w:color="auto"/>
              <w:left w:val="single" w:sz="4" w:space="0" w:color="auto"/>
              <w:bottom w:val="single" w:sz="4" w:space="0" w:color="auto"/>
              <w:right w:val="single" w:sz="4" w:space="0" w:color="auto"/>
            </w:tcBorders>
          </w:tcPr>
          <w:p w:rsidR="00716FC2" w:rsidRPr="00716FC2" w:rsidRDefault="00716FC2" w:rsidP="00716FC2">
            <w:pPr>
              <w:jc w:val="both"/>
              <w:rPr>
                <w:rFonts w:eastAsia="Calibri"/>
                <w:b/>
                <w:szCs w:val="24"/>
              </w:rPr>
            </w:pPr>
          </w:p>
        </w:tc>
      </w:tr>
    </w:tbl>
    <w:p w:rsidR="005918DA" w:rsidRPr="00716FC2" w:rsidRDefault="005918DA" w:rsidP="00D94305">
      <w:pPr>
        <w:rPr>
          <w:rFonts w:eastAsia="Calibri"/>
          <w:b/>
          <w:szCs w:val="24"/>
          <w:lang w:val="en-US"/>
        </w:rPr>
      </w:pPr>
    </w:p>
    <w:p w:rsidR="0046725C" w:rsidRDefault="00485EA5" w:rsidP="00284A00">
      <w:pPr>
        <w:jc w:val="both"/>
        <w:rPr>
          <w:rFonts w:eastAsia="Calibri"/>
          <w:b/>
          <w:szCs w:val="24"/>
        </w:rPr>
      </w:pPr>
      <w:r>
        <w:rPr>
          <w:rFonts w:eastAsia="Calibri"/>
          <w:b/>
          <w:szCs w:val="24"/>
          <w:lang w:val="en-US"/>
        </w:rPr>
        <w:t>4</w:t>
      </w:r>
      <w:r w:rsidR="00F84C40">
        <w:rPr>
          <w:rFonts w:eastAsia="Calibri"/>
          <w:b/>
          <w:szCs w:val="24"/>
        </w:rPr>
        <w:t xml:space="preserve">. </w:t>
      </w:r>
      <w:r w:rsidR="00F84C40" w:rsidRPr="00F84C40">
        <w:rPr>
          <w:rFonts w:eastAsia="Calibri"/>
          <w:b/>
          <w:szCs w:val="24"/>
        </w:rPr>
        <w:t>Lėšų, gautų iš ūkio subjektų užsakymų per 2016–2018 metus, tenkančių institucijos mokslininko visos darbo dienos ekvivalentui, vidurkis, tūkst. Eur.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84C40" w:rsidTr="003267D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84C40" w:rsidRPr="001C5027" w:rsidRDefault="001C5027" w:rsidP="003267D2">
            <w:pPr>
              <w:jc w:val="both"/>
              <w:rPr>
                <w:rFonts w:eastAsia="Calibri"/>
                <w:i/>
                <w:szCs w:val="24"/>
              </w:rPr>
            </w:pPr>
            <w:r w:rsidRPr="001C5027">
              <w:rPr>
                <w:rFonts w:eastAsia="Calibri"/>
                <w:i/>
                <w:szCs w:val="24"/>
              </w:rPr>
              <w:t>Pateikiama informacija dėl pareiškėjo lėšų, gautų</w:t>
            </w:r>
            <w:r w:rsidRPr="001C5027">
              <w:rPr>
                <w:i/>
              </w:rPr>
              <w:t xml:space="preserve"> iš </w:t>
            </w:r>
            <w:r w:rsidRPr="001C5027">
              <w:rPr>
                <w:rFonts w:eastAsia="Calibri"/>
                <w:i/>
                <w:szCs w:val="24"/>
              </w:rPr>
              <w:t>ūkio subjektų užsakymų per 2016–2018 metus</w:t>
            </w:r>
            <w:r>
              <w:rPr>
                <w:rFonts w:eastAsia="Calibri"/>
                <w:i/>
                <w:szCs w:val="24"/>
              </w:rPr>
              <w:t xml:space="preserve">, nurodant </w:t>
            </w:r>
            <w:r w:rsidR="00485EA5">
              <w:rPr>
                <w:rFonts w:eastAsia="Calibri"/>
                <w:i/>
                <w:szCs w:val="24"/>
              </w:rPr>
              <w:t>vidurkį (tūkst. Eur), tenkantį</w:t>
            </w:r>
            <w:r w:rsidRPr="001C5027">
              <w:rPr>
                <w:rFonts w:eastAsia="Calibri"/>
                <w:i/>
                <w:szCs w:val="24"/>
              </w:rPr>
              <w:t xml:space="preserve"> institucijos mokslininko visos darbo dienos ekvivalentui</w:t>
            </w:r>
            <w:r w:rsidR="00485EA5">
              <w:rPr>
                <w:rFonts w:eastAsia="Calibri"/>
                <w:i/>
                <w:szCs w:val="24"/>
              </w:rPr>
              <w:t>.</w:t>
            </w:r>
            <w:r w:rsidR="00331676">
              <w:rPr>
                <w:rFonts w:eastAsia="Calibri"/>
                <w:i/>
                <w:szCs w:val="24"/>
              </w:rPr>
              <w:t xml:space="preserve"> Informacija teikiama </w:t>
            </w:r>
            <w:r w:rsidR="00331676" w:rsidRPr="00801454">
              <w:rPr>
                <w:i/>
                <w:szCs w:val="24"/>
              </w:rPr>
              <w:t>pagal kasmetinio universitetų ir mokslinių tyrimų institutų MTEP ir meno veiklos vertinimo rezultatus</w:t>
            </w:r>
          </w:p>
        </w:tc>
      </w:tr>
      <w:tr w:rsidR="00F84C40" w:rsidTr="003267D2">
        <w:tc>
          <w:tcPr>
            <w:tcW w:w="9776" w:type="dxa"/>
            <w:tcBorders>
              <w:top w:val="single" w:sz="4" w:space="0" w:color="auto"/>
              <w:left w:val="single" w:sz="4" w:space="0" w:color="auto"/>
              <w:bottom w:val="single" w:sz="4" w:space="0" w:color="auto"/>
              <w:right w:val="single" w:sz="4" w:space="0" w:color="auto"/>
            </w:tcBorders>
          </w:tcPr>
          <w:p w:rsidR="00F84C40" w:rsidRDefault="00F84C40" w:rsidP="003267D2">
            <w:pPr>
              <w:jc w:val="both"/>
              <w:rPr>
                <w:rFonts w:eastAsia="Calibri"/>
                <w:b/>
                <w:szCs w:val="24"/>
              </w:rPr>
            </w:pPr>
          </w:p>
        </w:tc>
      </w:tr>
    </w:tbl>
    <w:p w:rsidR="00F84C40" w:rsidRDefault="00F84C40" w:rsidP="00D94305">
      <w:pPr>
        <w:rPr>
          <w:rFonts w:eastAsia="Calibri"/>
          <w:b/>
          <w:szCs w:val="24"/>
        </w:rPr>
      </w:pPr>
    </w:p>
    <w:p w:rsidR="00F84C40" w:rsidRDefault="00485EA5" w:rsidP="00D94305">
      <w:pPr>
        <w:rPr>
          <w:b/>
          <w:bCs/>
          <w:szCs w:val="24"/>
          <w:lang w:eastAsia="lt-LT"/>
        </w:rPr>
      </w:pPr>
      <w:r>
        <w:rPr>
          <w:rFonts w:eastAsia="Calibri"/>
          <w:b/>
          <w:szCs w:val="24"/>
        </w:rPr>
        <w:t>5</w:t>
      </w:r>
      <w:r w:rsidR="00F84C40">
        <w:rPr>
          <w:rFonts w:eastAsia="Calibri"/>
          <w:b/>
          <w:szCs w:val="24"/>
        </w:rPr>
        <w:t xml:space="preserve">. </w:t>
      </w:r>
      <w:r w:rsidR="00F84C40" w:rsidRPr="00EF1232">
        <w:rPr>
          <w:b/>
          <w:bCs/>
          <w:szCs w:val="24"/>
          <w:lang w:eastAsia="lt-LT"/>
        </w:rPr>
        <w:t>Lėšų, gautų iš ūkio subjektų užsakymų per 2015–2018 metų laikotarpį, akumuliuotas pokytis, procentais.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84C40" w:rsidTr="003267D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C5027" w:rsidRPr="001C5027" w:rsidRDefault="001C5027" w:rsidP="001C5027">
            <w:pPr>
              <w:jc w:val="both"/>
              <w:rPr>
                <w:rFonts w:eastAsia="Calibri"/>
                <w:i/>
                <w:szCs w:val="24"/>
              </w:rPr>
            </w:pPr>
            <w:r w:rsidRPr="001C5027">
              <w:rPr>
                <w:rFonts w:eastAsia="Calibri"/>
                <w:i/>
                <w:szCs w:val="24"/>
              </w:rPr>
              <w:t>Pateikiama informacija dėl pareiškėjo</w:t>
            </w:r>
            <w:r w:rsidR="0077160F" w:rsidRPr="001C5027">
              <w:rPr>
                <w:rFonts w:eastAsia="Calibri"/>
                <w:i/>
                <w:szCs w:val="24"/>
              </w:rPr>
              <w:t xml:space="preserve"> lėšų (eurais), gautų iš ūkio subjektų užs</w:t>
            </w:r>
            <w:r w:rsidRPr="001C5027">
              <w:rPr>
                <w:rFonts w:eastAsia="Calibri"/>
                <w:i/>
                <w:szCs w:val="24"/>
              </w:rPr>
              <w:t xml:space="preserve">akymų </w:t>
            </w:r>
            <w:r w:rsidR="0077160F" w:rsidRPr="001C5027">
              <w:rPr>
                <w:rFonts w:eastAsia="Calibri"/>
                <w:i/>
                <w:szCs w:val="24"/>
              </w:rPr>
              <w:t>per 2015–2018 metų laikotarpį, aku</w:t>
            </w:r>
            <w:r w:rsidRPr="001C5027">
              <w:rPr>
                <w:rFonts w:eastAsia="Calibri"/>
                <w:i/>
                <w:szCs w:val="24"/>
              </w:rPr>
              <w:t>muliuoto pokyčio (procentais), apskaičiuojant pagal formulę:</w:t>
            </w:r>
          </w:p>
          <w:p w:rsidR="001C5027" w:rsidRPr="001C5027" w:rsidRDefault="001C5027" w:rsidP="001C5027">
            <w:pPr>
              <w:jc w:val="both"/>
              <w:rPr>
                <w:rFonts w:eastAsia="Calibri"/>
                <w:i/>
                <w:szCs w:val="24"/>
              </w:rPr>
            </w:pPr>
            <w:r w:rsidRPr="001C5027">
              <w:rPr>
                <w:rFonts w:eastAsia="Calibri"/>
                <w:i/>
                <w:szCs w:val="24"/>
              </w:rPr>
              <w:lastRenderedPageBreak/>
              <w:t xml:space="preserve">D=((N+1-N) + (N+2-N) + (N+3–N))/N*100 proc., kur: </w:t>
            </w:r>
          </w:p>
          <w:p w:rsidR="001C5027" w:rsidRPr="001C5027" w:rsidRDefault="001C5027" w:rsidP="001C5027">
            <w:pPr>
              <w:jc w:val="both"/>
              <w:rPr>
                <w:rFonts w:eastAsia="Calibri"/>
                <w:i/>
                <w:szCs w:val="24"/>
              </w:rPr>
            </w:pPr>
            <w:r w:rsidRPr="001C5027">
              <w:rPr>
                <w:rFonts w:eastAsia="Calibri"/>
                <w:i/>
                <w:szCs w:val="24"/>
              </w:rPr>
              <w:t>D – užsakymų lėšų padidėjimas procentais;</w:t>
            </w:r>
          </w:p>
          <w:p w:rsidR="001C5027" w:rsidRPr="001C5027" w:rsidRDefault="001C5027" w:rsidP="001C5027">
            <w:pPr>
              <w:jc w:val="both"/>
              <w:rPr>
                <w:rFonts w:eastAsia="Calibri"/>
                <w:i/>
                <w:szCs w:val="24"/>
              </w:rPr>
            </w:pPr>
            <w:r w:rsidRPr="001C5027">
              <w:rPr>
                <w:rFonts w:eastAsia="Calibri"/>
                <w:i/>
                <w:szCs w:val="24"/>
              </w:rPr>
              <w:t>N –užsakymų lėšos 2015 metais;</w:t>
            </w:r>
          </w:p>
          <w:p w:rsidR="001C5027" w:rsidRPr="001C5027" w:rsidRDefault="001C5027" w:rsidP="001C5027">
            <w:pPr>
              <w:jc w:val="both"/>
              <w:rPr>
                <w:rFonts w:eastAsia="Calibri"/>
                <w:i/>
                <w:szCs w:val="24"/>
              </w:rPr>
            </w:pPr>
            <w:r w:rsidRPr="001C5027">
              <w:rPr>
                <w:rFonts w:eastAsia="Calibri"/>
                <w:i/>
                <w:szCs w:val="24"/>
              </w:rPr>
              <w:t>N+1 – užsakymų lėšos 2016 metais;</w:t>
            </w:r>
          </w:p>
          <w:p w:rsidR="001C5027" w:rsidRPr="001C5027" w:rsidRDefault="001C5027" w:rsidP="001C5027">
            <w:pPr>
              <w:jc w:val="both"/>
              <w:rPr>
                <w:rFonts w:eastAsia="Calibri"/>
                <w:i/>
                <w:szCs w:val="24"/>
              </w:rPr>
            </w:pPr>
            <w:r w:rsidRPr="001C5027">
              <w:rPr>
                <w:rFonts w:eastAsia="Calibri"/>
                <w:i/>
                <w:szCs w:val="24"/>
              </w:rPr>
              <w:t>N+2 – užsakymų lėšos 2017 metais;</w:t>
            </w:r>
          </w:p>
          <w:p w:rsidR="00F84C40" w:rsidRDefault="001C5027" w:rsidP="0077160F">
            <w:pPr>
              <w:jc w:val="both"/>
              <w:rPr>
                <w:rFonts w:eastAsia="Calibri"/>
                <w:szCs w:val="24"/>
              </w:rPr>
            </w:pPr>
            <w:r w:rsidRPr="001C5027">
              <w:rPr>
                <w:rFonts w:eastAsia="Calibri"/>
                <w:i/>
                <w:szCs w:val="24"/>
              </w:rPr>
              <w:t>N+3 – užsakymų lėšos 2018 metais.</w:t>
            </w:r>
          </w:p>
        </w:tc>
      </w:tr>
      <w:tr w:rsidR="00F84C40" w:rsidTr="003267D2">
        <w:tc>
          <w:tcPr>
            <w:tcW w:w="9776" w:type="dxa"/>
            <w:tcBorders>
              <w:top w:val="single" w:sz="4" w:space="0" w:color="auto"/>
              <w:left w:val="single" w:sz="4" w:space="0" w:color="auto"/>
              <w:bottom w:val="single" w:sz="4" w:space="0" w:color="auto"/>
              <w:right w:val="single" w:sz="4" w:space="0" w:color="auto"/>
            </w:tcBorders>
          </w:tcPr>
          <w:p w:rsidR="00F84C40" w:rsidRDefault="00F84C40" w:rsidP="003267D2">
            <w:pPr>
              <w:jc w:val="both"/>
              <w:rPr>
                <w:rFonts w:eastAsia="Calibri"/>
                <w:b/>
                <w:szCs w:val="24"/>
              </w:rPr>
            </w:pPr>
          </w:p>
        </w:tc>
      </w:tr>
    </w:tbl>
    <w:p w:rsidR="00F84C40" w:rsidRDefault="00F84C40" w:rsidP="00D94305">
      <w:pPr>
        <w:rPr>
          <w:rFonts w:eastAsia="Calibri"/>
          <w:b/>
          <w:szCs w:val="24"/>
        </w:rPr>
      </w:pPr>
    </w:p>
    <w:p w:rsidR="00F84C40" w:rsidRDefault="00485EA5" w:rsidP="00284A00">
      <w:pPr>
        <w:jc w:val="both"/>
        <w:rPr>
          <w:rFonts w:eastAsia="Calibri"/>
          <w:b/>
          <w:szCs w:val="24"/>
        </w:rPr>
      </w:pPr>
      <w:r>
        <w:rPr>
          <w:rFonts w:eastAsia="Calibri"/>
          <w:b/>
          <w:szCs w:val="24"/>
        </w:rPr>
        <w:t>6</w:t>
      </w:r>
      <w:r w:rsidR="00F84C40" w:rsidRPr="00F84C40">
        <w:rPr>
          <w:rFonts w:eastAsia="Calibri"/>
          <w:b/>
          <w:szCs w:val="24"/>
        </w:rPr>
        <w:t>. Įgyvendinus projektą iš ūkio subjektų už MTEP ir meno užsakymus  planuojamos gauti lėšos, tenkančios institucijos mokslininko visos darbo dienos atitikmeniui, (tūkst. Eur).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84C40" w:rsidTr="003267D2">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7160F" w:rsidRDefault="0077160F" w:rsidP="0077160F">
            <w:pPr>
              <w:jc w:val="both"/>
              <w:rPr>
                <w:rFonts w:eastAsia="Calibri"/>
                <w:i/>
                <w:szCs w:val="24"/>
              </w:rPr>
            </w:pPr>
            <w:r>
              <w:rPr>
                <w:rFonts w:eastAsia="Calibri"/>
                <w:i/>
                <w:szCs w:val="24"/>
              </w:rPr>
              <w:t xml:space="preserve">Nurodoma bendra planuojamų </w:t>
            </w:r>
            <w:r w:rsidRPr="0077160F">
              <w:rPr>
                <w:rFonts w:eastAsia="Calibri"/>
                <w:i/>
                <w:szCs w:val="24"/>
              </w:rPr>
              <w:t>gauti lėšų</w:t>
            </w:r>
            <w:r>
              <w:rPr>
                <w:rFonts w:eastAsia="Calibri"/>
                <w:i/>
                <w:szCs w:val="24"/>
              </w:rPr>
              <w:t xml:space="preserve"> suma </w:t>
            </w:r>
            <w:r w:rsidRPr="0077160F">
              <w:rPr>
                <w:rFonts w:eastAsia="Calibri"/>
                <w:i/>
                <w:szCs w:val="24"/>
              </w:rPr>
              <w:t>(tūkst. Eur</w:t>
            </w:r>
            <w:r>
              <w:rPr>
                <w:rFonts w:eastAsia="Calibri"/>
                <w:i/>
                <w:szCs w:val="24"/>
              </w:rPr>
              <w:t>).</w:t>
            </w:r>
          </w:p>
          <w:p w:rsidR="0077160F" w:rsidRPr="0077160F" w:rsidRDefault="000539F1" w:rsidP="0077160F">
            <w:pPr>
              <w:jc w:val="both"/>
              <w:rPr>
                <w:rFonts w:eastAsia="Calibri"/>
                <w:i/>
                <w:szCs w:val="24"/>
              </w:rPr>
            </w:pPr>
            <w:r>
              <w:rPr>
                <w:rFonts w:eastAsia="Calibri"/>
                <w:i/>
                <w:szCs w:val="24"/>
              </w:rPr>
              <w:t>P</w:t>
            </w:r>
            <w:r w:rsidRPr="000539F1">
              <w:rPr>
                <w:rFonts w:eastAsia="Calibri"/>
                <w:i/>
                <w:szCs w:val="24"/>
              </w:rPr>
              <w:t>ateikiama ekonomiškai pa</w:t>
            </w:r>
            <w:r>
              <w:rPr>
                <w:rFonts w:eastAsia="Calibri"/>
                <w:i/>
                <w:szCs w:val="24"/>
              </w:rPr>
              <w:t xml:space="preserve">grįsta analizė dėl planuojamų </w:t>
            </w:r>
            <w:r w:rsidRPr="000539F1">
              <w:rPr>
                <w:rFonts w:eastAsia="Calibri"/>
                <w:i/>
                <w:szCs w:val="24"/>
              </w:rPr>
              <w:t>iš ūkio subjektų už MTE</w:t>
            </w:r>
            <w:r>
              <w:rPr>
                <w:rFonts w:eastAsia="Calibri"/>
                <w:i/>
                <w:szCs w:val="24"/>
              </w:rPr>
              <w:t>P ir meno užsakymus gauti lėšų</w:t>
            </w:r>
            <w:r>
              <w:t xml:space="preserve"> </w:t>
            </w:r>
            <w:r w:rsidRPr="000539F1">
              <w:rPr>
                <w:rFonts w:eastAsia="Calibri"/>
                <w:i/>
                <w:szCs w:val="24"/>
              </w:rPr>
              <w:t>trečiaisiais finansiniais metais po projek</w:t>
            </w:r>
            <w:r>
              <w:rPr>
                <w:rFonts w:eastAsia="Calibri"/>
                <w:i/>
                <w:szCs w:val="24"/>
              </w:rPr>
              <w:t xml:space="preserve">to veiklų įgyvendinimo pabaigos. </w:t>
            </w:r>
            <w:r w:rsidR="0077160F">
              <w:rPr>
                <w:rFonts w:eastAsia="Calibri"/>
                <w:i/>
                <w:szCs w:val="24"/>
              </w:rPr>
              <w:t xml:space="preserve">Analizė turi apimti </w:t>
            </w:r>
            <w:r w:rsidR="0077160F" w:rsidRPr="0077160F">
              <w:rPr>
                <w:rFonts w:eastAsia="Calibri"/>
                <w:i/>
                <w:szCs w:val="24"/>
              </w:rPr>
              <w:t>pareiškėjo lėšas, planuojamas gauti:</w:t>
            </w:r>
          </w:p>
          <w:p w:rsidR="0077160F" w:rsidRPr="0077160F" w:rsidRDefault="0077160F" w:rsidP="0077160F">
            <w:pPr>
              <w:jc w:val="both"/>
              <w:rPr>
                <w:rFonts w:eastAsia="Calibri"/>
                <w:i/>
                <w:szCs w:val="24"/>
              </w:rPr>
            </w:pPr>
            <w:r w:rsidRPr="0077160F">
              <w:rPr>
                <w:rFonts w:eastAsia="Calibri"/>
                <w:i/>
                <w:szCs w:val="24"/>
              </w:rPr>
              <w:t>1) per patentų (ar patentų paraiškų) licencines sutartis;</w:t>
            </w:r>
          </w:p>
          <w:p w:rsidR="0077160F" w:rsidRPr="0077160F" w:rsidRDefault="0077160F" w:rsidP="0077160F">
            <w:pPr>
              <w:jc w:val="both"/>
              <w:rPr>
                <w:rFonts w:eastAsia="Calibri"/>
                <w:i/>
                <w:szCs w:val="24"/>
              </w:rPr>
            </w:pPr>
            <w:r w:rsidRPr="0077160F">
              <w:rPr>
                <w:rFonts w:eastAsia="Calibri"/>
                <w:i/>
                <w:szCs w:val="24"/>
              </w:rPr>
              <w:t>2) už ūkio subjektų meno užsakymų vykdymą;</w:t>
            </w:r>
          </w:p>
          <w:p w:rsidR="0077160F" w:rsidRPr="000539F1" w:rsidRDefault="0077160F" w:rsidP="0077160F">
            <w:pPr>
              <w:jc w:val="both"/>
              <w:rPr>
                <w:rFonts w:eastAsia="Calibri"/>
                <w:i/>
                <w:szCs w:val="24"/>
              </w:rPr>
            </w:pPr>
            <w:r w:rsidRPr="0077160F">
              <w:rPr>
                <w:rFonts w:eastAsia="Calibri"/>
                <w:i/>
                <w:szCs w:val="24"/>
              </w:rPr>
              <w:t>3) už ūkio subjektų MTEP užsakymų vykdymą.</w:t>
            </w:r>
          </w:p>
        </w:tc>
      </w:tr>
      <w:tr w:rsidR="00F84C40" w:rsidTr="003267D2">
        <w:tc>
          <w:tcPr>
            <w:tcW w:w="9776" w:type="dxa"/>
            <w:tcBorders>
              <w:top w:val="single" w:sz="4" w:space="0" w:color="auto"/>
              <w:left w:val="single" w:sz="4" w:space="0" w:color="auto"/>
              <w:bottom w:val="single" w:sz="4" w:space="0" w:color="auto"/>
              <w:right w:val="single" w:sz="4" w:space="0" w:color="auto"/>
            </w:tcBorders>
          </w:tcPr>
          <w:p w:rsidR="00F84C40" w:rsidRDefault="00F84C40" w:rsidP="003267D2">
            <w:pPr>
              <w:jc w:val="both"/>
              <w:rPr>
                <w:rFonts w:eastAsia="Calibri"/>
                <w:b/>
                <w:szCs w:val="24"/>
              </w:rPr>
            </w:pPr>
          </w:p>
        </w:tc>
      </w:tr>
    </w:tbl>
    <w:p w:rsidR="002867FA" w:rsidRDefault="002867FA" w:rsidP="00D94305">
      <w:pPr>
        <w:rPr>
          <w:rFonts w:eastAsia="Calibri"/>
          <w:b/>
          <w:szCs w:val="24"/>
        </w:rPr>
      </w:pPr>
    </w:p>
    <w:p w:rsidR="000539F1" w:rsidRDefault="00485EA5" w:rsidP="00284A00">
      <w:pPr>
        <w:jc w:val="both"/>
        <w:rPr>
          <w:rFonts w:eastAsia="Calibri"/>
          <w:b/>
          <w:szCs w:val="24"/>
        </w:rPr>
      </w:pPr>
      <w:r>
        <w:rPr>
          <w:rFonts w:eastAsia="Calibri"/>
          <w:b/>
          <w:szCs w:val="24"/>
        </w:rPr>
        <w:t>7</w:t>
      </w:r>
      <w:r w:rsidR="00F84C40">
        <w:rPr>
          <w:rFonts w:eastAsia="Calibri"/>
          <w:b/>
          <w:szCs w:val="24"/>
        </w:rPr>
        <w:t xml:space="preserve">. </w:t>
      </w:r>
      <w:r w:rsidR="00F84C40" w:rsidRPr="00F84C40">
        <w:rPr>
          <w:rFonts w:eastAsia="Calibri"/>
          <w:b/>
          <w:szCs w:val="24"/>
        </w:rPr>
        <w:t>Planuojamas unikalių išorės vartotojų MTEP ir meno užsakymams skaičiaus padidėjimas (vnt.) įgyvendinus projektą.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4"/>
        <w:gridCol w:w="2444"/>
        <w:gridCol w:w="2444"/>
      </w:tblGrid>
      <w:tr w:rsidR="000539F1" w:rsidRPr="00716FC2" w:rsidTr="000539F1">
        <w:trPr>
          <w:trHeight w:val="495"/>
        </w:trPr>
        <w:tc>
          <w:tcPr>
            <w:tcW w:w="2444" w:type="dxa"/>
            <w:tcBorders>
              <w:top w:val="single" w:sz="4" w:space="0" w:color="auto"/>
              <w:left w:val="single" w:sz="4" w:space="0" w:color="auto"/>
              <w:bottom w:val="single" w:sz="4" w:space="0" w:color="auto"/>
              <w:right w:val="single" w:sz="4" w:space="0" w:color="auto"/>
            </w:tcBorders>
            <w:shd w:val="clear" w:color="auto" w:fill="D9D9D9"/>
            <w:hideMark/>
          </w:tcPr>
          <w:p w:rsidR="000539F1" w:rsidRPr="00716FC2" w:rsidRDefault="000539F1" w:rsidP="003267D2">
            <w:pPr>
              <w:jc w:val="both"/>
              <w:rPr>
                <w:rFonts w:eastAsia="Calibri"/>
                <w:b/>
                <w:szCs w:val="24"/>
              </w:rPr>
            </w:pPr>
            <w:r>
              <w:rPr>
                <w:rFonts w:eastAsia="Calibri"/>
                <w:b/>
                <w:szCs w:val="24"/>
              </w:rPr>
              <w:t>Išorės vartotojai</w:t>
            </w:r>
            <w:r w:rsidRPr="000539F1">
              <w:rPr>
                <w:rFonts w:eastAsia="Calibri"/>
                <w:b/>
                <w:szCs w:val="24"/>
              </w:rPr>
              <w:t xml:space="preserve"> MTEP ir meno užsakymams</w:t>
            </w:r>
          </w:p>
        </w:tc>
        <w:tc>
          <w:tcPr>
            <w:tcW w:w="2444" w:type="dxa"/>
            <w:tcBorders>
              <w:top w:val="single" w:sz="4" w:space="0" w:color="auto"/>
              <w:left w:val="single" w:sz="4" w:space="0" w:color="auto"/>
              <w:bottom w:val="single" w:sz="4" w:space="0" w:color="auto"/>
              <w:right w:val="single" w:sz="4" w:space="0" w:color="auto"/>
            </w:tcBorders>
            <w:shd w:val="clear" w:color="auto" w:fill="D9D9D9"/>
            <w:hideMark/>
          </w:tcPr>
          <w:p w:rsidR="000539F1" w:rsidRPr="000539F1" w:rsidRDefault="000539F1" w:rsidP="000539F1">
            <w:pPr>
              <w:jc w:val="center"/>
              <w:rPr>
                <w:rFonts w:eastAsia="Calibri"/>
                <w:b/>
                <w:szCs w:val="24"/>
                <w:lang w:val="en-US"/>
              </w:rPr>
            </w:pPr>
            <w:r>
              <w:rPr>
                <w:rFonts w:eastAsia="Calibri"/>
                <w:b/>
                <w:szCs w:val="24"/>
                <w:lang w:val="en-US"/>
              </w:rPr>
              <w:t>2019 m.</w:t>
            </w:r>
          </w:p>
        </w:tc>
        <w:tc>
          <w:tcPr>
            <w:tcW w:w="2444" w:type="dxa"/>
            <w:tcBorders>
              <w:top w:val="single" w:sz="4" w:space="0" w:color="auto"/>
              <w:left w:val="single" w:sz="4" w:space="0" w:color="auto"/>
              <w:bottom w:val="single" w:sz="4" w:space="0" w:color="auto"/>
              <w:right w:val="single" w:sz="4" w:space="0" w:color="auto"/>
            </w:tcBorders>
            <w:shd w:val="clear" w:color="auto" w:fill="D9D9D9"/>
            <w:hideMark/>
          </w:tcPr>
          <w:p w:rsidR="000539F1" w:rsidRPr="00716FC2" w:rsidRDefault="000539F1" w:rsidP="003267D2">
            <w:pPr>
              <w:jc w:val="both"/>
              <w:rPr>
                <w:rFonts w:eastAsia="Calibri"/>
                <w:b/>
                <w:szCs w:val="24"/>
              </w:rPr>
            </w:pPr>
            <w:r>
              <w:rPr>
                <w:rFonts w:eastAsia="Calibri"/>
                <w:b/>
                <w:szCs w:val="24"/>
              </w:rPr>
              <w:t>Tretieji finansiniai metai</w:t>
            </w:r>
            <w:r w:rsidRPr="000539F1">
              <w:rPr>
                <w:rFonts w:eastAsia="Calibri"/>
                <w:b/>
                <w:szCs w:val="24"/>
              </w:rPr>
              <w:t xml:space="preserve"> po projekto veiklų įgyvendinimo pabaigos</w:t>
            </w:r>
          </w:p>
        </w:tc>
        <w:tc>
          <w:tcPr>
            <w:tcW w:w="2444" w:type="dxa"/>
            <w:tcBorders>
              <w:top w:val="single" w:sz="4" w:space="0" w:color="auto"/>
              <w:left w:val="single" w:sz="4" w:space="0" w:color="auto"/>
              <w:bottom w:val="single" w:sz="4" w:space="0" w:color="auto"/>
              <w:right w:val="single" w:sz="4" w:space="0" w:color="auto"/>
            </w:tcBorders>
            <w:shd w:val="clear" w:color="auto" w:fill="D9D9D9"/>
          </w:tcPr>
          <w:p w:rsidR="000539F1" w:rsidRPr="00716FC2" w:rsidRDefault="000539F1" w:rsidP="003267D2">
            <w:pPr>
              <w:jc w:val="both"/>
              <w:rPr>
                <w:rFonts w:eastAsia="Calibri"/>
                <w:b/>
                <w:szCs w:val="24"/>
              </w:rPr>
            </w:pPr>
            <w:r>
              <w:rPr>
                <w:rFonts w:eastAsia="Calibri"/>
                <w:b/>
                <w:szCs w:val="24"/>
              </w:rPr>
              <w:t>Augimas, vnt.</w:t>
            </w:r>
          </w:p>
        </w:tc>
      </w:tr>
      <w:tr w:rsidR="000539F1" w:rsidRPr="00716FC2" w:rsidTr="000539F1">
        <w:tc>
          <w:tcPr>
            <w:tcW w:w="2444" w:type="dxa"/>
            <w:tcBorders>
              <w:top w:val="single" w:sz="4" w:space="0" w:color="auto"/>
              <w:left w:val="single" w:sz="4" w:space="0" w:color="auto"/>
              <w:bottom w:val="single" w:sz="4" w:space="0" w:color="auto"/>
              <w:right w:val="single" w:sz="4" w:space="0" w:color="auto"/>
            </w:tcBorders>
          </w:tcPr>
          <w:p w:rsidR="000539F1" w:rsidRPr="000539F1" w:rsidRDefault="000539F1" w:rsidP="003267D2">
            <w:pPr>
              <w:jc w:val="both"/>
              <w:rPr>
                <w:rFonts w:eastAsia="Calibri"/>
                <w:szCs w:val="24"/>
              </w:rPr>
            </w:pPr>
            <w:r w:rsidRPr="000539F1">
              <w:rPr>
                <w:rFonts w:eastAsia="Calibri"/>
                <w:szCs w:val="24"/>
              </w:rPr>
              <w:t>Bendras unikalių išorės vartotojų skaičius</w:t>
            </w: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0539F1">
            <w:pPr>
              <w:jc w:val="center"/>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3267D2">
            <w:pPr>
              <w:jc w:val="both"/>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3267D2">
            <w:pPr>
              <w:jc w:val="both"/>
              <w:rPr>
                <w:rFonts w:eastAsia="Calibri"/>
                <w:b/>
                <w:szCs w:val="24"/>
              </w:rPr>
            </w:pPr>
          </w:p>
        </w:tc>
      </w:tr>
      <w:tr w:rsidR="000539F1" w:rsidRPr="00716FC2" w:rsidTr="000539F1">
        <w:tc>
          <w:tcPr>
            <w:tcW w:w="2444" w:type="dxa"/>
            <w:tcBorders>
              <w:top w:val="single" w:sz="4" w:space="0" w:color="auto"/>
              <w:left w:val="single" w:sz="4" w:space="0" w:color="auto"/>
              <w:bottom w:val="single" w:sz="4" w:space="0" w:color="auto"/>
              <w:right w:val="single" w:sz="4" w:space="0" w:color="auto"/>
            </w:tcBorders>
          </w:tcPr>
          <w:p w:rsidR="000539F1" w:rsidRPr="000539F1" w:rsidRDefault="000539F1" w:rsidP="003267D2">
            <w:pPr>
              <w:jc w:val="both"/>
              <w:rPr>
                <w:rFonts w:eastAsia="Calibri"/>
                <w:szCs w:val="24"/>
              </w:rPr>
            </w:pPr>
            <w:r w:rsidRPr="000539F1">
              <w:rPr>
                <w:rFonts w:eastAsia="Calibri"/>
                <w:szCs w:val="24"/>
              </w:rPr>
              <w:t>Užsienio vartotojų skaičiaus</w:t>
            </w: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0539F1">
            <w:pPr>
              <w:jc w:val="center"/>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3267D2">
            <w:pPr>
              <w:jc w:val="both"/>
              <w:rPr>
                <w:rFonts w:eastAsia="Calibri"/>
                <w:b/>
                <w:szCs w:val="24"/>
              </w:rPr>
            </w:pPr>
          </w:p>
        </w:tc>
        <w:tc>
          <w:tcPr>
            <w:tcW w:w="2444" w:type="dxa"/>
            <w:tcBorders>
              <w:top w:val="single" w:sz="4" w:space="0" w:color="auto"/>
              <w:left w:val="single" w:sz="4" w:space="0" w:color="auto"/>
              <w:bottom w:val="single" w:sz="4" w:space="0" w:color="auto"/>
              <w:right w:val="single" w:sz="4" w:space="0" w:color="auto"/>
            </w:tcBorders>
          </w:tcPr>
          <w:p w:rsidR="000539F1" w:rsidRPr="00716FC2" w:rsidRDefault="000539F1" w:rsidP="003267D2">
            <w:pPr>
              <w:jc w:val="both"/>
              <w:rPr>
                <w:rFonts w:eastAsia="Calibri"/>
                <w:b/>
                <w:szCs w:val="24"/>
              </w:rPr>
            </w:pPr>
          </w:p>
        </w:tc>
      </w:tr>
      <w:tr w:rsidR="000539F1" w:rsidRPr="00716FC2" w:rsidTr="0077160F">
        <w:tc>
          <w:tcPr>
            <w:tcW w:w="9776"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rsidR="000539F1" w:rsidRPr="00716FC2" w:rsidRDefault="0077160F" w:rsidP="003267D2">
            <w:pPr>
              <w:jc w:val="both"/>
              <w:rPr>
                <w:rFonts w:eastAsia="Calibri"/>
                <w:b/>
                <w:szCs w:val="24"/>
              </w:rPr>
            </w:pPr>
            <w:r>
              <w:rPr>
                <w:i/>
                <w:szCs w:val="24"/>
                <w:lang w:eastAsia="lt-LT"/>
              </w:rPr>
              <w:t>P</w:t>
            </w:r>
            <w:r w:rsidR="000539F1" w:rsidRPr="0077160F">
              <w:rPr>
                <w:i/>
                <w:szCs w:val="24"/>
                <w:lang w:eastAsia="lt-LT"/>
              </w:rPr>
              <w:t>ateikiama pagrįsta analizė dėl prognozuojamų unikalių išorės vartotojų MTEP ir meno užsakymams skaičiaus padidėjimo trečiaisiais finansiniais metais po projekto veiklų įgyvendinimo pabaigos lyginant su 2019 metais.</w:t>
            </w:r>
          </w:p>
        </w:tc>
      </w:tr>
      <w:tr w:rsidR="0077160F" w:rsidRPr="00716FC2" w:rsidTr="003267D2">
        <w:tc>
          <w:tcPr>
            <w:tcW w:w="9776" w:type="dxa"/>
            <w:gridSpan w:val="4"/>
            <w:tcBorders>
              <w:top w:val="single" w:sz="4" w:space="0" w:color="auto"/>
              <w:left w:val="single" w:sz="4" w:space="0" w:color="auto"/>
              <w:bottom w:val="single" w:sz="4" w:space="0" w:color="auto"/>
              <w:right w:val="single" w:sz="4" w:space="0" w:color="auto"/>
            </w:tcBorders>
          </w:tcPr>
          <w:p w:rsidR="0077160F" w:rsidRDefault="0077160F" w:rsidP="003267D2">
            <w:pPr>
              <w:jc w:val="both"/>
              <w:rPr>
                <w:i/>
                <w:szCs w:val="24"/>
                <w:lang w:eastAsia="lt-LT"/>
              </w:rPr>
            </w:pPr>
          </w:p>
        </w:tc>
      </w:tr>
    </w:tbl>
    <w:p w:rsidR="00F84C40" w:rsidRDefault="00F84C40" w:rsidP="00D94305">
      <w:pPr>
        <w:rPr>
          <w:rFonts w:eastAsia="Calibri"/>
          <w:b/>
          <w:szCs w:val="24"/>
        </w:rPr>
      </w:pPr>
    </w:p>
    <w:p w:rsidR="00D94305" w:rsidRDefault="00D94305" w:rsidP="00D94305">
      <w:pPr>
        <w:jc w:val="center"/>
        <w:rPr>
          <w:rFonts w:eastAsia="Calibri"/>
          <w:b/>
          <w:szCs w:val="24"/>
        </w:rPr>
      </w:pPr>
      <w:r>
        <w:rPr>
          <w:rFonts w:eastAsia="Calibri"/>
          <w:b/>
          <w:szCs w:val="24"/>
        </w:rPr>
        <w:t>_______________</w:t>
      </w:r>
    </w:p>
    <w:p w:rsidR="0053763C" w:rsidRPr="00170C9D" w:rsidRDefault="0053763C" w:rsidP="004F5A19">
      <w:pPr>
        <w:rPr>
          <w:rFonts w:eastAsia="Calibri"/>
          <w:b/>
          <w:szCs w:val="24"/>
        </w:rPr>
        <w:sectPr w:rsidR="0053763C" w:rsidRPr="00170C9D">
          <w:pgSz w:w="11907" w:h="16840" w:code="9"/>
          <w:pgMar w:top="567" w:right="1134" w:bottom="1701" w:left="1701" w:header="288" w:footer="720" w:gutter="0"/>
          <w:pgNumType w:start="1"/>
          <w:cols w:space="720"/>
          <w:noEndnote/>
          <w:titlePg/>
          <w:docGrid w:linePitch="326"/>
        </w:sectPr>
      </w:pPr>
    </w:p>
    <w:p w:rsidR="00362019" w:rsidRDefault="00362019" w:rsidP="0053763C">
      <w:pPr>
        <w:rPr>
          <w:snapToGrid w:val="0"/>
        </w:rPr>
      </w:pPr>
    </w:p>
    <w:sectPr w:rsidR="00362019">
      <w:pgSz w:w="11907" w:h="16840" w:code="9"/>
      <w:pgMar w:top="1134" w:right="567" w:bottom="1134" w:left="1701" w:header="288" w:footer="720" w:gutter="0"/>
      <w:cols w:num="2" w:space="282"/>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6A" w:rsidRDefault="009B366A">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9B366A" w:rsidRDefault="009B366A">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LT">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6A" w:rsidRDefault="009B366A">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9B366A" w:rsidRDefault="009B366A">
      <w:pPr>
        <w:overflowPunct w:val="0"/>
        <w:textAlignment w:val="baseline"/>
        <w:rPr>
          <w:rFonts w:ascii="HelveticaLT" w:hAnsi="HelveticaLT"/>
          <w:sz w:val="20"/>
          <w:lang w:val="en-GB"/>
        </w:rPr>
      </w:pPr>
      <w:r>
        <w:rPr>
          <w:rFonts w:ascii="HelveticaLT" w:hAnsi="HelveticaLT"/>
          <w:sz w:val="20"/>
          <w:lang w:val="en-GB"/>
        </w:rPr>
        <w:continuationSeparator/>
      </w:r>
    </w:p>
  </w:footnote>
  <w:footnote w:id="1">
    <w:p w:rsidR="005D1DC1" w:rsidRDefault="005D1DC1">
      <w:pPr>
        <w:rPr>
          <w:sz w:val="20"/>
        </w:rPr>
      </w:pPr>
      <w:r>
        <w:rPr>
          <w:sz w:val="20"/>
          <w:vertAlign w:val="superscript"/>
        </w:rPr>
        <w:footnoteRef/>
      </w:r>
      <w:r>
        <w:rPr>
          <w:sz w:val="20"/>
        </w:rPr>
        <w:t xml:space="preserve"> 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DC1" w:rsidRDefault="005D1DC1">
    <w:pPr>
      <w:pStyle w:val="Antrats"/>
      <w:jc w:val="center"/>
    </w:pPr>
    <w:r>
      <w:fldChar w:fldCharType="begin"/>
    </w:r>
    <w:r>
      <w:instrText>PAGE   \* MERGEFORMAT</w:instrText>
    </w:r>
    <w:r>
      <w:fldChar w:fldCharType="separate"/>
    </w:r>
    <w:r w:rsidR="001F4176">
      <w:rPr>
        <w:noProof/>
      </w:rPr>
      <w:t>3</w:t>
    </w:r>
    <w:r>
      <w:fldChar w:fldCharType="end"/>
    </w:r>
  </w:p>
  <w:p w:rsidR="005D1DC1" w:rsidRDefault="005D1DC1">
    <w:pPr>
      <w:tabs>
        <w:tab w:val="center" w:pos="4819"/>
        <w:tab w:val="right" w:pos="9071"/>
      </w:tabs>
      <w:overflowPunct w:val="0"/>
      <w:spacing w:after="200" w:line="276" w:lineRule="auto"/>
      <w:textAlignment w:val="baseline"/>
      <w:rPr>
        <w:rFonts w:ascii="HelveticaLT" w:hAnsi="HelveticaLT"/>
        <w:sz w:val="20"/>
        <w:szCs w:val="22"/>
        <w:lang w:val="en-GB"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DC1" w:rsidRDefault="005D1DC1">
    <w:pPr>
      <w:tabs>
        <w:tab w:val="center" w:pos="4680"/>
        <w:tab w:val="right" w:pos="9360"/>
      </w:tabs>
      <w:spacing w:after="200" w:line="276"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95DF1"/>
    <w:multiLevelType w:val="hybridMultilevel"/>
    <w:tmpl w:val="AA04F68C"/>
    <w:lvl w:ilvl="0" w:tplc="4C98FCD8">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F67AE"/>
    <w:multiLevelType w:val="hybridMultilevel"/>
    <w:tmpl w:val="4C281BB8"/>
    <w:lvl w:ilvl="0" w:tplc="6490453A">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271DC7"/>
    <w:multiLevelType w:val="hybridMultilevel"/>
    <w:tmpl w:val="2DE296CA"/>
    <w:lvl w:ilvl="0" w:tplc="122C7BF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42AD8"/>
    <w:multiLevelType w:val="hybridMultilevel"/>
    <w:tmpl w:val="DC542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3340C"/>
    <w:multiLevelType w:val="hybridMultilevel"/>
    <w:tmpl w:val="5DB0B154"/>
    <w:lvl w:ilvl="0" w:tplc="97E47E2C">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9D5AFC"/>
    <w:multiLevelType w:val="hybridMultilevel"/>
    <w:tmpl w:val="61346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387810"/>
    <w:multiLevelType w:val="hybridMultilevel"/>
    <w:tmpl w:val="67161CE4"/>
    <w:lvl w:ilvl="0" w:tplc="846E098A">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2447E"/>
    <w:rsid w:val="00036D12"/>
    <w:rsid w:val="000539F1"/>
    <w:rsid w:val="00064EF2"/>
    <w:rsid w:val="00077E98"/>
    <w:rsid w:val="000874AE"/>
    <w:rsid w:val="000B7C14"/>
    <w:rsid w:val="000F1B6E"/>
    <w:rsid w:val="00124D78"/>
    <w:rsid w:val="0013271D"/>
    <w:rsid w:val="00136616"/>
    <w:rsid w:val="00140D14"/>
    <w:rsid w:val="00143237"/>
    <w:rsid w:val="001446CD"/>
    <w:rsid w:val="00170C9D"/>
    <w:rsid w:val="0018289A"/>
    <w:rsid w:val="001864F1"/>
    <w:rsid w:val="001945C8"/>
    <w:rsid w:val="001951F8"/>
    <w:rsid w:val="001960B6"/>
    <w:rsid w:val="00197E91"/>
    <w:rsid w:val="001A0288"/>
    <w:rsid w:val="001A55E2"/>
    <w:rsid w:val="001A7259"/>
    <w:rsid w:val="001B3D7A"/>
    <w:rsid w:val="001C5027"/>
    <w:rsid w:val="001D73C6"/>
    <w:rsid w:val="001E6056"/>
    <w:rsid w:val="001E734C"/>
    <w:rsid w:val="001F4176"/>
    <w:rsid w:val="00206006"/>
    <w:rsid w:val="00207E5B"/>
    <w:rsid w:val="00220DCD"/>
    <w:rsid w:val="002253F3"/>
    <w:rsid w:val="00244AD1"/>
    <w:rsid w:val="002515DD"/>
    <w:rsid w:val="00266B0C"/>
    <w:rsid w:val="0027528A"/>
    <w:rsid w:val="00282BCA"/>
    <w:rsid w:val="00284A00"/>
    <w:rsid w:val="002852A7"/>
    <w:rsid w:val="002867FA"/>
    <w:rsid w:val="00286E9B"/>
    <w:rsid w:val="002B49B1"/>
    <w:rsid w:val="002C47C0"/>
    <w:rsid w:val="00324105"/>
    <w:rsid w:val="003267D2"/>
    <w:rsid w:val="00331676"/>
    <w:rsid w:val="00334310"/>
    <w:rsid w:val="003619FC"/>
    <w:rsid w:val="00362019"/>
    <w:rsid w:val="003735AC"/>
    <w:rsid w:val="00381168"/>
    <w:rsid w:val="00382A92"/>
    <w:rsid w:val="0039244B"/>
    <w:rsid w:val="00394B3C"/>
    <w:rsid w:val="003A24BA"/>
    <w:rsid w:val="003E4EDF"/>
    <w:rsid w:val="004072F7"/>
    <w:rsid w:val="004119AD"/>
    <w:rsid w:val="00423567"/>
    <w:rsid w:val="00463F9E"/>
    <w:rsid w:val="0046725C"/>
    <w:rsid w:val="004829BF"/>
    <w:rsid w:val="00485EA5"/>
    <w:rsid w:val="004B4D15"/>
    <w:rsid w:val="004C60A3"/>
    <w:rsid w:val="004D2A41"/>
    <w:rsid w:val="004D2F7B"/>
    <w:rsid w:val="004E1011"/>
    <w:rsid w:val="004E117E"/>
    <w:rsid w:val="004F5A19"/>
    <w:rsid w:val="004F7614"/>
    <w:rsid w:val="00536EAA"/>
    <w:rsid w:val="0053763C"/>
    <w:rsid w:val="00552670"/>
    <w:rsid w:val="00573DD6"/>
    <w:rsid w:val="005741AE"/>
    <w:rsid w:val="005918DA"/>
    <w:rsid w:val="0059753A"/>
    <w:rsid w:val="005A01BB"/>
    <w:rsid w:val="005A0966"/>
    <w:rsid w:val="005A1CDA"/>
    <w:rsid w:val="005A4526"/>
    <w:rsid w:val="005A5200"/>
    <w:rsid w:val="005C19BD"/>
    <w:rsid w:val="005C30A3"/>
    <w:rsid w:val="005C3469"/>
    <w:rsid w:val="005D1DC1"/>
    <w:rsid w:val="005D3574"/>
    <w:rsid w:val="005E60AE"/>
    <w:rsid w:val="005E6563"/>
    <w:rsid w:val="006018E9"/>
    <w:rsid w:val="00603694"/>
    <w:rsid w:val="0060391B"/>
    <w:rsid w:val="00605D88"/>
    <w:rsid w:val="00621DB9"/>
    <w:rsid w:val="006324AD"/>
    <w:rsid w:val="00634196"/>
    <w:rsid w:val="00653AC6"/>
    <w:rsid w:val="00654CB8"/>
    <w:rsid w:val="00662157"/>
    <w:rsid w:val="0067397B"/>
    <w:rsid w:val="006837D6"/>
    <w:rsid w:val="00694A45"/>
    <w:rsid w:val="006B0F81"/>
    <w:rsid w:val="006C0699"/>
    <w:rsid w:val="006D0179"/>
    <w:rsid w:val="006F3A7A"/>
    <w:rsid w:val="00700F8D"/>
    <w:rsid w:val="00702791"/>
    <w:rsid w:val="00716FC2"/>
    <w:rsid w:val="00736D37"/>
    <w:rsid w:val="00742DDC"/>
    <w:rsid w:val="007531E9"/>
    <w:rsid w:val="00753298"/>
    <w:rsid w:val="007534C3"/>
    <w:rsid w:val="0075534C"/>
    <w:rsid w:val="0077160F"/>
    <w:rsid w:val="0079016E"/>
    <w:rsid w:val="00796714"/>
    <w:rsid w:val="007A2A69"/>
    <w:rsid w:val="007A73DD"/>
    <w:rsid w:val="007D2DA8"/>
    <w:rsid w:val="007E20D0"/>
    <w:rsid w:val="007F7822"/>
    <w:rsid w:val="00801454"/>
    <w:rsid w:val="008126F6"/>
    <w:rsid w:val="00815AED"/>
    <w:rsid w:val="00821A42"/>
    <w:rsid w:val="00821C4D"/>
    <w:rsid w:val="00825D96"/>
    <w:rsid w:val="00862BBD"/>
    <w:rsid w:val="0086524E"/>
    <w:rsid w:val="00874CE4"/>
    <w:rsid w:val="008920BD"/>
    <w:rsid w:val="00897346"/>
    <w:rsid w:val="008A0D7A"/>
    <w:rsid w:val="008D6DC2"/>
    <w:rsid w:val="00907061"/>
    <w:rsid w:val="00915609"/>
    <w:rsid w:val="009170E2"/>
    <w:rsid w:val="00924DD9"/>
    <w:rsid w:val="00925070"/>
    <w:rsid w:val="00940C11"/>
    <w:rsid w:val="00990AC5"/>
    <w:rsid w:val="00994DEA"/>
    <w:rsid w:val="009A26AC"/>
    <w:rsid w:val="009B366A"/>
    <w:rsid w:val="009B3AEA"/>
    <w:rsid w:val="009C7E99"/>
    <w:rsid w:val="009D764E"/>
    <w:rsid w:val="00A1280D"/>
    <w:rsid w:val="00A448DB"/>
    <w:rsid w:val="00A60D07"/>
    <w:rsid w:val="00A72747"/>
    <w:rsid w:val="00A77625"/>
    <w:rsid w:val="00A84965"/>
    <w:rsid w:val="00AB2BB9"/>
    <w:rsid w:val="00AC19AA"/>
    <w:rsid w:val="00AE08BA"/>
    <w:rsid w:val="00AF3908"/>
    <w:rsid w:val="00B01652"/>
    <w:rsid w:val="00B02EB1"/>
    <w:rsid w:val="00B27B56"/>
    <w:rsid w:val="00B30957"/>
    <w:rsid w:val="00B46ECA"/>
    <w:rsid w:val="00B52645"/>
    <w:rsid w:val="00B55C51"/>
    <w:rsid w:val="00B56D2F"/>
    <w:rsid w:val="00B75798"/>
    <w:rsid w:val="00C07F3C"/>
    <w:rsid w:val="00C24D35"/>
    <w:rsid w:val="00C3362F"/>
    <w:rsid w:val="00C435E5"/>
    <w:rsid w:val="00C5691B"/>
    <w:rsid w:val="00C74610"/>
    <w:rsid w:val="00C82C89"/>
    <w:rsid w:val="00C953C3"/>
    <w:rsid w:val="00C95E30"/>
    <w:rsid w:val="00CA2188"/>
    <w:rsid w:val="00CB411C"/>
    <w:rsid w:val="00CC20F4"/>
    <w:rsid w:val="00CC753C"/>
    <w:rsid w:val="00CF63DC"/>
    <w:rsid w:val="00D04B9F"/>
    <w:rsid w:val="00D23C36"/>
    <w:rsid w:val="00D251D8"/>
    <w:rsid w:val="00D3188D"/>
    <w:rsid w:val="00D452A4"/>
    <w:rsid w:val="00D871BB"/>
    <w:rsid w:val="00D94305"/>
    <w:rsid w:val="00DB3FDB"/>
    <w:rsid w:val="00DE2D67"/>
    <w:rsid w:val="00E10DE2"/>
    <w:rsid w:val="00E238A3"/>
    <w:rsid w:val="00E44E17"/>
    <w:rsid w:val="00E56134"/>
    <w:rsid w:val="00E8407D"/>
    <w:rsid w:val="00E95FD5"/>
    <w:rsid w:val="00E96E80"/>
    <w:rsid w:val="00EA7DAA"/>
    <w:rsid w:val="00EC7CEB"/>
    <w:rsid w:val="00ED2C3F"/>
    <w:rsid w:val="00ED3DDC"/>
    <w:rsid w:val="00EE0CEC"/>
    <w:rsid w:val="00EF1232"/>
    <w:rsid w:val="00EF1DC3"/>
    <w:rsid w:val="00EF20AE"/>
    <w:rsid w:val="00F1125C"/>
    <w:rsid w:val="00F12052"/>
    <w:rsid w:val="00F23158"/>
    <w:rsid w:val="00F41E60"/>
    <w:rsid w:val="00F601FF"/>
    <w:rsid w:val="00F84C40"/>
    <w:rsid w:val="00F8614A"/>
    <w:rsid w:val="00FA16BE"/>
    <w:rsid w:val="00FC2319"/>
    <w:rsid w:val="00FD154B"/>
    <w:rsid w:val="00FD2643"/>
    <w:rsid w:val="00FF1F0F"/>
    <w:rsid w:val="00FF7F7D"/>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4E6AC4"/>
  <w15:docId w15:val="{F4946579-647B-44CC-A3DA-72316FE0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2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79016E"/>
    <w:rPr>
      <w:sz w:val="16"/>
      <w:szCs w:val="16"/>
    </w:rPr>
  </w:style>
  <w:style w:type="paragraph" w:styleId="Komentarotekstas">
    <w:name w:val="annotation text"/>
    <w:basedOn w:val="prastasis"/>
    <w:link w:val="KomentarotekstasDiagrama"/>
    <w:unhideWhenUsed/>
    <w:rsid w:val="0079016E"/>
    <w:rPr>
      <w:sz w:val="20"/>
    </w:rPr>
  </w:style>
  <w:style w:type="character" w:customStyle="1" w:styleId="KomentarotekstasDiagrama">
    <w:name w:val="Komentaro tekstas Diagrama"/>
    <w:basedOn w:val="Numatytasispastraiposriftas"/>
    <w:link w:val="Komentarotekstas"/>
    <w:rsid w:val="0079016E"/>
    <w:rPr>
      <w:sz w:val="20"/>
    </w:rPr>
  </w:style>
  <w:style w:type="paragraph" w:styleId="Komentarotema">
    <w:name w:val="annotation subject"/>
    <w:basedOn w:val="Komentarotekstas"/>
    <w:next w:val="Komentarotekstas"/>
    <w:link w:val="KomentarotemaDiagrama"/>
    <w:semiHidden/>
    <w:unhideWhenUsed/>
    <w:rsid w:val="0079016E"/>
    <w:rPr>
      <w:b/>
      <w:bCs/>
    </w:rPr>
  </w:style>
  <w:style w:type="character" w:customStyle="1" w:styleId="KomentarotemaDiagrama">
    <w:name w:val="Komentaro tema Diagrama"/>
    <w:basedOn w:val="KomentarotekstasDiagrama"/>
    <w:link w:val="Komentarotema"/>
    <w:semiHidden/>
    <w:rsid w:val="0079016E"/>
    <w:rPr>
      <w:b/>
      <w:bCs/>
      <w:sz w:val="20"/>
    </w:rPr>
  </w:style>
  <w:style w:type="paragraph" w:styleId="Debesliotekstas">
    <w:name w:val="Balloon Text"/>
    <w:basedOn w:val="prastasis"/>
    <w:link w:val="DebesliotekstasDiagrama"/>
    <w:semiHidden/>
    <w:unhideWhenUsed/>
    <w:rsid w:val="0079016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016E"/>
    <w:rPr>
      <w:rFonts w:ascii="Segoe UI" w:hAnsi="Segoe UI" w:cs="Segoe UI"/>
      <w:sz w:val="18"/>
      <w:szCs w:val="18"/>
    </w:rPr>
  </w:style>
  <w:style w:type="character" w:styleId="Hipersaitas">
    <w:name w:val="Hyperlink"/>
    <w:basedOn w:val="Numatytasispastraiposriftas"/>
    <w:unhideWhenUsed/>
    <w:rsid w:val="00EF1232"/>
    <w:rPr>
      <w:color w:val="0563C1" w:themeColor="hyperlink"/>
      <w:u w:val="single"/>
    </w:rPr>
  </w:style>
  <w:style w:type="paragraph" w:styleId="Sraopastraipa">
    <w:name w:val="List Paragraph"/>
    <w:basedOn w:val="prastasis"/>
    <w:rsid w:val="00FF7F7D"/>
    <w:pPr>
      <w:ind w:left="720"/>
      <w:contextualSpacing/>
    </w:pPr>
  </w:style>
  <w:style w:type="table" w:styleId="Lentelstinklelis">
    <w:name w:val="Table Grid"/>
    <w:basedOn w:val="prastojilentel"/>
    <w:rsid w:val="00FF7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702791"/>
  </w:style>
  <w:style w:type="character" w:styleId="Perirtashipersaitas">
    <w:name w:val="FollowedHyperlink"/>
    <w:basedOn w:val="Numatytasispastraiposriftas"/>
    <w:semiHidden/>
    <w:unhideWhenUsed/>
    <w:rsid w:val="00485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6019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15715590">
      <w:bodyDiv w:val="1"/>
      <w:marLeft w:val="0"/>
      <w:marRight w:val="0"/>
      <w:marTop w:val="0"/>
      <w:marBottom w:val="0"/>
      <w:divBdr>
        <w:top w:val="none" w:sz="0" w:space="0" w:color="auto"/>
        <w:left w:val="none" w:sz="0" w:space="0" w:color="auto"/>
        <w:bottom w:val="none" w:sz="0" w:space="0" w:color="auto"/>
        <w:right w:val="none" w:sz="0" w:space="0" w:color="auto"/>
      </w:divBdr>
    </w:div>
    <w:div w:id="95154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f416d360d77c11e3bb00c40fca124f97" TargetMode="External"/><Relationship Id="rId17" Type="http://schemas.openxmlformats.org/officeDocument/2006/relationships/hyperlink" Target="https://www.oecd.org/sti/inno/frascati-manual.htm" TargetMode="External"/><Relationship Id="rId2" Type="http://schemas.openxmlformats.org/officeDocument/2006/relationships/customXml" Target="../customXml/item2.xml"/><Relationship Id="rId16" Type="http://schemas.openxmlformats.org/officeDocument/2006/relationships/hyperlink" Target="https://www.lmt.lt/lt/mokslo-kokybe/mokslo-meno-veiklos-rezultatu-vertinimas/1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kos.smm.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FA60A58-4197-4E96-B1F9-1B6A658E8CD6}">
  <ds:schemaRefs>
    <ds:schemaRef ds:uri="http://schemas.microsoft.com/office/2006/metadata/properties"/>
  </ds:schemaRefs>
</ds:datastoreItem>
</file>

<file path=customXml/itemProps2.xml><?xml version="1.0" encoding="utf-8"?>
<ds:datastoreItem xmlns:ds="http://schemas.openxmlformats.org/officeDocument/2006/customXml" ds:itemID="{1E871E30-3D93-4861-8109-D393BC6641D0}">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B5170930-C2A1-4ACD-A802-A0562DE3C13A}">
  <ds:schemaRefs>
    <ds:schemaRef ds:uri="http://schemas.microsoft.com/sharepoint/v3/contenttype/forms"/>
  </ds:schemaRefs>
</ds:datastoreItem>
</file>

<file path=customXml/itemProps4.xml><?xml version="1.0" encoding="utf-8"?>
<ds:datastoreItem xmlns:ds="http://schemas.openxmlformats.org/officeDocument/2006/customXml" ds:itemID="{AC724D6C-BF28-4495-BA51-7857EC07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12754</Words>
  <Characters>72702</Characters>
  <Application>Microsoft Office Word</Application>
  <DocSecurity>0</DocSecurity>
  <Lines>605</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6aecdcc2-8083-4ad0-8557-06462a1cd670</vt:lpstr>
      <vt:lpstr/>
    </vt:vector>
  </TitlesOfParts>
  <Company>VKS</Company>
  <LinksUpToDate>false</LinksUpToDate>
  <CharactersWithSpaces>85286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6aecdcc2-8083-4ad0-8557-06462a1cd670</dc:title>
  <dc:subject/>
  <dc:creator>Gaidamavičienė Agnė</dc:creator>
  <cp:keywords/>
  <dc:description/>
  <cp:lastModifiedBy>Gaidamavičienė Agnė</cp:lastModifiedBy>
  <cp:revision>3</cp:revision>
  <cp:lastPrinted>2010-02-18T07:54:00Z</cp:lastPrinted>
  <dcterms:created xsi:type="dcterms:W3CDTF">2020-03-20T09:49:00Z</dcterms:created>
  <dcterms:modified xsi:type="dcterms:W3CDTF">2020-03-20T09:49:00Z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