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669" w:rsidRDefault="007E1114" w:rsidP="007E1114">
      <w:pPr>
        <w:jc w:val="center"/>
        <w:rPr>
          <w:b/>
          <w:noProof/>
          <w:lang w:eastAsia="lt-LT"/>
        </w:rPr>
      </w:pPr>
      <w:r>
        <w:rPr>
          <w:b/>
          <w:caps/>
          <w:noProof/>
          <w:szCs w:val="24"/>
          <w:lang w:eastAsia="lt-LT"/>
        </w:rPr>
        <w:drawing>
          <wp:inline distT="0" distB="0" distL="0" distR="0" wp14:anchorId="1DBD3DA9" wp14:editId="7FF344C6">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rsidR="007E1114" w:rsidRPr="006522B7" w:rsidRDefault="007E1114" w:rsidP="007E1114">
      <w:pPr>
        <w:jc w:val="center"/>
        <w:rPr>
          <w:b/>
          <w:noProof/>
          <w:lang w:eastAsia="lt-LT"/>
        </w:rPr>
      </w:pPr>
    </w:p>
    <w:p w:rsidR="009962CF" w:rsidRDefault="009962CF" w:rsidP="00817669">
      <w:pPr>
        <w:jc w:val="center"/>
        <w:rPr>
          <w:b/>
          <w:caps/>
        </w:rPr>
      </w:pPr>
      <w:r>
        <w:rPr>
          <w:b/>
          <w:caps/>
        </w:rPr>
        <w:t xml:space="preserve">LIETUVOS RESPUBLIKOS </w:t>
      </w:r>
      <w:r w:rsidRPr="003B261A">
        <w:rPr>
          <w:b/>
          <w:caps/>
        </w:rPr>
        <w:t xml:space="preserve">Ekonomikos ir inovacijų </w:t>
      </w:r>
      <w:r>
        <w:rPr>
          <w:b/>
          <w:caps/>
        </w:rPr>
        <w:t>MINISTRAS</w:t>
      </w:r>
    </w:p>
    <w:p w:rsidR="009962CF" w:rsidRDefault="009962CF" w:rsidP="009962CF">
      <w:pPr>
        <w:jc w:val="center"/>
        <w:rPr>
          <w:b/>
          <w:caps/>
        </w:rPr>
      </w:pPr>
    </w:p>
    <w:p w:rsidR="009962CF" w:rsidRDefault="009962CF" w:rsidP="009962CF">
      <w:pPr>
        <w:jc w:val="center"/>
        <w:rPr>
          <w:b/>
          <w:caps/>
        </w:rPr>
      </w:pPr>
      <w:r>
        <w:rPr>
          <w:b/>
          <w:caps/>
        </w:rPr>
        <w:t>įsakymas</w:t>
      </w:r>
    </w:p>
    <w:p w:rsidR="003F720C" w:rsidRPr="00945977" w:rsidRDefault="003F720C" w:rsidP="00945977">
      <w:pPr>
        <w:jc w:val="center"/>
        <w:rPr>
          <w:rFonts w:eastAsia="Calibri"/>
          <w:szCs w:val="24"/>
        </w:rPr>
      </w:pPr>
      <w:r w:rsidRPr="003B02E3">
        <w:rPr>
          <w:b/>
          <w:szCs w:val="24"/>
        </w:rPr>
        <w:t xml:space="preserve">DĖL LIETUVOS RESPUBLIKOS </w:t>
      </w:r>
      <w:r w:rsidR="00CF7DDC" w:rsidRPr="003B02E3">
        <w:rPr>
          <w:b/>
          <w:szCs w:val="24"/>
        </w:rPr>
        <w:t xml:space="preserve">EKONOMIKOS IR INOVACIJŲ </w:t>
      </w:r>
      <w:r w:rsidRPr="003B02E3">
        <w:rPr>
          <w:b/>
          <w:szCs w:val="24"/>
        </w:rPr>
        <w:t xml:space="preserve">MINISTRO </w:t>
      </w:r>
      <w:r w:rsidR="00E514DD">
        <w:rPr>
          <w:b/>
          <w:szCs w:val="24"/>
        </w:rPr>
        <w:br/>
      </w:r>
      <w:r w:rsidRPr="003B02E3">
        <w:rPr>
          <w:b/>
          <w:szCs w:val="24"/>
        </w:rPr>
        <w:t>201</w:t>
      </w:r>
      <w:r w:rsidR="006D3119" w:rsidRPr="007E1114">
        <w:rPr>
          <w:b/>
          <w:szCs w:val="24"/>
        </w:rPr>
        <w:t>8</w:t>
      </w:r>
      <w:r w:rsidRPr="003B02E3">
        <w:rPr>
          <w:b/>
          <w:szCs w:val="24"/>
        </w:rPr>
        <w:t xml:space="preserve"> M. </w:t>
      </w:r>
      <w:r w:rsidR="00C332DD">
        <w:rPr>
          <w:b/>
          <w:szCs w:val="24"/>
        </w:rPr>
        <w:t>BALANDŽIO 27</w:t>
      </w:r>
      <w:r w:rsidRPr="003B02E3">
        <w:rPr>
          <w:b/>
          <w:caps/>
          <w:szCs w:val="24"/>
        </w:rPr>
        <w:t xml:space="preserve"> </w:t>
      </w:r>
      <w:r w:rsidRPr="003B02E3">
        <w:rPr>
          <w:b/>
          <w:szCs w:val="24"/>
        </w:rPr>
        <w:t>D. ĮSAKYMO NR. 4-</w:t>
      </w:r>
      <w:r w:rsidR="00C332DD">
        <w:rPr>
          <w:b/>
          <w:szCs w:val="24"/>
        </w:rPr>
        <w:t>250</w:t>
      </w:r>
      <w:r w:rsidRPr="003B02E3">
        <w:rPr>
          <w:b/>
          <w:szCs w:val="24"/>
        </w:rPr>
        <w:t xml:space="preserve"> „</w:t>
      </w:r>
      <w:r w:rsidR="00832F78" w:rsidRPr="003B02E3">
        <w:rPr>
          <w:b/>
          <w:bCs/>
          <w:caps/>
          <w:szCs w:val="24"/>
        </w:rPr>
        <w:t xml:space="preserve">dėl </w:t>
      </w:r>
      <w:r w:rsidR="00945977">
        <w:rPr>
          <w:rFonts w:eastAsia="Calibri"/>
          <w:b/>
          <w:kern w:val="16"/>
          <w:szCs w:val="24"/>
        </w:rPr>
        <w:t>2014–2020 METŲ EUROPOS SĄJUNGOS FONDŲ INVESTICIJŲ VEIKSMŲ PROGRAMOS 1 PRIORITETO „MOKSLINIŲ TYRIMŲ, EKSPERIMENTINĖS PLĖTROS IR INOVACIJŲ SKATINIMAS“ PRIEMONĖS N</w:t>
      </w:r>
      <w:r w:rsidR="00945977">
        <w:rPr>
          <w:rFonts w:eastAsia="Calibri"/>
          <w:b/>
          <w:szCs w:val="24"/>
        </w:rPr>
        <w:t>R. 0</w:t>
      </w:r>
      <w:r w:rsidR="00945977">
        <w:rPr>
          <w:rFonts w:eastAsia="Calibri"/>
          <w:b/>
          <w:szCs w:val="22"/>
        </w:rPr>
        <w:t>1</w:t>
      </w:r>
      <w:r w:rsidR="00C332DD">
        <w:rPr>
          <w:rFonts w:eastAsia="Calibri"/>
          <w:b/>
          <w:szCs w:val="24"/>
        </w:rPr>
        <w:t>.2.1-MITA-T-852</w:t>
      </w:r>
      <w:r w:rsidR="00945977">
        <w:rPr>
          <w:rFonts w:eastAsia="Calibri"/>
          <w:b/>
          <w:kern w:val="16"/>
          <w:szCs w:val="24"/>
        </w:rPr>
        <w:t xml:space="preserve"> </w:t>
      </w:r>
      <w:r w:rsidR="00C332DD">
        <w:rPr>
          <w:rFonts w:eastAsia="Calibri"/>
          <w:b/>
          <w:szCs w:val="24"/>
        </w:rPr>
        <w:t>„INOSTARTAS</w:t>
      </w:r>
      <w:r w:rsidR="00945977">
        <w:rPr>
          <w:rFonts w:eastAsia="Calibri"/>
          <w:b/>
          <w:szCs w:val="24"/>
        </w:rPr>
        <w:t>“ PROJEKTŲ FINANSAVIMO SĄLYGŲ APRAŠO</w:t>
      </w:r>
      <w:r w:rsidR="00A064A6">
        <w:rPr>
          <w:rFonts w:eastAsia="Calibri"/>
          <w:b/>
          <w:szCs w:val="24"/>
        </w:rPr>
        <w:t xml:space="preserve"> NR. 1</w:t>
      </w:r>
      <w:r w:rsidR="00945977">
        <w:rPr>
          <w:rFonts w:eastAsia="Calibri"/>
          <w:b/>
          <w:szCs w:val="24"/>
        </w:rPr>
        <w:t xml:space="preserve"> </w:t>
      </w:r>
      <w:r w:rsidRPr="00023FCA">
        <w:rPr>
          <w:b/>
          <w:bCs/>
          <w:caps/>
          <w:szCs w:val="24"/>
        </w:rPr>
        <w:t>patvirtinimo</w:t>
      </w:r>
      <w:r w:rsidRPr="00023FCA">
        <w:rPr>
          <w:rFonts w:eastAsia="Calibri"/>
          <w:b/>
          <w:szCs w:val="24"/>
        </w:rPr>
        <w:t>“</w:t>
      </w:r>
      <w:r w:rsidRPr="00023FCA">
        <w:rPr>
          <w:b/>
          <w:bCs/>
          <w:caps/>
          <w:szCs w:val="24"/>
        </w:rPr>
        <w:t xml:space="preserve"> </w:t>
      </w:r>
      <w:r w:rsidRPr="00023FCA">
        <w:rPr>
          <w:b/>
          <w:caps/>
          <w:szCs w:val="24"/>
        </w:rPr>
        <w:t>PAKEITIMO</w:t>
      </w:r>
    </w:p>
    <w:p w:rsidR="003F720C" w:rsidRPr="002D2728" w:rsidRDefault="003F720C" w:rsidP="00E50C93">
      <w:pPr>
        <w:rPr>
          <w:szCs w:val="24"/>
        </w:rPr>
      </w:pPr>
    </w:p>
    <w:p w:rsidR="003F720C" w:rsidRPr="002D2728" w:rsidRDefault="001A0FD0" w:rsidP="00E50C93">
      <w:pPr>
        <w:jc w:val="center"/>
        <w:rPr>
          <w:szCs w:val="24"/>
        </w:rPr>
      </w:pPr>
      <w:r>
        <w:rPr>
          <w:szCs w:val="24"/>
        </w:rPr>
        <w:t>20</w:t>
      </w:r>
      <w:r w:rsidR="00945977">
        <w:rPr>
          <w:szCs w:val="24"/>
        </w:rPr>
        <w:t>20</w:t>
      </w:r>
      <w:r>
        <w:rPr>
          <w:szCs w:val="24"/>
        </w:rPr>
        <w:t xml:space="preserve"> m.</w:t>
      </w:r>
      <w:r w:rsidR="007E1114">
        <w:rPr>
          <w:szCs w:val="24"/>
        </w:rPr>
        <w:t xml:space="preserve"> kovo</w:t>
      </w:r>
      <w:r w:rsidR="00945977">
        <w:rPr>
          <w:szCs w:val="24"/>
        </w:rPr>
        <w:t xml:space="preserve"> </w:t>
      </w:r>
      <w:r w:rsidR="00E05431">
        <w:rPr>
          <w:szCs w:val="24"/>
        </w:rPr>
        <w:t xml:space="preserve">27 </w:t>
      </w:r>
      <w:r w:rsidR="003F720C" w:rsidRPr="002D2728">
        <w:rPr>
          <w:szCs w:val="24"/>
        </w:rPr>
        <w:t>d. Nr. 4-</w:t>
      </w:r>
      <w:r w:rsidR="00E05431">
        <w:rPr>
          <w:szCs w:val="24"/>
        </w:rPr>
        <w:t>181</w:t>
      </w:r>
      <w:bookmarkStart w:id="0" w:name="_GoBack"/>
      <w:bookmarkEnd w:id="0"/>
    </w:p>
    <w:p w:rsidR="003F720C" w:rsidRPr="002D2728" w:rsidRDefault="003F720C" w:rsidP="00E50C93">
      <w:pPr>
        <w:jc w:val="center"/>
        <w:rPr>
          <w:szCs w:val="24"/>
        </w:rPr>
      </w:pPr>
      <w:r w:rsidRPr="002D2728">
        <w:rPr>
          <w:szCs w:val="24"/>
        </w:rPr>
        <w:t>Vilnius</w:t>
      </w:r>
    </w:p>
    <w:p w:rsidR="003F720C" w:rsidRDefault="003F720C" w:rsidP="00E50C93">
      <w:pPr>
        <w:jc w:val="center"/>
        <w:rPr>
          <w:szCs w:val="24"/>
        </w:rPr>
      </w:pPr>
    </w:p>
    <w:p w:rsidR="003F720C" w:rsidRPr="002D2728" w:rsidRDefault="003F720C" w:rsidP="00023FCA">
      <w:pPr>
        <w:pStyle w:val="BodyText1"/>
        <w:spacing w:line="240" w:lineRule="auto"/>
        <w:ind w:firstLine="720"/>
        <w:rPr>
          <w:color w:val="auto"/>
          <w:sz w:val="24"/>
          <w:szCs w:val="24"/>
        </w:rPr>
      </w:pPr>
      <w:r w:rsidRPr="002D2728">
        <w:rPr>
          <w:color w:val="auto"/>
          <w:sz w:val="24"/>
          <w:szCs w:val="24"/>
        </w:rPr>
        <w:t>Vadovaudamasis Projektų administravimo ir finansavimo taisyklių, patvirtintų Lietuvos Respublikos finansų ministro 2014 m. spalio 8 d. įsakymu Nr. 1K-316 „Dėl Projektų administravimo ir finansavimo taisyklių patvirtinimo“, 88 punktu</w:t>
      </w:r>
      <w:r w:rsidR="00C772E3">
        <w:rPr>
          <w:color w:val="auto"/>
          <w:sz w:val="24"/>
          <w:szCs w:val="24"/>
        </w:rPr>
        <w:t>,</w:t>
      </w:r>
    </w:p>
    <w:p w:rsidR="00CF7DDC" w:rsidRDefault="00AA3428" w:rsidP="006702D9">
      <w:pPr>
        <w:pStyle w:val="BodyText1"/>
        <w:spacing w:line="240" w:lineRule="auto"/>
        <w:ind w:firstLine="720"/>
        <w:rPr>
          <w:color w:val="auto"/>
          <w:sz w:val="24"/>
          <w:szCs w:val="24"/>
        </w:rPr>
      </w:pPr>
      <w:r>
        <w:rPr>
          <w:color w:val="auto"/>
          <w:sz w:val="24"/>
          <w:szCs w:val="24"/>
        </w:rPr>
        <w:t>p</w:t>
      </w:r>
      <w:r w:rsidR="003F720C">
        <w:rPr>
          <w:color w:val="auto"/>
          <w:sz w:val="24"/>
          <w:szCs w:val="24"/>
        </w:rPr>
        <w:t xml:space="preserve"> a k e i č i u </w:t>
      </w:r>
      <w:r w:rsidR="007A73B4">
        <w:rPr>
          <w:color w:val="auto"/>
          <w:sz w:val="24"/>
          <w:szCs w:val="24"/>
        </w:rPr>
        <w:t xml:space="preserve"> </w:t>
      </w:r>
      <w:r w:rsidR="00CF7DDC" w:rsidRPr="00055247">
        <w:rPr>
          <w:color w:val="auto"/>
          <w:sz w:val="24"/>
          <w:szCs w:val="24"/>
        </w:rPr>
        <w:t xml:space="preserve">2014–2020 metų Europos Sąjungos fondų investicijų veiksmų programos </w:t>
      </w:r>
      <w:r w:rsidR="009300DB">
        <w:rPr>
          <w:color w:val="auto"/>
          <w:sz w:val="24"/>
          <w:szCs w:val="24"/>
        </w:rPr>
        <w:br/>
      </w:r>
      <w:r w:rsidR="00CF7DDC" w:rsidRPr="00055247">
        <w:rPr>
          <w:color w:val="auto"/>
          <w:sz w:val="24"/>
          <w:szCs w:val="24"/>
        </w:rPr>
        <w:t xml:space="preserve">1 prioriteto „Mokslinių tyrimų, eksperimentinės plėtros ir inovacijų skatinimas“ priemonės </w:t>
      </w:r>
      <w:r w:rsidR="00B25BAA">
        <w:rPr>
          <w:color w:val="auto"/>
          <w:sz w:val="24"/>
          <w:szCs w:val="24"/>
        </w:rPr>
        <w:br/>
      </w:r>
      <w:r w:rsidR="00CF7DDC" w:rsidRPr="00055247">
        <w:rPr>
          <w:color w:val="auto"/>
          <w:sz w:val="24"/>
          <w:szCs w:val="24"/>
        </w:rPr>
        <w:t>Nr. 01.2.1-</w:t>
      </w:r>
      <w:r w:rsidR="00CA36F5">
        <w:rPr>
          <w:color w:val="auto"/>
          <w:sz w:val="24"/>
          <w:szCs w:val="24"/>
        </w:rPr>
        <w:t>MITA</w:t>
      </w:r>
      <w:r w:rsidR="00CF7DDC" w:rsidRPr="00055247">
        <w:rPr>
          <w:color w:val="auto"/>
          <w:sz w:val="24"/>
          <w:szCs w:val="24"/>
        </w:rPr>
        <w:t>-</w:t>
      </w:r>
      <w:r w:rsidR="00CA36F5">
        <w:rPr>
          <w:color w:val="auto"/>
          <w:sz w:val="24"/>
          <w:szCs w:val="24"/>
        </w:rPr>
        <w:t>T</w:t>
      </w:r>
      <w:r w:rsidR="00CF7DDC" w:rsidRPr="00055247">
        <w:rPr>
          <w:color w:val="auto"/>
          <w:sz w:val="24"/>
          <w:szCs w:val="24"/>
        </w:rPr>
        <w:t>-8</w:t>
      </w:r>
      <w:r w:rsidR="006D3119" w:rsidRPr="007E1114">
        <w:rPr>
          <w:szCs w:val="24"/>
        </w:rPr>
        <w:t>52</w:t>
      </w:r>
      <w:r w:rsidR="00CF7DDC" w:rsidRPr="00055247">
        <w:rPr>
          <w:color w:val="auto"/>
          <w:sz w:val="24"/>
          <w:szCs w:val="24"/>
        </w:rPr>
        <w:t xml:space="preserve"> „</w:t>
      </w:r>
      <w:proofErr w:type="spellStart"/>
      <w:r w:rsidR="00C332DD">
        <w:rPr>
          <w:color w:val="auto"/>
          <w:sz w:val="24"/>
          <w:szCs w:val="24"/>
        </w:rPr>
        <w:t>Inostartas</w:t>
      </w:r>
      <w:proofErr w:type="spellEnd"/>
      <w:r w:rsidR="00CF7DDC" w:rsidRPr="00055247">
        <w:rPr>
          <w:color w:val="auto"/>
          <w:sz w:val="24"/>
          <w:szCs w:val="24"/>
        </w:rPr>
        <w:t>“ pro</w:t>
      </w:r>
      <w:r w:rsidR="00CA36F5">
        <w:rPr>
          <w:color w:val="auto"/>
          <w:sz w:val="24"/>
          <w:szCs w:val="24"/>
        </w:rPr>
        <w:t>jektų finansavimo sąlygų aprašą</w:t>
      </w:r>
      <w:r w:rsidR="00A064A6">
        <w:rPr>
          <w:color w:val="auto"/>
          <w:sz w:val="24"/>
          <w:szCs w:val="24"/>
        </w:rPr>
        <w:t xml:space="preserve"> Nr. 1</w:t>
      </w:r>
      <w:r w:rsidR="00CA36F5">
        <w:rPr>
          <w:color w:val="auto"/>
          <w:sz w:val="24"/>
          <w:szCs w:val="24"/>
        </w:rPr>
        <w:t>,</w:t>
      </w:r>
      <w:r w:rsidR="00CF7DDC">
        <w:rPr>
          <w:color w:val="auto"/>
          <w:sz w:val="24"/>
          <w:szCs w:val="24"/>
        </w:rPr>
        <w:t xml:space="preserve"> patvirtintą Lietuvos Respublikos ekonomikos ir inovacijų ministro 201</w:t>
      </w:r>
      <w:r w:rsidR="006D3119" w:rsidRPr="007E1114">
        <w:rPr>
          <w:szCs w:val="24"/>
        </w:rPr>
        <w:t>8</w:t>
      </w:r>
      <w:r w:rsidR="00714F02">
        <w:rPr>
          <w:color w:val="auto"/>
          <w:sz w:val="24"/>
          <w:szCs w:val="24"/>
        </w:rPr>
        <w:t xml:space="preserve"> m. balandžio</w:t>
      </w:r>
      <w:r w:rsidR="00CF7DDC">
        <w:rPr>
          <w:color w:val="auto"/>
          <w:sz w:val="24"/>
          <w:szCs w:val="24"/>
        </w:rPr>
        <w:t xml:space="preserve"> </w:t>
      </w:r>
      <w:r w:rsidR="006D3119" w:rsidRPr="007E1114">
        <w:rPr>
          <w:szCs w:val="24"/>
        </w:rPr>
        <w:t>27</w:t>
      </w:r>
      <w:r w:rsidR="00CF7DDC">
        <w:rPr>
          <w:color w:val="auto"/>
          <w:sz w:val="24"/>
          <w:szCs w:val="24"/>
        </w:rPr>
        <w:t xml:space="preserve"> d. įsakymu Nr. 4-</w:t>
      </w:r>
      <w:r w:rsidR="00C332DD">
        <w:rPr>
          <w:color w:val="auto"/>
          <w:sz w:val="24"/>
          <w:szCs w:val="24"/>
        </w:rPr>
        <w:t>250</w:t>
      </w:r>
      <w:r w:rsidR="00023FCA">
        <w:rPr>
          <w:color w:val="auto"/>
          <w:sz w:val="24"/>
          <w:szCs w:val="24"/>
        </w:rPr>
        <w:t xml:space="preserve"> </w:t>
      </w:r>
      <w:r w:rsidR="00023FCA" w:rsidRPr="003F541E">
        <w:rPr>
          <w:sz w:val="24"/>
          <w:szCs w:val="24"/>
        </w:rPr>
        <w:t>„</w:t>
      </w:r>
      <w:r w:rsidR="00023FCA" w:rsidRPr="00023FCA">
        <w:rPr>
          <w:bCs/>
          <w:sz w:val="24"/>
          <w:szCs w:val="24"/>
        </w:rPr>
        <w:t xml:space="preserve">Dėl </w:t>
      </w:r>
      <w:r w:rsidR="009646DA">
        <w:rPr>
          <w:bCs/>
          <w:sz w:val="24"/>
          <w:szCs w:val="24"/>
        </w:rPr>
        <w:br/>
      </w:r>
      <w:r w:rsidR="00023FCA" w:rsidRPr="00023FCA">
        <w:rPr>
          <w:bCs/>
          <w:sz w:val="24"/>
          <w:szCs w:val="24"/>
        </w:rPr>
        <w:t>2014–2020 metų Europos S</w:t>
      </w:r>
      <w:r w:rsidR="00023FCA" w:rsidRPr="003F541E">
        <w:rPr>
          <w:bCs/>
          <w:sz w:val="24"/>
          <w:szCs w:val="24"/>
        </w:rPr>
        <w:t xml:space="preserve">ąjungos fondų investicijų veiksmų programos 1 </w:t>
      </w:r>
      <w:r w:rsidR="00023FCA" w:rsidRPr="00023FCA">
        <w:rPr>
          <w:bCs/>
          <w:sz w:val="24"/>
          <w:szCs w:val="24"/>
        </w:rPr>
        <w:t>prioriteto „M</w:t>
      </w:r>
      <w:r w:rsidR="00023FCA" w:rsidRPr="003F541E">
        <w:rPr>
          <w:bCs/>
          <w:sz w:val="24"/>
          <w:szCs w:val="24"/>
        </w:rPr>
        <w:t xml:space="preserve">okslinių tyrimų, eksperimentinės plėtros ir inovacijų skatinimas“ priemonės </w:t>
      </w:r>
      <w:r w:rsidR="00CA36F5" w:rsidRPr="00055247">
        <w:rPr>
          <w:color w:val="auto"/>
          <w:sz w:val="24"/>
          <w:szCs w:val="24"/>
        </w:rPr>
        <w:t>Nr. 01.2.1-</w:t>
      </w:r>
      <w:r w:rsidR="00CA36F5">
        <w:rPr>
          <w:color w:val="auto"/>
          <w:sz w:val="24"/>
          <w:szCs w:val="24"/>
        </w:rPr>
        <w:t>MITA</w:t>
      </w:r>
      <w:r w:rsidR="00CA36F5" w:rsidRPr="00055247">
        <w:rPr>
          <w:color w:val="auto"/>
          <w:sz w:val="24"/>
          <w:szCs w:val="24"/>
        </w:rPr>
        <w:t>-</w:t>
      </w:r>
      <w:r w:rsidR="00CA36F5">
        <w:rPr>
          <w:color w:val="auto"/>
          <w:sz w:val="24"/>
          <w:szCs w:val="24"/>
        </w:rPr>
        <w:t>T</w:t>
      </w:r>
      <w:r w:rsidR="00CA36F5" w:rsidRPr="00055247">
        <w:rPr>
          <w:color w:val="auto"/>
          <w:sz w:val="24"/>
          <w:szCs w:val="24"/>
        </w:rPr>
        <w:t>-8</w:t>
      </w:r>
      <w:r w:rsidR="00C332DD">
        <w:rPr>
          <w:color w:val="auto"/>
          <w:sz w:val="24"/>
          <w:szCs w:val="24"/>
        </w:rPr>
        <w:t>52</w:t>
      </w:r>
      <w:r w:rsidR="00CA36F5" w:rsidRPr="00055247">
        <w:rPr>
          <w:color w:val="auto"/>
          <w:sz w:val="24"/>
          <w:szCs w:val="24"/>
        </w:rPr>
        <w:t xml:space="preserve"> „</w:t>
      </w:r>
      <w:proofErr w:type="spellStart"/>
      <w:r w:rsidR="00C332DD">
        <w:rPr>
          <w:color w:val="auto"/>
          <w:sz w:val="24"/>
          <w:szCs w:val="24"/>
        </w:rPr>
        <w:t>Inostartas</w:t>
      </w:r>
      <w:proofErr w:type="spellEnd"/>
      <w:r w:rsidR="00CA36F5" w:rsidRPr="00055247">
        <w:rPr>
          <w:color w:val="auto"/>
          <w:sz w:val="24"/>
          <w:szCs w:val="24"/>
        </w:rPr>
        <w:t>“</w:t>
      </w:r>
      <w:r w:rsidR="00023FCA" w:rsidRPr="003F541E">
        <w:rPr>
          <w:bCs/>
          <w:sz w:val="24"/>
          <w:szCs w:val="24"/>
        </w:rPr>
        <w:t xml:space="preserve"> projektų finansavimo sąlygų </w:t>
      </w:r>
      <w:r w:rsidR="00023FCA" w:rsidRPr="00023FCA">
        <w:rPr>
          <w:bCs/>
          <w:sz w:val="24"/>
          <w:szCs w:val="24"/>
        </w:rPr>
        <w:t>aprašo</w:t>
      </w:r>
      <w:r w:rsidR="00A064A6">
        <w:rPr>
          <w:bCs/>
          <w:sz w:val="24"/>
          <w:szCs w:val="24"/>
        </w:rPr>
        <w:t xml:space="preserve"> Nr. 1</w:t>
      </w:r>
      <w:r w:rsidR="00023FCA" w:rsidRPr="00023FCA">
        <w:rPr>
          <w:bCs/>
          <w:sz w:val="24"/>
          <w:szCs w:val="24"/>
        </w:rPr>
        <w:t xml:space="preserve"> </w:t>
      </w:r>
      <w:r w:rsidR="00023FCA" w:rsidRPr="003F541E">
        <w:rPr>
          <w:bCs/>
          <w:color w:val="auto"/>
          <w:sz w:val="24"/>
          <w:szCs w:val="24"/>
        </w:rPr>
        <w:t>patvirtinimo</w:t>
      </w:r>
      <w:r w:rsidR="00023FCA" w:rsidRPr="003F541E">
        <w:rPr>
          <w:color w:val="auto"/>
          <w:sz w:val="24"/>
          <w:szCs w:val="24"/>
        </w:rPr>
        <w:t>“</w:t>
      </w:r>
      <w:r w:rsidR="008A722D">
        <w:rPr>
          <w:color w:val="auto"/>
          <w:sz w:val="24"/>
          <w:szCs w:val="24"/>
        </w:rPr>
        <w:t>:</w:t>
      </w:r>
    </w:p>
    <w:p w:rsidR="0056063D" w:rsidRDefault="00D40792" w:rsidP="003F541E">
      <w:pPr>
        <w:pStyle w:val="Footer"/>
        <w:ind w:firstLine="709"/>
        <w:rPr>
          <w:rFonts w:ascii="Times New Roman" w:hAnsi="Times New Roman" w:cs="Times New Roman"/>
          <w:sz w:val="24"/>
        </w:rPr>
      </w:pPr>
      <w:r>
        <w:rPr>
          <w:rFonts w:ascii="Times New Roman" w:hAnsi="Times New Roman" w:cs="Times New Roman"/>
          <w:sz w:val="24"/>
        </w:rPr>
        <w:t xml:space="preserve">1. </w:t>
      </w:r>
      <w:r w:rsidR="00891293">
        <w:rPr>
          <w:rFonts w:ascii="Times New Roman" w:hAnsi="Times New Roman" w:cs="Times New Roman"/>
          <w:sz w:val="24"/>
        </w:rPr>
        <w:t xml:space="preserve">Pakeičiu </w:t>
      </w:r>
      <w:r w:rsidR="00CA36F5">
        <w:rPr>
          <w:rFonts w:ascii="Times New Roman" w:hAnsi="Times New Roman" w:cs="Times New Roman"/>
          <w:sz w:val="24"/>
        </w:rPr>
        <w:t>2.1</w:t>
      </w:r>
      <w:r w:rsidR="00891293">
        <w:rPr>
          <w:rFonts w:ascii="Times New Roman" w:hAnsi="Times New Roman" w:cs="Times New Roman"/>
          <w:sz w:val="24"/>
        </w:rPr>
        <w:t xml:space="preserve"> </w:t>
      </w:r>
      <w:r w:rsidR="00A6627C" w:rsidRPr="00A6627C">
        <w:rPr>
          <w:rFonts w:ascii="Times New Roman" w:hAnsi="Times New Roman" w:cs="Times New Roman"/>
          <w:sz w:val="24"/>
          <w:lang w:eastAsia="en-US"/>
        </w:rPr>
        <w:t>papunktį</w:t>
      </w:r>
      <w:r w:rsidR="00891293">
        <w:rPr>
          <w:rFonts w:ascii="Times New Roman" w:hAnsi="Times New Roman" w:cs="Times New Roman"/>
          <w:sz w:val="24"/>
        </w:rPr>
        <w:t xml:space="preserve"> ir jį išdėstau taip:</w:t>
      </w:r>
    </w:p>
    <w:p w:rsidR="00891293" w:rsidRPr="00FB56DA" w:rsidRDefault="00891293" w:rsidP="00FB56DA">
      <w:pPr>
        <w:ind w:firstLine="709"/>
        <w:jc w:val="both"/>
        <w:rPr>
          <w:szCs w:val="24"/>
        </w:rPr>
      </w:pPr>
      <w:r>
        <w:t>„</w:t>
      </w:r>
      <w:r w:rsidR="00FB56DA">
        <w:rPr>
          <w:szCs w:val="24"/>
        </w:rPr>
        <w:t>2.1. 2014–2020 m. Europos Sąjungos fondų investicijų veiksmų programos prioriteto įgyvendinimo priemonių įgyvendinimo planą, patvirtintą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r w:rsidR="00CA36F5">
        <w:rPr>
          <w:rFonts w:eastAsia="Calibri"/>
          <w:szCs w:val="24"/>
        </w:rPr>
        <w:t>;</w:t>
      </w:r>
      <w:r>
        <w:t>“</w:t>
      </w:r>
      <w:r w:rsidR="009951D2">
        <w:t>.</w:t>
      </w:r>
    </w:p>
    <w:p w:rsidR="00891293" w:rsidRDefault="00D40792" w:rsidP="00D40792">
      <w:pPr>
        <w:pStyle w:val="Footer"/>
        <w:jc w:val="both"/>
        <w:rPr>
          <w:rFonts w:ascii="Times New Roman" w:hAnsi="Times New Roman" w:cs="Times New Roman"/>
          <w:sz w:val="24"/>
        </w:rPr>
      </w:pPr>
      <w:r>
        <w:rPr>
          <w:rFonts w:ascii="Times New Roman" w:hAnsi="Times New Roman" w:cs="Times New Roman"/>
          <w:sz w:val="24"/>
        </w:rPr>
        <w:t xml:space="preserve">2. </w:t>
      </w:r>
      <w:r w:rsidR="00891293">
        <w:rPr>
          <w:rFonts w:ascii="Times New Roman" w:hAnsi="Times New Roman" w:cs="Times New Roman"/>
          <w:sz w:val="24"/>
        </w:rPr>
        <w:t xml:space="preserve">Pakeičiu </w:t>
      </w:r>
      <w:r w:rsidR="009951D2">
        <w:rPr>
          <w:rFonts w:ascii="Times New Roman" w:hAnsi="Times New Roman" w:cs="Times New Roman"/>
          <w:sz w:val="24"/>
        </w:rPr>
        <w:t>2.3</w:t>
      </w:r>
      <w:r w:rsidR="00891293">
        <w:rPr>
          <w:rFonts w:ascii="Times New Roman" w:hAnsi="Times New Roman" w:cs="Times New Roman"/>
          <w:sz w:val="24"/>
        </w:rPr>
        <w:t xml:space="preserve"> </w:t>
      </w:r>
      <w:r w:rsidR="00A6627C" w:rsidRPr="00A6627C">
        <w:rPr>
          <w:rFonts w:ascii="Times New Roman" w:hAnsi="Times New Roman" w:cs="Times New Roman"/>
          <w:sz w:val="24"/>
          <w:lang w:eastAsia="en-US"/>
        </w:rPr>
        <w:t>papunktį</w:t>
      </w:r>
      <w:r w:rsidR="00891293">
        <w:rPr>
          <w:rFonts w:ascii="Times New Roman" w:hAnsi="Times New Roman" w:cs="Times New Roman"/>
          <w:sz w:val="24"/>
        </w:rPr>
        <w:t xml:space="preserve"> ir jį išdėstau taip:</w:t>
      </w:r>
    </w:p>
    <w:p w:rsidR="00FB56DA" w:rsidRDefault="00891293" w:rsidP="00FB56DA">
      <w:pPr>
        <w:ind w:firstLine="720"/>
        <w:jc w:val="both"/>
        <w:rPr>
          <w:szCs w:val="24"/>
        </w:rPr>
      </w:pPr>
      <w:r>
        <w:t>„</w:t>
      </w:r>
      <w:r w:rsidR="009951D2">
        <w:rPr>
          <w:rFonts w:eastAsia="Calibri"/>
          <w:szCs w:val="24"/>
        </w:rPr>
        <w:t>2</w:t>
      </w:r>
      <w:r w:rsidR="00FB56DA">
        <w:rPr>
          <w:szCs w:val="24"/>
        </w:rPr>
        <w:t xml:space="preserve">.3. 2013 m. gruodžio 18 d. Komisijos reglamentą (ES) Nr. 1407/2013 dėl Sutarties dėl Europos Sąjungos veikimo 107 ir 108 straipsnių taikymo </w:t>
      </w:r>
      <w:r w:rsidR="00FB56DA">
        <w:rPr>
          <w:i/>
          <w:szCs w:val="24"/>
        </w:rPr>
        <w:t xml:space="preserve">de </w:t>
      </w:r>
      <w:proofErr w:type="spellStart"/>
      <w:r w:rsidR="00FB56DA">
        <w:rPr>
          <w:i/>
          <w:szCs w:val="24"/>
        </w:rPr>
        <w:t>minimis</w:t>
      </w:r>
      <w:proofErr w:type="spellEnd"/>
      <w:r w:rsidR="00FB56DA">
        <w:rPr>
          <w:szCs w:val="24"/>
        </w:rPr>
        <w:t xml:space="preserve"> pagalbai (toliau – </w:t>
      </w:r>
      <w:r w:rsidR="00FB56DA">
        <w:rPr>
          <w:i/>
          <w:szCs w:val="24"/>
        </w:rPr>
        <w:t xml:space="preserve">de </w:t>
      </w:r>
      <w:proofErr w:type="spellStart"/>
      <w:r w:rsidR="00FB56DA">
        <w:rPr>
          <w:i/>
          <w:szCs w:val="24"/>
        </w:rPr>
        <w:t>minimis</w:t>
      </w:r>
      <w:proofErr w:type="spellEnd"/>
      <w:r w:rsidR="00FB56DA">
        <w:rPr>
          <w:i/>
          <w:szCs w:val="24"/>
        </w:rPr>
        <w:t xml:space="preserve"> </w:t>
      </w:r>
      <w:r w:rsidR="00FB56DA">
        <w:rPr>
          <w:szCs w:val="24"/>
        </w:rPr>
        <w:t>reglamentas);</w:t>
      </w:r>
      <w:r w:rsidR="005657DB">
        <w:rPr>
          <w:szCs w:val="24"/>
        </w:rPr>
        <w:t>“.</w:t>
      </w:r>
    </w:p>
    <w:p w:rsidR="005657DB" w:rsidRDefault="005657DB" w:rsidP="00FB56DA">
      <w:pPr>
        <w:ind w:firstLine="720"/>
        <w:jc w:val="both"/>
        <w:rPr>
          <w:szCs w:val="24"/>
        </w:rPr>
      </w:pPr>
      <w:r>
        <w:rPr>
          <w:szCs w:val="24"/>
        </w:rPr>
        <w:t xml:space="preserve">3. Pakeičiu </w:t>
      </w:r>
      <w:r w:rsidR="006D3119" w:rsidRPr="007E1114">
        <w:rPr>
          <w:szCs w:val="24"/>
        </w:rPr>
        <w:t xml:space="preserve">4.3 </w:t>
      </w:r>
      <w:r>
        <w:rPr>
          <w:szCs w:val="24"/>
        </w:rPr>
        <w:t>papunktį ir jį išdėstau taip:</w:t>
      </w:r>
    </w:p>
    <w:p w:rsidR="00CA3965" w:rsidRDefault="00CA3965" w:rsidP="00CA3965">
      <w:pPr>
        <w:ind w:firstLine="709"/>
        <w:jc w:val="both"/>
        <w:rPr>
          <w:szCs w:val="24"/>
        </w:rPr>
      </w:pPr>
      <w:r>
        <w:rPr>
          <w:szCs w:val="24"/>
        </w:rPr>
        <w:t>„4.3.</w:t>
      </w:r>
      <w:r>
        <w:rPr>
          <w:b/>
          <w:szCs w:val="24"/>
        </w:rPr>
        <w:t xml:space="preserve"> Eksperimentinė plėtra</w:t>
      </w:r>
      <w:r>
        <w:rPr>
          <w:szCs w:val="24"/>
        </w:rPr>
        <w:t xml:space="preserve"> </w:t>
      </w:r>
      <w:r w:rsidR="006D3119" w:rsidRPr="007E1114">
        <w:rPr>
          <w:rFonts w:eastAsia="Calibri"/>
          <w:bCs/>
          <w:szCs w:val="24"/>
        </w:rPr>
        <w:t>–</w:t>
      </w:r>
      <w:r>
        <w:rPr>
          <w:rFonts w:eastAsia="Calibri"/>
          <w:b/>
          <w:bCs/>
          <w:szCs w:val="24"/>
        </w:rPr>
        <w:t xml:space="preserve"> </w:t>
      </w:r>
      <w:r>
        <w:rPr>
          <w:szCs w:val="24"/>
          <w:lang w:eastAsia="lt-LT"/>
        </w:rPr>
        <w:t xml:space="preserve">atitinka bandomosios taikomosios veiklos sąvoką, kuri </w:t>
      </w:r>
      <w:r>
        <w:rPr>
          <w:szCs w:val="24"/>
        </w:rPr>
        <w:t>apibrėžta 2014 m. birželio 17 d. Komisijos reglamento (ES) Nr. 651/2014, kuriuo tam tikrų kategorijų pagalba skelbiama suderinama su vidaus rinka taikant Sutarties 107 ir 108 straipsnius, su paskutiniais pakeitimais, padarytais 2017 m. birželio 14 d. Komisijos reglamentu (ES) Nr. 2017/1084 (toliau – Bendrasis bendrosios išimties reglamentas), 2 straipsnio 86 punkte.“</w:t>
      </w:r>
    </w:p>
    <w:p w:rsidR="00CA3965" w:rsidRDefault="006D3119" w:rsidP="00CA3965">
      <w:pPr>
        <w:ind w:firstLine="709"/>
        <w:jc w:val="both"/>
        <w:rPr>
          <w:szCs w:val="24"/>
        </w:rPr>
      </w:pPr>
      <w:r w:rsidRPr="007E1114">
        <w:rPr>
          <w:szCs w:val="24"/>
        </w:rPr>
        <w:t>4. Pakei</w:t>
      </w:r>
      <w:r w:rsidR="00CA3965">
        <w:rPr>
          <w:szCs w:val="24"/>
        </w:rPr>
        <w:t xml:space="preserve">čiu </w:t>
      </w:r>
      <w:r w:rsidRPr="007E1114">
        <w:rPr>
          <w:szCs w:val="24"/>
        </w:rPr>
        <w:t>15 punkt</w:t>
      </w:r>
      <w:r w:rsidR="00CA3965">
        <w:rPr>
          <w:szCs w:val="24"/>
        </w:rPr>
        <w:t>ą ir jį išdėstau taip:</w:t>
      </w:r>
    </w:p>
    <w:p w:rsidR="00CA3965" w:rsidRDefault="00CA3965" w:rsidP="00A36E35">
      <w:pPr>
        <w:ind w:firstLine="709"/>
        <w:jc w:val="both"/>
        <w:rPr>
          <w:szCs w:val="24"/>
        </w:rPr>
      </w:pPr>
      <w:r>
        <w:rPr>
          <w:szCs w:val="24"/>
        </w:rPr>
        <w:t xml:space="preserve">„15. Finansavimas gali būti skiriamas pareiškėjams visose srityse, išskyrus </w:t>
      </w:r>
      <w:r>
        <w:rPr>
          <w:i/>
          <w:iCs/>
          <w:szCs w:val="24"/>
        </w:rPr>
        <w:t xml:space="preserve">de </w:t>
      </w:r>
      <w:proofErr w:type="spellStart"/>
      <w:r>
        <w:rPr>
          <w:i/>
          <w:iCs/>
          <w:szCs w:val="24"/>
        </w:rPr>
        <w:t>minimis</w:t>
      </w:r>
      <w:proofErr w:type="spellEnd"/>
      <w:r>
        <w:rPr>
          <w:i/>
          <w:iCs/>
          <w:szCs w:val="24"/>
        </w:rPr>
        <w:t xml:space="preserve"> </w:t>
      </w:r>
      <w:r>
        <w:rPr>
          <w:szCs w:val="24"/>
        </w:rPr>
        <w:t xml:space="preserve">reglamento 1 straipsnio 1 dalyje išvardytus sektorius ir 2013 m. gruodžio 17 d. Europos Parlamento ir Tarybos reglamento (ES) Nr. 1301/2013 dėl Europos regioninės plėtros fondo ir dėl konkrečių su investicijų į ekonomikos augimą ir darbo vietų kūrimą tikslu susijusių nuostatų, kuriuo panaikinamas Reglamentas (EB) Nr. 1080/2006, 3 straipsnio 3 dalyje nustatytus atvejus. Pagal Aprašą finansavimas nėra teikiamas pareiškėjui, jei jis yra priskiriamas sunkumų patiriančios įmonės kategorijai. Pagal </w:t>
      </w:r>
      <w:r>
        <w:rPr>
          <w:szCs w:val="24"/>
        </w:rPr>
        <w:lastRenderedPageBreak/>
        <w:t>Aprašą finansavimas neteikiamas, jeigu pareiškėjas nėra sugrąžinęs anksčiau gautos valstybės pagalbos, kuri Europos Komisijos sprendimu pripažinta neteisėta ir nesuderinama su vidaus rinka.</w:t>
      </w:r>
      <w:r w:rsidR="00A36E35">
        <w:rPr>
          <w:szCs w:val="24"/>
        </w:rPr>
        <w:t>“</w:t>
      </w:r>
    </w:p>
    <w:p w:rsidR="00A36E35" w:rsidRDefault="006D3119" w:rsidP="00A36E35">
      <w:pPr>
        <w:ind w:firstLine="709"/>
        <w:jc w:val="both"/>
        <w:rPr>
          <w:szCs w:val="24"/>
        </w:rPr>
      </w:pPr>
      <w:r w:rsidRPr="007E1114">
        <w:rPr>
          <w:szCs w:val="24"/>
        </w:rPr>
        <w:t>5. Pakei</w:t>
      </w:r>
      <w:r w:rsidR="00A36E35">
        <w:rPr>
          <w:szCs w:val="24"/>
        </w:rPr>
        <w:t xml:space="preserve">čiu </w:t>
      </w:r>
      <w:r w:rsidRPr="007E1114">
        <w:rPr>
          <w:szCs w:val="24"/>
        </w:rPr>
        <w:t xml:space="preserve">27 </w:t>
      </w:r>
      <w:r w:rsidR="00A36E35">
        <w:rPr>
          <w:szCs w:val="24"/>
        </w:rPr>
        <w:t>punktą ir jį išdėstau taip:</w:t>
      </w:r>
    </w:p>
    <w:p w:rsidR="00A36E35" w:rsidRDefault="00A36E35" w:rsidP="00A36E35">
      <w:pPr>
        <w:ind w:firstLine="709"/>
        <w:jc w:val="both"/>
        <w:rPr>
          <w:szCs w:val="24"/>
        </w:rPr>
      </w:pPr>
      <w:r>
        <w:rPr>
          <w:szCs w:val="24"/>
        </w:rPr>
        <w:t>„27. Aprašo 26.1, 26.4, 26.5 ir 26.6 papunkčiuose nurodyt</w:t>
      </w:r>
      <w:r w:rsidR="00C56521">
        <w:rPr>
          <w:szCs w:val="24"/>
        </w:rPr>
        <w:t>ų</w:t>
      </w:r>
      <w:r>
        <w:rPr>
          <w:szCs w:val="24"/>
        </w:rPr>
        <w:t xml:space="preserve"> </w:t>
      </w:r>
      <w:r w:rsidR="005901DA">
        <w:rPr>
          <w:szCs w:val="24"/>
        </w:rPr>
        <w:t>P</w:t>
      </w:r>
      <w:r>
        <w:rPr>
          <w:szCs w:val="24"/>
        </w:rPr>
        <w:t>riemonės įgyvendinimo stebėsenos rodikli</w:t>
      </w:r>
      <w:r w:rsidR="00C56521">
        <w:rPr>
          <w:szCs w:val="24"/>
        </w:rPr>
        <w:t>ų</w:t>
      </w:r>
      <w:r>
        <w:rPr>
          <w:szCs w:val="24"/>
        </w:rPr>
        <w:t xml:space="preserve"> skaiči</w:t>
      </w:r>
      <w:r w:rsidR="00C56521">
        <w:rPr>
          <w:szCs w:val="24"/>
        </w:rPr>
        <w:t>avimui</w:t>
      </w:r>
      <w:r>
        <w:rPr>
          <w:szCs w:val="24"/>
        </w:rPr>
        <w:t xml:space="preserve"> taikomas Nacionalinis stebėsenos rodiklių skaičiavimo aprašas, patvirtintas Lietuvos Respublikos ekonomikos ir inovacijų ministro 2014 m. gruodžio 19 d. įsakymu Nr. 4-933 „Dėl 2014–2020 m. Europos Sąjungos fondų investicijų veiksmų programos prioriteto įgyvendinimo priemonių įgyvendinimo plano ir Nacionalinių stebėsenos rodiklių skaičiavimo aprašo patvirtinimo“. Aprašo 26.2 ir 26.3 papunkčiuose nurodyt</w:t>
      </w:r>
      <w:r w:rsidR="00C56521">
        <w:rPr>
          <w:szCs w:val="24"/>
        </w:rPr>
        <w:t>ų</w:t>
      </w:r>
      <w:r>
        <w:rPr>
          <w:szCs w:val="24"/>
        </w:rPr>
        <w:t xml:space="preserve"> </w:t>
      </w:r>
      <w:r w:rsidR="00C56521">
        <w:rPr>
          <w:szCs w:val="24"/>
        </w:rPr>
        <w:t>P</w:t>
      </w:r>
      <w:r>
        <w:rPr>
          <w:szCs w:val="24"/>
        </w:rPr>
        <w:t>riemonės įgyvendinimo stebėsenos rodikli</w:t>
      </w:r>
      <w:r w:rsidR="00C56521">
        <w:rPr>
          <w:szCs w:val="24"/>
        </w:rPr>
        <w:t>ų</w:t>
      </w:r>
      <w:r>
        <w:rPr>
          <w:szCs w:val="24"/>
        </w:rPr>
        <w:t xml:space="preserve"> skaiči</w:t>
      </w:r>
      <w:r w:rsidR="00C56521">
        <w:rPr>
          <w:szCs w:val="24"/>
        </w:rPr>
        <w:t>avimui</w:t>
      </w:r>
      <w:r>
        <w:rPr>
          <w:szCs w:val="24"/>
        </w:rPr>
        <w:t xml:space="preserve"> taikomas Veiksmų programos stebėsenos rodiklių skaičiavimo aprašas. Visų</w:t>
      </w:r>
      <w:r w:rsidR="00C56521">
        <w:rPr>
          <w:szCs w:val="24"/>
        </w:rPr>
        <w:t xml:space="preserve"> Aprašo 26 punkte nurodytų</w:t>
      </w:r>
      <w:r>
        <w:rPr>
          <w:szCs w:val="24"/>
        </w:rPr>
        <w:t xml:space="preserve"> </w:t>
      </w:r>
      <w:r w:rsidR="00C56521">
        <w:rPr>
          <w:szCs w:val="24"/>
        </w:rPr>
        <w:t>P</w:t>
      </w:r>
      <w:r>
        <w:rPr>
          <w:szCs w:val="24"/>
        </w:rPr>
        <w:t xml:space="preserve">riemonės įgyvendinimo stebėsenos rodiklių skaičiavimo aprašai skelbiami ES struktūrinių fondų svetainėje www.esinvesticijos.lt. Už visų Aprašo 26 punkte nurodytų </w:t>
      </w:r>
      <w:r w:rsidR="00C56521">
        <w:rPr>
          <w:szCs w:val="24"/>
        </w:rPr>
        <w:t xml:space="preserve">Priemonės įgyvendinimo </w:t>
      </w:r>
      <w:r>
        <w:rPr>
          <w:szCs w:val="24"/>
        </w:rPr>
        <w:t xml:space="preserve">stebėsenos rodiklių suvedimą į </w:t>
      </w:r>
      <w:r w:rsidR="00E514DD">
        <w:rPr>
          <w:szCs w:val="24"/>
        </w:rPr>
        <w:br/>
      </w:r>
      <w:r>
        <w:rPr>
          <w:iCs/>
          <w:szCs w:val="24"/>
          <w:lang w:eastAsia="lt-LT"/>
        </w:rPr>
        <w:t>2014–2020 metų Europos Sąjungos struktūrinių fondų posistemį</w:t>
      </w:r>
      <w:r>
        <w:rPr>
          <w:szCs w:val="24"/>
        </w:rPr>
        <w:t xml:space="preserve"> yra atsakinga įgyvendinančioji institucija.“</w:t>
      </w:r>
    </w:p>
    <w:p w:rsidR="00A36E35" w:rsidRDefault="006D3119" w:rsidP="00CE0C62">
      <w:pPr>
        <w:ind w:firstLine="709"/>
        <w:jc w:val="both"/>
        <w:rPr>
          <w:szCs w:val="24"/>
        </w:rPr>
      </w:pPr>
      <w:r w:rsidRPr="007E1114">
        <w:rPr>
          <w:szCs w:val="24"/>
        </w:rPr>
        <w:t>6. Pakei</w:t>
      </w:r>
      <w:r w:rsidR="00CE0C62">
        <w:rPr>
          <w:szCs w:val="24"/>
        </w:rPr>
        <w:t xml:space="preserve">čiu </w:t>
      </w:r>
      <w:r w:rsidRPr="007E1114">
        <w:rPr>
          <w:szCs w:val="24"/>
        </w:rPr>
        <w:t>37 punkt</w:t>
      </w:r>
      <w:r w:rsidR="00CE0C62">
        <w:rPr>
          <w:szCs w:val="24"/>
        </w:rPr>
        <w:t>ą ir jį išdėstau taip:</w:t>
      </w:r>
    </w:p>
    <w:p w:rsidR="00CE0C62" w:rsidRDefault="00CE0C62" w:rsidP="00CE0C62">
      <w:pPr>
        <w:tabs>
          <w:tab w:val="left" w:pos="1276"/>
        </w:tabs>
        <w:ind w:firstLine="709"/>
        <w:jc w:val="both"/>
        <w:rPr>
          <w:i/>
          <w:szCs w:val="24"/>
          <w:lang w:eastAsia="lt-LT"/>
        </w:rPr>
      </w:pPr>
      <w:r>
        <w:rPr>
          <w:szCs w:val="24"/>
          <w:lang w:eastAsia="lt-LT"/>
        </w:rPr>
        <w:t xml:space="preserve">„37. Didžiausia galima projekto finansuojamoji dalis, apskaičiuojama nuo Aprašo </w:t>
      </w:r>
      <w:r>
        <w:rPr>
          <w:szCs w:val="24"/>
          <w:lang w:eastAsia="lt-LT"/>
        </w:rPr>
        <w:br/>
        <w:t>10.1–10.3 papunkčiuose nurodytoms veikloms skirtų tinkamų finansuoti išlaidų, sudaro:</w:t>
      </w:r>
    </w:p>
    <w:p w:rsidR="00CE0C62" w:rsidRDefault="00CE0C62" w:rsidP="00CE0C62">
      <w:pPr>
        <w:tabs>
          <w:tab w:val="left" w:pos="1276"/>
        </w:tabs>
        <w:ind w:firstLine="709"/>
        <w:jc w:val="both"/>
        <w:rPr>
          <w:i/>
          <w:szCs w:val="24"/>
          <w:lang w:eastAsia="lt-LT"/>
        </w:rPr>
      </w:pPr>
      <w:r>
        <w:rPr>
          <w:szCs w:val="24"/>
          <w:lang w:eastAsia="lt-LT"/>
        </w:rPr>
        <w:t>37.1. kai vykdoma Aprašo 10.1 papunktyje nurodyta veikla:</w:t>
      </w:r>
    </w:p>
    <w:p w:rsidR="006D3119" w:rsidRDefault="005901DA" w:rsidP="007E1114">
      <w:pPr>
        <w:tabs>
          <w:tab w:val="left" w:pos="851"/>
        </w:tabs>
        <w:jc w:val="both"/>
        <w:rPr>
          <w:szCs w:val="24"/>
          <w:lang w:eastAsia="lt-LT"/>
        </w:rPr>
      </w:pPr>
      <w:r>
        <w:rPr>
          <w:szCs w:val="24"/>
          <w:lang w:eastAsia="lt-LT"/>
        </w:rPr>
        <w:t xml:space="preserve">            </w:t>
      </w:r>
      <w:r w:rsidR="00CE0C62">
        <w:rPr>
          <w:szCs w:val="24"/>
          <w:lang w:eastAsia="lt-LT"/>
        </w:rPr>
        <w:t>1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3872"/>
        <w:gridCol w:w="3176"/>
      </w:tblGrid>
      <w:tr w:rsidR="00CE0C62" w:rsidTr="00116D02">
        <w:tc>
          <w:tcPr>
            <w:tcW w:w="2528" w:type="dxa"/>
          </w:tcPr>
          <w:p w:rsidR="00CE0C62" w:rsidRDefault="00CE0C62" w:rsidP="00116D02">
            <w:pPr>
              <w:tabs>
                <w:tab w:val="left" w:pos="1276"/>
              </w:tabs>
              <w:jc w:val="both"/>
              <w:rPr>
                <w:i/>
                <w:szCs w:val="24"/>
                <w:lang w:eastAsia="lt-LT"/>
              </w:rPr>
            </w:pPr>
            <w:r>
              <w:rPr>
                <w:i/>
                <w:szCs w:val="24"/>
                <w:lang w:eastAsia="lt-LT"/>
              </w:rPr>
              <w:t>Pareiškėjo statusas</w:t>
            </w:r>
          </w:p>
        </w:tc>
        <w:tc>
          <w:tcPr>
            <w:tcW w:w="3973" w:type="dxa"/>
          </w:tcPr>
          <w:p w:rsidR="00CE0C62" w:rsidRDefault="00CE0C62" w:rsidP="00116D02">
            <w:pPr>
              <w:tabs>
                <w:tab w:val="left" w:pos="1276"/>
              </w:tabs>
              <w:jc w:val="both"/>
              <w:rPr>
                <w:i/>
                <w:szCs w:val="24"/>
                <w:lang w:eastAsia="lt-LT"/>
              </w:rPr>
            </w:pPr>
            <w:r>
              <w:rPr>
                <w:i/>
                <w:szCs w:val="24"/>
                <w:lang w:eastAsia="lt-LT"/>
              </w:rPr>
              <w:t>Projekto finansuojamoji dalis iki</w:t>
            </w:r>
            <w:r>
              <w:rPr>
                <w:szCs w:val="24"/>
                <w:lang w:eastAsia="lt-LT"/>
              </w:rPr>
              <w:t xml:space="preserve"> </w:t>
            </w:r>
            <w:r w:rsidRPr="00CC1ACF">
              <w:rPr>
                <w:szCs w:val="24"/>
                <w:lang w:eastAsia="lt-LT"/>
              </w:rPr>
              <w:t>(</w:t>
            </w:r>
            <w:r w:rsidR="006D3119" w:rsidRPr="007E1114">
              <w:rPr>
                <w:szCs w:val="24"/>
                <w:lang w:eastAsia="lt-LT"/>
              </w:rPr>
              <w:t>taikoma visiems, išskyrus Vilniaus, Kauno, Klaipėdos</w:t>
            </w:r>
            <w:r>
              <w:rPr>
                <w:szCs w:val="24"/>
                <w:lang w:eastAsia="lt-LT"/>
              </w:rPr>
              <w:t xml:space="preserve"> miestuose ir rajonuose veiklą vykdantiems SVV subjektams):</w:t>
            </w:r>
          </w:p>
        </w:tc>
        <w:tc>
          <w:tcPr>
            <w:tcW w:w="3245" w:type="dxa"/>
          </w:tcPr>
          <w:p w:rsidR="00CE0C62" w:rsidRDefault="00CE0C62" w:rsidP="00116D02">
            <w:pPr>
              <w:tabs>
                <w:tab w:val="left" w:pos="1276"/>
              </w:tabs>
              <w:jc w:val="both"/>
              <w:rPr>
                <w:i/>
                <w:szCs w:val="24"/>
                <w:lang w:eastAsia="lt-LT"/>
              </w:rPr>
            </w:pPr>
            <w:r>
              <w:rPr>
                <w:i/>
                <w:szCs w:val="24"/>
                <w:lang w:eastAsia="lt-LT"/>
              </w:rPr>
              <w:t>Projekto finansuojamoji dalis iki</w:t>
            </w:r>
            <w:r>
              <w:rPr>
                <w:szCs w:val="24"/>
                <w:lang w:eastAsia="lt-LT"/>
              </w:rPr>
              <w:t xml:space="preserve"> </w:t>
            </w:r>
            <w:r w:rsidRPr="00CC1ACF">
              <w:rPr>
                <w:szCs w:val="24"/>
                <w:lang w:eastAsia="lt-LT"/>
              </w:rPr>
              <w:t>(</w:t>
            </w:r>
            <w:r w:rsidR="006D3119" w:rsidRPr="007E1114">
              <w:rPr>
                <w:szCs w:val="24"/>
                <w:lang w:eastAsia="lt-LT"/>
              </w:rPr>
              <w:t>taikoma Vilniaus, Kauno, Klaipėdos</w:t>
            </w:r>
            <w:r w:rsidRPr="00CC1ACF">
              <w:rPr>
                <w:szCs w:val="24"/>
                <w:lang w:eastAsia="lt-LT"/>
              </w:rPr>
              <w:t xml:space="preserve"> miestuose ir rajonuose</w:t>
            </w:r>
            <w:r>
              <w:rPr>
                <w:szCs w:val="24"/>
                <w:lang w:eastAsia="lt-LT"/>
              </w:rPr>
              <w:t xml:space="preserve"> veiklą vykdantiems SVV subjektams):</w:t>
            </w:r>
          </w:p>
        </w:tc>
      </w:tr>
      <w:tr w:rsidR="00CE0C62" w:rsidTr="00116D02">
        <w:tc>
          <w:tcPr>
            <w:tcW w:w="2528" w:type="dxa"/>
          </w:tcPr>
          <w:p w:rsidR="00CE0C62" w:rsidRDefault="00CE0C62" w:rsidP="00116D02">
            <w:pPr>
              <w:tabs>
                <w:tab w:val="left" w:pos="1276"/>
              </w:tabs>
              <w:jc w:val="both"/>
              <w:rPr>
                <w:szCs w:val="24"/>
                <w:lang w:eastAsia="lt-LT"/>
              </w:rPr>
            </w:pPr>
            <w:r>
              <w:rPr>
                <w:szCs w:val="24"/>
                <w:lang w:eastAsia="lt-LT"/>
              </w:rPr>
              <w:t>SVV subjektas</w:t>
            </w:r>
          </w:p>
        </w:tc>
        <w:tc>
          <w:tcPr>
            <w:tcW w:w="3973" w:type="dxa"/>
          </w:tcPr>
          <w:p w:rsidR="00CE0C62" w:rsidRDefault="00CE0C62" w:rsidP="00116D02">
            <w:pPr>
              <w:tabs>
                <w:tab w:val="left" w:pos="1276"/>
              </w:tabs>
              <w:jc w:val="center"/>
              <w:rPr>
                <w:szCs w:val="24"/>
                <w:lang w:eastAsia="lt-LT"/>
              </w:rPr>
            </w:pPr>
            <w:r>
              <w:rPr>
                <w:szCs w:val="24"/>
                <w:lang w:eastAsia="lt-LT"/>
              </w:rPr>
              <w:t>90 proc.</w:t>
            </w:r>
          </w:p>
        </w:tc>
        <w:tc>
          <w:tcPr>
            <w:tcW w:w="3245" w:type="dxa"/>
          </w:tcPr>
          <w:p w:rsidR="00CE0C62" w:rsidRDefault="00CE0C62" w:rsidP="00116D02">
            <w:pPr>
              <w:tabs>
                <w:tab w:val="left" w:pos="1276"/>
              </w:tabs>
              <w:ind w:left="720" w:hanging="360"/>
              <w:jc w:val="center"/>
              <w:rPr>
                <w:szCs w:val="24"/>
                <w:lang w:eastAsia="lt-LT"/>
              </w:rPr>
            </w:pPr>
            <w:r>
              <w:rPr>
                <w:szCs w:val="24"/>
                <w:lang w:eastAsia="lt-LT"/>
              </w:rPr>
              <w:t>80</w:t>
            </w:r>
            <w:r>
              <w:rPr>
                <w:szCs w:val="24"/>
                <w:lang w:eastAsia="lt-LT"/>
              </w:rPr>
              <w:tab/>
              <w:t>proc.</w:t>
            </w:r>
          </w:p>
        </w:tc>
      </w:tr>
    </w:tbl>
    <w:p w:rsidR="00CE0C62" w:rsidRDefault="00CE0C62" w:rsidP="00805319">
      <w:pPr>
        <w:tabs>
          <w:tab w:val="left" w:pos="851"/>
        </w:tabs>
        <w:ind w:left="1418" w:hanging="567"/>
        <w:jc w:val="both"/>
        <w:rPr>
          <w:i/>
          <w:szCs w:val="24"/>
          <w:lang w:eastAsia="lt-LT"/>
        </w:rPr>
      </w:pPr>
      <w:r>
        <w:rPr>
          <w:szCs w:val="24"/>
          <w:lang w:eastAsia="lt-LT"/>
        </w:rPr>
        <w:t>37.2. kai vykdoma Aprašo 10.2 papunktyje nurodyta veikla:</w:t>
      </w:r>
    </w:p>
    <w:p w:rsidR="00CE0C62" w:rsidRDefault="00CE0C62" w:rsidP="00CE0C62">
      <w:pPr>
        <w:tabs>
          <w:tab w:val="left" w:pos="851"/>
        </w:tabs>
        <w:ind w:firstLine="851"/>
        <w:jc w:val="both"/>
        <w:rPr>
          <w:szCs w:val="24"/>
          <w:lang w:eastAsia="lt-LT"/>
        </w:rPr>
      </w:pPr>
      <w:r>
        <w:rPr>
          <w:szCs w:val="24"/>
          <w:lang w:eastAsia="lt-LT"/>
        </w:rPr>
        <w:t>2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916"/>
        <w:gridCol w:w="2666"/>
        <w:gridCol w:w="2342"/>
      </w:tblGrid>
      <w:tr w:rsidR="00CE0C62" w:rsidTr="00116D02">
        <w:tc>
          <w:tcPr>
            <w:tcW w:w="596" w:type="dxa"/>
          </w:tcPr>
          <w:p w:rsidR="00CE0C62" w:rsidRDefault="00CE0C62" w:rsidP="00116D02">
            <w:pPr>
              <w:tabs>
                <w:tab w:val="left" w:pos="1276"/>
              </w:tabs>
              <w:jc w:val="both"/>
              <w:rPr>
                <w:i/>
                <w:szCs w:val="24"/>
                <w:lang w:eastAsia="lt-LT"/>
              </w:rPr>
            </w:pPr>
            <w:r>
              <w:rPr>
                <w:i/>
                <w:szCs w:val="24"/>
                <w:lang w:eastAsia="lt-LT"/>
              </w:rPr>
              <w:t xml:space="preserve">Eil. Nr. </w:t>
            </w:r>
          </w:p>
        </w:tc>
        <w:tc>
          <w:tcPr>
            <w:tcW w:w="3916" w:type="dxa"/>
          </w:tcPr>
          <w:p w:rsidR="00CE0C62" w:rsidRDefault="00CE0C62" w:rsidP="00116D02">
            <w:pPr>
              <w:tabs>
                <w:tab w:val="left" w:pos="1276"/>
              </w:tabs>
              <w:jc w:val="both"/>
              <w:rPr>
                <w:i/>
                <w:szCs w:val="24"/>
                <w:lang w:eastAsia="lt-LT"/>
              </w:rPr>
            </w:pPr>
            <w:r>
              <w:rPr>
                <w:i/>
                <w:szCs w:val="24"/>
                <w:lang w:eastAsia="lt-LT"/>
              </w:rPr>
              <w:t>Pareiškėjo statusas</w:t>
            </w:r>
          </w:p>
        </w:tc>
        <w:tc>
          <w:tcPr>
            <w:tcW w:w="2666" w:type="dxa"/>
          </w:tcPr>
          <w:p w:rsidR="00CE0C62" w:rsidRDefault="00CE0C62" w:rsidP="00116D02">
            <w:pPr>
              <w:tabs>
                <w:tab w:val="left" w:pos="1276"/>
              </w:tabs>
              <w:jc w:val="both"/>
              <w:rPr>
                <w:i/>
                <w:szCs w:val="24"/>
                <w:lang w:eastAsia="lt-LT"/>
              </w:rPr>
            </w:pPr>
            <w:r>
              <w:rPr>
                <w:i/>
                <w:szCs w:val="24"/>
                <w:lang w:eastAsia="lt-LT"/>
              </w:rPr>
              <w:t>Projekto finansuojamoji dalis iki</w:t>
            </w:r>
          </w:p>
          <w:p w:rsidR="00CE0C62" w:rsidRDefault="00CE0C62" w:rsidP="00116D02">
            <w:pPr>
              <w:tabs>
                <w:tab w:val="left" w:pos="1276"/>
              </w:tabs>
              <w:jc w:val="both"/>
              <w:rPr>
                <w:i/>
                <w:szCs w:val="24"/>
                <w:lang w:eastAsia="lt-LT"/>
              </w:rPr>
            </w:pPr>
            <w:r>
              <w:rPr>
                <w:szCs w:val="24"/>
                <w:lang w:eastAsia="lt-LT"/>
              </w:rPr>
              <w:t>(taikoma visoms, išskyrus Vilniaus, Kauno, Klaipėdos miestuose ir rajonuose veiklą vykdančioms MVĮ):</w:t>
            </w:r>
          </w:p>
        </w:tc>
        <w:tc>
          <w:tcPr>
            <w:tcW w:w="2342" w:type="dxa"/>
          </w:tcPr>
          <w:p w:rsidR="00CE0C62" w:rsidRDefault="00CE0C62" w:rsidP="00116D02">
            <w:pPr>
              <w:tabs>
                <w:tab w:val="left" w:pos="1276"/>
              </w:tabs>
              <w:jc w:val="both"/>
              <w:rPr>
                <w:i/>
                <w:szCs w:val="24"/>
                <w:lang w:eastAsia="lt-LT"/>
              </w:rPr>
            </w:pPr>
            <w:r>
              <w:rPr>
                <w:i/>
                <w:szCs w:val="24"/>
                <w:lang w:eastAsia="lt-LT"/>
              </w:rPr>
              <w:t>Projekto finansuojamoji dalis iki</w:t>
            </w:r>
            <w:r>
              <w:rPr>
                <w:szCs w:val="24"/>
                <w:lang w:eastAsia="lt-LT"/>
              </w:rPr>
              <w:t xml:space="preserve"> (taikoma Vilniaus, Kauno, Klaipėdos miestuose ir rajonuose veiklą vykdančioms MVĮ):</w:t>
            </w:r>
          </w:p>
        </w:tc>
      </w:tr>
      <w:tr w:rsidR="00CE0C62" w:rsidTr="00116D02">
        <w:tc>
          <w:tcPr>
            <w:tcW w:w="596" w:type="dxa"/>
          </w:tcPr>
          <w:p w:rsidR="00CE0C62" w:rsidRDefault="00CE0C62" w:rsidP="00116D02">
            <w:pPr>
              <w:tabs>
                <w:tab w:val="left" w:pos="1276"/>
              </w:tabs>
              <w:jc w:val="both"/>
              <w:rPr>
                <w:szCs w:val="24"/>
                <w:lang w:eastAsia="lt-LT"/>
              </w:rPr>
            </w:pPr>
            <w:r>
              <w:rPr>
                <w:szCs w:val="24"/>
                <w:lang w:eastAsia="lt-LT"/>
              </w:rPr>
              <w:t>1.</w:t>
            </w:r>
          </w:p>
        </w:tc>
        <w:tc>
          <w:tcPr>
            <w:tcW w:w="3916" w:type="dxa"/>
          </w:tcPr>
          <w:p w:rsidR="00CE0C62" w:rsidRDefault="00CE0C62" w:rsidP="00116D02">
            <w:pPr>
              <w:tabs>
                <w:tab w:val="left" w:pos="1276"/>
              </w:tabs>
              <w:jc w:val="both"/>
              <w:rPr>
                <w:szCs w:val="24"/>
                <w:lang w:eastAsia="lt-LT"/>
              </w:rPr>
            </w:pPr>
            <w:r>
              <w:rPr>
                <w:szCs w:val="24"/>
                <w:lang w:eastAsia="lt-LT"/>
              </w:rPr>
              <w:t xml:space="preserve">Labai maža, maža įmonė </w:t>
            </w:r>
          </w:p>
        </w:tc>
        <w:tc>
          <w:tcPr>
            <w:tcW w:w="2666" w:type="dxa"/>
          </w:tcPr>
          <w:p w:rsidR="00CE0C62" w:rsidRDefault="00CE0C62" w:rsidP="00116D02">
            <w:pPr>
              <w:tabs>
                <w:tab w:val="left" w:pos="1276"/>
              </w:tabs>
              <w:jc w:val="center"/>
              <w:rPr>
                <w:szCs w:val="24"/>
                <w:lang w:eastAsia="lt-LT"/>
              </w:rPr>
            </w:pPr>
            <w:r>
              <w:rPr>
                <w:szCs w:val="24"/>
                <w:lang w:eastAsia="lt-LT"/>
              </w:rPr>
              <w:t>90 proc.</w:t>
            </w:r>
          </w:p>
        </w:tc>
        <w:tc>
          <w:tcPr>
            <w:tcW w:w="2342" w:type="dxa"/>
          </w:tcPr>
          <w:p w:rsidR="00CE0C62" w:rsidRDefault="00CE0C62" w:rsidP="00116D02">
            <w:pPr>
              <w:tabs>
                <w:tab w:val="left" w:pos="1276"/>
              </w:tabs>
              <w:jc w:val="center"/>
              <w:rPr>
                <w:szCs w:val="24"/>
                <w:lang w:eastAsia="lt-LT"/>
              </w:rPr>
            </w:pPr>
            <w:r>
              <w:rPr>
                <w:szCs w:val="24"/>
                <w:lang w:eastAsia="lt-LT"/>
              </w:rPr>
              <w:t>80 proc.</w:t>
            </w:r>
          </w:p>
        </w:tc>
      </w:tr>
      <w:tr w:rsidR="00CE0C62" w:rsidTr="00116D02">
        <w:tc>
          <w:tcPr>
            <w:tcW w:w="596" w:type="dxa"/>
          </w:tcPr>
          <w:p w:rsidR="00CE0C62" w:rsidRDefault="00CE0C62" w:rsidP="00116D02">
            <w:pPr>
              <w:tabs>
                <w:tab w:val="left" w:pos="1276"/>
              </w:tabs>
              <w:jc w:val="both"/>
              <w:rPr>
                <w:szCs w:val="24"/>
                <w:lang w:eastAsia="lt-LT"/>
              </w:rPr>
            </w:pPr>
            <w:r>
              <w:rPr>
                <w:szCs w:val="24"/>
                <w:lang w:eastAsia="lt-LT"/>
              </w:rPr>
              <w:t>2.</w:t>
            </w:r>
          </w:p>
        </w:tc>
        <w:tc>
          <w:tcPr>
            <w:tcW w:w="3916" w:type="dxa"/>
          </w:tcPr>
          <w:p w:rsidR="00CE0C62" w:rsidRDefault="00CE0C62" w:rsidP="00116D02">
            <w:pPr>
              <w:tabs>
                <w:tab w:val="left" w:pos="1276"/>
              </w:tabs>
              <w:jc w:val="both"/>
              <w:rPr>
                <w:szCs w:val="24"/>
                <w:lang w:eastAsia="lt-LT"/>
              </w:rPr>
            </w:pPr>
            <w:r>
              <w:rPr>
                <w:szCs w:val="24"/>
                <w:lang w:eastAsia="lt-LT"/>
              </w:rPr>
              <w:t>Vidutinė įmonė</w:t>
            </w:r>
          </w:p>
        </w:tc>
        <w:tc>
          <w:tcPr>
            <w:tcW w:w="2666" w:type="dxa"/>
          </w:tcPr>
          <w:p w:rsidR="00CE0C62" w:rsidRDefault="00CE0C62" w:rsidP="00116D02">
            <w:pPr>
              <w:tabs>
                <w:tab w:val="left" w:pos="1276"/>
              </w:tabs>
              <w:ind w:left="326" w:hanging="326"/>
              <w:jc w:val="center"/>
              <w:rPr>
                <w:szCs w:val="24"/>
                <w:lang w:eastAsia="lt-LT"/>
              </w:rPr>
            </w:pPr>
            <w:r>
              <w:rPr>
                <w:szCs w:val="24"/>
                <w:lang w:eastAsia="lt-LT"/>
              </w:rPr>
              <w:t>90</w:t>
            </w:r>
            <w:r>
              <w:rPr>
                <w:szCs w:val="24"/>
                <w:lang w:eastAsia="lt-LT"/>
              </w:rPr>
              <w:tab/>
              <w:t>proc.</w:t>
            </w:r>
          </w:p>
        </w:tc>
        <w:tc>
          <w:tcPr>
            <w:tcW w:w="2342" w:type="dxa"/>
          </w:tcPr>
          <w:p w:rsidR="006D3119" w:rsidRDefault="00CC1ACF" w:rsidP="007E1114">
            <w:pPr>
              <w:tabs>
                <w:tab w:val="left" w:pos="1276"/>
              </w:tabs>
              <w:ind w:left="720" w:hanging="360"/>
              <w:rPr>
                <w:szCs w:val="24"/>
                <w:lang w:eastAsia="lt-LT"/>
              </w:rPr>
            </w:pPr>
            <w:r>
              <w:rPr>
                <w:szCs w:val="24"/>
                <w:lang w:eastAsia="lt-LT"/>
              </w:rPr>
              <w:t xml:space="preserve">     </w:t>
            </w:r>
            <w:r w:rsidR="00CE0C62">
              <w:rPr>
                <w:szCs w:val="24"/>
                <w:lang w:eastAsia="lt-LT"/>
              </w:rPr>
              <w:t>80</w:t>
            </w:r>
            <w:r>
              <w:rPr>
                <w:szCs w:val="24"/>
                <w:lang w:eastAsia="lt-LT"/>
              </w:rPr>
              <w:t xml:space="preserve"> </w:t>
            </w:r>
            <w:r w:rsidR="00CE0C62">
              <w:rPr>
                <w:szCs w:val="24"/>
                <w:lang w:val="en-GB" w:eastAsia="lt-LT"/>
              </w:rPr>
              <w:t>p</w:t>
            </w:r>
            <w:proofErr w:type="spellStart"/>
            <w:r w:rsidR="00CE0C62">
              <w:rPr>
                <w:szCs w:val="24"/>
                <w:lang w:eastAsia="lt-LT"/>
              </w:rPr>
              <w:t>roc</w:t>
            </w:r>
            <w:proofErr w:type="spellEnd"/>
            <w:r w:rsidR="00CE0C62">
              <w:rPr>
                <w:szCs w:val="24"/>
                <w:lang w:eastAsia="lt-LT"/>
              </w:rPr>
              <w:t>.</w:t>
            </w:r>
          </w:p>
        </w:tc>
      </w:tr>
    </w:tbl>
    <w:p w:rsidR="00CE0C62" w:rsidRDefault="00CE0C62" w:rsidP="00CE0C62">
      <w:pPr>
        <w:tabs>
          <w:tab w:val="left" w:pos="1276"/>
        </w:tabs>
        <w:ind w:firstLine="851"/>
        <w:jc w:val="both"/>
        <w:rPr>
          <w:i/>
          <w:szCs w:val="24"/>
          <w:lang w:eastAsia="lt-LT"/>
        </w:rPr>
      </w:pPr>
      <w:r>
        <w:rPr>
          <w:szCs w:val="24"/>
          <w:lang w:eastAsia="lt-LT"/>
        </w:rPr>
        <w:t>37.3. kai vykdoma Aprašo 10.3 papunktyje nurodyta veikla:</w:t>
      </w:r>
    </w:p>
    <w:p w:rsidR="00CE0C62" w:rsidRDefault="00CE0C62" w:rsidP="00CE0C62">
      <w:pPr>
        <w:tabs>
          <w:tab w:val="left" w:pos="1276"/>
        </w:tabs>
        <w:ind w:left="851"/>
        <w:jc w:val="both"/>
        <w:rPr>
          <w:i/>
          <w:szCs w:val="24"/>
          <w:lang w:eastAsia="lt-LT"/>
        </w:rPr>
      </w:pPr>
      <w:r>
        <w:rPr>
          <w:szCs w:val="24"/>
          <w:lang w:eastAsia="lt-LT"/>
        </w:rPr>
        <w:t>3 lentelė. Projekto finansuojamoji dalis.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3463"/>
        <w:gridCol w:w="2883"/>
      </w:tblGrid>
      <w:tr w:rsidR="00CE0C62" w:rsidTr="00116D02">
        <w:tc>
          <w:tcPr>
            <w:tcW w:w="3262" w:type="dxa"/>
          </w:tcPr>
          <w:p w:rsidR="00CE0C62" w:rsidRDefault="00CE0C62" w:rsidP="00116D02">
            <w:pPr>
              <w:tabs>
                <w:tab w:val="left" w:pos="1276"/>
              </w:tabs>
              <w:jc w:val="both"/>
              <w:rPr>
                <w:i/>
                <w:szCs w:val="24"/>
                <w:lang w:eastAsia="lt-LT"/>
              </w:rPr>
            </w:pPr>
            <w:r>
              <w:rPr>
                <w:i/>
                <w:szCs w:val="24"/>
                <w:lang w:eastAsia="lt-LT"/>
              </w:rPr>
              <w:t>Pareiškėjo statusas</w:t>
            </w:r>
          </w:p>
        </w:tc>
        <w:tc>
          <w:tcPr>
            <w:tcW w:w="3545" w:type="dxa"/>
          </w:tcPr>
          <w:p w:rsidR="00CE0C62" w:rsidRDefault="00CE0C62" w:rsidP="00116D02">
            <w:pPr>
              <w:tabs>
                <w:tab w:val="left" w:pos="1276"/>
              </w:tabs>
              <w:jc w:val="both"/>
              <w:rPr>
                <w:i/>
                <w:szCs w:val="24"/>
                <w:lang w:eastAsia="lt-LT"/>
              </w:rPr>
            </w:pPr>
            <w:r>
              <w:rPr>
                <w:i/>
                <w:szCs w:val="24"/>
                <w:lang w:eastAsia="lt-LT"/>
              </w:rPr>
              <w:t>Projekto finansuojamoji dalis iki</w:t>
            </w:r>
          </w:p>
          <w:p w:rsidR="00CE0C62" w:rsidRDefault="00CE0C62" w:rsidP="00116D02">
            <w:pPr>
              <w:tabs>
                <w:tab w:val="left" w:pos="1276"/>
              </w:tabs>
              <w:jc w:val="both"/>
              <w:rPr>
                <w:i/>
                <w:szCs w:val="24"/>
                <w:lang w:eastAsia="lt-LT"/>
              </w:rPr>
            </w:pPr>
            <w:r>
              <w:rPr>
                <w:szCs w:val="24"/>
                <w:lang w:eastAsia="lt-LT"/>
              </w:rPr>
              <w:t>(taikoma visiems, išskyrus Vilniaus, Kauno, Klaipėdos miestuose ir rajonuose veiklą vykdantiems SVV subjektams):</w:t>
            </w:r>
          </w:p>
        </w:tc>
        <w:tc>
          <w:tcPr>
            <w:tcW w:w="2939" w:type="dxa"/>
          </w:tcPr>
          <w:p w:rsidR="00CE0C62" w:rsidRDefault="00CE0C62" w:rsidP="00116D02">
            <w:pPr>
              <w:tabs>
                <w:tab w:val="left" w:pos="1276"/>
              </w:tabs>
              <w:jc w:val="both"/>
              <w:rPr>
                <w:i/>
                <w:szCs w:val="24"/>
                <w:lang w:eastAsia="lt-LT"/>
              </w:rPr>
            </w:pPr>
            <w:r>
              <w:rPr>
                <w:i/>
                <w:szCs w:val="24"/>
                <w:lang w:eastAsia="lt-LT"/>
              </w:rPr>
              <w:t>Projekto finansuojamoji dalis iki</w:t>
            </w:r>
            <w:r>
              <w:rPr>
                <w:szCs w:val="24"/>
                <w:lang w:eastAsia="lt-LT"/>
              </w:rPr>
              <w:t xml:space="preserve"> (taikoma Vilniaus, Kauno, Klaipėdos miestuose ir rajonuose veiklą vykdantiems SVV subjektams):</w:t>
            </w:r>
          </w:p>
        </w:tc>
      </w:tr>
      <w:tr w:rsidR="00CE0C62" w:rsidTr="00116D02">
        <w:tc>
          <w:tcPr>
            <w:tcW w:w="3262" w:type="dxa"/>
          </w:tcPr>
          <w:p w:rsidR="00CE0C62" w:rsidRDefault="00CE0C62" w:rsidP="00116D02">
            <w:pPr>
              <w:tabs>
                <w:tab w:val="left" w:pos="1276"/>
              </w:tabs>
              <w:jc w:val="both"/>
              <w:rPr>
                <w:i/>
                <w:szCs w:val="24"/>
                <w:lang w:eastAsia="lt-LT"/>
              </w:rPr>
            </w:pPr>
            <w:r>
              <w:rPr>
                <w:szCs w:val="24"/>
                <w:lang w:eastAsia="lt-LT"/>
              </w:rPr>
              <w:t>SVV subjektas</w:t>
            </w:r>
          </w:p>
        </w:tc>
        <w:tc>
          <w:tcPr>
            <w:tcW w:w="3545" w:type="dxa"/>
          </w:tcPr>
          <w:p w:rsidR="00CE0C62" w:rsidRDefault="00CE0C62" w:rsidP="00116D02">
            <w:pPr>
              <w:tabs>
                <w:tab w:val="left" w:pos="1276"/>
              </w:tabs>
              <w:jc w:val="center"/>
              <w:rPr>
                <w:szCs w:val="24"/>
                <w:lang w:eastAsia="lt-LT"/>
              </w:rPr>
            </w:pPr>
            <w:r>
              <w:rPr>
                <w:szCs w:val="24"/>
                <w:lang w:eastAsia="lt-LT"/>
              </w:rPr>
              <w:t>90 proc.</w:t>
            </w:r>
          </w:p>
        </w:tc>
        <w:tc>
          <w:tcPr>
            <w:tcW w:w="2939" w:type="dxa"/>
          </w:tcPr>
          <w:p w:rsidR="00CE0C62" w:rsidRDefault="00CE0C62" w:rsidP="00116D02">
            <w:pPr>
              <w:tabs>
                <w:tab w:val="left" w:pos="1276"/>
              </w:tabs>
              <w:ind w:left="720" w:hanging="360"/>
              <w:jc w:val="center"/>
              <w:rPr>
                <w:szCs w:val="24"/>
                <w:lang w:eastAsia="lt-LT"/>
              </w:rPr>
            </w:pPr>
            <w:r>
              <w:rPr>
                <w:szCs w:val="24"/>
                <w:lang w:eastAsia="lt-LT"/>
              </w:rPr>
              <w:t>80</w:t>
            </w:r>
            <w:r>
              <w:rPr>
                <w:szCs w:val="24"/>
                <w:lang w:eastAsia="lt-LT"/>
              </w:rPr>
              <w:tab/>
              <w:t>proc.</w:t>
            </w:r>
            <w:r w:rsidR="001A49A2">
              <w:rPr>
                <w:szCs w:val="24"/>
                <w:lang w:eastAsia="lt-LT"/>
              </w:rPr>
              <w:t>“</w:t>
            </w:r>
          </w:p>
        </w:tc>
      </w:tr>
    </w:tbl>
    <w:p w:rsidR="00A36E35" w:rsidRDefault="001A49A2" w:rsidP="001D48BE">
      <w:pPr>
        <w:ind w:firstLine="851"/>
        <w:jc w:val="both"/>
        <w:rPr>
          <w:szCs w:val="24"/>
          <w:lang w:val="en-GB"/>
        </w:rPr>
      </w:pPr>
      <w:r>
        <w:rPr>
          <w:szCs w:val="24"/>
          <w:lang w:val="en-GB"/>
        </w:rPr>
        <w:t xml:space="preserve">7. </w:t>
      </w:r>
      <w:proofErr w:type="spellStart"/>
      <w:r>
        <w:rPr>
          <w:szCs w:val="24"/>
          <w:lang w:val="en-GB"/>
        </w:rPr>
        <w:t>Papildau</w:t>
      </w:r>
      <w:proofErr w:type="spellEnd"/>
      <w:r>
        <w:rPr>
          <w:szCs w:val="24"/>
          <w:lang w:val="en-GB"/>
        </w:rPr>
        <w:t xml:space="preserve"> 37</w:t>
      </w:r>
      <w:r>
        <w:rPr>
          <w:szCs w:val="24"/>
          <w:vertAlign w:val="superscript"/>
          <w:lang w:val="en-GB"/>
        </w:rPr>
        <w:t>1</w:t>
      </w:r>
      <w:r>
        <w:rPr>
          <w:szCs w:val="24"/>
          <w:lang w:val="en-GB"/>
        </w:rPr>
        <w:t xml:space="preserve"> </w:t>
      </w:r>
      <w:proofErr w:type="spellStart"/>
      <w:r>
        <w:rPr>
          <w:szCs w:val="24"/>
          <w:lang w:val="en-GB"/>
        </w:rPr>
        <w:t>punktu</w:t>
      </w:r>
      <w:proofErr w:type="spellEnd"/>
      <w:r>
        <w:rPr>
          <w:szCs w:val="24"/>
          <w:lang w:val="en-GB"/>
        </w:rPr>
        <w:t>:</w:t>
      </w:r>
    </w:p>
    <w:p w:rsidR="001A49A2" w:rsidRDefault="001A49A2" w:rsidP="001D48BE">
      <w:pPr>
        <w:tabs>
          <w:tab w:val="left" w:pos="851"/>
        </w:tabs>
        <w:jc w:val="both"/>
      </w:pPr>
      <w:r>
        <w:rPr>
          <w:szCs w:val="24"/>
          <w:lang w:eastAsia="lt-LT"/>
        </w:rPr>
        <w:tab/>
        <w:t>„</w:t>
      </w:r>
      <w:r w:rsidRPr="00116D02">
        <w:rPr>
          <w:szCs w:val="24"/>
          <w:lang w:eastAsia="lt-LT"/>
        </w:rPr>
        <w:t>37</w:t>
      </w:r>
      <w:r w:rsidRPr="00116D02">
        <w:rPr>
          <w:szCs w:val="24"/>
          <w:vertAlign w:val="superscript"/>
          <w:lang w:eastAsia="lt-LT"/>
        </w:rPr>
        <w:t>1</w:t>
      </w:r>
      <w:r w:rsidRPr="00116D02">
        <w:rPr>
          <w:szCs w:val="24"/>
          <w:lang w:eastAsia="lt-LT"/>
        </w:rPr>
        <w:t xml:space="preserve">. Jei projekto </w:t>
      </w:r>
      <w:r w:rsidRPr="00116D02">
        <w:t xml:space="preserve">metu bus kuriamos arba tobulinamos technologijos, susijusios su </w:t>
      </w:r>
      <w:proofErr w:type="spellStart"/>
      <w:r w:rsidR="00E514DD">
        <w:t>k</w:t>
      </w:r>
      <w:r w:rsidR="00E514DD" w:rsidRPr="00116D02">
        <w:t>orona</w:t>
      </w:r>
      <w:r w:rsidRPr="00116D02">
        <w:t>virusu</w:t>
      </w:r>
      <w:proofErr w:type="spellEnd"/>
      <w:r w:rsidRPr="00116D02">
        <w:t xml:space="preserve"> (COVID-19), didžiausia galima projekto finansuojamoji dalis – 100 proc. </w:t>
      </w:r>
      <w:r>
        <w:t>Pareiškėjas tokiu atveju privalo pateikti pagrindimą (</w:t>
      </w:r>
      <w:r w:rsidR="00CC1ACF">
        <w:t xml:space="preserve">Aprašo </w:t>
      </w:r>
      <w:r w:rsidR="006D3119" w:rsidRPr="007E1114">
        <w:t>3 priedo 8 punktas) ir nurodyti, koki</w:t>
      </w:r>
      <w:r>
        <w:t>ų rezultatų tikimasi pasiekti.“</w:t>
      </w:r>
    </w:p>
    <w:p w:rsidR="00C047A5" w:rsidRDefault="006D3119" w:rsidP="002866CF">
      <w:pPr>
        <w:ind w:firstLine="709"/>
        <w:jc w:val="both"/>
        <w:rPr>
          <w:szCs w:val="24"/>
        </w:rPr>
      </w:pPr>
      <w:r w:rsidRPr="007E1114">
        <w:rPr>
          <w:szCs w:val="24"/>
        </w:rPr>
        <w:t>8</w:t>
      </w:r>
      <w:r w:rsidR="00C047A5">
        <w:rPr>
          <w:szCs w:val="24"/>
        </w:rPr>
        <w:t xml:space="preserve">. Pakeičiu 1 priedo </w:t>
      </w:r>
      <w:r w:rsidR="000211D7">
        <w:rPr>
          <w:szCs w:val="24"/>
        </w:rPr>
        <w:t>4.</w:t>
      </w:r>
      <w:r w:rsidR="006C7333">
        <w:rPr>
          <w:szCs w:val="24"/>
        </w:rPr>
        <w:t>5.2</w:t>
      </w:r>
      <w:r w:rsidR="00C047A5">
        <w:rPr>
          <w:szCs w:val="24"/>
        </w:rPr>
        <w:t xml:space="preserve"> papunktį ir jį išdėstau taip: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0"/>
        <w:gridCol w:w="3540"/>
        <w:gridCol w:w="567"/>
        <w:gridCol w:w="561"/>
      </w:tblGrid>
      <w:tr w:rsidR="000211D7" w:rsidRPr="00E222FF" w:rsidTr="000211D7">
        <w:tc>
          <w:tcPr>
            <w:tcW w:w="4960" w:type="dxa"/>
            <w:tcMar>
              <w:top w:w="0" w:type="dxa"/>
              <w:left w:w="108" w:type="dxa"/>
              <w:bottom w:w="0" w:type="dxa"/>
              <w:right w:w="108" w:type="dxa"/>
            </w:tcMar>
          </w:tcPr>
          <w:p w:rsidR="000211D7" w:rsidRPr="00E222FF" w:rsidRDefault="006C7333" w:rsidP="00E514DD">
            <w:pPr>
              <w:jc w:val="both"/>
              <w:rPr>
                <w:szCs w:val="24"/>
                <w:lang w:eastAsia="lt-LT"/>
              </w:rPr>
            </w:pPr>
            <w:r>
              <w:rPr>
                <w:szCs w:val="24"/>
                <w:lang w:eastAsia="lt-LT"/>
              </w:rPr>
              <w:lastRenderedPageBreak/>
              <w:t xml:space="preserve">„4.5.2. projektas finansuojamas pagal suderintą valstybės pagalbos schemą ar Europos Komisijos sprendimą arba pagal 2014 m. birželio 17 d. Komisijos reglamentą (ES) Nr. 651/2014, kuriuo tam tikrų kategorijų pagalba skelbiama suderinama su vidaus rinka taikant Sutarties </w:t>
            </w:r>
            <w:r w:rsidR="00E514DD">
              <w:rPr>
                <w:szCs w:val="24"/>
                <w:lang w:eastAsia="lt-LT"/>
              </w:rPr>
              <w:t>107 </w:t>
            </w:r>
            <w:r>
              <w:rPr>
                <w:szCs w:val="24"/>
                <w:lang w:eastAsia="lt-LT"/>
              </w:rPr>
              <w:t>ir 108 straipsnius, laikantis ten nustatytų reikalavimų;</w:t>
            </w:r>
          </w:p>
        </w:tc>
        <w:tc>
          <w:tcPr>
            <w:tcW w:w="3540" w:type="dxa"/>
            <w:tcMar>
              <w:top w:w="0" w:type="dxa"/>
              <w:left w:w="108" w:type="dxa"/>
              <w:bottom w:w="0" w:type="dxa"/>
              <w:right w:w="108" w:type="dxa"/>
            </w:tcMar>
          </w:tcPr>
          <w:p w:rsidR="000211D7" w:rsidRPr="00E222FF" w:rsidRDefault="00483D9B" w:rsidP="00683A05">
            <w:pPr>
              <w:jc w:val="both"/>
              <w:rPr>
                <w:szCs w:val="24"/>
                <w:lang w:eastAsia="lt-LT"/>
              </w:rPr>
            </w:pPr>
            <w:r>
              <w:rPr>
                <w:szCs w:val="24"/>
                <w:lang w:eastAsia="lt-LT"/>
              </w:rPr>
              <w:t>Netaikoma</w:t>
            </w:r>
            <w:r w:rsidR="00683A05">
              <w:rPr>
                <w:szCs w:val="24"/>
                <w:lang w:eastAsia="lt-LT"/>
              </w:rPr>
              <w:t>.</w:t>
            </w:r>
            <w:r w:rsidR="000211D7">
              <w:rPr>
                <w:szCs w:val="24"/>
                <w:lang w:eastAsia="lt-LT"/>
              </w:rPr>
              <w:t>“</w:t>
            </w:r>
          </w:p>
        </w:tc>
        <w:tc>
          <w:tcPr>
            <w:tcW w:w="567" w:type="dxa"/>
          </w:tcPr>
          <w:p w:rsidR="000211D7" w:rsidRPr="00E222FF" w:rsidRDefault="000211D7" w:rsidP="000211D7">
            <w:pPr>
              <w:jc w:val="both"/>
              <w:rPr>
                <w:szCs w:val="24"/>
                <w:lang w:eastAsia="lt-LT"/>
              </w:rPr>
            </w:pPr>
          </w:p>
        </w:tc>
        <w:tc>
          <w:tcPr>
            <w:tcW w:w="561" w:type="dxa"/>
          </w:tcPr>
          <w:p w:rsidR="000211D7" w:rsidRPr="00E222FF" w:rsidRDefault="000211D7" w:rsidP="000211D7">
            <w:pPr>
              <w:jc w:val="both"/>
              <w:rPr>
                <w:szCs w:val="24"/>
                <w:lang w:eastAsia="lt-LT"/>
              </w:rPr>
            </w:pPr>
          </w:p>
        </w:tc>
      </w:tr>
    </w:tbl>
    <w:p w:rsidR="00574BB3" w:rsidRDefault="006A6F35" w:rsidP="00574BB3">
      <w:pPr>
        <w:tabs>
          <w:tab w:val="left" w:pos="709"/>
        </w:tabs>
        <w:jc w:val="both"/>
        <w:rPr>
          <w:szCs w:val="24"/>
        </w:rPr>
      </w:pPr>
      <w:r>
        <w:rPr>
          <w:szCs w:val="24"/>
        </w:rPr>
        <w:tab/>
      </w:r>
      <w:r w:rsidR="006D3119" w:rsidRPr="007E1114">
        <w:rPr>
          <w:szCs w:val="24"/>
        </w:rPr>
        <w:t>9</w:t>
      </w:r>
      <w:r w:rsidR="006958FD">
        <w:rPr>
          <w:szCs w:val="24"/>
        </w:rPr>
        <w:t xml:space="preserve">. Pakeičiu </w:t>
      </w:r>
      <w:r w:rsidR="000211D7">
        <w:rPr>
          <w:szCs w:val="24"/>
        </w:rPr>
        <w:t>2</w:t>
      </w:r>
      <w:r w:rsidR="006958FD">
        <w:rPr>
          <w:szCs w:val="24"/>
        </w:rPr>
        <w:t xml:space="preserve"> priedo </w:t>
      </w:r>
      <w:r w:rsidR="000211D7">
        <w:rPr>
          <w:szCs w:val="24"/>
        </w:rPr>
        <w:t xml:space="preserve">1 </w:t>
      </w:r>
      <w:r w:rsidR="008F3B3D">
        <w:rPr>
          <w:szCs w:val="24"/>
        </w:rPr>
        <w:t>punkt</w:t>
      </w:r>
      <w:r w:rsidR="000211D7">
        <w:rPr>
          <w:szCs w:val="24"/>
        </w:rPr>
        <w:t>ą</w:t>
      </w:r>
      <w:r w:rsidR="000154D0">
        <w:rPr>
          <w:szCs w:val="24"/>
        </w:rPr>
        <w:t xml:space="preserve"> ir jį išdėstau taip:</w:t>
      </w:r>
    </w:p>
    <w:tbl>
      <w:tblPr>
        <w:tblW w:w="0" w:type="auto"/>
        <w:tblLook w:val="04A0" w:firstRow="1" w:lastRow="0" w:firstColumn="1" w:lastColumn="0" w:noHBand="0" w:noVBand="1"/>
      </w:tblPr>
      <w:tblGrid>
        <w:gridCol w:w="9628"/>
      </w:tblGrid>
      <w:tr w:rsidR="00574BB3" w:rsidTr="005C3A3F">
        <w:tc>
          <w:tcPr>
            <w:tcW w:w="0" w:type="auto"/>
            <w:tcBorders>
              <w:top w:val="single" w:sz="4" w:space="0" w:color="auto"/>
              <w:left w:val="single" w:sz="4" w:space="0" w:color="auto"/>
              <w:bottom w:val="single" w:sz="4" w:space="0" w:color="auto"/>
              <w:right w:val="single" w:sz="4" w:space="0" w:color="auto"/>
            </w:tcBorders>
            <w:shd w:val="clear" w:color="auto" w:fill="BFBFBF"/>
            <w:hideMark/>
          </w:tcPr>
          <w:p w:rsidR="00574BB3" w:rsidRDefault="00574BB3" w:rsidP="00C01687">
            <w:pPr>
              <w:jc w:val="both"/>
              <w:rPr>
                <w:b/>
                <w:bCs/>
                <w:color w:val="000000"/>
                <w:szCs w:val="24"/>
                <w:lang w:eastAsia="lt-LT"/>
              </w:rPr>
            </w:pPr>
            <w:r>
              <w:rPr>
                <w:bCs/>
                <w:color w:val="000000"/>
                <w:szCs w:val="24"/>
                <w:lang w:eastAsia="lt-LT"/>
              </w:rPr>
              <w:t>„</w:t>
            </w:r>
            <w:r>
              <w:rPr>
                <w:b/>
                <w:bCs/>
                <w:color w:val="000000"/>
                <w:szCs w:val="24"/>
                <w:lang w:eastAsia="lt-LT"/>
              </w:rPr>
              <w:t xml:space="preserve">1. </w:t>
            </w:r>
            <w:r w:rsidR="00C01687">
              <w:rPr>
                <w:b/>
                <w:bCs/>
                <w:color w:val="000000"/>
                <w:szCs w:val="24"/>
                <w:lang w:eastAsia="lt-LT"/>
              </w:rPr>
              <w:t>Finansavimo</w:t>
            </w:r>
            <w:r>
              <w:rPr>
                <w:b/>
                <w:bCs/>
                <w:color w:val="000000"/>
                <w:szCs w:val="24"/>
                <w:lang w:eastAsia="lt-LT"/>
              </w:rPr>
              <w:t xml:space="preserve"> teisinis pagrindas</w:t>
            </w:r>
          </w:p>
        </w:tc>
      </w:tr>
      <w:tr w:rsidR="00574BB3" w:rsidTr="005C3A3F">
        <w:tc>
          <w:tcPr>
            <w:tcW w:w="0" w:type="auto"/>
            <w:tcBorders>
              <w:top w:val="single" w:sz="4" w:space="0" w:color="auto"/>
              <w:left w:val="single" w:sz="4" w:space="0" w:color="auto"/>
              <w:bottom w:val="single" w:sz="4" w:space="0" w:color="auto"/>
              <w:right w:val="single" w:sz="4" w:space="0" w:color="auto"/>
            </w:tcBorders>
            <w:shd w:val="clear" w:color="auto" w:fill="auto"/>
          </w:tcPr>
          <w:p w:rsidR="00574BB3" w:rsidRPr="00C01687" w:rsidRDefault="00C01687" w:rsidP="00C01687">
            <w:pPr>
              <w:jc w:val="both"/>
              <w:rPr>
                <w:bCs/>
                <w:color w:val="000000"/>
                <w:szCs w:val="24"/>
                <w:lang w:eastAsia="lt-LT"/>
              </w:rPr>
            </w:pPr>
            <w:r>
              <w:rPr>
                <w:rFonts w:eastAsia="Calibri"/>
                <w:bCs/>
                <w:szCs w:val="24"/>
                <w:lang w:eastAsia="lt-LT"/>
              </w:rPr>
              <w:t xml:space="preserve">2013 m. gruodžio 18 d. Komisijos reglamentas (ES) Nr. 1407/2013 dėl Sutarties dėl Europos Sąjungos veikimo 107 ir 108 straipsnių taikymo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pagalbai (toliau – </w:t>
            </w:r>
            <w:r>
              <w:rPr>
                <w:rFonts w:eastAsia="Calibri"/>
                <w:bCs/>
                <w:i/>
                <w:szCs w:val="24"/>
                <w:lang w:eastAsia="lt-LT"/>
              </w:rPr>
              <w:t xml:space="preserve">de </w:t>
            </w:r>
            <w:proofErr w:type="spellStart"/>
            <w:r>
              <w:rPr>
                <w:rFonts w:eastAsia="Calibri"/>
                <w:bCs/>
                <w:i/>
                <w:szCs w:val="24"/>
                <w:lang w:eastAsia="lt-LT"/>
              </w:rPr>
              <w:t>minimis</w:t>
            </w:r>
            <w:proofErr w:type="spellEnd"/>
            <w:r>
              <w:rPr>
                <w:rFonts w:eastAsia="Calibri"/>
                <w:bCs/>
                <w:szCs w:val="24"/>
                <w:lang w:eastAsia="lt-LT"/>
              </w:rPr>
              <w:t xml:space="preserve"> reglamentas</w:t>
            </w:r>
            <w:r w:rsidR="00CC1ACF">
              <w:rPr>
                <w:rFonts w:eastAsia="Calibri"/>
                <w:bCs/>
                <w:szCs w:val="24"/>
                <w:lang w:eastAsia="lt-LT"/>
              </w:rPr>
              <w:t>.</w:t>
            </w:r>
            <w:r>
              <w:rPr>
                <w:rFonts w:eastAsia="Calibri"/>
                <w:bCs/>
                <w:szCs w:val="24"/>
                <w:lang w:eastAsia="lt-LT"/>
              </w:rPr>
              <w:t>“</w:t>
            </w:r>
          </w:p>
        </w:tc>
      </w:tr>
    </w:tbl>
    <w:p w:rsidR="00C4585D" w:rsidRDefault="00184F52" w:rsidP="003F541E">
      <w:pPr>
        <w:tabs>
          <w:tab w:val="left" w:pos="709"/>
        </w:tabs>
        <w:jc w:val="both"/>
        <w:rPr>
          <w:szCs w:val="24"/>
        </w:rPr>
      </w:pPr>
      <w:r>
        <w:rPr>
          <w:szCs w:val="24"/>
        </w:rPr>
        <w:tab/>
      </w:r>
      <w:r w:rsidR="00C4585D">
        <w:rPr>
          <w:szCs w:val="24"/>
        </w:rPr>
        <w:t>1</w:t>
      </w:r>
      <w:r w:rsidR="00E12B37">
        <w:rPr>
          <w:szCs w:val="24"/>
        </w:rPr>
        <w:t>0</w:t>
      </w:r>
      <w:r>
        <w:rPr>
          <w:szCs w:val="24"/>
        </w:rPr>
        <w:t>. Pakeičiu 2</w:t>
      </w:r>
      <w:r w:rsidR="00C4585D">
        <w:rPr>
          <w:szCs w:val="24"/>
        </w:rPr>
        <w:t xml:space="preserve"> priedo 3.1 papunktį ir jį išdėstau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5387"/>
        <w:gridCol w:w="567"/>
        <w:gridCol w:w="567"/>
        <w:gridCol w:w="850"/>
        <w:gridCol w:w="1559"/>
      </w:tblGrid>
      <w:tr w:rsidR="00ED32CC" w:rsidTr="00ED32CC">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ED32CC" w:rsidRPr="00ED32CC" w:rsidRDefault="00ED32CC" w:rsidP="00ED32CC">
            <w:pPr>
              <w:tabs>
                <w:tab w:val="left" w:pos="709"/>
              </w:tabs>
              <w:jc w:val="both"/>
              <w:rPr>
                <w:szCs w:val="24"/>
              </w:rPr>
            </w:pPr>
            <w:r>
              <w:rPr>
                <w:szCs w:val="24"/>
              </w:rPr>
              <w:t>„</w:t>
            </w:r>
            <w:r w:rsidRPr="00ED32CC">
              <w:rPr>
                <w:szCs w:val="24"/>
              </w:rPr>
              <w:t>3.1.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12B37" w:rsidP="00E12B37">
            <w:pPr>
              <w:tabs>
                <w:tab w:val="left" w:pos="709"/>
              </w:tabs>
              <w:jc w:val="both"/>
              <w:rPr>
                <w:rFonts w:eastAsia="Calibri"/>
                <w:szCs w:val="24"/>
              </w:rPr>
            </w:pPr>
            <w:r>
              <w:rPr>
                <w:rFonts w:eastAsia="Calibri"/>
                <w:bCs/>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D32CC" w:rsidP="00ED32CC">
            <w:pPr>
              <w:tabs>
                <w:tab w:val="left" w:pos="709"/>
              </w:tabs>
              <w:jc w:val="both"/>
              <w:rPr>
                <w:szCs w:val="24"/>
              </w:rPr>
            </w:pPr>
            <w:r w:rsidRPr="00ED32CC">
              <w:rPr>
                <w:szCs w:val="24"/>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D32CC" w:rsidP="00ED32CC">
            <w:pPr>
              <w:tabs>
                <w:tab w:val="left" w:pos="709"/>
              </w:tabs>
              <w:jc w:val="both"/>
              <w:rPr>
                <w:szCs w:val="24"/>
              </w:rPr>
            </w:pPr>
            <w:r w:rsidRPr="00ED32CC">
              <w:rPr>
                <w:szCs w:val="24"/>
              </w:rPr>
              <w:t>□</w:t>
            </w:r>
          </w:p>
        </w:tc>
        <w:tc>
          <w:tcPr>
            <w:tcW w:w="850" w:type="dxa"/>
            <w:tcBorders>
              <w:top w:val="single" w:sz="4" w:space="0" w:color="000000"/>
              <w:left w:val="single" w:sz="4" w:space="0" w:color="000000"/>
              <w:bottom w:val="single" w:sz="4" w:space="0" w:color="000000"/>
              <w:right w:val="single" w:sz="4" w:space="0" w:color="000000"/>
            </w:tcBorders>
          </w:tcPr>
          <w:p w:rsidR="00ED32CC" w:rsidRPr="00ED32CC" w:rsidRDefault="00ED32CC" w:rsidP="00ED32CC">
            <w:pPr>
              <w:tabs>
                <w:tab w:val="left" w:pos="709"/>
              </w:tabs>
              <w:jc w:val="both"/>
              <w:rPr>
                <w:szCs w:val="24"/>
              </w:rPr>
            </w:pPr>
            <w:r w:rsidRPr="00ED32CC">
              <w:rPr>
                <w:szCs w:val="24"/>
              </w:rPr>
              <w:t>□</w:t>
            </w:r>
            <w:r w:rsidR="00CC1ACF">
              <w:rPr>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D32CC" w:rsidRPr="00ED32CC" w:rsidRDefault="00ED32CC" w:rsidP="00ED32CC">
            <w:pPr>
              <w:tabs>
                <w:tab w:val="left" w:pos="709"/>
              </w:tabs>
              <w:jc w:val="both"/>
              <w:rPr>
                <w:szCs w:val="24"/>
              </w:rPr>
            </w:pPr>
          </w:p>
        </w:tc>
      </w:tr>
    </w:tbl>
    <w:p w:rsidR="00C047A5" w:rsidRDefault="00184F52" w:rsidP="00184F52">
      <w:pPr>
        <w:tabs>
          <w:tab w:val="left" w:pos="709"/>
        </w:tabs>
        <w:jc w:val="both"/>
        <w:rPr>
          <w:lang w:val="en-GB"/>
        </w:rPr>
      </w:pPr>
      <w:r>
        <w:rPr>
          <w:szCs w:val="24"/>
        </w:rPr>
        <w:tab/>
      </w:r>
      <w:r>
        <w:t xml:space="preserve">11. Papildau 3 priedą </w:t>
      </w:r>
      <w:r>
        <w:rPr>
          <w:lang w:val="en-GB"/>
        </w:rPr>
        <w:t xml:space="preserve">8 </w:t>
      </w:r>
      <w:proofErr w:type="spellStart"/>
      <w:r>
        <w:rPr>
          <w:lang w:val="en-GB"/>
        </w:rPr>
        <w:t>punktu</w:t>
      </w:r>
      <w:proofErr w:type="spellEnd"/>
      <w:r>
        <w:rPr>
          <w:lang w:val="en-GB"/>
        </w:rPr>
        <w:t>:</w:t>
      </w:r>
    </w:p>
    <w:p w:rsidR="00F12DCD" w:rsidRDefault="00F12DCD" w:rsidP="00184F52">
      <w:pPr>
        <w:tabs>
          <w:tab w:val="left" w:pos="709"/>
        </w:tabs>
        <w:jc w:val="both"/>
        <w:rPr>
          <w:lang w:val="en-GB"/>
        </w:rPr>
      </w:pPr>
      <w:r>
        <w:rPr>
          <w:b/>
          <w:szCs w:val="24"/>
          <w:lang w:val="en-GB"/>
        </w:rPr>
        <w:tab/>
      </w:r>
      <w:r w:rsidR="006D3119" w:rsidRPr="007E1114">
        <w:rPr>
          <w:szCs w:val="24"/>
        </w:rPr>
        <w:t>„</w:t>
      </w:r>
      <w:r w:rsidRPr="00116D02">
        <w:rPr>
          <w:b/>
          <w:szCs w:val="24"/>
          <w:lang w:val="en-GB"/>
        </w:rPr>
        <w:t>8.</w:t>
      </w:r>
      <w:r>
        <w:rPr>
          <w:szCs w:val="24"/>
          <w:lang w:val="en-GB"/>
        </w:rPr>
        <w:t xml:space="preserve"> </w:t>
      </w:r>
      <w:proofErr w:type="spellStart"/>
      <w:r w:rsidRPr="00116D02">
        <w:rPr>
          <w:b/>
          <w:szCs w:val="24"/>
          <w:lang w:val="en-GB"/>
        </w:rPr>
        <w:t>Parei</w:t>
      </w:r>
      <w:r w:rsidRPr="00116D02">
        <w:rPr>
          <w:b/>
          <w:szCs w:val="24"/>
        </w:rPr>
        <w:t>škėjo</w:t>
      </w:r>
      <w:proofErr w:type="spellEnd"/>
      <w:r w:rsidRPr="00116D02">
        <w:rPr>
          <w:b/>
          <w:szCs w:val="24"/>
        </w:rPr>
        <w:t xml:space="preserve"> pagrindimas, kaip </w:t>
      </w:r>
      <w:r w:rsidRPr="00116D02">
        <w:rPr>
          <w:b/>
        </w:rPr>
        <w:t>kuriamos arba tobulinamos technologijos</w:t>
      </w:r>
      <w:r w:rsidR="00C113CF">
        <w:rPr>
          <w:b/>
        </w:rPr>
        <w:t>,</w:t>
      </w:r>
      <w:r w:rsidRPr="00116D02">
        <w:rPr>
          <w:b/>
        </w:rPr>
        <w:t xml:space="preserve"> susijusios su </w:t>
      </w:r>
      <w:proofErr w:type="spellStart"/>
      <w:r w:rsidR="00C113CF">
        <w:rPr>
          <w:b/>
        </w:rPr>
        <w:t>k</w:t>
      </w:r>
      <w:r w:rsidR="00C113CF" w:rsidRPr="00116D02">
        <w:rPr>
          <w:b/>
        </w:rPr>
        <w:t>orona</w:t>
      </w:r>
      <w:r w:rsidRPr="00116D02">
        <w:rPr>
          <w:b/>
        </w:rPr>
        <w:t>virusu</w:t>
      </w:r>
      <w:proofErr w:type="spellEnd"/>
      <w:r w:rsidRPr="00116D02">
        <w:rPr>
          <w:b/>
        </w:rPr>
        <w:t xml:space="preserve"> (COVID-19) (pateikiama informacija</w:t>
      </w:r>
      <w:r w:rsidRPr="0071789A">
        <w:rPr>
          <w:b/>
        </w:rPr>
        <w:t>, kokias technologijas numatoma</w:t>
      </w:r>
      <w:r w:rsidRPr="00116D02">
        <w:rPr>
          <w:b/>
        </w:rPr>
        <w:t xml:space="preserve"> kurti ar tobulinti, kokių rezultatų tikimasi pasiekti):</w:t>
      </w:r>
    </w:p>
    <w:tbl>
      <w:tblPr>
        <w:tblStyle w:val="TableGrid"/>
        <w:tblW w:w="0" w:type="auto"/>
        <w:tblLook w:val="04A0" w:firstRow="1" w:lastRow="0" w:firstColumn="1" w:lastColumn="0" w:noHBand="0" w:noVBand="1"/>
      </w:tblPr>
      <w:tblGrid>
        <w:gridCol w:w="9628"/>
      </w:tblGrid>
      <w:tr w:rsidR="00184F52" w:rsidTr="00116D02">
        <w:tc>
          <w:tcPr>
            <w:tcW w:w="9854" w:type="dxa"/>
          </w:tcPr>
          <w:p w:rsidR="00184F52" w:rsidRDefault="00CC1ACF" w:rsidP="00116D02">
            <w:pPr>
              <w:tabs>
                <w:tab w:val="left" w:pos="2940"/>
              </w:tabs>
              <w:jc w:val="both"/>
              <w:rPr>
                <w:szCs w:val="24"/>
              </w:rPr>
            </w:pPr>
            <w:r>
              <w:rPr>
                <w:szCs w:val="24"/>
              </w:rPr>
              <w:t xml:space="preserve">                                                                                                                                                         “</w:t>
            </w:r>
          </w:p>
        </w:tc>
      </w:tr>
    </w:tbl>
    <w:p w:rsidR="00184F52" w:rsidRDefault="006D3119" w:rsidP="00184F52">
      <w:pPr>
        <w:tabs>
          <w:tab w:val="left" w:pos="709"/>
        </w:tabs>
        <w:jc w:val="both"/>
      </w:pPr>
      <w:r w:rsidRPr="007E1114">
        <w:tab/>
        <w:t>12. Pakei</w:t>
      </w:r>
      <w:r w:rsidR="004274A7">
        <w:t xml:space="preserve">čiu </w:t>
      </w:r>
      <w:r w:rsidRPr="007E1114">
        <w:t>6 priedo 6.2 papunkt</w:t>
      </w:r>
      <w:r w:rsidR="004274A7">
        <w:t>į ir jį išdėstau taip:</w:t>
      </w:r>
    </w:p>
    <w:p w:rsidR="004274A7" w:rsidRDefault="004274A7" w:rsidP="004274A7">
      <w:pPr>
        <w:widowControl w:val="0"/>
        <w:tabs>
          <w:tab w:val="left" w:pos="709"/>
        </w:tabs>
        <w:jc w:val="both"/>
        <w:rPr>
          <w:szCs w:val="24"/>
        </w:rPr>
      </w:pPr>
      <w:r>
        <w:rPr>
          <w:szCs w:val="24"/>
        </w:rPr>
        <w:tab/>
        <w:t>„6.2. Projekto vykdytojas privalo įgyvendinančiajai institucijai teikti informaciją apie stebėsenos rodiklių, nustatytų Aprašo 26 punkte, pasiekimo momentu, nurodytu Nacionalinių stebėsenos rodiklių skaičiavimo apraše, patvirtintame Lietuvos Respublikos ekonomikos ir inovacijų ministro 2014m. gruodžio 19 d. įsakymu Nr. 4-933 „Dėl 2014–2020 m. Europos Sąjungos fondų investicijų veiksmų programos prioriteto įgyvendinimo priemonių įgyvendinimo plano ir Nacionalinių stebėsenos rodiklių skaičiavimo aprašo patvirtinimo“.“</w:t>
      </w:r>
    </w:p>
    <w:p w:rsidR="004274A7" w:rsidRDefault="004274A7" w:rsidP="00184F52">
      <w:pPr>
        <w:tabs>
          <w:tab w:val="left" w:pos="709"/>
        </w:tabs>
        <w:jc w:val="both"/>
      </w:pPr>
    </w:p>
    <w:p w:rsidR="00512690" w:rsidRPr="004274A7" w:rsidRDefault="00512690" w:rsidP="00184F52">
      <w:pPr>
        <w:tabs>
          <w:tab w:val="left" w:pos="709"/>
        </w:tabs>
        <w:jc w:val="both"/>
      </w:pPr>
    </w:p>
    <w:p w:rsidR="005C3FC3" w:rsidRDefault="005C3FC3" w:rsidP="00E50C93">
      <w:pPr>
        <w:pStyle w:val="Footer"/>
        <w:ind w:firstLine="0"/>
        <w:rPr>
          <w:rFonts w:ascii="Times New Roman" w:hAnsi="Times New Roman" w:cs="Times New Roman"/>
          <w:sz w:val="24"/>
        </w:rPr>
      </w:pPr>
    </w:p>
    <w:p w:rsidR="00117BF7" w:rsidRPr="00C042EE" w:rsidRDefault="00117BF7" w:rsidP="00117BF7">
      <w:pPr>
        <w:rPr>
          <w:szCs w:val="24"/>
        </w:rPr>
      </w:pPr>
      <w:r w:rsidRPr="00C042EE">
        <w:rPr>
          <w:szCs w:val="24"/>
        </w:rPr>
        <w:t xml:space="preserve">Energetikos ministras, laikinai einantis </w:t>
      </w:r>
    </w:p>
    <w:p w:rsidR="00117BF7" w:rsidRPr="00C042EE" w:rsidRDefault="00117BF7" w:rsidP="00117BF7">
      <w:pPr>
        <w:pStyle w:val="Footer"/>
        <w:ind w:firstLine="0"/>
        <w:rPr>
          <w:rFonts w:ascii="Times New Roman" w:hAnsi="Times New Roman" w:cs="Times New Roman"/>
          <w:sz w:val="24"/>
        </w:rPr>
      </w:pPr>
      <w:r w:rsidRPr="00C042EE">
        <w:rPr>
          <w:rFonts w:ascii="Times New Roman" w:hAnsi="Times New Roman" w:cs="Times New Roman"/>
          <w:sz w:val="24"/>
        </w:rPr>
        <w:t>ekonomikos ir inovacijų ministro pareigas</w:t>
      </w:r>
      <w:r w:rsidRPr="00C042EE">
        <w:rPr>
          <w:rFonts w:ascii="Times New Roman" w:hAnsi="Times New Roman" w:cs="Times New Roman"/>
          <w:sz w:val="24"/>
        </w:rPr>
        <w:tab/>
      </w:r>
      <w:r w:rsidRPr="00C042EE">
        <w:rPr>
          <w:rFonts w:ascii="Times New Roman" w:hAnsi="Times New Roman" w:cs="Times New Roman"/>
          <w:sz w:val="24"/>
        </w:rPr>
        <w:tab/>
        <w:t xml:space="preserve">                                       Žygimantas Vaičiūnas</w:t>
      </w:r>
    </w:p>
    <w:p w:rsidR="00B9703B" w:rsidRPr="000A547B" w:rsidRDefault="006730E6" w:rsidP="001874DF">
      <w:pPr>
        <w:pStyle w:val="Footer"/>
        <w:ind w:firstLine="0"/>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117BF7" w:rsidRDefault="00117BF7" w:rsidP="00E50C93">
      <w:pPr>
        <w:pStyle w:val="Footer"/>
        <w:ind w:firstLine="0"/>
        <w:rPr>
          <w:rFonts w:ascii="Times New Roman" w:hAnsi="Times New Roman" w:cs="Times New Roman"/>
          <w:szCs w:val="20"/>
        </w:rPr>
      </w:pPr>
    </w:p>
    <w:p w:rsidR="00117BF7" w:rsidRDefault="00117BF7" w:rsidP="00E50C93">
      <w:pPr>
        <w:pStyle w:val="Footer"/>
        <w:ind w:firstLine="0"/>
        <w:rPr>
          <w:rFonts w:ascii="Times New Roman" w:hAnsi="Times New Roman" w:cs="Times New Roman"/>
          <w:szCs w:val="20"/>
        </w:rPr>
      </w:pPr>
    </w:p>
    <w:p w:rsidR="00512690" w:rsidRDefault="00512690" w:rsidP="00E50C93">
      <w:pPr>
        <w:pStyle w:val="Footer"/>
        <w:ind w:firstLine="0"/>
        <w:rPr>
          <w:rFonts w:ascii="Times New Roman" w:hAnsi="Times New Roman" w:cs="Times New Roman"/>
          <w:szCs w:val="20"/>
        </w:rPr>
      </w:pPr>
    </w:p>
    <w:p w:rsidR="00117BF7" w:rsidRDefault="00117BF7" w:rsidP="00E50C93">
      <w:pPr>
        <w:pStyle w:val="Footer"/>
        <w:ind w:firstLine="0"/>
        <w:rPr>
          <w:rFonts w:ascii="Times New Roman" w:hAnsi="Times New Roman" w:cs="Times New Roman"/>
          <w:szCs w:val="20"/>
        </w:rPr>
      </w:pPr>
    </w:p>
    <w:p w:rsidR="00B9703B" w:rsidRPr="007E1114" w:rsidRDefault="006D3119" w:rsidP="00E50C93">
      <w:pPr>
        <w:pStyle w:val="Footer"/>
        <w:ind w:firstLine="0"/>
        <w:rPr>
          <w:rFonts w:ascii="Times New Roman" w:hAnsi="Times New Roman" w:cs="Times New Roman"/>
          <w:sz w:val="24"/>
        </w:rPr>
      </w:pPr>
      <w:r w:rsidRPr="007E1114">
        <w:rPr>
          <w:rFonts w:ascii="Times New Roman" w:hAnsi="Times New Roman" w:cs="Times New Roman"/>
          <w:sz w:val="24"/>
        </w:rPr>
        <w:t xml:space="preserve">Parengė </w:t>
      </w:r>
    </w:p>
    <w:p w:rsidR="00B9703B" w:rsidRPr="007E1114" w:rsidRDefault="006D3119" w:rsidP="00E50C93">
      <w:pPr>
        <w:pStyle w:val="Footer"/>
        <w:ind w:firstLine="0"/>
        <w:rPr>
          <w:rFonts w:ascii="Times New Roman" w:hAnsi="Times New Roman" w:cs="Times New Roman"/>
          <w:sz w:val="24"/>
        </w:rPr>
      </w:pPr>
      <w:r w:rsidRPr="007E1114">
        <w:rPr>
          <w:rFonts w:ascii="Times New Roman" w:hAnsi="Times New Roman" w:cs="Times New Roman"/>
          <w:sz w:val="24"/>
        </w:rPr>
        <w:t xml:space="preserve">Ekonomikos ir inovacijų ministerijos Europos Sąjungos </w:t>
      </w:r>
    </w:p>
    <w:p w:rsidR="00B9703B" w:rsidRPr="007E1114" w:rsidRDefault="006D3119" w:rsidP="00E50C93">
      <w:pPr>
        <w:pStyle w:val="Footer"/>
        <w:ind w:firstLine="0"/>
        <w:rPr>
          <w:rFonts w:ascii="Times New Roman" w:hAnsi="Times New Roman" w:cs="Times New Roman"/>
          <w:sz w:val="24"/>
        </w:rPr>
      </w:pPr>
      <w:r w:rsidRPr="007E1114">
        <w:rPr>
          <w:rFonts w:ascii="Times New Roman" w:hAnsi="Times New Roman" w:cs="Times New Roman"/>
          <w:sz w:val="24"/>
        </w:rPr>
        <w:t>investicijų koordinavimo departamento</w:t>
      </w:r>
    </w:p>
    <w:p w:rsidR="00B9703B" w:rsidRPr="007E1114" w:rsidRDefault="006D3119" w:rsidP="00E50C93">
      <w:pPr>
        <w:pStyle w:val="Footer"/>
        <w:ind w:firstLine="0"/>
        <w:rPr>
          <w:rFonts w:ascii="Times New Roman" w:hAnsi="Times New Roman" w:cs="Times New Roman"/>
          <w:sz w:val="24"/>
        </w:rPr>
      </w:pPr>
      <w:r w:rsidRPr="007E1114">
        <w:rPr>
          <w:rFonts w:ascii="Times New Roman" w:hAnsi="Times New Roman" w:cs="Times New Roman"/>
          <w:sz w:val="24"/>
        </w:rPr>
        <w:t xml:space="preserve">Europos Sąjungos investicijų planavimo skyriaus </w:t>
      </w:r>
    </w:p>
    <w:p w:rsidR="00B9703B" w:rsidRPr="007E1114" w:rsidRDefault="006D3119" w:rsidP="00E50C93">
      <w:pPr>
        <w:pStyle w:val="Footer"/>
        <w:ind w:firstLine="0"/>
        <w:rPr>
          <w:rFonts w:ascii="Times New Roman" w:hAnsi="Times New Roman" w:cs="Times New Roman"/>
          <w:sz w:val="24"/>
        </w:rPr>
      </w:pPr>
      <w:r w:rsidRPr="007E1114">
        <w:rPr>
          <w:rFonts w:ascii="Times New Roman" w:hAnsi="Times New Roman" w:cs="Times New Roman"/>
          <w:sz w:val="24"/>
        </w:rPr>
        <w:t>vyriausioji specialistė</w:t>
      </w:r>
    </w:p>
    <w:p w:rsidR="001973B9" w:rsidRPr="007E1114" w:rsidRDefault="001973B9" w:rsidP="00FA1957">
      <w:pPr>
        <w:pStyle w:val="Footer"/>
        <w:ind w:firstLine="0"/>
        <w:rPr>
          <w:rFonts w:ascii="Times New Roman" w:hAnsi="Times New Roman" w:cs="Times New Roman"/>
          <w:sz w:val="24"/>
        </w:rPr>
      </w:pPr>
    </w:p>
    <w:p w:rsidR="008E3CAC" w:rsidRPr="007E1114" w:rsidRDefault="006D3119" w:rsidP="00FA1957">
      <w:pPr>
        <w:pStyle w:val="Footer"/>
        <w:ind w:firstLine="0"/>
        <w:rPr>
          <w:sz w:val="24"/>
        </w:rPr>
      </w:pPr>
      <w:r w:rsidRPr="007E1114">
        <w:rPr>
          <w:rFonts w:ascii="Times New Roman" w:hAnsi="Times New Roman" w:cs="Times New Roman"/>
          <w:sz w:val="24"/>
        </w:rPr>
        <w:t xml:space="preserve">Edita </w:t>
      </w:r>
      <w:proofErr w:type="spellStart"/>
      <w:r w:rsidRPr="007E1114">
        <w:rPr>
          <w:rFonts w:ascii="Times New Roman" w:hAnsi="Times New Roman" w:cs="Times New Roman"/>
          <w:sz w:val="24"/>
        </w:rPr>
        <w:t>Rudakaitė-Šaukštel</w:t>
      </w:r>
      <w:proofErr w:type="spellEnd"/>
    </w:p>
    <w:sectPr w:rsidR="008E3CAC" w:rsidRPr="007E1114" w:rsidSect="00817669">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616" w:rsidRDefault="00A74616" w:rsidP="00F94EBF">
      <w:r>
        <w:separator/>
      </w:r>
    </w:p>
  </w:endnote>
  <w:endnote w:type="continuationSeparator" w:id="0">
    <w:p w:rsidR="00A74616" w:rsidRDefault="00A74616" w:rsidP="00F9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616" w:rsidRDefault="00A74616" w:rsidP="00F94EBF">
      <w:r>
        <w:separator/>
      </w:r>
    </w:p>
  </w:footnote>
  <w:footnote w:type="continuationSeparator" w:id="0">
    <w:p w:rsidR="00A74616" w:rsidRDefault="00A74616" w:rsidP="00F9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2859257"/>
      <w:docPartObj>
        <w:docPartGallery w:val="Page Numbers (Top of Page)"/>
        <w:docPartUnique/>
      </w:docPartObj>
    </w:sdtPr>
    <w:sdtEndPr/>
    <w:sdtContent>
      <w:p w:rsidR="00F94EBF" w:rsidRDefault="006D3119">
        <w:pPr>
          <w:pStyle w:val="Header"/>
          <w:jc w:val="center"/>
        </w:pPr>
        <w:r>
          <w:fldChar w:fldCharType="begin"/>
        </w:r>
        <w:r w:rsidR="00F94EBF">
          <w:instrText>PAGE   \* MERGEFORMAT</w:instrText>
        </w:r>
        <w:r>
          <w:fldChar w:fldCharType="separate"/>
        </w:r>
        <w:r w:rsidR="00E05431">
          <w:rPr>
            <w:noProof/>
          </w:rPr>
          <w:t>2</w:t>
        </w:r>
        <w:r>
          <w:fldChar w:fldCharType="end"/>
        </w:r>
      </w:p>
    </w:sdtContent>
  </w:sdt>
  <w:p w:rsidR="00F94EBF" w:rsidRDefault="00F94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25D"/>
    <w:multiLevelType w:val="hybridMultilevel"/>
    <w:tmpl w:val="34FE6F2C"/>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B5B43"/>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 w15:restartNumberingAfterBreak="0">
    <w:nsid w:val="072E25B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3" w15:restartNumberingAfterBreak="0">
    <w:nsid w:val="092C0C2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093A34B6"/>
    <w:multiLevelType w:val="multilevel"/>
    <w:tmpl w:val="B9E4D908"/>
    <w:lvl w:ilvl="0">
      <w:start w:val="2"/>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456B9F"/>
    <w:multiLevelType w:val="multilevel"/>
    <w:tmpl w:val="03DC867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31AE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1CB73CE9"/>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8" w15:restartNumberingAfterBreak="0">
    <w:nsid w:val="27C1441E"/>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9" w15:restartNumberingAfterBreak="0">
    <w:nsid w:val="2913008F"/>
    <w:multiLevelType w:val="hybridMultilevel"/>
    <w:tmpl w:val="B260BCDC"/>
    <w:lvl w:ilvl="0" w:tplc="216A25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433A562E"/>
    <w:multiLevelType w:val="multilevel"/>
    <w:tmpl w:val="C9DA6BD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A51365"/>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4DA3328D"/>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3" w15:restartNumberingAfterBreak="0">
    <w:nsid w:val="50FB73B6"/>
    <w:multiLevelType w:val="multilevel"/>
    <w:tmpl w:val="A3E2B70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14A426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15:restartNumberingAfterBreak="0">
    <w:nsid w:val="52571CF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6" w15:restartNumberingAfterBreak="0">
    <w:nsid w:val="59805F6C"/>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7" w15:restartNumberingAfterBreak="0">
    <w:nsid w:val="5A6D4763"/>
    <w:multiLevelType w:val="multilevel"/>
    <w:tmpl w:val="C742CC3A"/>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9F1F2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9" w15:restartNumberingAfterBreak="0">
    <w:nsid w:val="5CC950F6"/>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15:restartNumberingAfterBreak="0">
    <w:nsid w:val="655718BE"/>
    <w:multiLevelType w:val="hybridMultilevel"/>
    <w:tmpl w:val="1EE0E0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A54348"/>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2" w15:restartNumberingAfterBreak="0">
    <w:nsid w:val="6E173E94"/>
    <w:multiLevelType w:val="multilevel"/>
    <w:tmpl w:val="45C05DD6"/>
    <w:lvl w:ilvl="0">
      <w:start w:val="1"/>
      <w:numFmt w:val="decimal"/>
      <w:lvlText w:val="%1."/>
      <w:lvlJc w:val="left"/>
      <w:pPr>
        <w:ind w:left="928" w:hanging="360"/>
      </w:pPr>
      <w:rPr>
        <w:rFonts w:hint="default"/>
      </w:rPr>
    </w:lvl>
    <w:lvl w:ilvl="1">
      <w:start w:val="2"/>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3" w15:restartNumberingAfterBreak="0">
    <w:nsid w:val="7A90261A"/>
    <w:multiLevelType w:val="hybridMultilevel"/>
    <w:tmpl w:val="1A768CC4"/>
    <w:lvl w:ilvl="0" w:tplc="E53CD5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7EE27873"/>
    <w:multiLevelType w:val="hybridMultilevel"/>
    <w:tmpl w:val="31AE4C5C"/>
    <w:lvl w:ilvl="0" w:tplc="260046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2"/>
  </w:num>
  <w:num w:numId="2">
    <w:abstractNumId w:val="21"/>
  </w:num>
  <w:num w:numId="3">
    <w:abstractNumId w:val="6"/>
  </w:num>
  <w:num w:numId="4">
    <w:abstractNumId w:val="22"/>
  </w:num>
  <w:num w:numId="5">
    <w:abstractNumId w:val="19"/>
  </w:num>
  <w:num w:numId="6">
    <w:abstractNumId w:val="7"/>
  </w:num>
  <w:num w:numId="7">
    <w:abstractNumId w:val="3"/>
  </w:num>
  <w:num w:numId="8">
    <w:abstractNumId w:val="18"/>
  </w:num>
  <w:num w:numId="9">
    <w:abstractNumId w:val="16"/>
  </w:num>
  <w:num w:numId="10">
    <w:abstractNumId w:val="1"/>
  </w:num>
  <w:num w:numId="11">
    <w:abstractNumId w:val="8"/>
  </w:num>
  <w:num w:numId="12">
    <w:abstractNumId w:val="15"/>
  </w:num>
  <w:num w:numId="13">
    <w:abstractNumId w:val="2"/>
  </w:num>
  <w:num w:numId="14">
    <w:abstractNumId w:val="14"/>
  </w:num>
  <w:num w:numId="15">
    <w:abstractNumId w:val="11"/>
  </w:num>
  <w:num w:numId="16">
    <w:abstractNumId w:val="24"/>
  </w:num>
  <w:num w:numId="17">
    <w:abstractNumId w:val="0"/>
  </w:num>
  <w:num w:numId="18">
    <w:abstractNumId w:val="13"/>
  </w:num>
  <w:num w:numId="19">
    <w:abstractNumId w:val="5"/>
  </w:num>
  <w:num w:numId="20">
    <w:abstractNumId w:val="17"/>
  </w:num>
  <w:num w:numId="21">
    <w:abstractNumId w:val="4"/>
  </w:num>
  <w:num w:numId="22">
    <w:abstractNumId w:val="9"/>
  </w:num>
  <w:num w:numId="23">
    <w:abstractNumId w:val="20"/>
  </w:num>
  <w:num w:numId="24">
    <w:abstractNumId w:val="2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0C"/>
    <w:rsid w:val="00004530"/>
    <w:rsid w:val="00004623"/>
    <w:rsid w:val="000154D0"/>
    <w:rsid w:val="000155A5"/>
    <w:rsid w:val="00017123"/>
    <w:rsid w:val="000211D7"/>
    <w:rsid w:val="00023FCA"/>
    <w:rsid w:val="0005054E"/>
    <w:rsid w:val="00052AB6"/>
    <w:rsid w:val="00055247"/>
    <w:rsid w:val="0005611D"/>
    <w:rsid w:val="00061DE6"/>
    <w:rsid w:val="00081118"/>
    <w:rsid w:val="00087D79"/>
    <w:rsid w:val="00091CD6"/>
    <w:rsid w:val="00093937"/>
    <w:rsid w:val="000A3C28"/>
    <w:rsid w:val="000C240E"/>
    <w:rsid w:val="000C43E0"/>
    <w:rsid w:val="000D00A8"/>
    <w:rsid w:val="000E1050"/>
    <w:rsid w:val="000E3DF2"/>
    <w:rsid w:val="000F4417"/>
    <w:rsid w:val="00107667"/>
    <w:rsid w:val="00112318"/>
    <w:rsid w:val="00117BF7"/>
    <w:rsid w:val="00140913"/>
    <w:rsid w:val="00142DEA"/>
    <w:rsid w:val="001509E1"/>
    <w:rsid w:val="001618E2"/>
    <w:rsid w:val="00161B62"/>
    <w:rsid w:val="0016486F"/>
    <w:rsid w:val="00172EB2"/>
    <w:rsid w:val="00184F52"/>
    <w:rsid w:val="001874DF"/>
    <w:rsid w:val="001973B9"/>
    <w:rsid w:val="001A0FD0"/>
    <w:rsid w:val="001A38E8"/>
    <w:rsid w:val="001A49A2"/>
    <w:rsid w:val="001A75EB"/>
    <w:rsid w:val="001A7728"/>
    <w:rsid w:val="001B4984"/>
    <w:rsid w:val="001B7858"/>
    <w:rsid w:val="001C3596"/>
    <w:rsid w:val="001C4727"/>
    <w:rsid w:val="001D020E"/>
    <w:rsid w:val="001D0504"/>
    <w:rsid w:val="001D05DA"/>
    <w:rsid w:val="001D1952"/>
    <w:rsid w:val="001D226F"/>
    <w:rsid w:val="001D48BE"/>
    <w:rsid w:val="001E1329"/>
    <w:rsid w:val="001E770C"/>
    <w:rsid w:val="001F443A"/>
    <w:rsid w:val="001F46AB"/>
    <w:rsid w:val="001F511A"/>
    <w:rsid w:val="001F65B0"/>
    <w:rsid w:val="00217BD1"/>
    <w:rsid w:val="00237665"/>
    <w:rsid w:val="00247D2A"/>
    <w:rsid w:val="002650BE"/>
    <w:rsid w:val="00267F0B"/>
    <w:rsid w:val="0027555A"/>
    <w:rsid w:val="0028225E"/>
    <w:rsid w:val="00283292"/>
    <w:rsid w:val="002866CF"/>
    <w:rsid w:val="002873AF"/>
    <w:rsid w:val="002A7E2D"/>
    <w:rsid w:val="002B1F51"/>
    <w:rsid w:val="002B796A"/>
    <w:rsid w:val="002C12C1"/>
    <w:rsid w:val="002C4784"/>
    <w:rsid w:val="002C688B"/>
    <w:rsid w:val="002D6DCB"/>
    <w:rsid w:val="00304FF3"/>
    <w:rsid w:val="00310072"/>
    <w:rsid w:val="00311CAF"/>
    <w:rsid w:val="00320006"/>
    <w:rsid w:val="00322A10"/>
    <w:rsid w:val="0032749C"/>
    <w:rsid w:val="00335919"/>
    <w:rsid w:val="00341803"/>
    <w:rsid w:val="00366FEA"/>
    <w:rsid w:val="0037217F"/>
    <w:rsid w:val="0038164A"/>
    <w:rsid w:val="00382770"/>
    <w:rsid w:val="00383328"/>
    <w:rsid w:val="00384C0C"/>
    <w:rsid w:val="00397364"/>
    <w:rsid w:val="003A1B96"/>
    <w:rsid w:val="003A2643"/>
    <w:rsid w:val="003A3901"/>
    <w:rsid w:val="003A521F"/>
    <w:rsid w:val="003B02E3"/>
    <w:rsid w:val="003C394C"/>
    <w:rsid w:val="003D009F"/>
    <w:rsid w:val="003F1680"/>
    <w:rsid w:val="003F541E"/>
    <w:rsid w:val="003F720C"/>
    <w:rsid w:val="0040004B"/>
    <w:rsid w:val="00402F30"/>
    <w:rsid w:val="00405207"/>
    <w:rsid w:val="0041537B"/>
    <w:rsid w:val="004219AC"/>
    <w:rsid w:val="004274A7"/>
    <w:rsid w:val="00430EE6"/>
    <w:rsid w:val="00442B1D"/>
    <w:rsid w:val="00444597"/>
    <w:rsid w:val="0044730B"/>
    <w:rsid w:val="0044760B"/>
    <w:rsid w:val="00453BAD"/>
    <w:rsid w:val="00457B30"/>
    <w:rsid w:val="00463026"/>
    <w:rsid w:val="004673BF"/>
    <w:rsid w:val="00470C86"/>
    <w:rsid w:val="00471ABA"/>
    <w:rsid w:val="00471E2A"/>
    <w:rsid w:val="00480F2F"/>
    <w:rsid w:val="00481DB1"/>
    <w:rsid w:val="00483D9B"/>
    <w:rsid w:val="0048748D"/>
    <w:rsid w:val="0048765A"/>
    <w:rsid w:val="00492D29"/>
    <w:rsid w:val="004A2BB8"/>
    <w:rsid w:val="004A30B5"/>
    <w:rsid w:val="004A4604"/>
    <w:rsid w:val="004A55FC"/>
    <w:rsid w:val="004C2F6C"/>
    <w:rsid w:val="004C6B94"/>
    <w:rsid w:val="004D11E7"/>
    <w:rsid w:val="004E671D"/>
    <w:rsid w:val="004F24BE"/>
    <w:rsid w:val="004F3F0F"/>
    <w:rsid w:val="004F4A0E"/>
    <w:rsid w:val="004F61EB"/>
    <w:rsid w:val="0050551C"/>
    <w:rsid w:val="00512690"/>
    <w:rsid w:val="00533BDA"/>
    <w:rsid w:val="00536CC2"/>
    <w:rsid w:val="005410D0"/>
    <w:rsid w:val="0054468B"/>
    <w:rsid w:val="005517E3"/>
    <w:rsid w:val="005520F8"/>
    <w:rsid w:val="00556E56"/>
    <w:rsid w:val="0056063D"/>
    <w:rsid w:val="00560854"/>
    <w:rsid w:val="005657DB"/>
    <w:rsid w:val="00567443"/>
    <w:rsid w:val="00574BB3"/>
    <w:rsid w:val="00575687"/>
    <w:rsid w:val="005901DA"/>
    <w:rsid w:val="00593023"/>
    <w:rsid w:val="00596E74"/>
    <w:rsid w:val="005A00CE"/>
    <w:rsid w:val="005A04DE"/>
    <w:rsid w:val="005B1B32"/>
    <w:rsid w:val="005B768C"/>
    <w:rsid w:val="005C1DF8"/>
    <w:rsid w:val="005C3FC3"/>
    <w:rsid w:val="005C76FB"/>
    <w:rsid w:val="005D2E38"/>
    <w:rsid w:val="005E077C"/>
    <w:rsid w:val="005E1473"/>
    <w:rsid w:val="005E6582"/>
    <w:rsid w:val="005F233D"/>
    <w:rsid w:val="005F4356"/>
    <w:rsid w:val="005F4F7E"/>
    <w:rsid w:val="005F5CBA"/>
    <w:rsid w:val="00605E39"/>
    <w:rsid w:val="00606DED"/>
    <w:rsid w:val="006145D2"/>
    <w:rsid w:val="00627343"/>
    <w:rsid w:val="00631348"/>
    <w:rsid w:val="00633F98"/>
    <w:rsid w:val="00634BCA"/>
    <w:rsid w:val="00635BEF"/>
    <w:rsid w:val="0064662C"/>
    <w:rsid w:val="006522B7"/>
    <w:rsid w:val="0065294E"/>
    <w:rsid w:val="00654A80"/>
    <w:rsid w:val="00656799"/>
    <w:rsid w:val="00656BD4"/>
    <w:rsid w:val="006675E7"/>
    <w:rsid w:val="006702D9"/>
    <w:rsid w:val="006703B0"/>
    <w:rsid w:val="006730E6"/>
    <w:rsid w:val="00676B65"/>
    <w:rsid w:val="00681791"/>
    <w:rsid w:val="00683A05"/>
    <w:rsid w:val="00684427"/>
    <w:rsid w:val="0069268A"/>
    <w:rsid w:val="006958FD"/>
    <w:rsid w:val="006A13AD"/>
    <w:rsid w:val="006A6F35"/>
    <w:rsid w:val="006C499A"/>
    <w:rsid w:val="006C4D23"/>
    <w:rsid w:val="006C7333"/>
    <w:rsid w:val="006D0B1B"/>
    <w:rsid w:val="006D3119"/>
    <w:rsid w:val="006D50BF"/>
    <w:rsid w:val="006D56BC"/>
    <w:rsid w:val="006E376C"/>
    <w:rsid w:val="006E3892"/>
    <w:rsid w:val="00701C1B"/>
    <w:rsid w:val="007052AF"/>
    <w:rsid w:val="00714F02"/>
    <w:rsid w:val="007168D9"/>
    <w:rsid w:val="0072331D"/>
    <w:rsid w:val="00726940"/>
    <w:rsid w:val="00731239"/>
    <w:rsid w:val="007321F2"/>
    <w:rsid w:val="00746299"/>
    <w:rsid w:val="00750995"/>
    <w:rsid w:val="00751261"/>
    <w:rsid w:val="00754DF5"/>
    <w:rsid w:val="00757DA2"/>
    <w:rsid w:val="00764EBA"/>
    <w:rsid w:val="0077240F"/>
    <w:rsid w:val="00776B74"/>
    <w:rsid w:val="007823A2"/>
    <w:rsid w:val="007A00CD"/>
    <w:rsid w:val="007A4D42"/>
    <w:rsid w:val="007A73B4"/>
    <w:rsid w:val="007B247D"/>
    <w:rsid w:val="007B5AEC"/>
    <w:rsid w:val="007E1114"/>
    <w:rsid w:val="007E1853"/>
    <w:rsid w:val="007E3EFC"/>
    <w:rsid w:val="007E4586"/>
    <w:rsid w:val="00800336"/>
    <w:rsid w:val="00805319"/>
    <w:rsid w:val="00807895"/>
    <w:rsid w:val="00812D41"/>
    <w:rsid w:val="008134C5"/>
    <w:rsid w:val="00817669"/>
    <w:rsid w:val="00821AB0"/>
    <w:rsid w:val="008239FB"/>
    <w:rsid w:val="00832F78"/>
    <w:rsid w:val="00834076"/>
    <w:rsid w:val="00837637"/>
    <w:rsid w:val="00837B9B"/>
    <w:rsid w:val="00843282"/>
    <w:rsid w:val="00846CBF"/>
    <w:rsid w:val="00854046"/>
    <w:rsid w:val="008647C9"/>
    <w:rsid w:val="00864963"/>
    <w:rsid w:val="00873E04"/>
    <w:rsid w:val="00874481"/>
    <w:rsid w:val="00875F91"/>
    <w:rsid w:val="0088126D"/>
    <w:rsid w:val="008814D7"/>
    <w:rsid w:val="00891293"/>
    <w:rsid w:val="00893048"/>
    <w:rsid w:val="00893B42"/>
    <w:rsid w:val="008A2926"/>
    <w:rsid w:val="008A722D"/>
    <w:rsid w:val="008B181C"/>
    <w:rsid w:val="008B381E"/>
    <w:rsid w:val="008C531F"/>
    <w:rsid w:val="008C5A6F"/>
    <w:rsid w:val="008E3CAC"/>
    <w:rsid w:val="008E3EA0"/>
    <w:rsid w:val="008F2AD4"/>
    <w:rsid w:val="008F3B3D"/>
    <w:rsid w:val="00900238"/>
    <w:rsid w:val="00900DF6"/>
    <w:rsid w:val="00911A52"/>
    <w:rsid w:val="009239DC"/>
    <w:rsid w:val="009300DB"/>
    <w:rsid w:val="00933D4B"/>
    <w:rsid w:val="00941229"/>
    <w:rsid w:val="00945977"/>
    <w:rsid w:val="0094737C"/>
    <w:rsid w:val="00953486"/>
    <w:rsid w:val="0095632B"/>
    <w:rsid w:val="00957354"/>
    <w:rsid w:val="00963A68"/>
    <w:rsid w:val="009646DA"/>
    <w:rsid w:val="00973F0B"/>
    <w:rsid w:val="009802AC"/>
    <w:rsid w:val="00982A68"/>
    <w:rsid w:val="00984B73"/>
    <w:rsid w:val="009951D2"/>
    <w:rsid w:val="009962CF"/>
    <w:rsid w:val="009A04CC"/>
    <w:rsid w:val="009A073E"/>
    <w:rsid w:val="009A1293"/>
    <w:rsid w:val="009A6029"/>
    <w:rsid w:val="009B025D"/>
    <w:rsid w:val="009B79F2"/>
    <w:rsid w:val="009C26C5"/>
    <w:rsid w:val="009C440B"/>
    <w:rsid w:val="009C562B"/>
    <w:rsid w:val="009C7C01"/>
    <w:rsid w:val="009F3042"/>
    <w:rsid w:val="009F7117"/>
    <w:rsid w:val="00A0125D"/>
    <w:rsid w:val="00A0242B"/>
    <w:rsid w:val="00A03F43"/>
    <w:rsid w:val="00A064A6"/>
    <w:rsid w:val="00A13C2F"/>
    <w:rsid w:val="00A159EA"/>
    <w:rsid w:val="00A27A4D"/>
    <w:rsid w:val="00A36E35"/>
    <w:rsid w:val="00A4737A"/>
    <w:rsid w:val="00A546DF"/>
    <w:rsid w:val="00A55CC1"/>
    <w:rsid w:val="00A653BA"/>
    <w:rsid w:val="00A6627C"/>
    <w:rsid w:val="00A70905"/>
    <w:rsid w:val="00A74616"/>
    <w:rsid w:val="00A81ED7"/>
    <w:rsid w:val="00A84DCE"/>
    <w:rsid w:val="00A86C0D"/>
    <w:rsid w:val="00A9058B"/>
    <w:rsid w:val="00A92DF8"/>
    <w:rsid w:val="00AA015E"/>
    <w:rsid w:val="00AA0772"/>
    <w:rsid w:val="00AA3428"/>
    <w:rsid w:val="00AA65D2"/>
    <w:rsid w:val="00AD6AFE"/>
    <w:rsid w:val="00AD7E17"/>
    <w:rsid w:val="00AE54BC"/>
    <w:rsid w:val="00AF57F8"/>
    <w:rsid w:val="00B01794"/>
    <w:rsid w:val="00B036B6"/>
    <w:rsid w:val="00B25BAA"/>
    <w:rsid w:val="00B312AC"/>
    <w:rsid w:val="00B40212"/>
    <w:rsid w:val="00B41266"/>
    <w:rsid w:val="00B42EC8"/>
    <w:rsid w:val="00B56C62"/>
    <w:rsid w:val="00B72B13"/>
    <w:rsid w:val="00B759AB"/>
    <w:rsid w:val="00B7685A"/>
    <w:rsid w:val="00B8074A"/>
    <w:rsid w:val="00B90557"/>
    <w:rsid w:val="00B92D8C"/>
    <w:rsid w:val="00B94522"/>
    <w:rsid w:val="00B9703B"/>
    <w:rsid w:val="00BA25A8"/>
    <w:rsid w:val="00BA4EC4"/>
    <w:rsid w:val="00BB165B"/>
    <w:rsid w:val="00BC0377"/>
    <w:rsid w:val="00BC15B4"/>
    <w:rsid w:val="00BC760F"/>
    <w:rsid w:val="00BE04B5"/>
    <w:rsid w:val="00BE27C0"/>
    <w:rsid w:val="00BE3C5B"/>
    <w:rsid w:val="00BE4524"/>
    <w:rsid w:val="00BF05C2"/>
    <w:rsid w:val="00BF2399"/>
    <w:rsid w:val="00BF5988"/>
    <w:rsid w:val="00BF7217"/>
    <w:rsid w:val="00BF7DA8"/>
    <w:rsid w:val="00C01687"/>
    <w:rsid w:val="00C035C8"/>
    <w:rsid w:val="00C047A5"/>
    <w:rsid w:val="00C04B21"/>
    <w:rsid w:val="00C113CF"/>
    <w:rsid w:val="00C1178B"/>
    <w:rsid w:val="00C211DE"/>
    <w:rsid w:val="00C25029"/>
    <w:rsid w:val="00C332DD"/>
    <w:rsid w:val="00C42AEB"/>
    <w:rsid w:val="00C45118"/>
    <w:rsid w:val="00C4585D"/>
    <w:rsid w:val="00C461A9"/>
    <w:rsid w:val="00C46521"/>
    <w:rsid w:val="00C56521"/>
    <w:rsid w:val="00C62EA7"/>
    <w:rsid w:val="00C67D0B"/>
    <w:rsid w:val="00C72190"/>
    <w:rsid w:val="00C73EC4"/>
    <w:rsid w:val="00C772E3"/>
    <w:rsid w:val="00C77B3B"/>
    <w:rsid w:val="00C84DE8"/>
    <w:rsid w:val="00C85E2F"/>
    <w:rsid w:val="00C8771F"/>
    <w:rsid w:val="00CA16D4"/>
    <w:rsid w:val="00CA36F5"/>
    <w:rsid w:val="00CA3965"/>
    <w:rsid w:val="00CB2C92"/>
    <w:rsid w:val="00CB3D57"/>
    <w:rsid w:val="00CB497B"/>
    <w:rsid w:val="00CB4B74"/>
    <w:rsid w:val="00CB6FF5"/>
    <w:rsid w:val="00CC1ACF"/>
    <w:rsid w:val="00CC59AF"/>
    <w:rsid w:val="00CD20B2"/>
    <w:rsid w:val="00CE0C62"/>
    <w:rsid w:val="00CE36CF"/>
    <w:rsid w:val="00CF77C7"/>
    <w:rsid w:val="00CF7DDC"/>
    <w:rsid w:val="00D01C50"/>
    <w:rsid w:val="00D079FC"/>
    <w:rsid w:val="00D33818"/>
    <w:rsid w:val="00D36D93"/>
    <w:rsid w:val="00D40792"/>
    <w:rsid w:val="00D42C6C"/>
    <w:rsid w:val="00D4365D"/>
    <w:rsid w:val="00D441A4"/>
    <w:rsid w:val="00D56C5E"/>
    <w:rsid w:val="00DA41A6"/>
    <w:rsid w:val="00DA528E"/>
    <w:rsid w:val="00DB372A"/>
    <w:rsid w:val="00DC645C"/>
    <w:rsid w:val="00DC6740"/>
    <w:rsid w:val="00DC6E81"/>
    <w:rsid w:val="00DD53E3"/>
    <w:rsid w:val="00DD7188"/>
    <w:rsid w:val="00E01490"/>
    <w:rsid w:val="00E05431"/>
    <w:rsid w:val="00E0647C"/>
    <w:rsid w:val="00E12B37"/>
    <w:rsid w:val="00E2217F"/>
    <w:rsid w:val="00E26762"/>
    <w:rsid w:val="00E40101"/>
    <w:rsid w:val="00E4149D"/>
    <w:rsid w:val="00E44906"/>
    <w:rsid w:val="00E50AC8"/>
    <w:rsid w:val="00E50C93"/>
    <w:rsid w:val="00E514DD"/>
    <w:rsid w:val="00E51B06"/>
    <w:rsid w:val="00E51E0B"/>
    <w:rsid w:val="00E53ECC"/>
    <w:rsid w:val="00E64A50"/>
    <w:rsid w:val="00E65E13"/>
    <w:rsid w:val="00E719B1"/>
    <w:rsid w:val="00E74D99"/>
    <w:rsid w:val="00E9357D"/>
    <w:rsid w:val="00E9760F"/>
    <w:rsid w:val="00EB051E"/>
    <w:rsid w:val="00ED32CC"/>
    <w:rsid w:val="00EE2118"/>
    <w:rsid w:val="00EE5C51"/>
    <w:rsid w:val="00EF4218"/>
    <w:rsid w:val="00EF6EFF"/>
    <w:rsid w:val="00F019D0"/>
    <w:rsid w:val="00F03A29"/>
    <w:rsid w:val="00F12DCD"/>
    <w:rsid w:val="00F13F0E"/>
    <w:rsid w:val="00F15357"/>
    <w:rsid w:val="00F373D3"/>
    <w:rsid w:val="00F373F9"/>
    <w:rsid w:val="00F37D1E"/>
    <w:rsid w:val="00F45387"/>
    <w:rsid w:val="00F46455"/>
    <w:rsid w:val="00F63D28"/>
    <w:rsid w:val="00F67C20"/>
    <w:rsid w:val="00F74DBB"/>
    <w:rsid w:val="00F82F4E"/>
    <w:rsid w:val="00F9273F"/>
    <w:rsid w:val="00F92B19"/>
    <w:rsid w:val="00F9357B"/>
    <w:rsid w:val="00F94EBF"/>
    <w:rsid w:val="00FA1957"/>
    <w:rsid w:val="00FA3CB6"/>
    <w:rsid w:val="00FB56DA"/>
    <w:rsid w:val="00FD1F5F"/>
    <w:rsid w:val="00FE0A1D"/>
    <w:rsid w:val="00FE41C5"/>
    <w:rsid w:val="00FF0301"/>
    <w:rsid w:val="00FF07CB"/>
    <w:rsid w:val="00FF339D"/>
    <w:rsid w:val="00FF4174"/>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481B2"/>
  <w15:docId w15:val="{2F21EF8A-11D1-4C33-A66B-B3D2718E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D7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3F720C"/>
    <w:pPr>
      <w:spacing w:before="100" w:beforeAutospacing="1" w:after="100" w:afterAutospacing="1"/>
    </w:pPr>
    <w:rPr>
      <w:szCs w:val="24"/>
      <w:lang w:eastAsia="lt-LT"/>
    </w:rPr>
  </w:style>
  <w:style w:type="paragraph" w:customStyle="1" w:styleId="BodyText1">
    <w:name w:val="Body Text1"/>
    <w:basedOn w:val="Normal"/>
    <w:rsid w:val="003F720C"/>
    <w:pPr>
      <w:suppressAutoHyphens/>
      <w:autoSpaceDE w:val="0"/>
      <w:autoSpaceDN w:val="0"/>
      <w:adjustRightInd w:val="0"/>
      <w:spacing w:line="298" w:lineRule="auto"/>
      <w:ind w:firstLine="312"/>
      <w:jc w:val="both"/>
      <w:textAlignment w:val="center"/>
    </w:pPr>
    <w:rPr>
      <w:color w:val="000000"/>
      <w:sz w:val="20"/>
    </w:rPr>
  </w:style>
  <w:style w:type="paragraph" w:styleId="ListParagraph">
    <w:name w:val="List Paragraph"/>
    <w:basedOn w:val="Normal"/>
    <w:rsid w:val="007E4586"/>
    <w:pPr>
      <w:ind w:left="720"/>
      <w:contextualSpacing/>
    </w:pPr>
  </w:style>
  <w:style w:type="paragraph" w:styleId="Footer">
    <w:name w:val="footer"/>
    <w:basedOn w:val="Normal"/>
    <w:link w:val="FooterChar"/>
    <w:rsid w:val="00B9703B"/>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B9703B"/>
    <w:rPr>
      <w:rFonts w:ascii="Arial" w:eastAsia="Times New Roman" w:hAnsi="Arial" w:cs="Arial"/>
      <w:sz w:val="20"/>
      <w:szCs w:val="24"/>
      <w:lang w:eastAsia="lt-LT"/>
    </w:rPr>
  </w:style>
  <w:style w:type="paragraph" w:styleId="BalloonText">
    <w:name w:val="Balloon Text"/>
    <w:basedOn w:val="Normal"/>
    <w:link w:val="BalloonTextChar"/>
    <w:unhideWhenUsed/>
    <w:rsid w:val="00BF05C2"/>
    <w:rPr>
      <w:rFonts w:ascii="Segoe UI" w:hAnsi="Segoe UI" w:cs="Segoe UI"/>
      <w:sz w:val="18"/>
      <w:szCs w:val="18"/>
    </w:rPr>
  </w:style>
  <w:style w:type="character" w:customStyle="1" w:styleId="BalloonTextChar">
    <w:name w:val="Balloon Text Char"/>
    <w:basedOn w:val="DefaultParagraphFont"/>
    <w:link w:val="BalloonText"/>
    <w:rsid w:val="00BF05C2"/>
    <w:rPr>
      <w:rFonts w:ascii="Segoe UI" w:eastAsia="Times New Roman" w:hAnsi="Segoe UI" w:cs="Segoe UI"/>
      <w:sz w:val="18"/>
      <w:szCs w:val="18"/>
    </w:rPr>
  </w:style>
  <w:style w:type="character" w:styleId="Hyperlink">
    <w:name w:val="Hyperlink"/>
    <w:basedOn w:val="DefaultParagraphFont"/>
    <w:uiPriority w:val="99"/>
    <w:unhideWhenUsed/>
    <w:rsid w:val="00A9058B"/>
    <w:rPr>
      <w:color w:val="0563C1" w:themeColor="hyperlink"/>
      <w:u w:val="single"/>
    </w:rPr>
  </w:style>
  <w:style w:type="table" w:styleId="TableGrid">
    <w:name w:val="Table Grid"/>
    <w:basedOn w:val="TableNormal"/>
    <w:rsid w:val="009A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EBF"/>
    <w:pPr>
      <w:tabs>
        <w:tab w:val="center" w:pos="4819"/>
        <w:tab w:val="right" w:pos="9638"/>
      </w:tabs>
    </w:pPr>
  </w:style>
  <w:style w:type="character" w:customStyle="1" w:styleId="HeaderChar">
    <w:name w:val="Header Char"/>
    <w:basedOn w:val="DefaultParagraphFont"/>
    <w:link w:val="Header"/>
    <w:uiPriority w:val="99"/>
    <w:rsid w:val="00F94EBF"/>
    <w:rPr>
      <w:rFonts w:ascii="Times New Roman" w:eastAsia="Times New Roman" w:hAnsi="Times New Roman" w:cs="Times New Roman"/>
      <w:sz w:val="24"/>
      <w:szCs w:val="20"/>
    </w:rPr>
  </w:style>
  <w:style w:type="character" w:styleId="CommentReference">
    <w:name w:val="annotation reference"/>
    <w:basedOn w:val="DefaultParagraphFont"/>
    <w:semiHidden/>
    <w:unhideWhenUsed/>
    <w:rsid w:val="00A55CC1"/>
    <w:rPr>
      <w:sz w:val="16"/>
      <w:szCs w:val="16"/>
    </w:rPr>
  </w:style>
  <w:style w:type="paragraph" w:styleId="CommentText">
    <w:name w:val="annotation text"/>
    <w:basedOn w:val="Normal"/>
    <w:link w:val="CommentTextChar"/>
    <w:unhideWhenUsed/>
    <w:rsid w:val="00A55CC1"/>
    <w:rPr>
      <w:sz w:val="20"/>
    </w:rPr>
  </w:style>
  <w:style w:type="character" w:customStyle="1" w:styleId="CommentTextChar">
    <w:name w:val="Comment Text Char"/>
    <w:basedOn w:val="DefaultParagraphFont"/>
    <w:link w:val="CommentText"/>
    <w:rsid w:val="00A55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CC1"/>
    <w:rPr>
      <w:b/>
      <w:bCs/>
    </w:rPr>
  </w:style>
  <w:style w:type="character" w:customStyle="1" w:styleId="CommentSubjectChar">
    <w:name w:val="Comment Subject Char"/>
    <w:basedOn w:val="CommentTextChar"/>
    <w:link w:val="CommentSubject"/>
    <w:uiPriority w:val="99"/>
    <w:semiHidden/>
    <w:rsid w:val="00A55CC1"/>
    <w:rPr>
      <w:rFonts w:ascii="Times New Roman" w:eastAsia="Times New Roman" w:hAnsi="Times New Roman" w:cs="Times New Roman"/>
      <w:b/>
      <w:bCs/>
      <w:sz w:val="20"/>
      <w:szCs w:val="20"/>
    </w:rPr>
  </w:style>
  <w:style w:type="paragraph" w:styleId="Revision">
    <w:name w:val="Revision"/>
    <w:hidden/>
    <w:uiPriority w:val="99"/>
    <w:semiHidden/>
    <w:rsid w:val="00F92B1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007773">
      <w:bodyDiv w:val="1"/>
      <w:marLeft w:val="0"/>
      <w:marRight w:val="0"/>
      <w:marTop w:val="0"/>
      <w:marBottom w:val="0"/>
      <w:divBdr>
        <w:top w:val="none" w:sz="0" w:space="0" w:color="auto"/>
        <w:left w:val="none" w:sz="0" w:space="0" w:color="auto"/>
        <w:bottom w:val="none" w:sz="0" w:space="0" w:color="auto"/>
        <w:right w:val="none" w:sz="0" w:space="0" w:color="auto"/>
      </w:divBdr>
      <w:divsChild>
        <w:div w:id="872112153">
          <w:marLeft w:val="0"/>
          <w:marRight w:val="0"/>
          <w:marTop w:val="0"/>
          <w:marBottom w:val="0"/>
          <w:divBdr>
            <w:top w:val="none" w:sz="0" w:space="0" w:color="auto"/>
            <w:left w:val="none" w:sz="0" w:space="0" w:color="auto"/>
            <w:bottom w:val="none" w:sz="0" w:space="0" w:color="auto"/>
            <w:right w:val="none" w:sz="0" w:space="0" w:color="auto"/>
          </w:divBdr>
          <w:divsChild>
            <w:div w:id="171116703">
              <w:marLeft w:val="0"/>
              <w:marRight w:val="0"/>
              <w:marTop w:val="0"/>
              <w:marBottom w:val="0"/>
              <w:divBdr>
                <w:top w:val="none" w:sz="0" w:space="0" w:color="auto"/>
                <w:left w:val="none" w:sz="0" w:space="0" w:color="auto"/>
                <w:bottom w:val="none" w:sz="0" w:space="0" w:color="auto"/>
                <w:right w:val="none" w:sz="0" w:space="0" w:color="auto"/>
              </w:divBdr>
              <w:divsChild>
                <w:div w:id="805202688">
                  <w:marLeft w:val="0"/>
                  <w:marRight w:val="0"/>
                  <w:marTop w:val="0"/>
                  <w:marBottom w:val="0"/>
                  <w:divBdr>
                    <w:top w:val="none" w:sz="0" w:space="0" w:color="auto"/>
                    <w:left w:val="none" w:sz="0" w:space="0" w:color="auto"/>
                    <w:bottom w:val="none" w:sz="0" w:space="0" w:color="auto"/>
                    <w:right w:val="none" w:sz="0" w:space="0" w:color="auto"/>
                  </w:divBdr>
                  <w:divsChild>
                    <w:div w:id="581108367">
                      <w:marLeft w:val="0"/>
                      <w:marRight w:val="0"/>
                      <w:marTop w:val="0"/>
                      <w:marBottom w:val="0"/>
                      <w:divBdr>
                        <w:top w:val="none" w:sz="0" w:space="0" w:color="auto"/>
                        <w:left w:val="none" w:sz="0" w:space="0" w:color="auto"/>
                        <w:bottom w:val="none" w:sz="0" w:space="0" w:color="auto"/>
                        <w:right w:val="none" w:sz="0" w:space="0" w:color="auto"/>
                      </w:divBdr>
                      <w:divsChild>
                        <w:div w:id="1249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614095">
      <w:bodyDiv w:val="1"/>
      <w:marLeft w:val="0"/>
      <w:marRight w:val="0"/>
      <w:marTop w:val="0"/>
      <w:marBottom w:val="0"/>
      <w:divBdr>
        <w:top w:val="none" w:sz="0" w:space="0" w:color="auto"/>
        <w:left w:val="none" w:sz="0" w:space="0" w:color="auto"/>
        <w:bottom w:val="none" w:sz="0" w:space="0" w:color="auto"/>
        <w:right w:val="none" w:sz="0" w:space="0" w:color="auto"/>
      </w:divBdr>
      <w:divsChild>
        <w:div w:id="352073341">
          <w:marLeft w:val="0"/>
          <w:marRight w:val="0"/>
          <w:marTop w:val="0"/>
          <w:marBottom w:val="0"/>
          <w:divBdr>
            <w:top w:val="none" w:sz="0" w:space="0" w:color="auto"/>
            <w:left w:val="none" w:sz="0" w:space="0" w:color="auto"/>
            <w:bottom w:val="none" w:sz="0" w:space="0" w:color="auto"/>
            <w:right w:val="none" w:sz="0" w:space="0" w:color="auto"/>
          </w:divBdr>
          <w:divsChild>
            <w:div w:id="1209802348">
              <w:marLeft w:val="0"/>
              <w:marRight w:val="0"/>
              <w:marTop w:val="0"/>
              <w:marBottom w:val="0"/>
              <w:divBdr>
                <w:top w:val="none" w:sz="0" w:space="0" w:color="auto"/>
                <w:left w:val="none" w:sz="0" w:space="0" w:color="auto"/>
                <w:bottom w:val="none" w:sz="0" w:space="0" w:color="auto"/>
                <w:right w:val="none" w:sz="0" w:space="0" w:color="auto"/>
              </w:divBdr>
              <w:divsChild>
                <w:div w:id="1475024209">
                  <w:marLeft w:val="0"/>
                  <w:marRight w:val="0"/>
                  <w:marTop w:val="0"/>
                  <w:marBottom w:val="0"/>
                  <w:divBdr>
                    <w:top w:val="none" w:sz="0" w:space="0" w:color="auto"/>
                    <w:left w:val="none" w:sz="0" w:space="0" w:color="auto"/>
                    <w:bottom w:val="none" w:sz="0" w:space="0" w:color="auto"/>
                    <w:right w:val="none" w:sz="0" w:space="0" w:color="auto"/>
                  </w:divBdr>
                  <w:divsChild>
                    <w:div w:id="1206020139">
                      <w:marLeft w:val="0"/>
                      <w:marRight w:val="0"/>
                      <w:marTop w:val="0"/>
                      <w:marBottom w:val="0"/>
                      <w:divBdr>
                        <w:top w:val="none" w:sz="0" w:space="0" w:color="auto"/>
                        <w:left w:val="none" w:sz="0" w:space="0" w:color="auto"/>
                        <w:bottom w:val="none" w:sz="0" w:space="0" w:color="auto"/>
                        <w:right w:val="none" w:sz="0" w:space="0" w:color="auto"/>
                      </w:divBdr>
                      <w:divsChild>
                        <w:div w:id="17367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477B5-49FA-4C39-862E-046AD91E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5624</Words>
  <Characters>3207</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Baltrunaite Inga</dc:creator>
  <cp:keywords/>
  <dc:description/>
  <cp:lastModifiedBy>Rudakaite-Saukstel Edita</cp:lastModifiedBy>
  <cp:revision>4</cp:revision>
  <cp:lastPrinted>2019-01-07T08:36:00Z</cp:lastPrinted>
  <dcterms:created xsi:type="dcterms:W3CDTF">2020-03-26T05:52:00Z</dcterms:created>
  <dcterms:modified xsi:type="dcterms:W3CDTF">2020-03-27T09:13:00Z</dcterms:modified>
</cp:coreProperties>
</file>