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0700A" w14:textId="7587819B" w:rsidR="0040638C" w:rsidRDefault="00F73EFF" w:rsidP="00482394">
      <w:pPr>
        <w:tabs>
          <w:tab w:val="center" w:pos="4819"/>
          <w:tab w:val="right" w:pos="9638"/>
        </w:tabs>
        <w:jc w:val="center"/>
        <w:rPr>
          <w:rFonts w:ascii="TimesLT" w:hAnsi="TimesLT"/>
          <w:sz w:val="20"/>
        </w:rPr>
      </w:pPr>
      <w:r w:rsidRPr="00F73EFF">
        <w:rPr>
          <w:b/>
          <w:noProof/>
          <w:szCs w:val="24"/>
          <w:lang w:eastAsia="lt-LT"/>
        </w:rPr>
        <mc:AlternateContent>
          <mc:Choice Requires="wps">
            <w:drawing>
              <wp:anchor distT="0" distB="0" distL="114300" distR="114300" simplePos="0" relativeHeight="251659264" behindDoc="0" locked="0" layoutInCell="1" allowOverlap="1" wp14:anchorId="6A841EED" wp14:editId="2948E9B1">
                <wp:simplePos x="0" y="0"/>
                <wp:positionH relativeFrom="column">
                  <wp:posOffset>3423920</wp:posOffset>
                </wp:positionH>
                <wp:positionV relativeFrom="paragraph">
                  <wp:posOffset>-646430</wp:posOffset>
                </wp:positionV>
                <wp:extent cx="2374265" cy="1403985"/>
                <wp:effectExtent l="0" t="0" r="1270"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F7062B4" w14:textId="77C11C0A" w:rsidR="00F73EFF" w:rsidRPr="00F73EFF" w:rsidRDefault="00F73EFF">
                            <w:pPr>
                              <w:rPr>
                                <w:b/>
                              </w:rPr>
                            </w:pPr>
                            <w:r w:rsidRPr="00F73EFF">
                              <w:rPr>
                                <w:b/>
                              </w:rPr>
                              <w:t>Projekto lyginamasis variantas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269.6pt;margin-top:-50.9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fKAIAACMEAAAOAAAAZHJzL2Uyb0RvYy54bWysU9tu2zAMfR+wfxD0vtpxkiYx4hRduwwD&#10;ugvQ7QMYWY6FyKImKbGzry+lpG22vQ3zg0Ca5BF5eLS8GTrNDtJ5habio6ucM2kE1spsK/7j+/rd&#10;nDMfwNSg0ciKH6XnN6u3b5a9LWWBLepaOkYgxpe9rXgbgi2zzItWduCv0EpDwQZdB4Fct81qBz2h&#10;dzor8vw669HV1qGQ3tPf+1OQrxJ+00gRvjaNl4HpilNvIZ0unZt4ZqsllFsHtlXi3Ab8QxcdKEOX&#10;vkDdQwC2d+ovqE4Jhx6bcCWwy7BplJBpBppmlP8xzWMLVqZZiBxvX2jy/w9WfDl8c0zVFR/nM84M&#10;dLSkggW58wGZhv0OfCSpt76k3EdL2WF4jwMtOw3s7QOKnWcG71owW3nrHPathJqaHMXK7KL0hOMj&#10;yKb/jDXdBfuACWhoXBcZJE4YodOyji8LkkNggn4W49mkuJ5yJig2muTjxXya7oDyudw6Hz5K7Fg0&#10;Ku5IAQkeDg8+xHagfE6Jt3nUql4rrZPjtps77dgBSC3r9J3Rf0vThvUVX0yLaUI2GOuTkDoVSM1a&#10;dRWf5/GL5VBGOj6YOtkBlD7Z1Ik2Z34iJSdywrAZKDGStsH6SEw5PKmWXhkZLbpfnPWk2Ir7n3tw&#10;kjP9yRDbi9FkEiWenMl0VpDjLiObywgYQVAVD5ydzLuQnkXiwd7SVtYq8fXayblXUmKi8fxqotQv&#10;/ZT1+rZXTwAAAP//AwBQSwMEFAAGAAgAAAAhAMleuOvhAAAADAEAAA8AAABkcnMvZG93bnJldi54&#10;bWxMj8tOwzAQRfdI/IM1SGxQ6zgRiIQ4VXlt2LUEieU0dpNAPI5itw18PcMKlqM5uvfccjW7QRzt&#10;FHpPGtQyAWGp8aanVkP9+ry4BREiksHBk9XwZQOsqvOzEgvjT7Sxx21sBYdQKFBDF+NYSBmazjoM&#10;Sz9a4t/eTw4jn1MrzYQnDneDTJPkRjrsiRs6HO1DZ5vP7cFp+L6vH9dPV1Ht0/ievm3cS918oNaX&#10;F/P6DkS0c/yD4Vef1aFip50/kAli0HCd5SmjGhYqUTyCkVxlCsSOWZVnIKtS/h9R/QAAAP//AwBQ&#10;SwECLQAUAAYACAAAACEAtoM4kv4AAADhAQAAEwAAAAAAAAAAAAAAAAAAAAAAW0NvbnRlbnRfVHlw&#10;ZXNdLnhtbFBLAQItABQABgAIAAAAIQA4/SH/1gAAAJQBAAALAAAAAAAAAAAAAAAAAC8BAABfcmVs&#10;cy8ucmVsc1BLAQItABQABgAIAAAAIQDq1/bfKAIAACMEAAAOAAAAAAAAAAAAAAAAAC4CAABkcnMv&#10;ZTJvRG9jLnhtbFBLAQItABQABgAIAAAAIQDJXrjr4QAAAAwBAAAPAAAAAAAAAAAAAAAAAIIEAABk&#10;cnMvZG93bnJldi54bWxQSwUGAAAAAAQABADzAAAAkAUAAAAA&#10;" stroked="f">
                <v:textbox style="mso-fit-shape-to-text:t">
                  <w:txbxContent>
                    <w:p w14:paraId="5F7062B4" w14:textId="77C11C0A" w:rsidR="00F73EFF" w:rsidRPr="00F73EFF" w:rsidRDefault="00F73EFF">
                      <w:pPr>
                        <w:rPr>
                          <w:b/>
                        </w:rPr>
                      </w:pPr>
                      <w:r w:rsidRPr="00F73EFF">
                        <w:rPr>
                          <w:b/>
                        </w:rPr>
                        <w:t>Projekto lyginamasis variantas</w:t>
                      </w:r>
                    </w:p>
                  </w:txbxContent>
                </v:textbox>
              </v:shape>
            </w:pict>
          </mc:Fallback>
        </mc:AlternateContent>
      </w:r>
      <w:r w:rsidR="00482394">
        <w:rPr>
          <w:rFonts w:ascii="TimesLT" w:hAnsi="TimesLT"/>
          <w:noProof/>
          <w:sz w:val="20"/>
          <w:lang w:eastAsia="lt-LT"/>
        </w:rPr>
        <w:drawing>
          <wp:inline distT="0" distB="0" distL="0" distR="0" wp14:anchorId="31B07069" wp14:editId="2711582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1B0700B" w14:textId="77777777" w:rsidR="0040638C" w:rsidRDefault="0040638C" w:rsidP="00482394">
      <w:pPr>
        <w:jc w:val="center"/>
        <w:rPr>
          <w:rFonts w:ascii="TimesLT" w:hAnsi="TimesLT"/>
          <w:sz w:val="20"/>
          <w:lang w:val="pt-BR"/>
        </w:rPr>
      </w:pPr>
    </w:p>
    <w:p w14:paraId="31B0700C" w14:textId="77777777" w:rsidR="0040638C" w:rsidRDefault="00482394" w:rsidP="00482394">
      <w:pPr>
        <w:jc w:val="center"/>
        <w:rPr>
          <w:b/>
          <w:szCs w:val="24"/>
          <w:lang w:val="pt-BR"/>
        </w:rPr>
      </w:pPr>
      <w:r>
        <w:rPr>
          <w:b/>
          <w:szCs w:val="24"/>
          <w:lang w:val="pt-BR"/>
        </w:rPr>
        <w:t>LIETUVOS RESPUBLIKOS</w:t>
      </w:r>
    </w:p>
    <w:p w14:paraId="31B0700D" w14:textId="77777777" w:rsidR="0040638C" w:rsidRDefault="00482394" w:rsidP="00482394">
      <w:pPr>
        <w:jc w:val="center"/>
        <w:rPr>
          <w:szCs w:val="24"/>
        </w:rPr>
      </w:pPr>
      <w:r>
        <w:rPr>
          <w:b/>
          <w:szCs w:val="24"/>
        </w:rPr>
        <w:t>SOCIALINĖS APSAUGOS IR DARBO MINISTRAS</w:t>
      </w:r>
    </w:p>
    <w:p w14:paraId="31B0700E" w14:textId="77777777" w:rsidR="0040638C" w:rsidRDefault="0040638C" w:rsidP="00482394">
      <w:pPr>
        <w:jc w:val="center"/>
        <w:rPr>
          <w:szCs w:val="24"/>
        </w:rPr>
      </w:pPr>
    </w:p>
    <w:p w14:paraId="31B0700F" w14:textId="77777777" w:rsidR="0040638C" w:rsidRDefault="00482394" w:rsidP="00482394">
      <w:pPr>
        <w:jc w:val="center"/>
        <w:rPr>
          <w:b/>
          <w:szCs w:val="24"/>
        </w:rPr>
      </w:pPr>
      <w:r>
        <w:rPr>
          <w:b/>
          <w:szCs w:val="24"/>
        </w:rPr>
        <w:t>ĮSAKYMAS</w:t>
      </w:r>
    </w:p>
    <w:p w14:paraId="31B07010" w14:textId="5E61F86C" w:rsidR="0040638C" w:rsidRDefault="00482394" w:rsidP="00482394">
      <w:pPr>
        <w:jc w:val="center"/>
        <w:rPr>
          <w:b/>
          <w:szCs w:val="24"/>
        </w:rPr>
      </w:pPr>
      <w:r>
        <w:rPr>
          <w:b/>
          <w:szCs w:val="24"/>
        </w:rPr>
        <w:t xml:space="preserve">DĖL LIETUVOS RESPUBLIKOS SOCIALINĖS APSAUGOS IR DARBO MINISTRO 2017 M. BIRŽELIO 5 D. ĮSAKYMO NR. A1-281 „DĖL 2014–2020 METŲ EUROPOS SĄJUNGOS FONDŲ INVESTICIJŲ VEIKSMŲ PROGRAMOS 7 PRIORITETO „KOKYBIŠKO UŽIMTUMO IR DALYVAVIMO DARBO RINKOJE SKATINIMAS“ ĮGYVENDINIMO PRIEMONĖS NR. 07.3.1-ESFA-V-401 „BEDARBIŲ INTEGRACIJA Į DARBO RINKĄ“ PROJEKTŲ FINANSAVIMO SĄLYGŲ APRAŠO </w:t>
      </w:r>
      <w:r w:rsidR="00953262">
        <w:rPr>
          <w:b/>
          <w:szCs w:val="24"/>
        </w:rPr>
        <w:t>NR. 3 PATVIRTINIMO“ PAKEITIMO</w:t>
      </w:r>
    </w:p>
    <w:p w14:paraId="31B07011" w14:textId="77777777" w:rsidR="0040638C" w:rsidRDefault="0040638C" w:rsidP="00482394">
      <w:pPr>
        <w:jc w:val="center"/>
        <w:rPr>
          <w:b/>
          <w:caps/>
          <w:szCs w:val="24"/>
        </w:rPr>
      </w:pPr>
    </w:p>
    <w:p w14:paraId="31B07012" w14:textId="2E4E59D6" w:rsidR="0040638C" w:rsidRDefault="00FD2213" w:rsidP="00482394">
      <w:pPr>
        <w:jc w:val="center"/>
        <w:rPr>
          <w:szCs w:val="24"/>
        </w:rPr>
      </w:pPr>
      <w:r>
        <w:rPr>
          <w:szCs w:val="24"/>
        </w:rPr>
        <w:t xml:space="preserve">2020 </w:t>
      </w:r>
      <w:r w:rsidR="00482394">
        <w:rPr>
          <w:szCs w:val="24"/>
        </w:rPr>
        <w:t xml:space="preserve">m. </w:t>
      </w:r>
      <w:r>
        <w:rPr>
          <w:szCs w:val="24"/>
        </w:rPr>
        <w:t xml:space="preserve">                    d. Nr. A1-</w:t>
      </w:r>
    </w:p>
    <w:p w14:paraId="31B07013" w14:textId="4E3A4579" w:rsidR="0040638C" w:rsidRDefault="00482394" w:rsidP="00482394">
      <w:pPr>
        <w:jc w:val="center"/>
        <w:rPr>
          <w:szCs w:val="24"/>
        </w:rPr>
      </w:pPr>
      <w:r>
        <w:rPr>
          <w:szCs w:val="24"/>
        </w:rPr>
        <w:t>Vilnius</w:t>
      </w:r>
    </w:p>
    <w:p w14:paraId="31B07014" w14:textId="77777777" w:rsidR="0040638C" w:rsidRDefault="0040638C" w:rsidP="00482394">
      <w:pPr>
        <w:rPr>
          <w:szCs w:val="24"/>
        </w:rPr>
      </w:pPr>
    </w:p>
    <w:p w14:paraId="31B07016" w14:textId="698FCB34" w:rsidR="0040638C" w:rsidRPr="0033410A" w:rsidRDefault="00CD2D25" w:rsidP="004E59AC">
      <w:pPr>
        <w:spacing w:line="276" w:lineRule="auto"/>
        <w:ind w:firstLine="1298"/>
        <w:jc w:val="both"/>
        <w:rPr>
          <w:szCs w:val="24"/>
        </w:rPr>
      </w:pPr>
      <w:r w:rsidRPr="0033410A">
        <w:rPr>
          <w:szCs w:val="24"/>
        </w:rPr>
        <w:t xml:space="preserve">1. </w:t>
      </w:r>
      <w:r w:rsidR="00482394" w:rsidRPr="0033410A">
        <w:rPr>
          <w:szCs w:val="24"/>
        </w:rPr>
        <w:t>P a k e i č i u 2014–2020 metų Europos Sąjungos fondų investicijų veiksmų programos 7 prioriteto „Kokybiško užimtumo ir dalyvavimo darbo rinkoje skatinimas“ įgyvendinimo priemonės Nr. 07.3.1-ESFA-V-401 „Bedarbių integracija į darbo rinką“ projektų finansavimo sąlygų aprašą Nr. 3, patvirtintą Lietuvos Respublikos socialinės apsaugos ir darbo ministro 2017 m. birželio 5 d. įsakymu Nr. A1-281 „Dėl 2014–2020 metų Europos Sąjungos fondų investicijų veiksmų programos 7 prioriteto „Kokybiško užimtumo ir dalyvavimo darbo rinkoje skatinimas“ įgyvendinimo priemonės Nr. 07.3.1-ESFA-V-401 „Bedarbių integracija į darbo rinką“ projektų finansavimo sąlygų aprašo Nr. 3 patvirtinimo“:</w:t>
      </w:r>
    </w:p>
    <w:p w14:paraId="51AB47DE" w14:textId="74E71C4F" w:rsidR="00AA100C" w:rsidRPr="00214A01" w:rsidRDefault="00482394" w:rsidP="00214A01">
      <w:pPr>
        <w:tabs>
          <w:tab w:val="left" w:pos="1298"/>
          <w:tab w:val="left" w:pos="2596"/>
          <w:tab w:val="left" w:pos="3894"/>
          <w:tab w:val="left" w:pos="5192"/>
          <w:tab w:val="left" w:pos="8214"/>
        </w:tabs>
        <w:spacing w:line="276" w:lineRule="auto"/>
        <w:ind w:firstLine="1298"/>
        <w:jc w:val="both"/>
        <w:rPr>
          <w:szCs w:val="24"/>
          <w:lang w:eastAsia="lt-LT"/>
        </w:rPr>
      </w:pPr>
      <w:r w:rsidRPr="00214A01">
        <w:rPr>
          <w:szCs w:val="24"/>
          <w:lang w:eastAsia="lt-LT"/>
        </w:rPr>
        <w:t>1.</w:t>
      </w:r>
      <w:r w:rsidR="0033410A" w:rsidRPr="00214A01">
        <w:rPr>
          <w:szCs w:val="24"/>
          <w:lang w:eastAsia="lt-LT"/>
        </w:rPr>
        <w:t>1.</w:t>
      </w:r>
      <w:r w:rsidRPr="00214A01">
        <w:rPr>
          <w:szCs w:val="24"/>
          <w:lang w:eastAsia="lt-LT"/>
        </w:rPr>
        <w:t xml:space="preserve"> </w:t>
      </w:r>
      <w:r w:rsidR="00AA100C" w:rsidRPr="00214A01">
        <w:rPr>
          <w:szCs w:val="24"/>
          <w:lang w:eastAsia="lt-LT"/>
        </w:rPr>
        <w:t>Pripažįstu netekusiu galios 2.2 papunktį;</w:t>
      </w:r>
    </w:p>
    <w:p w14:paraId="6135FA48" w14:textId="2B9CBACC" w:rsidR="00214A01" w:rsidRPr="00214A01" w:rsidRDefault="00214A01" w:rsidP="00214A01">
      <w:pPr>
        <w:tabs>
          <w:tab w:val="left" w:pos="1298"/>
          <w:tab w:val="left" w:pos="2596"/>
          <w:tab w:val="left" w:pos="3894"/>
          <w:tab w:val="left" w:pos="5192"/>
          <w:tab w:val="left" w:pos="8214"/>
        </w:tabs>
        <w:spacing w:line="276" w:lineRule="auto"/>
        <w:ind w:firstLine="1298"/>
        <w:jc w:val="both"/>
        <w:rPr>
          <w:strike/>
          <w:szCs w:val="24"/>
          <w:lang w:eastAsia="lt-LT"/>
        </w:rPr>
      </w:pPr>
      <w:r w:rsidRPr="00214A01">
        <w:rPr>
          <w:strike/>
          <w:szCs w:val="24"/>
        </w:rPr>
        <w:t>2.2. Užimtumo didinimo 2014−2020 metų programos įgyvendinimo tarpinstituciniu veiklos planu, patvirtintu Lietuvos Respublikos Vyriausybės 2014 m. vasario 26 d. nutarimu Nr. 204 „Dėl Užimtumo didinimo 2014−2020 metų programos įgyvendinimo tarpinstitucinio veiklos plano patvirtinimo“ (toliau – Užimtumo didinimo planas)</w:t>
      </w:r>
    </w:p>
    <w:p w14:paraId="31B07017" w14:textId="1C821771" w:rsidR="0040638C" w:rsidRPr="0033410A" w:rsidRDefault="0033410A" w:rsidP="004E59AC">
      <w:pPr>
        <w:tabs>
          <w:tab w:val="left" w:pos="1298"/>
          <w:tab w:val="left" w:pos="2596"/>
          <w:tab w:val="left" w:pos="3894"/>
          <w:tab w:val="left" w:pos="5192"/>
          <w:tab w:val="left" w:pos="8214"/>
        </w:tabs>
        <w:spacing w:line="276" w:lineRule="auto"/>
        <w:ind w:firstLine="1298"/>
        <w:jc w:val="both"/>
        <w:rPr>
          <w:szCs w:val="24"/>
          <w:lang w:eastAsia="lt-LT"/>
        </w:rPr>
      </w:pPr>
      <w:r w:rsidRPr="0033410A">
        <w:rPr>
          <w:szCs w:val="24"/>
          <w:lang w:eastAsia="lt-LT"/>
        </w:rPr>
        <w:t>1.</w:t>
      </w:r>
      <w:r w:rsidR="00AA100C" w:rsidRPr="0033410A">
        <w:rPr>
          <w:szCs w:val="24"/>
          <w:lang w:eastAsia="lt-LT"/>
        </w:rPr>
        <w:t xml:space="preserve">2. </w:t>
      </w:r>
      <w:r w:rsidR="00482394" w:rsidRPr="0033410A">
        <w:rPr>
          <w:szCs w:val="24"/>
          <w:lang w:eastAsia="lt-LT"/>
        </w:rPr>
        <w:t>Pakeičiu 7 punktą ir jį išdėstau taip:</w:t>
      </w:r>
    </w:p>
    <w:p w14:paraId="31B07018" w14:textId="56DCA425" w:rsidR="0040638C" w:rsidRPr="00914802" w:rsidRDefault="00482394" w:rsidP="00260510">
      <w:pPr>
        <w:spacing w:line="276" w:lineRule="auto"/>
        <w:ind w:firstLine="1296"/>
        <w:jc w:val="both"/>
        <w:rPr>
          <w:szCs w:val="24"/>
          <w:lang w:eastAsia="lt-LT"/>
        </w:rPr>
      </w:pPr>
      <w:r w:rsidRPr="00260510">
        <w:rPr>
          <w:szCs w:val="24"/>
          <w:lang w:eastAsia="lt-LT"/>
        </w:rPr>
        <w:t>„</w:t>
      </w:r>
      <w:bookmarkStart w:id="0" w:name="_GoBack"/>
      <w:r w:rsidRPr="00AA2492">
        <w:rPr>
          <w:b/>
          <w:szCs w:val="24"/>
          <w:lang w:eastAsia="lt-LT"/>
        </w:rPr>
        <w:t>7.</w:t>
      </w:r>
      <w:r w:rsidR="00F73EFF" w:rsidRPr="00AA2492">
        <w:rPr>
          <w:b/>
          <w:szCs w:val="24"/>
          <w:lang w:eastAsia="lt-LT"/>
        </w:rPr>
        <w:t xml:space="preserve"> </w:t>
      </w:r>
      <w:r w:rsidRPr="00AA2492">
        <w:rPr>
          <w:b/>
          <w:szCs w:val="24"/>
          <w:lang w:eastAsia="lt-LT"/>
        </w:rPr>
        <w:t xml:space="preserve">Pagal Aprašą projektams įgyvendinti </w:t>
      </w:r>
      <w:r w:rsidR="00F73EFF" w:rsidRPr="00AA2492">
        <w:rPr>
          <w:b/>
          <w:szCs w:val="24"/>
          <w:lang w:eastAsia="lt-LT"/>
        </w:rPr>
        <w:t>skirta</w:t>
      </w:r>
      <w:r w:rsidRPr="00AA2492">
        <w:rPr>
          <w:b/>
          <w:szCs w:val="24"/>
          <w:lang w:eastAsia="lt-LT"/>
        </w:rPr>
        <w:t xml:space="preserve"> </w:t>
      </w:r>
      <w:r w:rsidR="00CE5FD0" w:rsidRPr="00AA2492">
        <w:rPr>
          <w:b/>
          <w:szCs w:val="24"/>
          <w:lang w:eastAsia="lt-LT"/>
        </w:rPr>
        <w:t>suma neg</w:t>
      </w:r>
      <w:r w:rsidR="00EA2B5F" w:rsidRPr="00AA2492">
        <w:rPr>
          <w:b/>
          <w:szCs w:val="24"/>
          <w:lang w:eastAsia="lt-LT"/>
        </w:rPr>
        <w:t xml:space="preserve">ali viršyti </w:t>
      </w:r>
      <w:r w:rsidR="000252A9" w:rsidRPr="00AA2492">
        <w:rPr>
          <w:rFonts w:eastAsia="Calibri"/>
          <w:b/>
          <w:szCs w:val="24"/>
        </w:rPr>
        <w:t xml:space="preserve">Priemonių įgyvendinimo plane </w:t>
      </w:r>
      <w:r w:rsidR="00260510" w:rsidRPr="00AA2492">
        <w:rPr>
          <w:rFonts w:eastAsia="Calibri"/>
          <w:b/>
          <w:szCs w:val="24"/>
        </w:rPr>
        <w:t>nurodytos projektams skiriamo finansavimo lėšų sumos</w:t>
      </w:r>
      <w:r w:rsidR="00EA2B5F" w:rsidRPr="00AA2492">
        <w:rPr>
          <w:b/>
          <w:szCs w:val="24"/>
          <w:lang w:eastAsia="lt-LT"/>
        </w:rPr>
        <w:t xml:space="preserve">, įvertinus kitiems pagal </w:t>
      </w:r>
      <w:r w:rsidR="00B41654" w:rsidRPr="00AA2492">
        <w:rPr>
          <w:b/>
          <w:szCs w:val="24"/>
          <w:lang w:eastAsia="lt-LT"/>
        </w:rPr>
        <w:t>P</w:t>
      </w:r>
      <w:r w:rsidR="00EA2B5F" w:rsidRPr="00AA2492">
        <w:rPr>
          <w:b/>
          <w:szCs w:val="24"/>
          <w:lang w:eastAsia="lt-LT"/>
        </w:rPr>
        <w:t xml:space="preserve">riemonę </w:t>
      </w:r>
      <w:r w:rsidR="00260510" w:rsidRPr="00AA2492">
        <w:rPr>
          <w:b/>
          <w:szCs w:val="24"/>
          <w:lang w:eastAsia="lt-LT"/>
        </w:rPr>
        <w:t xml:space="preserve">finansuotiems </w:t>
      </w:r>
      <w:r w:rsidR="00EA2B5F" w:rsidRPr="00AA2492">
        <w:rPr>
          <w:b/>
          <w:szCs w:val="24"/>
          <w:lang w:eastAsia="lt-LT"/>
        </w:rPr>
        <w:t>projektams paskirstytas lėšas</w:t>
      </w:r>
      <w:r w:rsidR="00AB7F15" w:rsidRPr="00AA2492">
        <w:rPr>
          <w:b/>
          <w:szCs w:val="24"/>
          <w:lang w:eastAsia="lt-LT"/>
        </w:rPr>
        <w:t xml:space="preserve"> ir</w:t>
      </w:r>
      <w:r w:rsidR="00260510" w:rsidRPr="00AA2492">
        <w:rPr>
          <w:b/>
          <w:szCs w:val="24"/>
          <w:lang w:eastAsia="lt-LT"/>
        </w:rPr>
        <w:t xml:space="preserve"> </w:t>
      </w:r>
      <w:r w:rsidR="00914802" w:rsidRPr="00AA2492">
        <w:rPr>
          <w:b/>
          <w:szCs w:val="24"/>
          <w:lang w:eastAsia="lt-LT"/>
        </w:rPr>
        <w:t xml:space="preserve">baigtų įgyvendinti </w:t>
      </w:r>
      <w:r w:rsidR="00AB7F15" w:rsidRPr="00AA2492">
        <w:rPr>
          <w:b/>
          <w:szCs w:val="24"/>
          <w:lang w:eastAsia="lt-LT"/>
        </w:rPr>
        <w:t xml:space="preserve">pagal Priemonę finansuotų </w:t>
      </w:r>
      <w:r w:rsidR="00914802" w:rsidRPr="00AA2492">
        <w:rPr>
          <w:b/>
          <w:szCs w:val="24"/>
          <w:lang w:eastAsia="lt-LT"/>
        </w:rPr>
        <w:t>projektų</w:t>
      </w:r>
      <w:r w:rsidR="004423E8" w:rsidRPr="00AA2492">
        <w:rPr>
          <w:b/>
          <w:szCs w:val="24"/>
          <w:lang w:eastAsia="lt-LT"/>
        </w:rPr>
        <w:t xml:space="preserve"> </w:t>
      </w:r>
      <w:r w:rsidR="00F10AF8" w:rsidRPr="00AA2492">
        <w:rPr>
          <w:b/>
          <w:szCs w:val="24"/>
          <w:lang w:eastAsia="lt-LT"/>
        </w:rPr>
        <w:t xml:space="preserve">metu </w:t>
      </w:r>
      <w:r w:rsidR="00914802" w:rsidRPr="00AA2492">
        <w:rPr>
          <w:b/>
          <w:szCs w:val="24"/>
          <w:lang w:eastAsia="lt-LT"/>
        </w:rPr>
        <w:t>sutaupytas lėšas</w:t>
      </w:r>
      <w:r w:rsidR="00260510" w:rsidRPr="00AA2492">
        <w:rPr>
          <w:b/>
          <w:szCs w:val="24"/>
          <w:lang w:eastAsia="lt-LT"/>
        </w:rPr>
        <w:t>.</w:t>
      </w:r>
      <w:bookmarkEnd w:id="0"/>
      <w:r w:rsidR="00260510" w:rsidRPr="00260510">
        <w:rPr>
          <w:szCs w:val="24"/>
          <w:lang w:eastAsia="lt-LT"/>
        </w:rPr>
        <w:t>“</w:t>
      </w:r>
    </w:p>
    <w:p w14:paraId="15D0B8B0" w14:textId="77777777" w:rsidR="000522A1" w:rsidRPr="00260510" w:rsidRDefault="000522A1" w:rsidP="000522A1">
      <w:pPr>
        <w:ind w:left="1298"/>
        <w:jc w:val="both"/>
        <w:rPr>
          <w:strike/>
          <w:szCs w:val="24"/>
          <w:lang w:eastAsia="lt-LT"/>
        </w:rPr>
      </w:pPr>
      <w:r w:rsidRPr="00260510">
        <w:rPr>
          <w:strike/>
          <w:szCs w:val="24"/>
          <w:lang w:eastAsia="lt-LT"/>
        </w:rPr>
        <w:t>7. Pagal Aprašą projektams įgyvendinti numatoma skirti iki: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052"/>
        <w:gridCol w:w="1608"/>
        <w:gridCol w:w="1807"/>
        <w:gridCol w:w="1780"/>
      </w:tblGrid>
      <w:tr w:rsidR="000522A1" w:rsidRPr="00260510" w14:paraId="47E2DDB3" w14:textId="77777777" w:rsidTr="00980BC5">
        <w:trPr>
          <w:cantSplit/>
        </w:trPr>
        <w:tc>
          <w:tcPr>
            <w:tcW w:w="2127" w:type="dxa"/>
            <w:vMerge w:val="restart"/>
            <w:shd w:val="clear" w:color="auto" w:fill="auto"/>
          </w:tcPr>
          <w:p w14:paraId="0349EC2B" w14:textId="77777777" w:rsidR="000522A1" w:rsidRPr="00260510" w:rsidRDefault="000522A1" w:rsidP="00980BC5">
            <w:pPr>
              <w:jc w:val="both"/>
              <w:rPr>
                <w:strike/>
                <w:szCs w:val="24"/>
              </w:rPr>
            </w:pPr>
          </w:p>
        </w:tc>
        <w:tc>
          <w:tcPr>
            <w:tcW w:w="3827" w:type="dxa"/>
            <w:gridSpan w:val="2"/>
            <w:shd w:val="clear" w:color="auto" w:fill="auto"/>
          </w:tcPr>
          <w:p w14:paraId="45F5D1E3" w14:textId="77777777" w:rsidR="000522A1" w:rsidRPr="00260510" w:rsidRDefault="000522A1" w:rsidP="00980BC5">
            <w:pPr>
              <w:jc w:val="center"/>
              <w:rPr>
                <w:strike/>
                <w:szCs w:val="24"/>
              </w:rPr>
            </w:pPr>
            <w:r w:rsidRPr="00260510">
              <w:rPr>
                <w:strike/>
                <w:szCs w:val="24"/>
              </w:rPr>
              <w:t>Iš viso lėšų iki:</w:t>
            </w:r>
          </w:p>
        </w:tc>
        <w:tc>
          <w:tcPr>
            <w:tcW w:w="3685" w:type="dxa"/>
            <w:gridSpan w:val="2"/>
            <w:shd w:val="clear" w:color="auto" w:fill="auto"/>
          </w:tcPr>
          <w:p w14:paraId="0281C803" w14:textId="77777777" w:rsidR="000522A1" w:rsidRPr="00260510" w:rsidRDefault="000522A1" w:rsidP="00980BC5">
            <w:pPr>
              <w:jc w:val="center"/>
              <w:rPr>
                <w:strike/>
                <w:szCs w:val="24"/>
              </w:rPr>
            </w:pPr>
            <w:r w:rsidRPr="00260510">
              <w:rPr>
                <w:strike/>
                <w:szCs w:val="24"/>
              </w:rPr>
              <w:t>Iš jų veiklos lėšų rezervas:</w:t>
            </w:r>
          </w:p>
        </w:tc>
      </w:tr>
      <w:tr w:rsidR="000522A1" w:rsidRPr="00260510" w14:paraId="6765E9E3" w14:textId="77777777" w:rsidTr="00980BC5">
        <w:trPr>
          <w:cantSplit/>
        </w:trPr>
        <w:tc>
          <w:tcPr>
            <w:tcW w:w="2127" w:type="dxa"/>
            <w:vMerge/>
            <w:shd w:val="clear" w:color="auto" w:fill="auto"/>
          </w:tcPr>
          <w:p w14:paraId="65600839" w14:textId="77777777" w:rsidR="000522A1" w:rsidRPr="00260510" w:rsidRDefault="000522A1" w:rsidP="00980BC5">
            <w:pPr>
              <w:jc w:val="both"/>
              <w:rPr>
                <w:strike/>
                <w:szCs w:val="24"/>
              </w:rPr>
            </w:pPr>
          </w:p>
        </w:tc>
        <w:tc>
          <w:tcPr>
            <w:tcW w:w="2126" w:type="dxa"/>
            <w:shd w:val="clear" w:color="auto" w:fill="auto"/>
          </w:tcPr>
          <w:p w14:paraId="30286EA4" w14:textId="77777777" w:rsidR="000522A1" w:rsidRPr="00260510" w:rsidRDefault="000522A1" w:rsidP="00980BC5">
            <w:pPr>
              <w:jc w:val="center"/>
              <w:rPr>
                <w:strike/>
                <w:szCs w:val="24"/>
              </w:rPr>
            </w:pPr>
            <w:r w:rsidRPr="00260510">
              <w:rPr>
                <w:strike/>
                <w:szCs w:val="24"/>
              </w:rPr>
              <w:t>Europos socialinio fondo lėšų, Eur</w:t>
            </w:r>
          </w:p>
        </w:tc>
        <w:tc>
          <w:tcPr>
            <w:tcW w:w="1701" w:type="dxa"/>
            <w:shd w:val="clear" w:color="auto" w:fill="auto"/>
          </w:tcPr>
          <w:p w14:paraId="1A294DB1" w14:textId="77777777" w:rsidR="000522A1" w:rsidRPr="00260510" w:rsidRDefault="000522A1" w:rsidP="00980BC5">
            <w:pPr>
              <w:jc w:val="center"/>
              <w:rPr>
                <w:strike/>
                <w:szCs w:val="24"/>
              </w:rPr>
            </w:pPr>
            <w:r w:rsidRPr="00260510">
              <w:rPr>
                <w:strike/>
                <w:szCs w:val="24"/>
              </w:rPr>
              <w:t>Valstybės biudžeto lėšų, Eur</w:t>
            </w:r>
          </w:p>
        </w:tc>
        <w:tc>
          <w:tcPr>
            <w:tcW w:w="1843" w:type="dxa"/>
            <w:shd w:val="clear" w:color="auto" w:fill="auto"/>
          </w:tcPr>
          <w:p w14:paraId="3D96370C" w14:textId="77777777" w:rsidR="000522A1" w:rsidRPr="00260510" w:rsidRDefault="000522A1" w:rsidP="00980BC5">
            <w:pPr>
              <w:jc w:val="center"/>
              <w:rPr>
                <w:strike/>
                <w:szCs w:val="24"/>
              </w:rPr>
            </w:pPr>
            <w:r w:rsidRPr="00260510">
              <w:rPr>
                <w:strike/>
                <w:szCs w:val="24"/>
              </w:rPr>
              <w:t>Europos socialinio fondo lėšų, Eur</w:t>
            </w:r>
          </w:p>
        </w:tc>
        <w:tc>
          <w:tcPr>
            <w:tcW w:w="1842" w:type="dxa"/>
            <w:shd w:val="clear" w:color="auto" w:fill="auto"/>
          </w:tcPr>
          <w:p w14:paraId="46CAA698" w14:textId="77777777" w:rsidR="000522A1" w:rsidRPr="00260510" w:rsidRDefault="000522A1" w:rsidP="00980BC5">
            <w:pPr>
              <w:jc w:val="center"/>
              <w:rPr>
                <w:strike/>
                <w:szCs w:val="24"/>
              </w:rPr>
            </w:pPr>
            <w:r w:rsidRPr="00260510">
              <w:rPr>
                <w:strike/>
                <w:szCs w:val="24"/>
              </w:rPr>
              <w:t>Valstybės biudžeto lėšų, Eur</w:t>
            </w:r>
          </w:p>
        </w:tc>
      </w:tr>
      <w:tr w:rsidR="000522A1" w:rsidRPr="00260510" w14:paraId="5307D4CF" w14:textId="77777777" w:rsidTr="00980BC5">
        <w:trPr>
          <w:cantSplit/>
        </w:trPr>
        <w:tc>
          <w:tcPr>
            <w:tcW w:w="2127" w:type="dxa"/>
            <w:shd w:val="clear" w:color="auto" w:fill="auto"/>
          </w:tcPr>
          <w:p w14:paraId="4BCA8D0B" w14:textId="77777777" w:rsidR="000522A1" w:rsidRPr="00260510" w:rsidRDefault="000522A1" w:rsidP="00980BC5">
            <w:pPr>
              <w:jc w:val="both"/>
              <w:rPr>
                <w:strike/>
                <w:szCs w:val="24"/>
              </w:rPr>
            </w:pPr>
            <w:r w:rsidRPr="00260510">
              <w:rPr>
                <w:strike/>
                <w:szCs w:val="24"/>
              </w:rPr>
              <w:t xml:space="preserve">Iš viso iki: </w:t>
            </w:r>
          </w:p>
          <w:p w14:paraId="3491C832" w14:textId="77777777" w:rsidR="000522A1" w:rsidRPr="00260510" w:rsidRDefault="000522A1" w:rsidP="00980BC5">
            <w:pPr>
              <w:jc w:val="both"/>
              <w:rPr>
                <w:strike/>
                <w:szCs w:val="24"/>
              </w:rPr>
            </w:pPr>
            <w:r w:rsidRPr="00260510">
              <w:rPr>
                <w:strike/>
                <w:szCs w:val="24"/>
              </w:rPr>
              <w:t>106 137 265,18</w:t>
            </w:r>
          </w:p>
        </w:tc>
        <w:tc>
          <w:tcPr>
            <w:tcW w:w="2126" w:type="dxa"/>
            <w:shd w:val="clear" w:color="auto" w:fill="auto"/>
          </w:tcPr>
          <w:p w14:paraId="57BA00E7" w14:textId="77777777" w:rsidR="000522A1" w:rsidRPr="00260510" w:rsidRDefault="000522A1" w:rsidP="00980BC5">
            <w:pPr>
              <w:rPr>
                <w:strike/>
                <w:szCs w:val="24"/>
              </w:rPr>
            </w:pPr>
            <w:r w:rsidRPr="00260510">
              <w:rPr>
                <w:strike/>
                <w:szCs w:val="24"/>
              </w:rPr>
              <w:t>89 935 950,32</w:t>
            </w:r>
          </w:p>
          <w:p w14:paraId="15C1767C" w14:textId="77777777" w:rsidR="000522A1" w:rsidRPr="00260510" w:rsidRDefault="000522A1" w:rsidP="00980BC5">
            <w:pPr>
              <w:jc w:val="both"/>
              <w:rPr>
                <w:strike/>
                <w:szCs w:val="24"/>
              </w:rPr>
            </w:pPr>
          </w:p>
        </w:tc>
        <w:tc>
          <w:tcPr>
            <w:tcW w:w="1701" w:type="dxa"/>
            <w:shd w:val="clear" w:color="auto" w:fill="auto"/>
          </w:tcPr>
          <w:p w14:paraId="39EB4159" w14:textId="77777777" w:rsidR="000522A1" w:rsidRPr="00260510" w:rsidRDefault="000522A1" w:rsidP="00980BC5">
            <w:pPr>
              <w:jc w:val="both"/>
              <w:rPr>
                <w:strike/>
                <w:szCs w:val="24"/>
              </w:rPr>
            </w:pPr>
            <w:r w:rsidRPr="00260510">
              <w:rPr>
                <w:strike/>
                <w:szCs w:val="24"/>
              </w:rPr>
              <w:t>16 201 314,86</w:t>
            </w:r>
          </w:p>
        </w:tc>
        <w:tc>
          <w:tcPr>
            <w:tcW w:w="1843" w:type="dxa"/>
            <w:shd w:val="clear" w:color="auto" w:fill="auto"/>
          </w:tcPr>
          <w:p w14:paraId="1136C60E" w14:textId="77777777" w:rsidR="000522A1" w:rsidRPr="00260510" w:rsidRDefault="000522A1" w:rsidP="00980BC5">
            <w:pPr>
              <w:jc w:val="both"/>
              <w:rPr>
                <w:strike/>
                <w:szCs w:val="24"/>
              </w:rPr>
            </w:pPr>
            <w:r w:rsidRPr="00260510">
              <w:rPr>
                <w:strike/>
                <w:szCs w:val="24"/>
              </w:rPr>
              <w:t>5 997 956,00</w:t>
            </w:r>
          </w:p>
        </w:tc>
        <w:tc>
          <w:tcPr>
            <w:tcW w:w="1842" w:type="dxa"/>
            <w:shd w:val="clear" w:color="auto" w:fill="auto"/>
          </w:tcPr>
          <w:p w14:paraId="7D58CEF0" w14:textId="77777777" w:rsidR="000522A1" w:rsidRPr="00260510" w:rsidRDefault="000522A1" w:rsidP="00980BC5">
            <w:pPr>
              <w:jc w:val="both"/>
              <w:rPr>
                <w:strike/>
                <w:szCs w:val="24"/>
              </w:rPr>
            </w:pPr>
            <w:r w:rsidRPr="00260510">
              <w:rPr>
                <w:strike/>
                <w:szCs w:val="24"/>
              </w:rPr>
              <w:t>2 443 356,00</w:t>
            </w:r>
          </w:p>
        </w:tc>
      </w:tr>
      <w:tr w:rsidR="000522A1" w:rsidRPr="00260510" w14:paraId="4F05C1FF" w14:textId="77777777" w:rsidTr="00980BC5">
        <w:trPr>
          <w:cantSplit/>
        </w:trPr>
        <w:tc>
          <w:tcPr>
            <w:tcW w:w="2127" w:type="dxa"/>
            <w:shd w:val="clear" w:color="auto" w:fill="auto"/>
          </w:tcPr>
          <w:p w14:paraId="6E7BDA32" w14:textId="77777777" w:rsidR="000522A1" w:rsidRPr="00260510" w:rsidRDefault="000522A1" w:rsidP="00980BC5">
            <w:pPr>
              <w:jc w:val="both"/>
              <w:rPr>
                <w:strike/>
                <w:szCs w:val="24"/>
                <w:lang w:eastAsia="lt-LT"/>
              </w:rPr>
            </w:pPr>
            <w:r w:rsidRPr="00260510">
              <w:rPr>
                <w:strike/>
                <w:szCs w:val="24"/>
                <w:lang w:eastAsia="lt-LT"/>
              </w:rPr>
              <w:lastRenderedPageBreak/>
              <w:t>Vieno šimto šešių milijonų vieno šimto trisdešimt septynių</w:t>
            </w:r>
          </w:p>
          <w:p w14:paraId="206E9791" w14:textId="77777777" w:rsidR="000522A1" w:rsidRPr="00260510" w:rsidRDefault="000522A1" w:rsidP="00980BC5">
            <w:pPr>
              <w:jc w:val="both"/>
              <w:rPr>
                <w:strike/>
                <w:szCs w:val="24"/>
              </w:rPr>
            </w:pPr>
            <w:r w:rsidRPr="00260510">
              <w:rPr>
                <w:strike/>
                <w:szCs w:val="24"/>
                <w:lang w:eastAsia="lt-LT"/>
              </w:rPr>
              <w:t>tūkstančių dviejų šimtų šešiasdešimt penkių eurų 18 centų</w:t>
            </w:r>
          </w:p>
        </w:tc>
        <w:tc>
          <w:tcPr>
            <w:tcW w:w="2126" w:type="dxa"/>
            <w:shd w:val="clear" w:color="auto" w:fill="auto"/>
          </w:tcPr>
          <w:p w14:paraId="4DB962A0" w14:textId="77777777" w:rsidR="000522A1" w:rsidRPr="00260510" w:rsidRDefault="000522A1" w:rsidP="00980BC5">
            <w:pPr>
              <w:jc w:val="both"/>
              <w:rPr>
                <w:strike/>
                <w:szCs w:val="24"/>
              </w:rPr>
            </w:pPr>
            <w:r w:rsidRPr="00260510">
              <w:rPr>
                <w:strike/>
                <w:szCs w:val="24"/>
              </w:rPr>
              <w:t>Aštuoniasdešimt devynių milijonų devynių šimtų trisdešimt penkių tūkstančių devynių šimtų penkiasdešimties eurų 32 centų</w:t>
            </w:r>
          </w:p>
        </w:tc>
        <w:tc>
          <w:tcPr>
            <w:tcW w:w="1701" w:type="dxa"/>
            <w:shd w:val="clear" w:color="auto" w:fill="auto"/>
          </w:tcPr>
          <w:p w14:paraId="5C0982DE" w14:textId="77777777" w:rsidR="000522A1" w:rsidRPr="00260510" w:rsidRDefault="000522A1" w:rsidP="00980BC5">
            <w:pPr>
              <w:jc w:val="both"/>
              <w:rPr>
                <w:strike/>
                <w:szCs w:val="24"/>
              </w:rPr>
            </w:pPr>
            <w:r w:rsidRPr="00260510">
              <w:rPr>
                <w:strike/>
                <w:szCs w:val="24"/>
              </w:rPr>
              <w:t>Šešiolikos milijonų dviejų šimtų vieno tūkstančio trijų šimtų keturiolikos eurų 86 centų</w:t>
            </w:r>
          </w:p>
        </w:tc>
        <w:tc>
          <w:tcPr>
            <w:tcW w:w="1843" w:type="dxa"/>
            <w:shd w:val="clear" w:color="auto" w:fill="auto"/>
          </w:tcPr>
          <w:p w14:paraId="73EE6A51" w14:textId="77777777" w:rsidR="000522A1" w:rsidRPr="00260510" w:rsidRDefault="000522A1" w:rsidP="00980BC5">
            <w:pPr>
              <w:jc w:val="both"/>
              <w:rPr>
                <w:strike/>
                <w:szCs w:val="24"/>
              </w:rPr>
            </w:pPr>
            <w:r w:rsidRPr="00260510">
              <w:rPr>
                <w:strike/>
                <w:szCs w:val="24"/>
              </w:rPr>
              <w:t>Penkių milijonų devynių šimtų devyniasdešimt septynių tūkstančių devynių šimtų penkiasdešimt šešių eurų</w:t>
            </w:r>
          </w:p>
        </w:tc>
        <w:tc>
          <w:tcPr>
            <w:tcW w:w="1842" w:type="dxa"/>
            <w:shd w:val="clear" w:color="auto" w:fill="auto"/>
          </w:tcPr>
          <w:p w14:paraId="1C71A64E" w14:textId="77777777" w:rsidR="000522A1" w:rsidRPr="00260510" w:rsidRDefault="000522A1" w:rsidP="00980BC5">
            <w:pPr>
              <w:jc w:val="both"/>
              <w:rPr>
                <w:strike/>
                <w:szCs w:val="24"/>
              </w:rPr>
            </w:pPr>
            <w:r w:rsidRPr="00260510">
              <w:rPr>
                <w:strike/>
                <w:szCs w:val="24"/>
              </w:rPr>
              <w:t>Dviejų milijonų keturių šimtų keturiasdešimt trijų tūkstančių trijų šimtų penkiasdešimt šešių eurų</w:t>
            </w:r>
          </w:p>
        </w:tc>
      </w:tr>
    </w:tbl>
    <w:p w14:paraId="31B07033" w14:textId="6A6B80D6" w:rsidR="0040638C" w:rsidRPr="0033410A" w:rsidRDefault="0033410A" w:rsidP="004E59AC">
      <w:pPr>
        <w:spacing w:line="276" w:lineRule="auto"/>
        <w:ind w:firstLine="1296"/>
        <w:jc w:val="both"/>
        <w:rPr>
          <w:szCs w:val="24"/>
        </w:rPr>
      </w:pPr>
      <w:r w:rsidRPr="0033410A">
        <w:rPr>
          <w:szCs w:val="24"/>
        </w:rPr>
        <w:t>1.</w:t>
      </w:r>
      <w:r w:rsidR="00FF7E99" w:rsidRPr="0033410A">
        <w:rPr>
          <w:szCs w:val="24"/>
        </w:rPr>
        <w:t>3</w:t>
      </w:r>
      <w:r w:rsidR="00482394" w:rsidRPr="0033410A">
        <w:rPr>
          <w:szCs w:val="24"/>
        </w:rPr>
        <w:t xml:space="preserve">. </w:t>
      </w:r>
      <w:r w:rsidR="00D055D9">
        <w:rPr>
          <w:szCs w:val="24"/>
        </w:rPr>
        <w:t xml:space="preserve">Pripažįstu netekusiu galios </w:t>
      </w:r>
      <w:r w:rsidR="00482394" w:rsidRPr="0033410A">
        <w:rPr>
          <w:szCs w:val="24"/>
        </w:rPr>
        <w:t xml:space="preserve"> 8</w:t>
      </w:r>
      <w:r w:rsidR="00482394" w:rsidRPr="0033410A">
        <w:rPr>
          <w:szCs w:val="24"/>
          <w:vertAlign w:val="superscript"/>
        </w:rPr>
        <w:t>1</w:t>
      </w:r>
      <w:r w:rsidR="00FD2213" w:rsidRPr="0033410A">
        <w:rPr>
          <w:szCs w:val="24"/>
        </w:rPr>
        <w:t xml:space="preserve"> punktą</w:t>
      </w:r>
      <w:r w:rsidR="00D055D9">
        <w:rPr>
          <w:szCs w:val="24"/>
        </w:rPr>
        <w:t>.</w:t>
      </w:r>
      <w:r w:rsidR="00482394" w:rsidRPr="0033410A">
        <w:rPr>
          <w:szCs w:val="24"/>
        </w:rPr>
        <w:t xml:space="preserve"> </w:t>
      </w:r>
    </w:p>
    <w:p w14:paraId="31B07034" w14:textId="5E29E522" w:rsidR="0040638C" w:rsidRPr="00260510" w:rsidRDefault="00482394" w:rsidP="004E59AC">
      <w:pPr>
        <w:spacing w:line="276" w:lineRule="auto"/>
        <w:ind w:firstLine="1296"/>
        <w:jc w:val="both"/>
        <w:rPr>
          <w:strike/>
          <w:szCs w:val="24"/>
          <w:lang w:eastAsia="lt-LT"/>
        </w:rPr>
      </w:pPr>
      <w:r w:rsidRPr="00260510">
        <w:rPr>
          <w:strike/>
          <w:szCs w:val="24"/>
        </w:rPr>
        <w:t>„8</w:t>
      </w:r>
      <w:r w:rsidRPr="00260510">
        <w:rPr>
          <w:strike/>
          <w:szCs w:val="24"/>
          <w:vertAlign w:val="superscript"/>
        </w:rPr>
        <w:t>1</w:t>
      </w:r>
      <w:r w:rsidRPr="00260510">
        <w:rPr>
          <w:strike/>
          <w:szCs w:val="24"/>
        </w:rPr>
        <w:t xml:space="preserve">. Ministerija, vadovaudamasi Lietuvos Respublikos Vyriausybės 2014 m. lapkričio 26 d. nutarimo Nr. 1326 „Dėl 2014–2020 metų Europos Sąjungos fondų investicijų veiksmų programos priedo patvirtinimo“ 8 punktu, prisiimdama įsipareigojimus </w:t>
      </w:r>
      <w:r w:rsidRPr="00260510">
        <w:rPr>
          <w:strike/>
          <w:szCs w:val="24"/>
          <w:lang w:eastAsia="lt-LT"/>
        </w:rPr>
        <w:t>pagal sudarytas projektų, įgyvendinamų pagal Aprašą, sutartis, gali viršyti Priemonei įgyvendinti skiriamas ES struktūrinių fondų lėšas</w:t>
      </w:r>
      <w:r w:rsidR="00B22C12" w:rsidRPr="00615910">
        <w:rPr>
          <w:strike/>
          <w:szCs w:val="24"/>
          <w:lang w:eastAsia="lt-LT"/>
        </w:rPr>
        <w:t>. bet ne daugiau kaip 2,35 procento Veiksmų programos 7 prioriteto „Kokybiško užimtumo ir dalyvavimo darbo rinkoje skatinimas“ administruojam</w:t>
      </w:r>
      <w:r w:rsidR="00B22C12" w:rsidRPr="00260510">
        <w:rPr>
          <w:strike/>
          <w:szCs w:val="24"/>
          <w:lang w:eastAsia="lt-LT"/>
        </w:rPr>
        <w:t>oms priemonėms, finansuojamoms iš Europos socialinio fondo, įgyvendinti skiriamų lėšų</w:t>
      </w:r>
      <w:r w:rsidRPr="00260510">
        <w:rPr>
          <w:strike/>
          <w:szCs w:val="24"/>
          <w:lang w:eastAsia="lt-LT"/>
        </w:rPr>
        <w:t>.“</w:t>
      </w:r>
    </w:p>
    <w:p w14:paraId="53AE7630" w14:textId="7579A2E3" w:rsidR="00B93EA8" w:rsidRPr="0033410A" w:rsidRDefault="0033410A" w:rsidP="004E59AC">
      <w:pPr>
        <w:spacing w:line="276" w:lineRule="auto"/>
        <w:ind w:firstLine="1296"/>
        <w:jc w:val="both"/>
        <w:rPr>
          <w:szCs w:val="24"/>
          <w:lang w:eastAsia="lt-LT"/>
        </w:rPr>
      </w:pPr>
      <w:r w:rsidRPr="0033410A">
        <w:rPr>
          <w:szCs w:val="24"/>
          <w:lang w:eastAsia="lt-LT"/>
        </w:rPr>
        <w:t>1.</w:t>
      </w:r>
      <w:r w:rsidR="00B93EA8" w:rsidRPr="0033410A">
        <w:rPr>
          <w:szCs w:val="24"/>
          <w:lang w:eastAsia="lt-LT"/>
        </w:rPr>
        <w:t>4. Pakeičiu 9 punktą ir jį išdėstau taip:</w:t>
      </w:r>
    </w:p>
    <w:p w14:paraId="696E79E4" w14:textId="163E7F42" w:rsidR="00B93EA8" w:rsidRPr="0033410A" w:rsidRDefault="00B93EA8" w:rsidP="004E59AC">
      <w:pPr>
        <w:spacing w:line="276" w:lineRule="auto"/>
        <w:ind w:firstLine="1296"/>
        <w:jc w:val="both"/>
        <w:rPr>
          <w:szCs w:val="24"/>
        </w:rPr>
      </w:pPr>
      <w:r w:rsidRPr="0033410A">
        <w:rPr>
          <w:szCs w:val="24"/>
          <w:lang w:eastAsia="lt-LT"/>
        </w:rPr>
        <w:t xml:space="preserve">„9. </w:t>
      </w:r>
      <w:r w:rsidRPr="0033410A">
        <w:rPr>
          <w:szCs w:val="24"/>
        </w:rPr>
        <w:t>Priemonės tikslas – padidinti bedarbių, registruotų Užimtumo tarnyboje prie Lietuvos Respublikos socialinės apsaugos ir darbo ministerijos (toliau – Užimtumo tarnyba),</w:t>
      </w:r>
      <w:r w:rsidRPr="0033410A">
        <w:rPr>
          <w:b/>
          <w:szCs w:val="24"/>
        </w:rPr>
        <w:t xml:space="preserve"> </w:t>
      </w:r>
      <w:r w:rsidRPr="0033410A">
        <w:rPr>
          <w:szCs w:val="24"/>
        </w:rPr>
        <w:t>užimtumą, investuojant į tas aktyvios darbo rinkos politikos priemones, kuriomis siekiama suteikti ar tobulinti bedarbių profesinę kvalifikaciją ir kompetencijas, ugdyti praktinius darbo įgūdžius, skatinti teritorinį judumą, taip pat didinti bedarbių motyvaciją įsidarbinti ar mokytis.</w:t>
      </w:r>
      <w:r w:rsidR="000652CD" w:rsidRPr="0033410A">
        <w:rPr>
          <w:szCs w:val="24"/>
        </w:rPr>
        <w:t xml:space="preserve"> </w:t>
      </w:r>
      <w:r w:rsidR="000652CD" w:rsidRPr="00B22C12">
        <w:rPr>
          <w:b/>
          <w:szCs w:val="24"/>
        </w:rPr>
        <w:t>Taip pat užtikrinti nedarbo prevenciją, remiant užimtųjų, kuriems paskelbta prastova, darbo vietų išsaugojimą</w:t>
      </w:r>
      <w:r w:rsidR="000652CD" w:rsidRPr="00A92523">
        <w:rPr>
          <w:szCs w:val="24"/>
        </w:rPr>
        <w:t>.</w:t>
      </w:r>
      <w:r w:rsidRPr="00A92523">
        <w:rPr>
          <w:szCs w:val="24"/>
        </w:rPr>
        <w:t>“</w:t>
      </w:r>
    </w:p>
    <w:p w14:paraId="053E6538" w14:textId="566AD5E6" w:rsidR="00B93EA8" w:rsidRPr="0033410A" w:rsidRDefault="0033410A" w:rsidP="004E59AC">
      <w:pPr>
        <w:spacing w:line="276" w:lineRule="auto"/>
        <w:ind w:firstLine="1296"/>
        <w:jc w:val="both"/>
        <w:rPr>
          <w:szCs w:val="24"/>
        </w:rPr>
      </w:pPr>
      <w:r w:rsidRPr="0033410A">
        <w:rPr>
          <w:szCs w:val="24"/>
        </w:rPr>
        <w:t>1.</w:t>
      </w:r>
      <w:r w:rsidR="00B93EA8" w:rsidRPr="0033410A">
        <w:rPr>
          <w:szCs w:val="24"/>
        </w:rPr>
        <w:t>5. Pakeičiu 14 punktą ir jį išdėstau taip:</w:t>
      </w:r>
    </w:p>
    <w:p w14:paraId="56AABDEA" w14:textId="10F4C392" w:rsidR="00B22C12" w:rsidRPr="00B65B6A" w:rsidRDefault="00B93EA8" w:rsidP="004E59AC">
      <w:pPr>
        <w:tabs>
          <w:tab w:val="left" w:pos="1134"/>
        </w:tabs>
        <w:spacing w:line="276" w:lineRule="auto"/>
        <w:ind w:firstLine="1298"/>
        <w:jc w:val="both"/>
        <w:rPr>
          <w:color w:val="000000"/>
          <w:szCs w:val="24"/>
        </w:rPr>
      </w:pPr>
      <w:r w:rsidRPr="00B65B6A">
        <w:rPr>
          <w:szCs w:val="24"/>
        </w:rPr>
        <w:t>„</w:t>
      </w:r>
      <w:r w:rsidRPr="00B65B6A">
        <w:rPr>
          <w:b/>
          <w:szCs w:val="24"/>
        </w:rPr>
        <w:t>14. Projektai turi atitikti š</w:t>
      </w:r>
      <w:r w:rsidR="00C855BA" w:rsidRPr="00B65B6A">
        <w:rPr>
          <w:b/>
          <w:szCs w:val="24"/>
        </w:rPr>
        <w:t>į</w:t>
      </w:r>
      <w:r w:rsidRPr="00B65B6A">
        <w:rPr>
          <w:b/>
          <w:szCs w:val="24"/>
        </w:rPr>
        <w:t xml:space="preserve"> special</w:t>
      </w:r>
      <w:r w:rsidR="00C855BA" w:rsidRPr="00B65B6A">
        <w:rPr>
          <w:b/>
          <w:szCs w:val="24"/>
        </w:rPr>
        <w:t>ujį projektų atrankos kriterijų, patvirtintą</w:t>
      </w:r>
      <w:r w:rsidRPr="00B65B6A">
        <w:rPr>
          <w:b/>
          <w:szCs w:val="24"/>
        </w:rPr>
        <w:t xml:space="preserve"> Veiksmų programos stebėsenos </w:t>
      </w:r>
      <w:r w:rsidR="00CE5FD0" w:rsidRPr="00B65B6A">
        <w:rPr>
          <w:b/>
          <w:szCs w:val="24"/>
        </w:rPr>
        <w:t>komiteto</w:t>
      </w:r>
      <w:r w:rsidRPr="00B65B6A">
        <w:rPr>
          <w:b/>
          <w:szCs w:val="24"/>
        </w:rPr>
        <w:t xml:space="preserve"> </w:t>
      </w:r>
      <w:r w:rsidR="00264D94" w:rsidRPr="00B65B6A">
        <w:rPr>
          <w:b/>
          <w:szCs w:val="24"/>
        </w:rPr>
        <w:t>2015 m. kovo 26 d. posėdžio nutarimu Nr. 44P-2.1 (4), 2017 m. liepos 11 d. posėdžio nutarimu Nr. 44P-4.1(26), 2018 m. birželio 12 d. posėdžio nutarimu Nr. 44P-3(33)</w:t>
      </w:r>
      <w:r w:rsidR="00B65B6A" w:rsidRPr="00B65B6A">
        <w:rPr>
          <w:b/>
          <w:szCs w:val="24"/>
        </w:rPr>
        <w:t xml:space="preserve">, 2020 m. kovo 19 d. posėdžio nutarimu </w:t>
      </w:r>
      <w:r w:rsidR="007C4D5E">
        <w:rPr>
          <w:b/>
          <w:bCs/>
        </w:rPr>
        <w:t>Nr. 44P-3</w:t>
      </w:r>
      <w:r w:rsidR="00B65B6A" w:rsidRPr="00B65B6A">
        <w:rPr>
          <w:b/>
          <w:bCs/>
        </w:rPr>
        <w:t>(51)</w:t>
      </w:r>
      <w:r w:rsidRPr="00B65B6A">
        <w:rPr>
          <w:b/>
          <w:szCs w:val="24"/>
        </w:rPr>
        <w:t xml:space="preserve"> </w:t>
      </w:r>
      <w:r w:rsidR="00CE5FD0" w:rsidRPr="00B65B6A">
        <w:rPr>
          <w:b/>
          <w:szCs w:val="24"/>
        </w:rPr>
        <w:t xml:space="preserve">- </w:t>
      </w:r>
      <w:r w:rsidR="00C855BA" w:rsidRPr="00B65B6A">
        <w:rPr>
          <w:b/>
          <w:color w:val="000000"/>
          <w:szCs w:val="24"/>
        </w:rPr>
        <w:t>projektai atitinka Užimtumo įstatymo nuostatas</w:t>
      </w:r>
      <w:r w:rsidRPr="00B65B6A">
        <w:rPr>
          <w:b/>
          <w:color w:val="000000"/>
          <w:szCs w:val="24"/>
        </w:rPr>
        <w:t>.</w:t>
      </w:r>
      <w:r w:rsidR="00B65B6A">
        <w:rPr>
          <w:b/>
          <w:color w:val="000000"/>
          <w:szCs w:val="24"/>
        </w:rPr>
        <w:t>“</w:t>
      </w:r>
    </w:p>
    <w:p w14:paraId="38BCF168" w14:textId="2041D94E" w:rsidR="00B22C12" w:rsidRPr="00264D94" w:rsidRDefault="005639E2" w:rsidP="00B22C12">
      <w:pPr>
        <w:tabs>
          <w:tab w:val="left" w:pos="1134"/>
        </w:tabs>
        <w:ind w:firstLine="1298"/>
        <w:jc w:val="both"/>
        <w:rPr>
          <w:strike/>
          <w:szCs w:val="24"/>
        </w:rPr>
      </w:pPr>
      <w:r w:rsidRPr="00264D94">
        <w:rPr>
          <w:strike/>
          <w:szCs w:val="24"/>
          <w:lang w:val="en-US"/>
        </w:rPr>
        <w:t xml:space="preserve">14. </w:t>
      </w:r>
      <w:r w:rsidR="00B22C12" w:rsidRPr="00264D94">
        <w:rPr>
          <w:strike/>
          <w:szCs w:val="24"/>
        </w:rPr>
        <w:t>Projektai turi atitikti šiuos specialiuosius projektų atrankos kriterijus, patvirtintus Veiksmų programos stebėsenos komiteto 2015 m. kovo 26 d. posėdžio nutarimu Nr. 44P-2.1 (4), 2017 m. liepos 11 d. posėdžio nutarimu Nr. 44P-4.1(26) ir 2018 m. birželio 12 d. posėdžio nutarimu Nr. 44P-3(33):</w:t>
      </w:r>
    </w:p>
    <w:p w14:paraId="4385E40B" w14:textId="77777777" w:rsidR="00B22C12" w:rsidRPr="00264D94" w:rsidRDefault="00B22C12" w:rsidP="00B22C12">
      <w:pPr>
        <w:tabs>
          <w:tab w:val="left" w:pos="1134"/>
        </w:tabs>
        <w:ind w:firstLine="1298"/>
        <w:jc w:val="both"/>
        <w:rPr>
          <w:strike/>
          <w:color w:val="000000"/>
          <w:szCs w:val="24"/>
        </w:rPr>
      </w:pPr>
      <w:r w:rsidRPr="00264D94">
        <w:rPr>
          <w:strike/>
          <w:color w:val="000000"/>
          <w:szCs w:val="24"/>
        </w:rPr>
        <w:t>14.1. projektai atitinka Užimtumo didinimo plano 3.3.2 priemonę;</w:t>
      </w:r>
    </w:p>
    <w:p w14:paraId="72DEDB16" w14:textId="10F29C94" w:rsidR="00B93EA8" w:rsidRPr="00264D94" w:rsidRDefault="00B22C12" w:rsidP="00B22C12">
      <w:pPr>
        <w:tabs>
          <w:tab w:val="left" w:pos="1134"/>
        </w:tabs>
        <w:ind w:firstLine="1298"/>
        <w:jc w:val="both"/>
        <w:rPr>
          <w:strike/>
          <w:color w:val="000000"/>
          <w:szCs w:val="24"/>
        </w:rPr>
      </w:pPr>
      <w:r w:rsidRPr="00264D94">
        <w:rPr>
          <w:strike/>
          <w:color w:val="000000"/>
          <w:szCs w:val="24"/>
        </w:rPr>
        <w:t>14.2. projektai atitinka Užimtumo įstatymo nuostatas.</w:t>
      </w:r>
      <w:r w:rsidR="00B93EA8" w:rsidRPr="00264D94">
        <w:rPr>
          <w:strike/>
          <w:color w:val="000000"/>
          <w:szCs w:val="24"/>
        </w:rPr>
        <w:t>“</w:t>
      </w:r>
    </w:p>
    <w:p w14:paraId="14788D62" w14:textId="5B9CC6EC" w:rsidR="00B93EA8" w:rsidRPr="00A92523" w:rsidRDefault="0033410A" w:rsidP="004E59AC">
      <w:pPr>
        <w:spacing w:line="276" w:lineRule="auto"/>
        <w:ind w:firstLine="1296"/>
        <w:jc w:val="both"/>
        <w:rPr>
          <w:szCs w:val="24"/>
        </w:rPr>
      </w:pPr>
      <w:r w:rsidRPr="00A92523">
        <w:rPr>
          <w:szCs w:val="24"/>
          <w:lang w:eastAsia="lt-LT"/>
        </w:rPr>
        <w:t>1.</w:t>
      </w:r>
      <w:r w:rsidR="00141761" w:rsidRPr="00A92523">
        <w:rPr>
          <w:szCs w:val="24"/>
          <w:lang w:eastAsia="lt-LT"/>
        </w:rPr>
        <w:t xml:space="preserve">6. </w:t>
      </w:r>
      <w:r w:rsidR="00141761" w:rsidRPr="00A92523">
        <w:rPr>
          <w:szCs w:val="24"/>
        </w:rPr>
        <w:t>Pakeičiu 19 punktą ir jį išdėstau taip:</w:t>
      </w:r>
    </w:p>
    <w:p w14:paraId="61BE5AD7" w14:textId="3B9F1F0B" w:rsidR="005B4B0D" w:rsidRPr="00A92523" w:rsidRDefault="00141761" w:rsidP="004E59AC">
      <w:pPr>
        <w:spacing w:line="276" w:lineRule="auto"/>
        <w:ind w:firstLine="1296"/>
        <w:jc w:val="both"/>
        <w:rPr>
          <w:szCs w:val="24"/>
        </w:rPr>
      </w:pPr>
      <w:r w:rsidRPr="00A92523">
        <w:rPr>
          <w:szCs w:val="24"/>
        </w:rPr>
        <w:t>„</w:t>
      </w:r>
      <w:r w:rsidRPr="005639E2">
        <w:rPr>
          <w:b/>
          <w:szCs w:val="24"/>
        </w:rPr>
        <w:t xml:space="preserve">19. </w:t>
      </w:r>
      <w:r w:rsidR="005B4B0D" w:rsidRPr="005639E2">
        <w:rPr>
          <w:b/>
          <w:szCs w:val="24"/>
        </w:rPr>
        <w:t>Tinkamos</w:t>
      </w:r>
      <w:r w:rsidRPr="005639E2">
        <w:rPr>
          <w:b/>
          <w:szCs w:val="24"/>
        </w:rPr>
        <w:t xml:space="preserve"> projekto tikslinė</w:t>
      </w:r>
      <w:r w:rsidR="005B4B0D" w:rsidRPr="005639E2">
        <w:rPr>
          <w:b/>
          <w:szCs w:val="24"/>
        </w:rPr>
        <w:t>s</w:t>
      </w:r>
      <w:r w:rsidRPr="005639E2">
        <w:rPr>
          <w:b/>
          <w:szCs w:val="24"/>
        </w:rPr>
        <w:t xml:space="preserve"> grupė</w:t>
      </w:r>
      <w:r w:rsidR="007824AD" w:rsidRPr="005639E2">
        <w:rPr>
          <w:b/>
          <w:szCs w:val="24"/>
        </w:rPr>
        <w:t>s</w:t>
      </w:r>
      <w:r w:rsidRPr="005639E2">
        <w:rPr>
          <w:b/>
          <w:szCs w:val="24"/>
        </w:rPr>
        <w:t xml:space="preserve"> yra</w:t>
      </w:r>
      <w:r w:rsidR="005B4B0D" w:rsidRPr="005639E2">
        <w:rPr>
          <w:b/>
          <w:szCs w:val="24"/>
        </w:rPr>
        <w:t>:</w:t>
      </w:r>
      <w:r w:rsidRPr="005639E2">
        <w:rPr>
          <w:b/>
          <w:szCs w:val="24"/>
        </w:rPr>
        <w:t xml:space="preserve"> </w:t>
      </w:r>
    </w:p>
    <w:p w14:paraId="47A4981D" w14:textId="77777777" w:rsidR="005B4B0D" w:rsidRPr="00A92523" w:rsidRDefault="005B4B0D" w:rsidP="004E59AC">
      <w:pPr>
        <w:spacing w:line="276" w:lineRule="auto"/>
        <w:ind w:firstLine="1296"/>
        <w:jc w:val="both"/>
        <w:rPr>
          <w:szCs w:val="24"/>
        </w:rPr>
      </w:pPr>
      <w:r w:rsidRPr="00A92523">
        <w:rPr>
          <w:szCs w:val="24"/>
        </w:rPr>
        <w:t xml:space="preserve">19.1. </w:t>
      </w:r>
      <w:r w:rsidR="00141761" w:rsidRPr="00A92523">
        <w:rPr>
          <w:szCs w:val="24"/>
        </w:rPr>
        <w:t>bedarbiai, registruoti Užimtumo tarnyboje. Prioritetas teikiamas sunkiai į darbo rinką integruojamiems asmenims: ilgalaikiams, nekvalifikuotiems bedarbiams, vyresniems negu 54 metų bedarbiams, darbingo amžiaus neįgaliesiems</w:t>
      </w:r>
      <w:r w:rsidRPr="00A92523">
        <w:rPr>
          <w:szCs w:val="24"/>
        </w:rPr>
        <w:t>;</w:t>
      </w:r>
    </w:p>
    <w:p w14:paraId="13F03703" w14:textId="080C2AE5" w:rsidR="00141761" w:rsidRPr="00B22C12" w:rsidRDefault="005B4B0D" w:rsidP="004E59AC">
      <w:pPr>
        <w:spacing w:line="276" w:lineRule="auto"/>
        <w:ind w:firstLine="1296"/>
        <w:jc w:val="both"/>
        <w:rPr>
          <w:b/>
          <w:szCs w:val="24"/>
        </w:rPr>
      </w:pPr>
      <w:r w:rsidRPr="00B22C12">
        <w:rPr>
          <w:b/>
          <w:szCs w:val="24"/>
        </w:rPr>
        <w:lastRenderedPageBreak/>
        <w:t>19.2</w:t>
      </w:r>
      <w:r w:rsidR="00141761" w:rsidRPr="00B22C12">
        <w:rPr>
          <w:b/>
          <w:szCs w:val="24"/>
        </w:rPr>
        <w:t>.</w:t>
      </w:r>
      <w:r w:rsidRPr="00B22C12">
        <w:rPr>
          <w:b/>
          <w:szCs w:val="24"/>
        </w:rPr>
        <w:t xml:space="preserve"> Užimtieji, kuriems </w:t>
      </w:r>
      <w:r w:rsidR="00450A5D" w:rsidRPr="00B22C12">
        <w:rPr>
          <w:b/>
          <w:szCs w:val="24"/>
        </w:rPr>
        <w:t xml:space="preserve">dėl </w:t>
      </w:r>
      <w:r w:rsidR="00450A5D" w:rsidRPr="00B22C12">
        <w:rPr>
          <w:b/>
          <w:bCs/>
          <w:color w:val="000000"/>
          <w:szCs w:val="24"/>
          <w:lang w:eastAsia="lt-LT"/>
        </w:rPr>
        <w:t>Lietuvos Respublikos Vyriausybės paskelbtos ekstremaliosios situacijos ir karantino darbdavys negali suteikti darbo sutartyje sulygto da</w:t>
      </w:r>
      <w:r w:rsidR="006D0496" w:rsidRPr="00B22C12">
        <w:rPr>
          <w:b/>
          <w:bCs/>
          <w:color w:val="000000"/>
          <w:szCs w:val="24"/>
          <w:lang w:eastAsia="lt-LT"/>
        </w:rPr>
        <w:t>rbo, todėl paskelbia prastovą</w:t>
      </w:r>
      <w:r w:rsidR="006818BF" w:rsidRPr="00B22C12">
        <w:rPr>
          <w:b/>
          <w:bCs/>
          <w:color w:val="000000"/>
          <w:szCs w:val="24"/>
          <w:lang w:eastAsia="lt-LT"/>
        </w:rPr>
        <w:t xml:space="preserve"> (</w:t>
      </w:r>
      <w:r w:rsidR="00A11975" w:rsidRPr="00B22C12">
        <w:rPr>
          <w:b/>
          <w:bCs/>
          <w:color w:val="000000"/>
          <w:szCs w:val="24"/>
          <w:lang w:eastAsia="lt-LT"/>
        </w:rPr>
        <w:t xml:space="preserve">kaip nustatyta </w:t>
      </w:r>
      <w:r w:rsidR="00A11975" w:rsidRPr="00B22C12">
        <w:rPr>
          <w:b/>
          <w:bCs/>
          <w:szCs w:val="24"/>
          <w:lang w:eastAsia="lt-LT"/>
        </w:rPr>
        <w:t>Lietuvos Respublikos darbo kodekso 47 straipsnio 1 dalies 2 punkte</w:t>
      </w:r>
      <w:r w:rsidR="006818BF" w:rsidRPr="00B22C12">
        <w:rPr>
          <w:b/>
          <w:bCs/>
          <w:color w:val="000000"/>
          <w:szCs w:val="24"/>
          <w:lang w:eastAsia="lt-LT"/>
        </w:rPr>
        <w:t>)</w:t>
      </w:r>
      <w:r w:rsidR="006D0496" w:rsidRPr="00B22C12">
        <w:rPr>
          <w:b/>
          <w:bCs/>
          <w:color w:val="000000"/>
          <w:szCs w:val="24"/>
          <w:lang w:eastAsia="lt-LT"/>
        </w:rPr>
        <w:t>.</w:t>
      </w:r>
      <w:r w:rsidR="00141761" w:rsidRPr="00B22C12">
        <w:rPr>
          <w:b/>
          <w:szCs w:val="24"/>
        </w:rPr>
        <w:t>“</w:t>
      </w:r>
    </w:p>
    <w:p w14:paraId="31B07042" w14:textId="28883AEE" w:rsidR="0040638C" w:rsidRPr="0033410A" w:rsidRDefault="0033410A" w:rsidP="004E59AC">
      <w:pPr>
        <w:spacing w:line="276" w:lineRule="auto"/>
        <w:ind w:left="1298"/>
        <w:jc w:val="both"/>
        <w:rPr>
          <w:szCs w:val="24"/>
        </w:rPr>
      </w:pPr>
      <w:r w:rsidRPr="0033410A">
        <w:rPr>
          <w:szCs w:val="24"/>
        </w:rPr>
        <w:t>1.</w:t>
      </w:r>
      <w:r w:rsidR="00127A1A" w:rsidRPr="0033410A">
        <w:rPr>
          <w:szCs w:val="24"/>
        </w:rPr>
        <w:t>7</w:t>
      </w:r>
      <w:r w:rsidR="00482394" w:rsidRPr="0033410A">
        <w:rPr>
          <w:szCs w:val="24"/>
        </w:rPr>
        <w:t>. Pa</w:t>
      </w:r>
      <w:r w:rsidR="00FD2213" w:rsidRPr="0033410A">
        <w:rPr>
          <w:szCs w:val="24"/>
        </w:rPr>
        <w:t>pildau</w:t>
      </w:r>
      <w:r w:rsidR="00482394" w:rsidRPr="0033410A">
        <w:rPr>
          <w:szCs w:val="24"/>
        </w:rPr>
        <w:t xml:space="preserve"> </w:t>
      </w:r>
      <w:r w:rsidR="00FD2213" w:rsidRPr="0033410A">
        <w:rPr>
          <w:szCs w:val="24"/>
        </w:rPr>
        <w:t>20.8 papunkčiu</w:t>
      </w:r>
      <w:r w:rsidR="00482394" w:rsidRPr="0033410A">
        <w:rPr>
          <w:szCs w:val="24"/>
        </w:rPr>
        <w:t>:</w:t>
      </w:r>
    </w:p>
    <w:p w14:paraId="31B07043" w14:textId="607F17D0" w:rsidR="0040638C" w:rsidRPr="0033410A" w:rsidRDefault="00FD2213" w:rsidP="004E59AC">
      <w:pPr>
        <w:spacing w:line="276" w:lineRule="auto"/>
        <w:ind w:firstLine="1298"/>
        <w:jc w:val="both"/>
        <w:rPr>
          <w:szCs w:val="24"/>
        </w:rPr>
      </w:pPr>
      <w:r w:rsidRPr="0033410A">
        <w:rPr>
          <w:szCs w:val="24"/>
        </w:rPr>
        <w:t>„20.8</w:t>
      </w:r>
      <w:r w:rsidR="00482394" w:rsidRPr="0033410A">
        <w:rPr>
          <w:szCs w:val="24"/>
        </w:rPr>
        <w:t xml:space="preserve">. </w:t>
      </w:r>
      <w:r w:rsidRPr="00B22C12">
        <w:rPr>
          <w:b/>
          <w:szCs w:val="24"/>
        </w:rPr>
        <w:t>Užimtieji, kuriems paskelbta prastova, dalyvavę įdarbinimo subsidijuojant priemonėje“</w:t>
      </w:r>
      <w:r w:rsidR="00482394" w:rsidRPr="00B22C12">
        <w:rPr>
          <w:b/>
          <w:szCs w:val="24"/>
        </w:rPr>
        <w:t xml:space="preserve"> </w:t>
      </w:r>
      <w:r w:rsidRPr="00B22C12">
        <w:rPr>
          <w:b/>
          <w:szCs w:val="24"/>
        </w:rPr>
        <w:t>(rodiklio kodas P.N.426</w:t>
      </w:r>
      <w:r w:rsidR="009F69C5" w:rsidRPr="00B22C12">
        <w:rPr>
          <w:b/>
          <w:szCs w:val="24"/>
        </w:rPr>
        <w:t xml:space="preserve">) – </w:t>
      </w:r>
      <w:r w:rsidR="00C96EB3" w:rsidRPr="00B22C12">
        <w:rPr>
          <w:b/>
          <w:szCs w:val="24"/>
        </w:rPr>
        <w:t>50</w:t>
      </w:r>
      <w:r w:rsidR="009F69C5" w:rsidRPr="00B22C12">
        <w:rPr>
          <w:b/>
          <w:szCs w:val="24"/>
        </w:rPr>
        <w:t xml:space="preserve"> 000</w:t>
      </w:r>
      <w:r w:rsidR="00482394" w:rsidRPr="00A92523">
        <w:rPr>
          <w:szCs w:val="24"/>
        </w:rPr>
        <w:t>;“.</w:t>
      </w:r>
    </w:p>
    <w:p w14:paraId="258FB597" w14:textId="3248189E" w:rsidR="005354B4" w:rsidRPr="0033410A" w:rsidRDefault="005354B4" w:rsidP="004E59AC">
      <w:pPr>
        <w:spacing w:line="276" w:lineRule="auto"/>
        <w:ind w:firstLine="1298"/>
        <w:jc w:val="both"/>
        <w:rPr>
          <w:szCs w:val="24"/>
        </w:rPr>
      </w:pPr>
      <w:r w:rsidRPr="0033410A">
        <w:rPr>
          <w:szCs w:val="24"/>
        </w:rPr>
        <w:t xml:space="preserve">8. </w:t>
      </w:r>
      <w:r w:rsidR="002B6AB8" w:rsidRPr="0033410A">
        <w:t>Pakeičiu 29 punkto lentelės penktąją pastraipą ir ją išdėstau taip</w:t>
      </w:r>
      <w:r w:rsidRPr="0033410A">
        <w:rPr>
          <w:szCs w:val="24"/>
        </w:rPr>
        <w:t>:</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9"/>
        <w:gridCol w:w="2127"/>
        <w:gridCol w:w="6099"/>
      </w:tblGrid>
      <w:tr w:rsidR="002B6AB8" w:rsidRPr="0033410A" w14:paraId="39AE5E21" w14:textId="77777777" w:rsidTr="00C4655B">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0CED5" w14:textId="4B16DCAA" w:rsidR="002B6AB8" w:rsidRPr="0033410A" w:rsidRDefault="002B6AB8" w:rsidP="004E59AC">
            <w:pPr>
              <w:spacing w:line="276" w:lineRule="auto"/>
              <w:rPr>
                <w:b/>
                <w:bCs/>
                <w:szCs w:val="24"/>
                <w:lang w:eastAsia="lt-LT"/>
              </w:rPr>
            </w:pPr>
            <w:r w:rsidRPr="0033410A">
              <w:rPr>
                <w:b/>
                <w:bCs/>
                <w:szCs w:val="24"/>
                <w:lang w:eastAsia="lt-LT"/>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5BABDA" w14:textId="77777777" w:rsidR="002B6AB8" w:rsidRPr="0033410A" w:rsidRDefault="002B6AB8" w:rsidP="004E59AC">
            <w:pPr>
              <w:spacing w:line="276" w:lineRule="auto"/>
              <w:rPr>
                <w:b/>
                <w:bCs/>
                <w:szCs w:val="24"/>
                <w:lang w:eastAsia="lt-LT"/>
              </w:rPr>
            </w:pPr>
            <w:r w:rsidRPr="0033410A">
              <w:rPr>
                <w:b/>
                <w:bCs/>
                <w:szCs w:val="24"/>
                <w:lang w:eastAsia="lt-LT"/>
              </w:rPr>
              <w:t>Projekto vykdymas</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DCA84E" w14:textId="77777777" w:rsidR="002B6AB8" w:rsidRPr="0033410A" w:rsidRDefault="002B6AB8" w:rsidP="004E59AC">
            <w:pPr>
              <w:spacing w:line="276" w:lineRule="auto"/>
              <w:jc w:val="both"/>
              <w:rPr>
                <w:szCs w:val="24"/>
              </w:rPr>
            </w:pPr>
            <w:r w:rsidRPr="0033410A">
              <w:rPr>
                <w:szCs w:val="24"/>
              </w:rPr>
              <w:t>Tinkamomis finansuoti išlaidomis laikomos:</w:t>
            </w:r>
          </w:p>
          <w:p w14:paraId="03319793" w14:textId="7C7B10D4" w:rsidR="002B6AB8" w:rsidRPr="0033410A" w:rsidRDefault="002B6AB8" w:rsidP="004E59AC">
            <w:pPr>
              <w:spacing w:line="276" w:lineRule="auto"/>
              <w:jc w:val="both"/>
              <w:rPr>
                <w:szCs w:val="24"/>
              </w:rPr>
            </w:pPr>
            <w:r w:rsidRPr="0033410A">
              <w:rPr>
                <w:szCs w:val="24"/>
              </w:rPr>
              <w:t>1. profesinio mokymo išlaidos, jei jos atitinka Užimtumo įstatymo 37 straipsnyje ir Užimtumo rėmimo priemonių apraše nustatytas sąlygas bei Aprašo 31.2 papunktyje nurodytą bedarbių profesinio mokymo išlaidų fiksuotąjį įkainį.</w:t>
            </w:r>
          </w:p>
          <w:p w14:paraId="193DE928" w14:textId="05C5B925" w:rsidR="002B6AB8" w:rsidRPr="00B22C12" w:rsidRDefault="002B6AB8" w:rsidP="004E59AC">
            <w:pPr>
              <w:spacing w:line="276" w:lineRule="auto"/>
              <w:jc w:val="both"/>
              <w:rPr>
                <w:b/>
                <w:szCs w:val="24"/>
              </w:rPr>
            </w:pPr>
            <w:r w:rsidRPr="00B22C12">
              <w:rPr>
                <w:b/>
                <w:szCs w:val="24"/>
              </w:rPr>
              <w:t>2. įdarbinimo subsidijuojant išlaidos, jei jos atitinka Užimtumo įstatymo 41–42 straipsniuose ir Užimtumo rėmimo priemonių apraše nustatytas sąlygas apmokamos:</w:t>
            </w:r>
          </w:p>
          <w:p w14:paraId="7726664A" w14:textId="77777777" w:rsidR="002B6AB8" w:rsidRPr="00B22C12" w:rsidRDefault="002B6AB8" w:rsidP="004E59AC">
            <w:pPr>
              <w:spacing w:line="276" w:lineRule="auto"/>
              <w:jc w:val="both"/>
              <w:rPr>
                <w:b/>
                <w:szCs w:val="24"/>
              </w:rPr>
            </w:pPr>
            <w:r w:rsidRPr="00B22C12">
              <w:rPr>
                <w:b/>
                <w:szCs w:val="24"/>
              </w:rPr>
              <w:t>2.1. už tikslinę grupę, nurodytą Aprašo 19.1 papunktyje, taikant Aprašo 31.3 papunktyje nurodytą subsidijos darbo užmokesčiui fiksuotąjį įkainį;</w:t>
            </w:r>
          </w:p>
          <w:p w14:paraId="172F1F05" w14:textId="2A994AC6" w:rsidR="002B6AB8" w:rsidRDefault="002B6AB8" w:rsidP="004E59AC">
            <w:pPr>
              <w:spacing w:line="276" w:lineRule="auto"/>
              <w:jc w:val="both"/>
              <w:rPr>
                <w:b/>
                <w:szCs w:val="24"/>
              </w:rPr>
            </w:pPr>
            <w:r w:rsidRPr="00B22C12">
              <w:rPr>
                <w:b/>
                <w:szCs w:val="24"/>
              </w:rPr>
              <w:t>2.2. už tikslinę grupę, nurodytą Aprašo 19.2 papunktyje, pagal faktiškai patirtas išlaidas ir pateiktus išlaidas pagrindžiančius dokumentus.</w:t>
            </w:r>
          </w:p>
          <w:p w14:paraId="52B38031" w14:textId="4B49C69F" w:rsidR="00B22C12" w:rsidRPr="00B22C12" w:rsidRDefault="00B22C12" w:rsidP="004E59AC">
            <w:pPr>
              <w:spacing w:line="276" w:lineRule="auto"/>
              <w:jc w:val="both"/>
              <w:rPr>
                <w:b/>
                <w:strike/>
                <w:szCs w:val="24"/>
              </w:rPr>
            </w:pPr>
            <w:r w:rsidRPr="00B22C12">
              <w:rPr>
                <w:strike/>
                <w:szCs w:val="24"/>
              </w:rPr>
              <w:t>2. įdarbinimo subsidijuojant išlaidos, jei jos atitinka Užimtumo įstatymo 41–42 straipsniuose ir Užimtumo rėmimo priemonių apraše nustatytas sąlygas bei Aprašo 31.3 papunktyje nurodytą subsidijos darbo užmokesčiui fiksuotąjį įkainį;</w:t>
            </w:r>
          </w:p>
          <w:p w14:paraId="650C5356" w14:textId="1E4A4B71" w:rsidR="002B6AB8" w:rsidRPr="0033410A" w:rsidRDefault="002B6AB8" w:rsidP="004E59AC">
            <w:pPr>
              <w:spacing w:line="276" w:lineRule="auto"/>
              <w:jc w:val="both"/>
              <w:rPr>
                <w:szCs w:val="24"/>
              </w:rPr>
            </w:pPr>
            <w:r w:rsidRPr="0033410A">
              <w:rPr>
                <w:szCs w:val="24"/>
              </w:rPr>
              <w:t>3. darbo įgūdžių įgijimo rėmimo išlaidos, jei jos atitinka Užimtumo įstatymo 41 ir 43 straipsniuose ir Užimtumo rėmimo priemonių apraše nustatytas sąlygas bei Aprašo 31.3 papunktyje nurodytą subsidijos darbo užmokesčiui fiksuotąjį įkainį.</w:t>
            </w:r>
          </w:p>
          <w:p w14:paraId="24E5E415" w14:textId="77777777" w:rsidR="002B6AB8" w:rsidRPr="0033410A" w:rsidRDefault="002B6AB8" w:rsidP="004E59AC">
            <w:pPr>
              <w:spacing w:line="276" w:lineRule="auto"/>
              <w:jc w:val="both"/>
              <w:rPr>
                <w:szCs w:val="24"/>
              </w:rPr>
            </w:pPr>
            <w:r w:rsidRPr="0033410A">
              <w:rPr>
                <w:szCs w:val="24"/>
              </w:rPr>
              <w:t>4. projekto dalyvių, dalyvaujančių paramos judumui priemonėje, kelionės į darbo, stažuotės atlikimo vietą ir atgal išlaidos ne ilgiau kaip 3 mėnesius nuo įsidarbinimo arba dalyvavimo stažuotėje pradžios. Kelionės išlaidos kompensuojamos, vadovaujantis Užimtumo įstatymo 40 straipsnyje nustatytomis sąlygomis ir tvarka pagal Aprašo 31.1 papunktyje nurodytą transporto išlaidų fiksuotąjį įkainį;</w:t>
            </w:r>
          </w:p>
          <w:p w14:paraId="226BCB4E" w14:textId="76FE395C" w:rsidR="002B6AB8" w:rsidRPr="0033410A" w:rsidRDefault="002B6AB8" w:rsidP="004E59AC">
            <w:pPr>
              <w:spacing w:line="276" w:lineRule="auto"/>
              <w:jc w:val="both"/>
              <w:rPr>
                <w:szCs w:val="24"/>
              </w:rPr>
            </w:pPr>
            <w:r w:rsidRPr="0033410A">
              <w:rPr>
                <w:szCs w:val="24"/>
              </w:rPr>
              <w:t xml:space="preserve">5. įdarbinimo pagal pameistrystės darbo sutartį išlaidos, jei </w:t>
            </w:r>
            <w:r w:rsidRPr="0033410A">
              <w:rPr>
                <w:szCs w:val="24"/>
              </w:rPr>
              <w:lastRenderedPageBreak/>
              <w:t>jos atitinka Užimtumo įstatymo 38 straipsnyje ir Užimtumo rėmimo priemonių apraše nustatytas sąlygas.</w:t>
            </w:r>
          </w:p>
          <w:p w14:paraId="1C63225D" w14:textId="10FEF3BE" w:rsidR="002B6AB8" w:rsidRPr="0033410A" w:rsidRDefault="002B6AB8" w:rsidP="004E59AC">
            <w:pPr>
              <w:spacing w:line="276" w:lineRule="auto"/>
              <w:jc w:val="both"/>
              <w:rPr>
                <w:szCs w:val="24"/>
              </w:rPr>
            </w:pPr>
            <w:r w:rsidRPr="0033410A">
              <w:rPr>
                <w:szCs w:val="24"/>
              </w:rPr>
              <w:t>6. stažuotės išlaidos, jei jos atitinka Užimtumo įstatymo 39 straipsnyje ir Užimtumo rėmimo priemonių apraše nustatytas sąlygas.</w:t>
            </w:r>
          </w:p>
          <w:p w14:paraId="222A1803" w14:textId="3333583B" w:rsidR="002B6AB8" w:rsidRPr="0033410A" w:rsidRDefault="002B6AB8" w:rsidP="004E59AC">
            <w:pPr>
              <w:spacing w:line="276" w:lineRule="auto"/>
              <w:jc w:val="both"/>
              <w:rPr>
                <w:szCs w:val="24"/>
              </w:rPr>
            </w:pPr>
            <w:r w:rsidRPr="0033410A">
              <w:rPr>
                <w:szCs w:val="24"/>
              </w:rPr>
              <w:t>7. neformaliojo švietimo ir savišvietos būdu įgytų kompetencijų pripažinimo išlaidos, jei jos atitinka Užimtumo įstatymo 391 straipsnyje ir Užimtumo rėmimo priemonių apraše nustatytas sąlygas.</w:t>
            </w:r>
          </w:p>
          <w:p w14:paraId="43E7F6D8" w14:textId="1F3522E4" w:rsidR="002B6AB8" w:rsidRPr="0033410A" w:rsidRDefault="002B6AB8" w:rsidP="004E59AC">
            <w:pPr>
              <w:spacing w:line="276" w:lineRule="auto"/>
              <w:jc w:val="both"/>
              <w:rPr>
                <w:szCs w:val="24"/>
              </w:rPr>
            </w:pPr>
            <w:r w:rsidRPr="0033410A">
              <w:rPr>
                <w:szCs w:val="24"/>
              </w:rPr>
              <w:t>8. savarankiško užimtumo rėmimo išlaidos, jei jos atitinka Užimtumo įstatymo 44 straipsnio 2 ir 3 dalyse ir 47 straipsnyje bei Užimtumo rėmimo priemonių apraše nustatytas sąlygas. Šios išlaidos apmokamos taikant Aprašo 31.4 papunktyje nurodytą fiksuotąjį įkainį.</w:t>
            </w:r>
          </w:p>
          <w:p w14:paraId="34F58872" w14:textId="481CFD48" w:rsidR="002B6AB8" w:rsidRPr="0033410A" w:rsidRDefault="002B6AB8" w:rsidP="004E59AC">
            <w:pPr>
              <w:spacing w:line="276" w:lineRule="auto"/>
              <w:jc w:val="both"/>
              <w:rPr>
                <w:szCs w:val="24"/>
              </w:rPr>
            </w:pPr>
            <w:r w:rsidRPr="0033410A">
              <w:rPr>
                <w:szCs w:val="24"/>
              </w:rPr>
              <w:t>9. darbo vietų steigimo (pritaikymo) išlaidos, jei jos atitinka Užimtumo įstatymo 44 straipsnio 2 ir 3 dalyse, 45 straipsnyje bei Užimtumo rėmimo priemonių apraše nustatytas sąlygas.</w:t>
            </w:r>
          </w:p>
          <w:p w14:paraId="4A805E4C" w14:textId="6FF0DB45" w:rsidR="002B6AB8" w:rsidRPr="0033410A" w:rsidRDefault="002B6AB8" w:rsidP="004E59AC">
            <w:pPr>
              <w:spacing w:line="276" w:lineRule="auto"/>
              <w:jc w:val="both"/>
              <w:rPr>
                <w:szCs w:val="24"/>
              </w:rPr>
            </w:pPr>
            <w:r w:rsidRPr="0033410A">
              <w:rPr>
                <w:szCs w:val="24"/>
              </w:rPr>
              <w:t>10. vietinių užimtumo iniciatyvų projektų įgyvendinimo išlaidos, jei jos atitinka Užimtumo įstatymo 44 straipsnio 2 ir 3 dalyse, 46 straipsnyje bei Užimtumo rėmimo priemonių apraše nustatytas sąlygas.“</w:t>
            </w:r>
          </w:p>
        </w:tc>
      </w:tr>
    </w:tbl>
    <w:p w14:paraId="190B1CAC" w14:textId="5BBB7F51" w:rsidR="00E63DA3" w:rsidRPr="00B22C12" w:rsidRDefault="00CD2D25" w:rsidP="00CE5FD0">
      <w:pPr>
        <w:spacing w:line="276" w:lineRule="auto"/>
        <w:ind w:firstLine="1296"/>
        <w:jc w:val="both"/>
        <w:rPr>
          <w:rFonts w:eastAsia="Calibri"/>
          <w:b/>
          <w:szCs w:val="24"/>
        </w:rPr>
      </w:pPr>
      <w:r w:rsidRPr="00B22C12">
        <w:rPr>
          <w:b/>
        </w:rPr>
        <w:lastRenderedPageBreak/>
        <w:t xml:space="preserve">2. N u s t a t a u, kad išlaidos už Aprašo 19.2 papunktyje nurodytą tikslinę grupę yra tinkamos tik </w:t>
      </w:r>
      <w:r w:rsidR="00A11975" w:rsidRPr="00B22C12">
        <w:rPr>
          <w:b/>
        </w:rPr>
        <w:t xml:space="preserve">Aprašo 10.2 papunktyje nurodytai veiklai </w:t>
      </w:r>
      <w:r w:rsidR="00A11975" w:rsidRPr="00B22C12">
        <w:rPr>
          <w:b/>
          <w:bCs/>
          <w:color w:val="000000"/>
          <w:szCs w:val="24"/>
          <w:lang w:eastAsia="lt-LT"/>
        </w:rPr>
        <w:t xml:space="preserve">Lietuvos Respublikos Vyriausybės paskelbtos </w:t>
      </w:r>
      <w:r w:rsidR="005A40B4">
        <w:rPr>
          <w:b/>
          <w:bCs/>
          <w:color w:val="000000"/>
          <w:szCs w:val="24"/>
          <w:lang w:eastAsia="lt-LT"/>
        </w:rPr>
        <w:t xml:space="preserve">valstybės lygio </w:t>
      </w:r>
      <w:r w:rsidR="00A11975" w:rsidRPr="00B22C12">
        <w:rPr>
          <w:b/>
          <w:bCs/>
          <w:color w:val="000000"/>
          <w:szCs w:val="24"/>
          <w:lang w:eastAsia="lt-LT"/>
        </w:rPr>
        <w:t xml:space="preserve">ekstremaliosios situacijos ir karantino galiojimo laikotarpiu. </w:t>
      </w:r>
    </w:p>
    <w:p w14:paraId="31B0705C" w14:textId="77777777" w:rsidR="0040638C" w:rsidRDefault="0040638C">
      <w:pPr>
        <w:spacing w:line="360" w:lineRule="auto"/>
        <w:ind w:firstLine="1296"/>
        <w:rPr>
          <w:szCs w:val="24"/>
        </w:rPr>
      </w:pPr>
    </w:p>
    <w:p w14:paraId="54D6EFA8" w14:textId="77777777" w:rsidR="0033410A" w:rsidRDefault="0033410A">
      <w:pPr>
        <w:spacing w:line="360" w:lineRule="auto"/>
        <w:ind w:firstLine="1296"/>
        <w:rPr>
          <w:szCs w:val="24"/>
        </w:rPr>
      </w:pPr>
    </w:p>
    <w:p w14:paraId="54B4D6F2" w14:textId="77777777" w:rsidR="0033410A" w:rsidRDefault="0033410A">
      <w:pPr>
        <w:spacing w:line="360" w:lineRule="auto"/>
        <w:ind w:firstLine="1296"/>
        <w:rPr>
          <w:szCs w:val="24"/>
        </w:rPr>
      </w:pPr>
    </w:p>
    <w:p w14:paraId="54EE0396" w14:textId="77777777" w:rsidR="00482394" w:rsidRDefault="00482394" w:rsidP="00482394">
      <w:pPr>
        <w:tabs>
          <w:tab w:val="left" w:pos="7371"/>
        </w:tabs>
        <w:rPr>
          <w:szCs w:val="24"/>
          <w:lang w:eastAsia="lt-LT"/>
        </w:rPr>
      </w:pPr>
      <w:r>
        <w:rPr>
          <w:szCs w:val="24"/>
          <w:lang w:eastAsia="lt-LT"/>
        </w:rPr>
        <w:t>Socialinės apsaugos ir darbo ministras</w:t>
      </w:r>
      <w:r>
        <w:rPr>
          <w:szCs w:val="24"/>
          <w:lang w:eastAsia="lt-LT"/>
        </w:rPr>
        <w:tab/>
        <w:t>Linas Kukuraitis</w:t>
      </w:r>
    </w:p>
    <w:p w14:paraId="31B07063" w14:textId="77777777" w:rsidR="0040638C" w:rsidRDefault="0040638C">
      <w:pPr>
        <w:rPr>
          <w:szCs w:val="24"/>
        </w:rPr>
      </w:pPr>
    </w:p>
    <w:p w14:paraId="38A6F6BA" w14:textId="77777777" w:rsidR="0033410A" w:rsidRDefault="0033410A">
      <w:pPr>
        <w:rPr>
          <w:szCs w:val="24"/>
        </w:rPr>
      </w:pPr>
    </w:p>
    <w:p w14:paraId="78541E3A" w14:textId="77777777" w:rsidR="0033410A" w:rsidRDefault="0033410A">
      <w:pPr>
        <w:rPr>
          <w:szCs w:val="24"/>
        </w:rPr>
      </w:pPr>
    </w:p>
    <w:p w14:paraId="31B07064" w14:textId="70781A5D" w:rsidR="0040638C" w:rsidRDefault="0040638C">
      <w:pPr>
        <w:rPr>
          <w:szCs w:val="24"/>
        </w:rPr>
      </w:pPr>
    </w:p>
    <w:p w14:paraId="31B07068" w14:textId="1C3B1BAD" w:rsidR="0040638C" w:rsidRDefault="0040638C">
      <w:pPr>
        <w:rPr>
          <w:szCs w:val="24"/>
        </w:rPr>
      </w:pPr>
    </w:p>
    <w:sectPr w:rsidR="0040638C" w:rsidSect="00A576A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134"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39BF2" w14:textId="77777777" w:rsidR="003311B3" w:rsidRDefault="003311B3">
      <w:pPr>
        <w:rPr>
          <w:rFonts w:ascii="TimesLT" w:hAnsi="TimesLT"/>
          <w:sz w:val="20"/>
          <w:lang w:val="en-GB"/>
        </w:rPr>
      </w:pPr>
      <w:r>
        <w:rPr>
          <w:rFonts w:ascii="TimesLT" w:hAnsi="TimesLT"/>
          <w:sz w:val="20"/>
          <w:lang w:val="en-GB"/>
        </w:rPr>
        <w:separator/>
      </w:r>
    </w:p>
  </w:endnote>
  <w:endnote w:type="continuationSeparator" w:id="0">
    <w:p w14:paraId="37778074" w14:textId="77777777" w:rsidR="003311B3" w:rsidRDefault="003311B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073" w14:textId="77777777" w:rsidR="0040638C" w:rsidRDefault="0040638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074" w14:textId="77777777" w:rsidR="0040638C" w:rsidRDefault="0040638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076" w14:textId="77777777" w:rsidR="0040638C" w:rsidRDefault="0040638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4CA3" w14:textId="77777777" w:rsidR="003311B3" w:rsidRDefault="003311B3">
      <w:pPr>
        <w:rPr>
          <w:rFonts w:ascii="TimesLT" w:hAnsi="TimesLT"/>
          <w:sz w:val="20"/>
          <w:lang w:val="en-GB"/>
        </w:rPr>
      </w:pPr>
      <w:r>
        <w:rPr>
          <w:rFonts w:ascii="TimesLT" w:hAnsi="TimesLT"/>
          <w:sz w:val="20"/>
          <w:lang w:val="en-GB"/>
        </w:rPr>
        <w:separator/>
      </w:r>
    </w:p>
  </w:footnote>
  <w:footnote w:type="continuationSeparator" w:id="0">
    <w:p w14:paraId="7C0D3410" w14:textId="77777777" w:rsidR="003311B3" w:rsidRDefault="003311B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06F" w14:textId="77777777" w:rsidR="0040638C" w:rsidRDefault="0048239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1B07070" w14:textId="77777777" w:rsidR="0040638C" w:rsidRDefault="0040638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071" w14:textId="77777777" w:rsidR="0040638C" w:rsidRDefault="0048239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AA2492">
      <w:rPr>
        <w:rFonts w:ascii="TimesLT" w:hAnsi="TimesLT"/>
        <w:noProof/>
        <w:sz w:val="20"/>
        <w:lang w:val="en-GB"/>
      </w:rPr>
      <w:t>4</w:t>
    </w:r>
    <w:r>
      <w:rPr>
        <w:rFonts w:ascii="TimesLT" w:hAnsi="TimesLT"/>
        <w:sz w:val="20"/>
        <w:lang w:val="en-GB"/>
      </w:rPr>
      <w:fldChar w:fldCharType="end"/>
    </w:r>
  </w:p>
  <w:p w14:paraId="31B07072" w14:textId="77777777" w:rsidR="0040638C" w:rsidRDefault="0040638C">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7075" w14:textId="77777777" w:rsidR="0040638C" w:rsidRDefault="0040638C">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92D1D"/>
    <w:multiLevelType w:val="hybridMultilevel"/>
    <w:tmpl w:val="B58A089C"/>
    <w:lvl w:ilvl="0" w:tplc="1EB0B9F6">
      <w:start w:val="19"/>
      <w:numFmt w:val="bullet"/>
      <w:lvlText w:val="-"/>
      <w:lvlJc w:val="left"/>
      <w:pPr>
        <w:ind w:left="1658" w:hanging="360"/>
      </w:pPr>
      <w:rPr>
        <w:rFonts w:ascii="Times New Roman" w:eastAsia="Times New Roman"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252A9"/>
    <w:rsid w:val="000522A1"/>
    <w:rsid w:val="000652CD"/>
    <w:rsid w:val="0009609B"/>
    <w:rsid w:val="000E7C9A"/>
    <w:rsid w:val="001146EC"/>
    <w:rsid w:val="00115E53"/>
    <w:rsid w:val="00127A1A"/>
    <w:rsid w:val="00141761"/>
    <w:rsid w:val="00214A01"/>
    <w:rsid w:val="00256516"/>
    <w:rsid w:val="00260510"/>
    <w:rsid w:val="00264D94"/>
    <w:rsid w:val="00270332"/>
    <w:rsid w:val="00286585"/>
    <w:rsid w:val="002B6AB8"/>
    <w:rsid w:val="002C2A74"/>
    <w:rsid w:val="002F0738"/>
    <w:rsid w:val="003311B3"/>
    <w:rsid w:val="0033410A"/>
    <w:rsid w:val="003763ED"/>
    <w:rsid w:val="003D0BAD"/>
    <w:rsid w:val="00400907"/>
    <w:rsid w:val="0040638C"/>
    <w:rsid w:val="004423E8"/>
    <w:rsid w:val="00450A5D"/>
    <w:rsid w:val="004620BE"/>
    <w:rsid w:val="00482394"/>
    <w:rsid w:val="00493B09"/>
    <w:rsid w:val="004C5721"/>
    <w:rsid w:val="004E59AC"/>
    <w:rsid w:val="00517B5A"/>
    <w:rsid w:val="005354B4"/>
    <w:rsid w:val="005639E2"/>
    <w:rsid w:val="005745F5"/>
    <w:rsid w:val="005A40B4"/>
    <w:rsid w:val="005B4B0D"/>
    <w:rsid w:val="00604ADB"/>
    <w:rsid w:val="00615910"/>
    <w:rsid w:val="006818BF"/>
    <w:rsid w:val="006A3E1F"/>
    <w:rsid w:val="006D0496"/>
    <w:rsid w:val="006E3669"/>
    <w:rsid w:val="006F206D"/>
    <w:rsid w:val="00761AE9"/>
    <w:rsid w:val="007824AD"/>
    <w:rsid w:val="007A4017"/>
    <w:rsid w:val="007C4D5E"/>
    <w:rsid w:val="007E3405"/>
    <w:rsid w:val="007E71FE"/>
    <w:rsid w:val="00871256"/>
    <w:rsid w:val="00911882"/>
    <w:rsid w:val="00914802"/>
    <w:rsid w:val="00953262"/>
    <w:rsid w:val="009F69C5"/>
    <w:rsid w:val="00A05FF8"/>
    <w:rsid w:val="00A11975"/>
    <w:rsid w:val="00A332CC"/>
    <w:rsid w:val="00A576AB"/>
    <w:rsid w:val="00A92231"/>
    <w:rsid w:val="00A92523"/>
    <w:rsid w:val="00AA100C"/>
    <w:rsid w:val="00AA2492"/>
    <w:rsid w:val="00AB66EC"/>
    <w:rsid w:val="00AB7F15"/>
    <w:rsid w:val="00B22C12"/>
    <w:rsid w:val="00B41654"/>
    <w:rsid w:val="00B62F0D"/>
    <w:rsid w:val="00B65B6A"/>
    <w:rsid w:val="00B93EA8"/>
    <w:rsid w:val="00BD2070"/>
    <w:rsid w:val="00C72D60"/>
    <w:rsid w:val="00C73BED"/>
    <w:rsid w:val="00C83DD8"/>
    <w:rsid w:val="00C855BA"/>
    <w:rsid w:val="00C96EB3"/>
    <w:rsid w:val="00CD2D25"/>
    <w:rsid w:val="00CE5FD0"/>
    <w:rsid w:val="00D01387"/>
    <w:rsid w:val="00D055D9"/>
    <w:rsid w:val="00D551DE"/>
    <w:rsid w:val="00D560E0"/>
    <w:rsid w:val="00D6027D"/>
    <w:rsid w:val="00D84F52"/>
    <w:rsid w:val="00DA1092"/>
    <w:rsid w:val="00DE7363"/>
    <w:rsid w:val="00DF74FE"/>
    <w:rsid w:val="00E27CC1"/>
    <w:rsid w:val="00E360BA"/>
    <w:rsid w:val="00E63DA3"/>
    <w:rsid w:val="00EA2B5F"/>
    <w:rsid w:val="00ED665C"/>
    <w:rsid w:val="00F10AF8"/>
    <w:rsid w:val="00F51A56"/>
    <w:rsid w:val="00F545D8"/>
    <w:rsid w:val="00F60F0D"/>
    <w:rsid w:val="00F73EFF"/>
    <w:rsid w:val="00FD2213"/>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2394"/>
    <w:rPr>
      <w:color w:val="808080"/>
    </w:rPr>
  </w:style>
  <w:style w:type="paragraph" w:styleId="Debesliotekstas">
    <w:name w:val="Balloon Text"/>
    <w:basedOn w:val="prastasis"/>
    <w:link w:val="DebesliotekstasDiagrama"/>
    <w:rsid w:val="00FD2213"/>
    <w:rPr>
      <w:rFonts w:ascii="Tahoma" w:hAnsi="Tahoma" w:cs="Tahoma"/>
      <w:sz w:val="16"/>
      <w:szCs w:val="16"/>
    </w:rPr>
  </w:style>
  <w:style w:type="character" w:customStyle="1" w:styleId="DebesliotekstasDiagrama">
    <w:name w:val="Debesėlio tekstas Diagrama"/>
    <w:basedOn w:val="Numatytasispastraiposriftas"/>
    <w:link w:val="Debesliotekstas"/>
    <w:rsid w:val="00FD2213"/>
    <w:rPr>
      <w:rFonts w:ascii="Tahoma" w:hAnsi="Tahoma" w:cs="Tahoma"/>
      <w:sz w:val="16"/>
      <w:szCs w:val="16"/>
    </w:rPr>
  </w:style>
  <w:style w:type="character" w:styleId="Komentaronuoroda">
    <w:name w:val="annotation reference"/>
    <w:basedOn w:val="Numatytasispastraiposriftas"/>
    <w:rsid w:val="00604ADB"/>
    <w:rPr>
      <w:sz w:val="16"/>
      <w:szCs w:val="16"/>
    </w:rPr>
  </w:style>
  <w:style w:type="paragraph" w:styleId="Komentarotekstas">
    <w:name w:val="annotation text"/>
    <w:basedOn w:val="prastasis"/>
    <w:link w:val="KomentarotekstasDiagrama"/>
    <w:rsid w:val="00604ADB"/>
    <w:rPr>
      <w:sz w:val="20"/>
    </w:rPr>
  </w:style>
  <w:style w:type="character" w:customStyle="1" w:styleId="KomentarotekstasDiagrama">
    <w:name w:val="Komentaro tekstas Diagrama"/>
    <w:basedOn w:val="Numatytasispastraiposriftas"/>
    <w:link w:val="Komentarotekstas"/>
    <w:rsid w:val="00604ADB"/>
    <w:rPr>
      <w:sz w:val="20"/>
    </w:rPr>
  </w:style>
  <w:style w:type="paragraph" w:styleId="Komentarotema">
    <w:name w:val="annotation subject"/>
    <w:basedOn w:val="Komentarotekstas"/>
    <w:next w:val="Komentarotekstas"/>
    <w:link w:val="KomentarotemaDiagrama"/>
    <w:rsid w:val="00604ADB"/>
    <w:rPr>
      <w:b/>
      <w:bCs/>
    </w:rPr>
  </w:style>
  <w:style w:type="character" w:customStyle="1" w:styleId="KomentarotemaDiagrama">
    <w:name w:val="Komentaro tema Diagrama"/>
    <w:basedOn w:val="KomentarotekstasDiagrama"/>
    <w:link w:val="Komentarotema"/>
    <w:rsid w:val="00604ADB"/>
    <w:rPr>
      <w:b/>
      <w:bCs/>
      <w:sz w:val="20"/>
    </w:rPr>
  </w:style>
  <w:style w:type="paragraph" w:styleId="Sraopastraipa">
    <w:name w:val="List Paragraph"/>
    <w:basedOn w:val="prastasis"/>
    <w:rsid w:val="006A3E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2394"/>
    <w:rPr>
      <w:color w:val="808080"/>
    </w:rPr>
  </w:style>
  <w:style w:type="paragraph" w:styleId="Debesliotekstas">
    <w:name w:val="Balloon Text"/>
    <w:basedOn w:val="prastasis"/>
    <w:link w:val="DebesliotekstasDiagrama"/>
    <w:rsid w:val="00FD2213"/>
    <w:rPr>
      <w:rFonts w:ascii="Tahoma" w:hAnsi="Tahoma" w:cs="Tahoma"/>
      <w:sz w:val="16"/>
      <w:szCs w:val="16"/>
    </w:rPr>
  </w:style>
  <w:style w:type="character" w:customStyle="1" w:styleId="DebesliotekstasDiagrama">
    <w:name w:val="Debesėlio tekstas Diagrama"/>
    <w:basedOn w:val="Numatytasispastraiposriftas"/>
    <w:link w:val="Debesliotekstas"/>
    <w:rsid w:val="00FD2213"/>
    <w:rPr>
      <w:rFonts w:ascii="Tahoma" w:hAnsi="Tahoma" w:cs="Tahoma"/>
      <w:sz w:val="16"/>
      <w:szCs w:val="16"/>
    </w:rPr>
  </w:style>
  <w:style w:type="character" w:styleId="Komentaronuoroda">
    <w:name w:val="annotation reference"/>
    <w:basedOn w:val="Numatytasispastraiposriftas"/>
    <w:rsid w:val="00604ADB"/>
    <w:rPr>
      <w:sz w:val="16"/>
      <w:szCs w:val="16"/>
    </w:rPr>
  </w:style>
  <w:style w:type="paragraph" w:styleId="Komentarotekstas">
    <w:name w:val="annotation text"/>
    <w:basedOn w:val="prastasis"/>
    <w:link w:val="KomentarotekstasDiagrama"/>
    <w:rsid w:val="00604ADB"/>
    <w:rPr>
      <w:sz w:val="20"/>
    </w:rPr>
  </w:style>
  <w:style w:type="character" w:customStyle="1" w:styleId="KomentarotekstasDiagrama">
    <w:name w:val="Komentaro tekstas Diagrama"/>
    <w:basedOn w:val="Numatytasispastraiposriftas"/>
    <w:link w:val="Komentarotekstas"/>
    <w:rsid w:val="00604ADB"/>
    <w:rPr>
      <w:sz w:val="20"/>
    </w:rPr>
  </w:style>
  <w:style w:type="paragraph" w:styleId="Komentarotema">
    <w:name w:val="annotation subject"/>
    <w:basedOn w:val="Komentarotekstas"/>
    <w:next w:val="Komentarotekstas"/>
    <w:link w:val="KomentarotemaDiagrama"/>
    <w:rsid w:val="00604ADB"/>
    <w:rPr>
      <w:b/>
      <w:bCs/>
    </w:rPr>
  </w:style>
  <w:style w:type="character" w:customStyle="1" w:styleId="KomentarotemaDiagrama">
    <w:name w:val="Komentaro tema Diagrama"/>
    <w:basedOn w:val="KomentarotekstasDiagrama"/>
    <w:link w:val="Komentarotema"/>
    <w:rsid w:val="00604ADB"/>
    <w:rPr>
      <w:b/>
      <w:bCs/>
      <w:sz w:val="20"/>
    </w:rPr>
  </w:style>
  <w:style w:type="paragraph" w:styleId="Sraopastraipa">
    <w:name w:val="List Paragraph"/>
    <w:basedOn w:val="prastasis"/>
    <w:rsid w:val="006A3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14037">
      <w:bodyDiv w:val="1"/>
      <w:marLeft w:val="0"/>
      <w:marRight w:val="0"/>
      <w:marTop w:val="0"/>
      <w:marBottom w:val="0"/>
      <w:divBdr>
        <w:top w:val="none" w:sz="0" w:space="0" w:color="auto"/>
        <w:left w:val="none" w:sz="0" w:space="0" w:color="auto"/>
        <w:bottom w:val="none" w:sz="0" w:space="0" w:color="auto"/>
        <w:right w:val="none" w:sz="0" w:space="0" w:color="auto"/>
      </w:divBdr>
    </w:div>
    <w:div w:id="19063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91E39-E11A-4FC5-B150-0280FA35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5598</Words>
  <Characters>3192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8773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Donatas Petroka</cp:lastModifiedBy>
  <cp:revision>11</cp:revision>
  <cp:lastPrinted>2019-01-02T09:56:00Z</cp:lastPrinted>
  <dcterms:created xsi:type="dcterms:W3CDTF">2020-03-27T08:16:00Z</dcterms:created>
  <dcterms:modified xsi:type="dcterms:W3CDTF">2020-03-27T09:46:00Z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1308296603</vt:i4>
  </property>
  <property fmtid="{D5CDD505-2E9C-101B-9397-08002B2CF9AE}" pid="3" name="_NewReviewCycle">
    <vt:lpwstr/>
  </property>
  <property fmtid="{D5CDD505-2E9C-101B-9397-08002B2CF9AE}" pid="4" name="_EmailSubject">
    <vt:lpwstr>COVID-19 plano priemonė (skubu)</vt:lpwstr>
  </property>
  <property fmtid="{D5CDD505-2E9C-101B-9397-08002B2CF9AE}" pid="5" name="_AuthorEmail">
    <vt:lpwstr>Donatas.Petroka@socmin.lt</vt:lpwstr>
  </property>
  <property fmtid="{D5CDD505-2E9C-101B-9397-08002B2CF9AE}" pid="6" name="_AuthorEmailDisplayName">
    <vt:lpwstr>Donatas Petroka</vt:lpwstr>
  </property>
  <property fmtid="{D5CDD505-2E9C-101B-9397-08002B2CF9AE}" pid="7" name="_PreviousAdHocReviewCycleID">
    <vt:i4>1912604428</vt:i4>
  </property>
</Properties>
</file>