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8B" w:rsidRDefault="005B7E24" w:rsidP="00B0588B">
      <w:pPr>
        <w:jc w:val="center"/>
        <w:rPr>
          <w:rFonts w:ascii="Times New Roman" w:hAnsi="Times New Roman"/>
          <w:szCs w:val="24"/>
        </w:rPr>
      </w:pPr>
      <w:bookmarkStart w:id="0" w:name="_GoBack"/>
      <w:r w:rsidRPr="00C674E2">
        <w:rPr>
          <w:rFonts w:ascii="Times New Roman" w:hAnsi="Times New Roman"/>
          <w:b/>
          <w:bCs/>
          <w:szCs w:val="24"/>
        </w:rPr>
        <w:t xml:space="preserve">2014–2020 METŲ EUROPOS SĄJUNGOS FONDŲ INVESTICIJŲ VEIKSMŲ PROGRAMOS </w:t>
      </w:r>
      <w:r w:rsidR="00B0588B" w:rsidRPr="000C71E1">
        <w:rPr>
          <w:rFonts w:ascii="Times New Roman" w:hAnsi="Times New Roman"/>
          <w:b/>
          <w:szCs w:val="24"/>
        </w:rPr>
        <w:t>4 PRIORITETO</w:t>
      </w:r>
      <w:r w:rsidR="00B0588B" w:rsidRPr="000C71E1">
        <w:rPr>
          <w:rFonts w:ascii="Times New Roman" w:hAnsi="Times New Roman"/>
          <w:szCs w:val="24"/>
        </w:rPr>
        <w:t xml:space="preserve"> „</w:t>
      </w:r>
      <w:r w:rsidR="00B0588B" w:rsidRPr="000C71E1">
        <w:rPr>
          <w:rFonts w:ascii="Times New Roman" w:hAnsi="Times New Roman"/>
          <w:b/>
          <w:szCs w:val="24"/>
        </w:rPr>
        <w:t>ENERGIJOS EFEKTYVUMO IR ATSINAUJINANČIŲ IŠTEKLIŲ ENERGIJOS GAMYBOS IR NAUDOJIMO SKATINIMAS</w:t>
      </w:r>
      <w:r w:rsidR="00B0588B" w:rsidRPr="000C71E1">
        <w:rPr>
          <w:rFonts w:ascii="Times New Roman" w:hAnsi="Times New Roman"/>
          <w:szCs w:val="24"/>
        </w:rPr>
        <w:t>“</w:t>
      </w:r>
      <w:r w:rsidR="00B0588B">
        <w:rPr>
          <w:rFonts w:ascii="Times New Roman" w:hAnsi="Times New Roman"/>
          <w:szCs w:val="24"/>
        </w:rPr>
        <w:t xml:space="preserve"> </w:t>
      </w:r>
    </w:p>
    <w:p w:rsidR="00363178" w:rsidRPr="00C674E2" w:rsidRDefault="00B0588B" w:rsidP="00B0588B">
      <w:pPr>
        <w:jc w:val="center"/>
        <w:rPr>
          <w:rFonts w:ascii="Times New Roman" w:hAnsi="Times New Roman"/>
          <w:b/>
          <w:szCs w:val="24"/>
        </w:rPr>
      </w:pPr>
      <w:r w:rsidRPr="000C71E1">
        <w:rPr>
          <w:rFonts w:ascii="Times New Roman" w:hAnsi="Times New Roman"/>
          <w:b/>
          <w:szCs w:val="24"/>
        </w:rPr>
        <w:t>04.3.1-VIPA-V-101 PRIEMONĖS „VALSTYBEI NUOSAVYBĖS TEISE PRIKLAUSANČIŲ PASTATŲ ATNAUJINIMAS“</w:t>
      </w:r>
      <w:r>
        <w:rPr>
          <w:rFonts w:ascii="Times New Roman" w:hAnsi="Times New Roman"/>
          <w:b/>
          <w:szCs w:val="24"/>
        </w:rPr>
        <w:t xml:space="preserve"> </w:t>
      </w:r>
      <w:r w:rsidRPr="000C71E1">
        <w:rPr>
          <w:rFonts w:ascii="Times New Roman" w:hAnsi="Times New Roman"/>
          <w:b/>
          <w:szCs w:val="24"/>
        </w:rPr>
        <w:t>PRO</w:t>
      </w:r>
      <w:r>
        <w:rPr>
          <w:rFonts w:ascii="Times New Roman" w:hAnsi="Times New Roman"/>
          <w:b/>
          <w:szCs w:val="24"/>
        </w:rPr>
        <w:t>JEKTŲ FINANSAVIMO SĄLYGŲ APRAŠO</w:t>
      </w:r>
      <w:r w:rsidRPr="000C71E1">
        <w:rPr>
          <w:rFonts w:ascii="Times New Roman" w:hAnsi="Times New Roman"/>
          <w:b/>
          <w:szCs w:val="24"/>
        </w:rPr>
        <w:t xml:space="preserve"> NR.</w:t>
      </w:r>
      <w:r w:rsidRPr="000C71E1">
        <w:rPr>
          <w:rFonts w:ascii="Times New Roman" w:hAnsi="Times New Roman"/>
          <w:szCs w:val="24"/>
        </w:rPr>
        <w:t xml:space="preserve"> </w:t>
      </w:r>
      <w:r w:rsidRPr="00B0588B">
        <w:rPr>
          <w:rFonts w:ascii="Times New Roman" w:hAnsi="Times New Roman"/>
          <w:b/>
          <w:szCs w:val="24"/>
        </w:rPr>
        <w:t>1</w:t>
      </w:r>
      <w:r w:rsidR="008004B0" w:rsidRPr="00C674E2">
        <w:rPr>
          <w:rFonts w:ascii="Times New Roman" w:hAnsi="Times New Roman"/>
          <w:b/>
          <w:szCs w:val="24"/>
        </w:rPr>
        <w:t xml:space="preserve"> PROJEKTO </w:t>
      </w:r>
      <w:r w:rsidR="0092489F" w:rsidRPr="00C674E2">
        <w:rPr>
          <w:rFonts w:ascii="Times New Roman" w:hAnsi="Times New Roman"/>
          <w:b/>
          <w:szCs w:val="24"/>
        </w:rPr>
        <w:t xml:space="preserve">DERINIMO </w:t>
      </w:r>
      <w:r w:rsidR="00376C97">
        <w:rPr>
          <w:rFonts w:ascii="Times New Roman" w:hAnsi="Times New Roman"/>
          <w:b/>
          <w:szCs w:val="24"/>
        </w:rPr>
        <w:t>WWW.ESINVESTICIJOS.LT</w:t>
      </w:r>
      <w:r w:rsidR="002A0E08">
        <w:rPr>
          <w:rFonts w:ascii="Times New Roman" w:hAnsi="Times New Roman"/>
          <w:b/>
          <w:szCs w:val="24"/>
        </w:rPr>
        <w:t xml:space="preserve"> </w:t>
      </w:r>
      <w:r w:rsidR="0092489F" w:rsidRPr="00C674E2">
        <w:rPr>
          <w:rFonts w:ascii="Times New Roman" w:hAnsi="Times New Roman"/>
          <w:b/>
          <w:szCs w:val="24"/>
        </w:rPr>
        <w:t>PAŽYMA</w:t>
      </w:r>
    </w:p>
    <w:bookmarkEnd w:id="0"/>
    <w:p w:rsidR="00007624" w:rsidRPr="00C674E2" w:rsidRDefault="00007624" w:rsidP="00E25BED">
      <w:pPr>
        <w:pStyle w:val="Pagrindinistekstas3"/>
        <w:spacing w:after="0"/>
        <w:ind w:right="340"/>
        <w:rPr>
          <w:rFonts w:ascii="Times New Roman" w:hAnsi="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861"/>
        <w:gridCol w:w="7626"/>
      </w:tblGrid>
      <w:tr w:rsidR="008A7D05" w:rsidRPr="00C674E2" w:rsidTr="003F2E75">
        <w:tc>
          <w:tcPr>
            <w:tcW w:w="647" w:type="dxa"/>
            <w:tcBorders>
              <w:top w:val="single" w:sz="4" w:space="0" w:color="auto"/>
              <w:left w:val="single" w:sz="4" w:space="0" w:color="auto"/>
              <w:bottom w:val="single" w:sz="4" w:space="0" w:color="auto"/>
              <w:right w:val="single" w:sz="4" w:space="0" w:color="auto"/>
            </w:tcBorders>
            <w:hideMark/>
          </w:tcPr>
          <w:p w:rsidR="008A7D05" w:rsidRPr="00C674E2" w:rsidRDefault="008A7D05" w:rsidP="00C674E2">
            <w:pPr>
              <w:rPr>
                <w:rFonts w:ascii="Times New Roman" w:hAnsi="Times New Roman"/>
                <w:b/>
                <w:szCs w:val="24"/>
              </w:rPr>
            </w:pPr>
            <w:r w:rsidRPr="00C674E2">
              <w:rPr>
                <w:rFonts w:ascii="Times New Roman" w:hAnsi="Times New Roman"/>
                <w:b/>
                <w:szCs w:val="24"/>
              </w:rPr>
              <w:t xml:space="preserve">Eil. Nr. </w:t>
            </w:r>
          </w:p>
        </w:tc>
        <w:tc>
          <w:tcPr>
            <w:tcW w:w="6861" w:type="dxa"/>
            <w:tcBorders>
              <w:top w:val="single" w:sz="4" w:space="0" w:color="auto"/>
              <w:left w:val="single" w:sz="4" w:space="0" w:color="auto"/>
              <w:bottom w:val="single" w:sz="4" w:space="0" w:color="auto"/>
              <w:right w:val="single" w:sz="4" w:space="0" w:color="auto"/>
            </w:tcBorders>
            <w:vAlign w:val="center"/>
            <w:hideMark/>
          </w:tcPr>
          <w:p w:rsidR="008A7D05" w:rsidRPr="00C674E2" w:rsidRDefault="008A7D05" w:rsidP="00DD6717">
            <w:pPr>
              <w:jc w:val="center"/>
              <w:rPr>
                <w:rFonts w:ascii="Times New Roman" w:hAnsi="Times New Roman"/>
                <w:b/>
                <w:szCs w:val="24"/>
              </w:rPr>
            </w:pPr>
            <w:r w:rsidRPr="00C674E2">
              <w:rPr>
                <w:rFonts w:ascii="Times New Roman" w:hAnsi="Times New Roman"/>
                <w:b/>
                <w:szCs w:val="24"/>
              </w:rPr>
              <w:t>Pastabos, pasiūlymai</w:t>
            </w:r>
          </w:p>
        </w:tc>
        <w:tc>
          <w:tcPr>
            <w:tcW w:w="7626" w:type="dxa"/>
            <w:tcBorders>
              <w:top w:val="single" w:sz="4" w:space="0" w:color="auto"/>
              <w:left w:val="single" w:sz="4" w:space="0" w:color="auto"/>
              <w:bottom w:val="single" w:sz="4" w:space="0" w:color="auto"/>
              <w:right w:val="single" w:sz="4" w:space="0" w:color="auto"/>
            </w:tcBorders>
            <w:vAlign w:val="center"/>
            <w:hideMark/>
          </w:tcPr>
          <w:p w:rsidR="008A7D05" w:rsidRPr="00C674E2" w:rsidRDefault="008A7D05" w:rsidP="003F2E75">
            <w:pPr>
              <w:autoSpaceDE w:val="0"/>
              <w:autoSpaceDN w:val="0"/>
              <w:adjustRightInd w:val="0"/>
              <w:jc w:val="center"/>
              <w:rPr>
                <w:rFonts w:ascii="Times New Roman" w:hAnsi="Times New Roman"/>
                <w:b/>
                <w:szCs w:val="24"/>
              </w:rPr>
            </w:pPr>
            <w:r w:rsidRPr="00C674E2">
              <w:rPr>
                <w:rFonts w:ascii="Times New Roman" w:eastAsiaTheme="minorHAnsi" w:hAnsi="Times New Roman"/>
                <w:b/>
                <w:szCs w:val="24"/>
                <w:lang w:eastAsia="en-US"/>
              </w:rPr>
              <w:t xml:space="preserve">Išvadų, pasiūlymų </w:t>
            </w:r>
            <w:r w:rsidR="003F2E75" w:rsidRPr="00C674E2">
              <w:rPr>
                <w:rFonts w:ascii="Times New Roman" w:eastAsiaTheme="minorHAnsi" w:hAnsi="Times New Roman"/>
                <w:b/>
                <w:szCs w:val="24"/>
                <w:lang w:eastAsia="en-US"/>
              </w:rPr>
              <w:t>ir pastabų vertinimai bei</w:t>
            </w:r>
            <w:r w:rsidRPr="00C674E2">
              <w:rPr>
                <w:rFonts w:ascii="Times New Roman" w:eastAsiaTheme="minorHAnsi" w:hAnsi="Times New Roman"/>
                <w:b/>
                <w:szCs w:val="24"/>
                <w:lang w:eastAsia="en-US"/>
              </w:rPr>
              <w:t xml:space="preserve"> komentarai</w:t>
            </w:r>
          </w:p>
        </w:tc>
      </w:tr>
      <w:tr w:rsidR="00410C1B" w:rsidRPr="00C674E2" w:rsidTr="00410C1B">
        <w:trPr>
          <w:trHeight w:val="415"/>
        </w:trPr>
        <w:tc>
          <w:tcPr>
            <w:tcW w:w="647" w:type="dxa"/>
            <w:tcBorders>
              <w:left w:val="single" w:sz="4" w:space="0" w:color="auto"/>
              <w:right w:val="single" w:sz="4" w:space="0" w:color="auto"/>
            </w:tcBorders>
            <w:vAlign w:val="center"/>
          </w:tcPr>
          <w:p w:rsidR="00410C1B" w:rsidRPr="00C674E2" w:rsidRDefault="00410C1B" w:rsidP="00C674E2">
            <w:pPr>
              <w:rPr>
                <w:rFonts w:ascii="Times New Roman" w:hAnsi="Times New Roman"/>
                <w:szCs w:val="24"/>
              </w:rPr>
            </w:pPr>
          </w:p>
        </w:tc>
        <w:tc>
          <w:tcPr>
            <w:tcW w:w="14487" w:type="dxa"/>
            <w:gridSpan w:val="2"/>
            <w:tcBorders>
              <w:top w:val="single" w:sz="4" w:space="0" w:color="auto"/>
              <w:left w:val="single" w:sz="4" w:space="0" w:color="auto"/>
              <w:bottom w:val="single" w:sz="4" w:space="0" w:color="auto"/>
              <w:right w:val="single" w:sz="4" w:space="0" w:color="auto"/>
            </w:tcBorders>
            <w:vAlign w:val="center"/>
          </w:tcPr>
          <w:p w:rsidR="00410C1B" w:rsidRPr="00696F8B" w:rsidRDefault="00915BCE" w:rsidP="00EE1E43">
            <w:pPr>
              <w:tabs>
                <w:tab w:val="left" w:pos="4253"/>
              </w:tabs>
              <w:ind w:right="362"/>
              <w:jc w:val="center"/>
              <w:rPr>
                <w:rFonts w:ascii="Times New Roman" w:hAnsi="Times New Roman"/>
                <w:b/>
              </w:rPr>
            </w:pPr>
            <w:r>
              <w:rPr>
                <w:b/>
                <w:color w:val="000000"/>
              </w:rPr>
              <w:t xml:space="preserve">Atsakymas į raštu pateiktas </w:t>
            </w:r>
            <w:r w:rsidR="00696F8B" w:rsidRPr="00696F8B">
              <w:rPr>
                <w:b/>
                <w:color w:val="000000"/>
              </w:rPr>
              <w:t>UAB „</w:t>
            </w:r>
            <w:proofErr w:type="spellStart"/>
            <w:r w:rsidR="00696F8B" w:rsidRPr="00696F8B">
              <w:rPr>
                <w:b/>
                <w:color w:val="000000"/>
              </w:rPr>
              <w:t>Teisa</w:t>
            </w:r>
            <w:proofErr w:type="spellEnd"/>
            <w:r w:rsidR="00696F8B" w:rsidRPr="00696F8B">
              <w:rPr>
                <w:b/>
                <w:color w:val="000000"/>
              </w:rPr>
              <w:t>“</w:t>
            </w:r>
            <w:r>
              <w:rPr>
                <w:b/>
                <w:color w:val="000000"/>
              </w:rPr>
              <w:t xml:space="preserve"> pastabas</w:t>
            </w:r>
          </w:p>
        </w:tc>
      </w:tr>
      <w:tr w:rsidR="00021108" w:rsidRPr="00C674E2" w:rsidTr="003B4B9A">
        <w:trPr>
          <w:trHeight w:val="1413"/>
        </w:trPr>
        <w:tc>
          <w:tcPr>
            <w:tcW w:w="647" w:type="dxa"/>
            <w:tcBorders>
              <w:left w:val="single" w:sz="4" w:space="0" w:color="auto"/>
              <w:right w:val="single" w:sz="4" w:space="0" w:color="auto"/>
            </w:tcBorders>
          </w:tcPr>
          <w:p w:rsidR="00021108" w:rsidRPr="00692240" w:rsidRDefault="00021108" w:rsidP="00C674E2">
            <w:pPr>
              <w:rPr>
                <w:rFonts w:ascii="Times New Roman" w:hAnsi="Times New Roman"/>
                <w:szCs w:val="24"/>
              </w:rPr>
            </w:pPr>
            <w:r w:rsidRPr="00692240">
              <w:rPr>
                <w:rFonts w:ascii="Times New Roman" w:hAnsi="Times New Roman"/>
                <w:szCs w:val="24"/>
              </w:rPr>
              <w:t>1.</w:t>
            </w:r>
          </w:p>
        </w:tc>
        <w:tc>
          <w:tcPr>
            <w:tcW w:w="6861" w:type="dxa"/>
            <w:tcBorders>
              <w:top w:val="single" w:sz="4" w:space="0" w:color="auto"/>
              <w:left w:val="single" w:sz="4" w:space="0" w:color="auto"/>
              <w:bottom w:val="single" w:sz="4" w:space="0" w:color="auto"/>
              <w:right w:val="single" w:sz="4" w:space="0" w:color="auto"/>
            </w:tcBorders>
          </w:tcPr>
          <w:p w:rsidR="00021108" w:rsidRPr="00692240" w:rsidRDefault="00EF791D" w:rsidP="003E0A16">
            <w:pPr>
              <w:pStyle w:val="Default"/>
              <w:jc w:val="both"/>
            </w:pPr>
            <w:r>
              <w:rPr>
                <w:rFonts w:ascii="Times New Roman" w:hAnsi="Times New Roman" w:cs="Times New Roman"/>
              </w:rPr>
              <w:t xml:space="preserve">      </w:t>
            </w:r>
            <w:r w:rsidR="00696F8B" w:rsidRPr="00692240">
              <w:rPr>
                <w:rFonts w:ascii="Times New Roman" w:hAnsi="Times New Roman" w:cs="Times New Roman"/>
              </w:rPr>
              <w:t xml:space="preserve">Prašome kultūros paveldo objektams, kurie yra valstybinės reikšmės, numatyti išimtis, kad būtų taikomas priemonių vidurkio atsipirkimo laikotarpis arba pailgintas atsipirkimo laikas. </w:t>
            </w:r>
            <w:r w:rsidR="003E00B5" w:rsidRPr="00692240">
              <w:rPr>
                <w:rFonts w:ascii="Times New Roman" w:hAnsi="Times New Roman" w:cs="Times New Roman"/>
              </w:rPr>
              <w:t>Paminėtina, kad Lietuvos Respublikos energetikos ministro 2015 m. balandžio 29 d. įsakyme Nr. 1-111 „</w:t>
            </w:r>
            <w:r w:rsidR="003E00B5" w:rsidRPr="007F16C1">
              <w:rPr>
                <w:rFonts w:ascii="Times New Roman" w:hAnsi="Times New Roman" w:cs="Times New Roman"/>
              </w:rPr>
              <w:t>A</w:t>
            </w:r>
            <w:r w:rsidR="003E00B5" w:rsidRPr="007F16C1">
              <w:rPr>
                <w:rFonts w:ascii="Times New Roman" w:hAnsi="Times New Roman" w:cs="Times New Roman"/>
                <w:bCs/>
              </w:rPr>
              <w:t>trinktų valstybei nuosavybės teise priklausančių šildomų ir (arba) vėsinamų valstybės institucijų ir įstaigų – valstybinio administravimo subjektų naudojamų pastatų tinkamų atnaujinimui 2015 metams sąrašas“</w:t>
            </w:r>
            <w:r w:rsidR="003E00B5" w:rsidRPr="00692240">
              <w:rPr>
                <w:rFonts w:ascii="Times New Roman" w:hAnsi="Times New Roman" w:cs="Times New Roman"/>
                <w:b/>
                <w:bCs/>
              </w:rPr>
              <w:t xml:space="preserve"> </w:t>
            </w:r>
            <w:r w:rsidR="003E00B5" w:rsidRPr="00692240">
              <w:rPr>
                <w:rFonts w:ascii="Times New Roman" w:hAnsi="Times New Roman" w:cs="Times New Roman"/>
                <w:bCs/>
              </w:rPr>
              <w:t>įtrauktas</w:t>
            </w:r>
            <w:r w:rsidR="003E00B5" w:rsidRPr="00692240">
              <w:rPr>
                <w:rFonts w:ascii="Times New Roman" w:hAnsi="Times New Roman" w:cs="Times New Roman"/>
                <w:b/>
                <w:bCs/>
              </w:rPr>
              <w:t xml:space="preserve"> </w:t>
            </w:r>
            <w:r w:rsidR="003E00B5" w:rsidRPr="00692240">
              <w:rPr>
                <w:rFonts w:ascii="Times New Roman" w:hAnsi="Times New Roman" w:cs="Times New Roman"/>
              </w:rPr>
              <w:t>Lietuvos nacionalinio dramos teatro pastatas, todėl atitinkamai Aprašas turėtų būti pakoreguotas pagal sąraše esančius objektus bei statinio kategoriją.</w:t>
            </w:r>
          </w:p>
        </w:tc>
        <w:tc>
          <w:tcPr>
            <w:tcW w:w="7626" w:type="dxa"/>
            <w:tcBorders>
              <w:top w:val="single" w:sz="4" w:space="0" w:color="auto"/>
              <w:left w:val="single" w:sz="4" w:space="0" w:color="auto"/>
              <w:bottom w:val="single" w:sz="4" w:space="0" w:color="auto"/>
              <w:right w:val="single" w:sz="4" w:space="0" w:color="auto"/>
            </w:tcBorders>
          </w:tcPr>
          <w:p w:rsidR="00367D50" w:rsidRDefault="00EF791D" w:rsidP="00EF791D">
            <w:pPr>
              <w:pStyle w:val="Pagrindinistekstas"/>
              <w:ind w:firstLine="0"/>
            </w:pPr>
            <w:r>
              <w:rPr>
                <w:rFonts w:cs="Times New Roman"/>
                <w:b/>
              </w:rPr>
              <w:t xml:space="preserve">      </w:t>
            </w:r>
            <w:r w:rsidR="00021108" w:rsidRPr="00692240">
              <w:rPr>
                <w:rFonts w:cs="Times New Roman"/>
                <w:b/>
              </w:rPr>
              <w:t>Neatsižvelgta</w:t>
            </w:r>
            <w:r w:rsidR="00367D50">
              <w:rPr>
                <w:rFonts w:cs="Times New Roman"/>
                <w:b/>
              </w:rPr>
              <w:t>.</w:t>
            </w:r>
            <w:r w:rsidR="00021108" w:rsidRPr="00692240">
              <w:rPr>
                <w:rFonts w:cs="Times New Roman"/>
              </w:rPr>
              <w:t xml:space="preserve"> </w:t>
            </w:r>
            <w:r w:rsidR="00367D50">
              <w:rPr>
                <w:rFonts w:cs="Times New Roman"/>
              </w:rPr>
              <w:t>L</w:t>
            </w:r>
            <w:r w:rsidR="004D7D01">
              <w:rPr>
                <w:rFonts w:cs="Times New Roman"/>
              </w:rPr>
              <w:t xml:space="preserve">ietuvos </w:t>
            </w:r>
            <w:r w:rsidR="00367D50">
              <w:rPr>
                <w:rFonts w:cs="Times New Roman"/>
              </w:rPr>
              <w:t>R</w:t>
            </w:r>
            <w:r w:rsidR="004D7D01">
              <w:rPr>
                <w:rFonts w:cs="Times New Roman"/>
              </w:rPr>
              <w:t>espublikos</w:t>
            </w:r>
            <w:r w:rsidR="00367D50">
              <w:rPr>
                <w:rFonts w:cs="Times New Roman"/>
              </w:rPr>
              <w:t xml:space="preserve"> Vyriausybės 2014 m. lapkričio 26 d. nutarimu Nr.</w:t>
            </w:r>
            <w:r w:rsidR="00F543E0">
              <w:rPr>
                <w:rFonts w:cs="Times New Roman"/>
              </w:rPr>
              <w:t xml:space="preserve"> </w:t>
            </w:r>
            <w:r w:rsidR="004D7D01">
              <w:rPr>
                <w:rFonts w:cs="Times New Roman"/>
              </w:rPr>
              <w:t>1328</w:t>
            </w:r>
            <w:r w:rsidR="008F2BAB">
              <w:rPr>
                <w:rFonts w:cs="Times New Roman"/>
              </w:rPr>
              <w:t xml:space="preserve"> </w:t>
            </w:r>
            <w:r w:rsidR="00367D50">
              <w:rPr>
                <w:rFonts w:cs="Times New Roman"/>
              </w:rPr>
              <w:t>patvirtintoje</w:t>
            </w:r>
            <w:r w:rsidR="00367D50" w:rsidRPr="00692240">
              <w:rPr>
                <w:rFonts w:cs="Times New Roman"/>
              </w:rPr>
              <w:t xml:space="preserve"> Vieš</w:t>
            </w:r>
            <w:r w:rsidR="00367D50" w:rsidRPr="00692240">
              <w:rPr>
                <w:rFonts w:cs="Times New Roman" w:hint="eastAsia"/>
              </w:rPr>
              <w:t>ų</w:t>
            </w:r>
            <w:r w:rsidR="00367D50" w:rsidRPr="00692240">
              <w:rPr>
                <w:rFonts w:cs="Times New Roman"/>
              </w:rPr>
              <w:t>j</w:t>
            </w:r>
            <w:r w:rsidR="00367D50" w:rsidRPr="00692240">
              <w:rPr>
                <w:rFonts w:cs="Times New Roman" w:hint="eastAsia"/>
              </w:rPr>
              <w:t>ų</w:t>
            </w:r>
            <w:r w:rsidR="00367D50" w:rsidRPr="00692240">
              <w:rPr>
                <w:rFonts w:cs="Times New Roman"/>
              </w:rPr>
              <w:t xml:space="preserve"> pastat</w:t>
            </w:r>
            <w:r w:rsidR="00367D50" w:rsidRPr="00692240">
              <w:rPr>
                <w:rFonts w:cs="Times New Roman" w:hint="eastAsia"/>
              </w:rPr>
              <w:t>ų</w:t>
            </w:r>
            <w:r w:rsidR="00367D50" w:rsidRPr="00692240">
              <w:rPr>
                <w:rFonts w:cs="Times New Roman"/>
              </w:rPr>
              <w:t xml:space="preserve"> energi</w:t>
            </w:r>
            <w:r w:rsidR="00367D50">
              <w:rPr>
                <w:rFonts w:cs="Times New Roman"/>
              </w:rPr>
              <w:t>nio efektyvumo didinimo programoje</w:t>
            </w:r>
            <w:r w:rsidR="004D7D01">
              <w:rPr>
                <w:rFonts w:cs="Times New Roman"/>
              </w:rPr>
              <w:t xml:space="preserve"> (toliau – </w:t>
            </w:r>
            <w:r w:rsidR="004D7D01" w:rsidRPr="00692240">
              <w:rPr>
                <w:rFonts w:cs="Times New Roman"/>
              </w:rPr>
              <w:t>Vieš</w:t>
            </w:r>
            <w:r w:rsidR="004D7D01" w:rsidRPr="00692240">
              <w:rPr>
                <w:rFonts w:cs="Times New Roman" w:hint="eastAsia"/>
              </w:rPr>
              <w:t>ų</w:t>
            </w:r>
            <w:r w:rsidR="004D7D01" w:rsidRPr="00692240">
              <w:rPr>
                <w:rFonts w:cs="Times New Roman"/>
              </w:rPr>
              <w:t>j</w:t>
            </w:r>
            <w:r w:rsidR="004D7D01" w:rsidRPr="00692240">
              <w:rPr>
                <w:rFonts w:cs="Times New Roman" w:hint="eastAsia"/>
              </w:rPr>
              <w:t>ų</w:t>
            </w:r>
            <w:r w:rsidR="004D7D01" w:rsidRPr="00692240">
              <w:rPr>
                <w:rFonts w:cs="Times New Roman"/>
              </w:rPr>
              <w:t xml:space="preserve"> pastat</w:t>
            </w:r>
            <w:r w:rsidR="004D7D01" w:rsidRPr="00692240">
              <w:rPr>
                <w:rFonts w:cs="Times New Roman" w:hint="eastAsia"/>
              </w:rPr>
              <w:t>ų</w:t>
            </w:r>
            <w:r w:rsidR="004D7D01" w:rsidRPr="00692240">
              <w:rPr>
                <w:rFonts w:cs="Times New Roman"/>
              </w:rPr>
              <w:t xml:space="preserve"> energi</w:t>
            </w:r>
            <w:r w:rsidR="004D7D01">
              <w:rPr>
                <w:rFonts w:cs="Times New Roman"/>
              </w:rPr>
              <w:t>nio efektyvumo didinimo programa)</w:t>
            </w:r>
            <w:r w:rsidR="00367D50">
              <w:rPr>
                <w:rFonts w:cs="Times New Roman"/>
              </w:rPr>
              <w:t xml:space="preserve"> </w:t>
            </w:r>
            <w:r w:rsidR="003E0A16">
              <w:rPr>
                <w:rFonts w:cs="Times New Roman"/>
              </w:rPr>
              <w:t xml:space="preserve">investicijų į </w:t>
            </w:r>
            <w:r w:rsidR="004D7D01" w:rsidRPr="00E32086">
              <w:rPr>
                <w:rFonts w:eastAsia="Times New Roman"/>
                <w:lang w:eastAsia="lt-LT"/>
              </w:rPr>
              <w:t>energijos vartojimo efektyvumą didinanči</w:t>
            </w:r>
            <w:r w:rsidR="004D7D01">
              <w:rPr>
                <w:rFonts w:eastAsia="Times New Roman"/>
                <w:lang w:eastAsia="lt-LT"/>
              </w:rPr>
              <w:t>as</w:t>
            </w:r>
            <w:r w:rsidR="004D7D01" w:rsidRPr="00E32086">
              <w:rPr>
                <w:rFonts w:eastAsia="Times New Roman"/>
                <w:lang w:eastAsia="lt-LT"/>
              </w:rPr>
              <w:t xml:space="preserve"> </w:t>
            </w:r>
            <w:r w:rsidR="003E0A16">
              <w:rPr>
                <w:rFonts w:cs="Times New Roman"/>
              </w:rPr>
              <w:t xml:space="preserve">priemones atsipirkimo laikotarpis </w:t>
            </w:r>
            <w:r w:rsidR="00367D50">
              <w:rPr>
                <w:rFonts w:cs="Times New Roman"/>
              </w:rPr>
              <w:t xml:space="preserve">yra </w:t>
            </w:r>
            <w:r w:rsidR="00CA4160">
              <w:rPr>
                <w:rFonts w:cs="Times New Roman"/>
              </w:rPr>
              <w:t xml:space="preserve">numatytas </w:t>
            </w:r>
            <w:r w:rsidR="00367D50">
              <w:rPr>
                <w:rFonts w:cs="Times New Roman"/>
              </w:rPr>
              <w:t>ne ilgesnis nei 2</w:t>
            </w:r>
            <w:r w:rsidR="003E00B5">
              <w:rPr>
                <w:rFonts w:cs="Times New Roman"/>
              </w:rPr>
              <w:t>0 metų</w:t>
            </w:r>
            <w:r w:rsidR="003E0A16">
              <w:rPr>
                <w:rFonts w:cs="Times New Roman"/>
              </w:rPr>
              <w:t xml:space="preserve"> (kuomet </w:t>
            </w:r>
            <w:r w:rsidR="00CA4160">
              <w:rPr>
                <w:rFonts w:cs="Times New Roman"/>
              </w:rPr>
              <w:t>projektas įgyvendinamas finans</w:t>
            </w:r>
            <w:r w:rsidR="00A81AC9">
              <w:rPr>
                <w:rFonts w:cs="Times New Roman"/>
              </w:rPr>
              <w:t>inės</w:t>
            </w:r>
            <w:r w:rsidR="00CA4160">
              <w:rPr>
                <w:rFonts w:cs="Times New Roman"/>
              </w:rPr>
              <w:t xml:space="preserve"> priemonės būdu). </w:t>
            </w:r>
            <w:r w:rsidR="00A81AC9">
              <w:rPr>
                <w:rFonts w:cs="Times New Roman"/>
              </w:rPr>
              <w:t>V</w:t>
            </w:r>
            <w:r w:rsidR="00367D50">
              <w:rPr>
                <w:rFonts w:cs="Times New Roman"/>
              </w:rPr>
              <w:t>adovaujantis šia programa</w:t>
            </w:r>
            <w:r w:rsidR="00A81AC9">
              <w:rPr>
                <w:rFonts w:cs="Times New Roman"/>
              </w:rPr>
              <w:t>,</w:t>
            </w:r>
            <w:r w:rsidR="00367D50">
              <w:rPr>
                <w:rFonts w:cs="Times New Roman"/>
              </w:rPr>
              <w:t xml:space="preserve"> buvo parengti </w:t>
            </w:r>
            <w:r w:rsidR="004D7D01">
              <w:rPr>
                <w:rFonts w:cs="Times New Roman"/>
              </w:rPr>
              <w:t xml:space="preserve">grąžinamosios </w:t>
            </w:r>
            <w:r w:rsidR="00A81AC9">
              <w:rPr>
                <w:rFonts w:cs="Times New Roman"/>
              </w:rPr>
              <w:t xml:space="preserve">subsidijos </w:t>
            </w:r>
            <w:r w:rsidR="00367D50">
              <w:rPr>
                <w:rFonts w:cs="Times New Roman"/>
              </w:rPr>
              <w:t>priemonės projektų atrankos kriterijai</w:t>
            </w:r>
            <w:r w:rsidR="00A81AC9">
              <w:rPr>
                <w:rFonts w:cs="Times New Roman"/>
              </w:rPr>
              <w:t xml:space="preserve"> </w:t>
            </w:r>
            <w:r w:rsidR="00367D50">
              <w:rPr>
                <w:rFonts w:cs="Times New Roman"/>
              </w:rPr>
              <w:t xml:space="preserve">ir </w:t>
            </w:r>
            <w:r w:rsidR="00367D50" w:rsidRPr="00692240">
              <w:t xml:space="preserve">2015 m. birželio 18 dieną </w:t>
            </w:r>
            <w:r>
              <w:rPr>
                <w:rFonts w:cs="Times New Roman"/>
              </w:rPr>
              <w:t xml:space="preserve">patvirtinti </w:t>
            </w:r>
            <w:r w:rsidR="00367D50" w:rsidRPr="00692240">
              <w:t>2014 – 2020 metų Europos Sąjungos fondų investicijų veiksmų programos stebėsenos komiteto posėdyje</w:t>
            </w:r>
            <w:r w:rsidR="00367D50">
              <w:t>.</w:t>
            </w:r>
            <w:r w:rsidR="00F90BE0">
              <w:t xml:space="preserve"> </w:t>
            </w:r>
            <w:r w:rsidR="00A81AC9">
              <w:t>S</w:t>
            </w:r>
            <w:r w:rsidR="00A81AC9" w:rsidRPr="00692240">
              <w:rPr>
                <w:rFonts w:cs="Times New Roman"/>
              </w:rPr>
              <w:t>pecialusis projektų atrankos kriterijus</w:t>
            </w:r>
            <w:r w:rsidR="00F90BE0">
              <w:rPr>
                <w:rFonts w:cs="Times New Roman"/>
              </w:rPr>
              <w:t>, numatantis atsipirkimo laikotarpį buvo patvirtintas toks</w:t>
            </w:r>
            <w:r>
              <w:rPr>
                <w:rFonts w:cs="Times New Roman"/>
              </w:rPr>
              <w:t xml:space="preserve">: </w:t>
            </w:r>
            <w:r w:rsidR="00A81AC9" w:rsidRPr="00692240">
              <w:rPr>
                <w:rFonts w:cs="Times New Roman"/>
              </w:rPr>
              <w:t xml:space="preserve">„kiekvienos projekte pasirinktos </w:t>
            </w:r>
            <w:r w:rsidR="00A81AC9" w:rsidRPr="00692240">
              <w:rPr>
                <w:rFonts w:cs="Times New Roman" w:hint="eastAsia"/>
              </w:rPr>
              <w:t>į</w:t>
            </w:r>
            <w:r w:rsidR="00A81AC9" w:rsidRPr="00692240">
              <w:rPr>
                <w:rFonts w:cs="Times New Roman"/>
              </w:rPr>
              <w:t>gyvendinti energijos efektyvumo didinimo priemon</w:t>
            </w:r>
            <w:r w:rsidR="00A81AC9" w:rsidRPr="00692240">
              <w:rPr>
                <w:rFonts w:cs="Times New Roman" w:hint="eastAsia"/>
              </w:rPr>
              <w:t>ė</w:t>
            </w:r>
            <w:r w:rsidR="00A81AC9" w:rsidRPr="00692240">
              <w:rPr>
                <w:rFonts w:cs="Times New Roman"/>
              </w:rPr>
              <w:t>s, nurodytos Vieš</w:t>
            </w:r>
            <w:r w:rsidR="00A81AC9" w:rsidRPr="00692240">
              <w:rPr>
                <w:rFonts w:cs="Times New Roman" w:hint="eastAsia"/>
              </w:rPr>
              <w:t>ų</w:t>
            </w:r>
            <w:r w:rsidR="00A81AC9" w:rsidRPr="00692240">
              <w:rPr>
                <w:rFonts w:cs="Times New Roman"/>
              </w:rPr>
              <w:t>j</w:t>
            </w:r>
            <w:r w:rsidR="00A81AC9" w:rsidRPr="00692240">
              <w:rPr>
                <w:rFonts w:cs="Times New Roman" w:hint="eastAsia"/>
              </w:rPr>
              <w:t>ų</w:t>
            </w:r>
            <w:r w:rsidR="00A81AC9" w:rsidRPr="00692240">
              <w:rPr>
                <w:rFonts w:cs="Times New Roman"/>
              </w:rPr>
              <w:t xml:space="preserve"> pastat</w:t>
            </w:r>
            <w:r w:rsidR="00A81AC9" w:rsidRPr="00692240">
              <w:rPr>
                <w:rFonts w:cs="Times New Roman" w:hint="eastAsia"/>
              </w:rPr>
              <w:t>ų</w:t>
            </w:r>
            <w:r w:rsidR="00A81AC9" w:rsidRPr="00692240">
              <w:rPr>
                <w:rFonts w:cs="Times New Roman"/>
              </w:rPr>
              <w:t xml:space="preserve"> energinio efektyvumo didinimo programos priede, paprastasis atsipirkimo laikas turi b</w:t>
            </w:r>
            <w:r w:rsidR="00A81AC9" w:rsidRPr="00692240">
              <w:rPr>
                <w:rFonts w:cs="Times New Roman" w:hint="eastAsia"/>
              </w:rPr>
              <w:t>ū</w:t>
            </w:r>
            <w:r w:rsidR="00A81AC9" w:rsidRPr="00692240">
              <w:rPr>
                <w:rFonts w:cs="Times New Roman"/>
              </w:rPr>
              <w:t>ti ne ilgesnis nei 25 metai“</w:t>
            </w:r>
            <w:r w:rsidR="00F90BE0">
              <w:rPr>
                <w:rFonts w:cs="Times New Roman"/>
              </w:rPr>
              <w:t>.</w:t>
            </w:r>
          </w:p>
          <w:p w:rsidR="00EA060D" w:rsidRDefault="00EF791D" w:rsidP="00EF791D">
            <w:pPr>
              <w:jc w:val="both"/>
              <w:rPr>
                <w:bCs/>
              </w:rPr>
            </w:pPr>
            <w:r>
              <w:rPr>
                <w:rFonts w:ascii="Times New Roman" w:eastAsia="Andale Sans UI" w:hAnsi="Times New Roman" w:cs="Tahoma"/>
                <w:szCs w:val="24"/>
                <w:lang w:eastAsia="en-US" w:bidi="en-US"/>
              </w:rPr>
              <w:t xml:space="preserve">      </w:t>
            </w:r>
            <w:r w:rsidR="00EA060D">
              <w:rPr>
                <w:bCs/>
              </w:rPr>
              <w:t xml:space="preserve">Pažymėtina, kad </w:t>
            </w:r>
            <w:r w:rsidR="00021108" w:rsidRPr="00692240">
              <w:rPr>
                <w:bCs/>
              </w:rPr>
              <w:t>projektus finansuojant priemonės Nr. 04.3.1-VIPA-V-101 „Valstybei nuosavyb</w:t>
            </w:r>
            <w:r w:rsidR="00021108" w:rsidRPr="00692240">
              <w:rPr>
                <w:rFonts w:hint="eastAsia"/>
                <w:bCs/>
              </w:rPr>
              <w:t>ė</w:t>
            </w:r>
            <w:r w:rsidR="00021108" w:rsidRPr="00692240">
              <w:rPr>
                <w:bCs/>
              </w:rPr>
              <w:t>s teise priklausan</w:t>
            </w:r>
            <w:r w:rsidR="00021108" w:rsidRPr="00692240">
              <w:rPr>
                <w:rFonts w:hint="eastAsia"/>
                <w:bCs/>
              </w:rPr>
              <w:t>č</w:t>
            </w:r>
            <w:r w:rsidR="00021108" w:rsidRPr="00692240">
              <w:rPr>
                <w:bCs/>
              </w:rPr>
              <w:t>i</w:t>
            </w:r>
            <w:r w:rsidR="00021108" w:rsidRPr="00692240">
              <w:rPr>
                <w:rFonts w:hint="eastAsia"/>
                <w:bCs/>
              </w:rPr>
              <w:t>ų</w:t>
            </w:r>
            <w:r w:rsidR="00021108" w:rsidRPr="00692240">
              <w:rPr>
                <w:bCs/>
              </w:rPr>
              <w:t xml:space="preserve"> pastat</w:t>
            </w:r>
            <w:r w:rsidR="00021108" w:rsidRPr="00692240">
              <w:rPr>
                <w:rFonts w:hint="eastAsia"/>
                <w:bCs/>
              </w:rPr>
              <w:t>ų</w:t>
            </w:r>
            <w:r w:rsidR="00021108" w:rsidRPr="00692240">
              <w:rPr>
                <w:bCs/>
              </w:rPr>
              <w:t xml:space="preserve"> atnaujinimas“ lėšomis</w:t>
            </w:r>
            <w:r w:rsidR="00EA060D">
              <w:rPr>
                <w:bCs/>
              </w:rPr>
              <w:t xml:space="preserve"> (</w:t>
            </w:r>
            <w:r w:rsidR="00021108" w:rsidRPr="00692240">
              <w:rPr>
                <w:bCs/>
              </w:rPr>
              <w:t>grąžinamosios subsidijos būdu</w:t>
            </w:r>
            <w:r w:rsidR="00EA060D">
              <w:rPr>
                <w:bCs/>
              </w:rPr>
              <w:t>)</w:t>
            </w:r>
            <w:r w:rsidR="00021108" w:rsidRPr="00692240">
              <w:rPr>
                <w:bCs/>
              </w:rPr>
              <w:t>, apribojant kiekvienos pasirinktos įgyvendinti energijos vartojimo efektyvumą didinančios priemonės paprastąjį atsipirkimo laiką, yra užtikrinamas</w:t>
            </w:r>
            <w:r w:rsidR="00EA060D">
              <w:rPr>
                <w:bCs/>
              </w:rPr>
              <w:t xml:space="preserve"> spartesnis lėšų sugrąžinimas ir greitesnis jų pakartotinis panaudojimas kitiems energijos efektyvumo projektams, tuo užtikrinant, kad </w:t>
            </w:r>
            <w:r w:rsidR="0030437F">
              <w:rPr>
                <w:bCs/>
              </w:rPr>
              <w:t xml:space="preserve">bus įgyvendinti </w:t>
            </w:r>
            <w:r>
              <w:rPr>
                <w:bCs/>
              </w:rPr>
              <w:t>Energijos e</w:t>
            </w:r>
            <w:r w:rsidR="00EA060D">
              <w:rPr>
                <w:bCs/>
              </w:rPr>
              <w:t xml:space="preserve">fektyvumo direktyvos </w:t>
            </w:r>
            <w:r>
              <w:rPr>
                <w:bCs/>
              </w:rPr>
              <w:t xml:space="preserve">Nr. 2012/27/ES </w:t>
            </w:r>
            <w:r w:rsidR="00EA060D">
              <w:rPr>
                <w:bCs/>
              </w:rPr>
              <w:t xml:space="preserve">tikslai iki 2020 metų ir pasiekti </w:t>
            </w:r>
            <w:r w:rsidR="0030437F">
              <w:t>2014-2020 m. Europos Sąjungos fondų investicijų v</w:t>
            </w:r>
            <w:r w:rsidR="00EA060D" w:rsidRPr="00692240">
              <w:rPr>
                <w:bCs/>
              </w:rPr>
              <w:t>eiksmų programos</w:t>
            </w:r>
            <w:r w:rsidR="00EA060D">
              <w:rPr>
                <w:bCs/>
              </w:rPr>
              <w:t xml:space="preserve"> </w:t>
            </w:r>
            <w:proofErr w:type="spellStart"/>
            <w:r w:rsidR="00EA060D">
              <w:rPr>
                <w:bCs/>
              </w:rPr>
              <w:t>stebėsenos</w:t>
            </w:r>
            <w:proofErr w:type="spellEnd"/>
            <w:r w:rsidR="00EA060D">
              <w:rPr>
                <w:bCs/>
              </w:rPr>
              <w:t xml:space="preserve"> rodikliai.</w:t>
            </w:r>
          </w:p>
          <w:p w:rsidR="003B4B9A" w:rsidRPr="00C74818" w:rsidRDefault="00EF791D" w:rsidP="00EA21BB">
            <w:pPr>
              <w:jc w:val="both"/>
              <w:rPr>
                <w:bCs/>
                <w:highlight w:val="yellow"/>
              </w:rPr>
            </w:pPr>
            <w:r>
              <w:t xml:space="preserve">      </w:t>
            </w:r>
            <w:r w:rsidR="00EA21BB">
              <w:t>Atkreipiant dėmesį į</w:t>
            </w:r>
            <w:r w:rsidR="003E0A16">
              <w:t xml:space="preserve"> </w:t>
            </w:r>
            <w:r w:rsidR="003E0A16" w:rsidRPr="00692240">
              <w:t>Lietuvos Respublikos energetikos ministro 2015 m. balandžio 29 d. įsakym</w:t>
            </w:r>
            <w:r w:rsidR="00EA21BB">
              <w:t>ą</w:t>
            </w:r>
            <w:r w:rsidR="003E0A16" w:rsidRPr="00692240">
              <w:t xml:space="preserve"> Nr. 1-111, primename, kad valstybei nuosavyb</w:t>
            </w:r>
            <w:r w:rsidR="003E0A16" w:rsidRPr="00692240">
              <w:rPr>
                <w:rFonts w:hint="eastAsia"/>
              </w:rPr>
              <w:t>ė</w:t>
            </w:r>
            <w:r w:rsidR="003E0A16" w:rsidRPr="00692240">
              <w:t>s teise priklausan</w:t>
            </w:r>
            <w:r w:rsidR="003E0A16" w:rsidRPr="00692240">
              <w:rPr>
                <w:rFonts w:hint="eastAsia"/>
              </w:rPr>
              <w:t>č</w:t>
            </w:r>
            <w:r w:rsidR="003E0A16" w:rsidRPr="00692240">
              <w:t>iuose šildomų ir (arba) v</w:t>
            </w:r>
            <w:r w:rsidR="003E0A16" w:rsidRPr="00692240">
              <w:rPr>
                <w:rFonts w:hint="eastAsia"/>
              </w:rPr>
              <w:t>ė</w:t>
            </w:r>
            <w:r w:rsidR="003E0A16" w:rsidRPr="00692240">
              <w:t xml:space="preserve">sinamų pastatų atnaujinimas taip pat bus finansuojamas pagal priemonę Nr. 04.3.1-FM-F-105 „Energijos </w:t>
            </w:r>
            <w:r w:rsidR="003E0A16" w:rsidRPr="00692240">
              <w:lastRenderedPageBreak/>
              <w:t>vartojimo efektyvumo didinimas viešojoje infrastruktūroje“. Taip pat pamin</w:t>
            </w:r>
            <w:r w:rsidR="003E0A16" w:rsidRPr="00692240">
              <w:rPr>
                <w:rFonts w:hint="eastAsia"/>
              </w:rPr>
              <w:t>ė</w:t>
            </w:r>
            <w:r w:rsidR="003E0A16" w:rsidRPr="00692240">
              <w:t>tina, kad min</w:t>
            </w:r>
            <w:r w:rsidR="003E0A16" w:rsidRPr="00692240">
              <w:rPr>
                <w:rFonts w:hint="eastAsia"/>
              </w:rPr>
              <w:t>ė</w:t>
            </w:r>
            <w:r w:rsidR="003E0A16" w:rsidRPr="00692240">
              <w:t>tas s</w:t>
            </w:r>
            <w:r w:rsidR="003E0A16" w:rsidRPr="00692240">
              <w:rPr>
                <w:rFonts w:hint="eastAsia"/>
              </w:rPr>
              <w:t>ą</w:t>
            </w:r>
            <w:r w:rsidR="003E0A16" w:rsidRPr="00692240">
              <w:t xml:space="preserve">rašas yra sudarytas vadovaujantis metodika, patvirtinta Lietuvos Respublikos energetikos ministro 2015 m. vasario 13 d. </w:t>
            </w:r>
            <w:r w:rsidR="003E0A16" w:rsidRPr="00692240">
              <w:rPr>
                <w:rFonts w:hint="eastAsia"/>
              </w:rPr>
              <w:t>į</w:t>
            </w:r>
            <w:r w:rsidR="003E0A16">
              <w:t>sakymu Nr. 1-42.</w:t>
            </w:r>
          </w:p>
        </w:tc>
      </w:tr>
      <w:tr w:rsidR="009B51CD" w:rsidRPr="00C674E2" w:rsidTr="003D30D8">
        <w:trPr>
          <w:trHeight w:val="415"/>
        </w:trPr>
        <w:tc>
          <w:tcPr>
            <w:tcW w:w="647" w:type="dxa"/>
            <w:tcBorders>
              <w:left w:val="single" w:sz="4" w:space="0" w:color="auto"/>
              <w:right w:val="single" w:sz="4" w:space="0" w:color="auto"/>
            </w:tcBorders>
          </w:tcPr>
          <w:p w:rsidR="009B51CD" w:rsidRDefault="009B51CD" w:rsidP="00C674E2">
            <w:pPr>
              <w:rPr>
                <w:rFonts w:ascii="Times New Roman" w:hAnsi="Times New Roman"/>
                <w:szCs w:val="24"/>
              </w:rPr>
            </w:pPr>
            <w:r>
              <w:rPr>
                <w:rFonts w:ascii="Times New Roman" w:hAnsi="Times New Roman"/>
                <w:szCs w:val="24"/>
              </w:rPr>
              <w:lastRenderedPageBreak/>
              <w:t>2.</w:t>
            </w:r>
          </w:p>
        </w:tc>
        <w:tc>
          <w:tcPr>
            <w:tcW w:w="6861" w:type="dxa"/>
            <w:tcBorders>
              <w:top w:val="single" w:sz="4" w:space="0" w:color="auto"/>
              <w:left w:val="single" w:sz="4" w:space="0" w:color="auto"/>
              <w:bottom w:val="single" w:sz="4" w:space="0" w:color="auto"/>
              <w:right w:val="single" w:sz="4" w:space="0" w:color="auto"/>
            </w:tcBorders>
          </w:tcPr>
          <w:p w:rsidR="005772EF" w:rsidRPr="00E24DD2" w:rsidRDefault="00BD372D" w:rsidP="005772EF">
            <w:pPr>
              <w:pStyle w:val="Default"/>
              <w:jc w:val="both"/>
              <w:rPr>
                <w:rFonts w:ascii="Times New Roman" w:hAnsi="Times New Roman" w:cs="Times New Roman"/>
              </w:rPr>
            </w:pPr>
            <w:r>
              <w:rPr>
                <w:rFonts w:ascii="Times New Roman" w:hAnsi="Times New Roman"/>
              </w:rPr>
              <w:t xml:space="preserve">     </w:t>
            </w:r>
            <w:r w:rsidR="005772EF" w:rsidRPr="00E24DD2">
              <w:rPr>
                <w:rFonts w:ascii="Times New Roman" w:hAnsi="Times New Roman"/>
              </w:rPr>
              <w:t xml:space="preserve">Aprašo 17 punkte trūksta išaiškinimo, kada projektas yra didelės apimties, ar kuo vadovaujantis projektas priskiriamas minėtam punktui.  </w:t>
            </w:r>
          </w:p>
          <w:p w:rsidR="009B51CD" w:rsidRPr="00656F28" w:rsidRDefault="009B51CD" w:rsidP="008666D2">
            <w:pPr>
              <w:spacing w:line="276" w:lineRule="auto"/>
              <w:jc w:val="both"/>
            </w:pPr>
          </w:p>
        </w:tc>
        <w:tc>
          <w:tcPr>
            <w:tcW w:w="7626" w:type="dxa"/>
            <w:tcBorders>
              <w:top w:val="single" w:sz="4" w:space="0" w:color="auto"/>
              <w:left w:val="single" w:sz="4" w:space="0" w:color="auto"/>
              <w:bottom w:val="single" w:sz="4" w:space="0" w:color="auto"/>
              <w:right w:val="single" w:sz="4" w:space="0" w:color="auto"/>
            </w:tcBorders>
          </w:tcPr>
          <w:p w:rsidR="00A9231A" w:rsidRDefault="00BD372D" w:rsidP="00BD372D">
            <w:pPr>
              <w:pStyle w:val="Pagrindinistekstas"/>
              <w:ind w:firstLine="0"/>
              <w:rPr>
                <w:color w:val="000000"/>
              </w:rPr>
            </w:pPr>
            <w:r>
              <w:rPr>
                <w:b/>
              </w:rPr>
              <w:t xml:space="preserve">     </w:t>
            </w:r>
            <w:r w:rsidR="009A02C6">
              <w:rPr>
                <w:b/>
              </w:rPr>
              <w:t>Neatsižvelgta</w:t>
            </w:r>
            <w:r w:rsidR="003E0A16">
              <w:rPr>
                <w:b/>
              </w:rPr>
              <w:t xml:space="preserve">. </w:t>
            </w:r>
            <w:r w:rsidR="003E0A16">
              <w:t xml:space="preserve"> P</w:t>
            </w:r>
            <w:r w:rsidR="000C05BE" w:rsidRPr="0020468E">
              <w:t>rojektų finansavimo sąlygų apraš</w:t>
            </w:r>
            <w:r w:rsidR="000C05BE">
              <w:t xml:space="preserve">o (toliau - PFSA) projekto </w:t>
            </w:r>
            <w:r w:rsidR="00A9231A" w:rsidRPr="00AD197C">
              <w:t>3 punkte nur</w:t>
            </w:r>
            <w:r w:rsidR="00AD197C">
              <w:t>o</w:t>
            </w:r>
            <w:r w:rsidR="00A9231A" w:rsidRPr="00AD197C">
              <w:t>dyta, jog</w:t>
            </w:r>
            <w:r w:rsidR="00A9231A">
              <w:rPr>
                <w:b/>
              </w:rPr>
              <w:t xml:space="preserve"> „</w:t>
            </w:r>
            <w:r w:rsidR="00A9231A" w:rsidRPr="000C71E1">
              <w:rPr>
                <w:rFonts w:cs="Times New Roman"/>
              </w:rPr>
              <w:t>Apraše vartojamos sąvokos suprantamos taip, kaip jos apibrėžtos Aprašo 2 punkte nurodytuose teisės aktuose</w:t>
            </w:r>
            <w:r w:rsidR="0030437F">
              <w:rPr>
                <w:rFonts w:cs="Times New Roman"/>
              </w:rPr>
              <w:t xml:space="preserve">“ ir </w:t>
            </w:r>
            <w:r>
              <w:rPr>
                <w:rFonts w:cs="Times New Roman"/>
              </w:rPr>
              <w:t xml:space="preserve">3 </w:t>
            </w:r>
            <w:r w:rsidR="0030437F">
              <w:rPr>
                <w:rFonts w:cs="Times New Roman"/>
              </w:rPr>
              <w:t>punkte nurodytuose dokumentuose</w:t>
            </w:r>
            <w:r w:rsidR="003E0A16">
              <w:rPr>
                <w:rFonts w:cs="Times New Roman"/>
              </w:rPr>
              <w:t xml:space="preserve">. Kadangi ši sąvoka yra apibrėžta viename iš teisės aktų </w:t>
            </w:r>
            <w:r w:rsidR="00A9231A" w:rsidRPr="000C71E1">
              <w:rPr>
                <w:rFonts w:cs="Times New Roman"/>
              </w:rPr>
              <w:t xml:space="preserve"> </w:t>
            </w:r>
            <w:r w:rsidR="00DD25CC" w:rsidRPr="000C71E1">
              <w:rPr>
                <w:rFonts w:cs="Times New Roman"/>
              </w:rPr>
              <w:t xml:space="preserve">Lietuvos Respublikos Vyriausybės 2014 m. birželio 4 d. nutarimu Nr. 528 </w:t>
            </w:r>
            <w:r w:rsidR="00DD25CC">
              <w:rPr>
                <w:rFonts w:cs="Times New Roman"/>
              </w:rPr>
              <w:t xml:space="preserve">patvirtintose </w:t>
            </w:r>
            <w:r w:rsidR="00A9231A" w:rsidRPr="000C71E1">
              <w:rPr>
                <w:rFonts w:cs="Times New Roman"/>
              </w:rPr>
              <w:t>Atsakomybės ir funkcijų paskirstymo tarp institucijų, įgyvendinant 2014–2020 metų Europos Sąjungos struktūrinių fondų veiksmų programą, taisyklėse</w:t>
            </w:r>
            <w:r w:rsidR="00DD25CC">
              <w:rPr>
                <w:rFonts w:cs="Times New Roman"/>
              </w:rPr>
              <w:t xml:space="preserve">, todėl PFSA ji nėra kartojama. Aiškumo dėlei informuojame, kad </w:t>
            </w:r>
            <w:r w:rsidR="00015B59">
              <w:rPr>
                <w:rStyle w:val="apple-converted-space"/>
                <w:color w:val="000000"/>
              </w:rPr>
              <w:t>„</w:t>
            </w:r>
            <w:r w:rsidR="00015B59" w:rsidRPr="00015B59">
              <w:rPr>
                <w:bCs/>
                <w:color w:val="000000"/>
              </w:rPr>
              <w:t xml:space="preserve">Iš Europos Sąjungos struktūrinių fondų lėšų bendrai finansuojamas </w:t>
            </w:r>
            <w:r w:rsidR="00015B59" w:rsidRPr="00AD197C">
              <w:rPr>
                <w:bCs/>
                <w:color w:val="000000"/>
              </w:rPr>
              <w:t>didelės apimties projektas</w:t>
            </w:r>
            <w:r w:rsidR="00015B59" w:rsidRPr="00015B59">
              <w:rPr>
                <w:rStyle w:val="apple-converted-space"/>
                <w:bCs/>
                <w:color w:val="000000"/>
              </w:rPr>
              <w:t> </w:t>
            </w:r>
            <w:r w:rsidR="00015B59">
              <w:rPr>
                <w:color w:val="000000"/>
              </w:rPr>
              <w:t>– iš Europos regioninės plėtros ir (arba) Sanglaudos fondų lėšų bendrai finansuojamas projektas, kurį įgyvendinant vykdomi darbai, veiksmai arba teikiamos paslaugos, skirti nedalomai ekonominei arba techninei užduočiai, kurios tikslai aiškiai nustatyti, atlikti, kai bendra tinkamų finansuoti išlaidų suma yra didesnė nei 50 mln. eurų, arba projektas, kuris prisideda prie teminio tikslo skatinti darnųjį transportą (angl.</w:t>
            </w:r>
            <w:r w:rsidR="00015B59">
              <w:rPr>
                <w:rStyle w:val="apple-converted-space"/>
                <w:color w:val="000000"/>
              </w:rPr>
              <w:t> </w:t>
            </w:r>
            <w:proofErr w:type="spellStart"/>
            <w:r w:rsidR="00015B59">
              <w:rPr>
                <w:i/>
                <w:iCs/>
                <w:color w:val="000000"/>
              </w:rPr>
              <w:t>sustainable</w:t>
            </w:r>
            <w:proofErr w:type="spellEnd"/>
            <w:r w:rsidR="00015B59">
              <w:rPr>
                <w:i/>
                <w:iCs/>
                <w:color w:val="000000"/>
              </w:rPr>
              <w:t xml:space="preserve"> </w:t>
            </w:r>
            <w:proofErr w:type="spellStart"/>
            <w:r w:rsidR="00015B59">
              <w:rPr>
                <w:i/>
                <w:iCs/>
                <w:color w:val="000000"/>
              </w:rPr>
              <w:t>transport</w:t>
            </w:r>
            <w:proofErr w:type="spellEnd"/>
            <w:r w:rsidR="00015B59">
              <w:rPr>
                <w:color w:val="000000"/>
              </w:rPr>
              <w:t>) ir šalinti pagrindinių tinklų infrastruktūros kliūtis ir kurio bendra tinkamų finansuoti išlaidų suma yra didesnė nei 75 mln. eurų. Finansines priemones apimantys projektai didelės apimties projektais nelaikomi.“</w:t>
            </w:r>
          </w:p>
          <w:p w:rsidR="00DE0DEA" w:rsidRPr="00FC38DD" w:rsidRDefault="00DE0DEA" w:rsidP="00BD372D">
            <w:pPr>
              <w:pStyle w:val="Pagrindinistekstas"/>
              <w:ind w:firstLine="0"/>
            </w:pPr>
          </w:p>
        </w:tc>
      </w:tr>
      <w:tr w:rsidR="008666D2" w:rsidRPr="00E32086" w:rsidTr="003D30D8">
        <w:trPr>
          <w:trHeight w:val="415"/>
        </w:trPr>
        <w:tc>
          <w:tcPr>
            <w:tcW w:w="647" w:type="dxa"/>
            <w:tcBorders>
              <w:left w:val="single" w:sz="4" w:space="0" w:color="auto"/>
              <w:right w:val="single" w:sz="4" w:space="0" w:color="auto"/>
            </w:tcBorders>
          </w:tcPr>
          <w:p w:rsidR="008666D2" w:rsidRPr="00E32086" w:rsidRDefault="009B51CD" w:rsidP="00C674E2">
            <w:pPr>
              <w:rPr>
                <w:rFonts w:ascii="Times New Roman" w:hAnsi="Times New Roman"/>
                <w:szCs w:val="24"/>
              </w:rPr>
            </w:pPr>
            <w:r w:rsidRPr="00E32086">
              <w:rPr>
                <w:rFonts w:ascii="Times New Roman" w:hAnsi="Times New Roman"/>
                <w:szCs w:val="24"/>
              </w:rPr>
              <w:t>3.</w:t>
            </w:r>
          </w:p>
        </w:tc>
        <w:tc>
          <w:tcPr>
            <w:tcW w:w="6861" w:type="dxa"/>
            <w:tcBorders>
              <w:top w:val="single" w:sz="4" w:space="0" w:color="auto"/>
              <w:left w:val="single" w:sz="4" w:space="0" w:color="auto"/>
              <w:bottom w:val="single" w:sz="4" w:space="0" w:color="auto"/>
              <w:right w:val="single" w:sz="4" w:space="0" w:color="auto"/>
            </w:tcBorders>
          </w:tcPr>
          <w:p w:rsidR="008666D2" w:rsidRPr="00E32086" w:rsidRDefault="00BD372D" w:rsidP="00E55F20">
            <w:pPr>
              <w:pStyle w:val="Sraopastraipa"/>
              <w:ind w:left="0"/>
              <w:jc w:val="both"/>
              <w:rPr>
                <w:rFonts w:ascii="Times New Roman" w:hAnsi="Times New Roman"/>
                <w:szCs w:val="24"/>
              </w:rPr>
            </w:pPr>
            <w:r>
              <w:rPr>
                <w:rFonts w:ascii="Times New Roman" w:hAnsi="Times New Roman"/>
                <w:color w:val="000000"/>
                <w:szCs w:val="24"/>
              </w:rPr>
              <w:t xml:space="preserve">      </w:t>
            </w:r>
            <w:r w:rsidR="00F266D7" w:rsidRPr="00E32086">
              <w:rPr>
                <w:rFonts w:ascii="Times New Roman" w:hAnsi="Times New Roman"/>
                <w:color w:val="000000"/>
                <w:szCs w:val="24"/>
              </w:rPr>
              <w:t xml:space="preserve">Aprašo 21 punkte numatyta, kad </w:t>
            </w:r>
            <w:r w:rsidR="00F266D7" w:rsidRPr="00E32086">
              <w:rPr>
                <w:rFonts w:ascii="Times New Roman" w:hAnsi="Times New Roman"/>
                <w:i/>
                <w:color w:val="000000"/>
                <w:szCs w:val="24"/>
              </w:rPr>
              <w:t xml:space="preserve">Projektas gali būti pradėtas įgyvendinti </w:t>
            </w:r>
            <w:r w:rsidR="00F266D7" w:rsidRPr="00E32086">
              <w:rPr>
                <w:rFonts w:ascii="Times New Roman" w:hAnsi="Times New Roman"/>
                <w:b/>
                <w:i/>
                <w:color w:val="000000"/>
                <w:szCs w:val="24"/>
              </w:rPr>
              <w:t>nuo paraiškos pateikimo įgyvendinančiajai institucijai dienos</w:t>
            </w:r>
            <w:r w:rsidR="00F266D7" w:rsidRPr="00E32086">
              <w:rPr>
                <w:rFonts w:ascii="Times New Roman" w:hAnsi="Times New Roman"/>
                <w:i/>
                <w:color w:val="000000"/>
                <w:szCs w:val="24"/>
              </w:rPr>
              <w:t>, tačiau projekto išlaidos iki finansavimo projektui skyrimo yra patiriamos pareiškėjo rizika</w:t>
            </w:r>
            <w:r w:rsidR="00F266D7" w:rsidRPr="00E32086">
              <w:rPr>
                <w:rFonts w:ascii="Times New Roman" w:hAnsi="Times New Roman"/>
                <w:color w:val="000000"/>
                <w:szCs w:val="24"/>
              </w:rPr>
              <w:t xml:space="preserve">, tačiau Aprašo 51.2 punkte nurodyta, kad &lt;.... </w:t>
            </w:r>
            <w:r w:rsidR="00F266D7" w:rsidRPr="00E32086">
              <w:rPr>
                <w:rFonts w:ascii="Times New Roman" w:hAnsi="Times New Roman"/>
                <w:i/>
                <w:szCs w:val="24"/>
              </w:rPr>
              <w:t xml:space="preserve">Aprašo 12 punkte nurodyti pareiškėjai gali pateikti išorės energijos vartojimo audito ataskaitą, </w:t>
            </w:r>
            <w:r w:rsidR="00F266D7" w:rsidRPr="00E32086">
              <w:rPr>
                <w:rFonts w:ascii="Times New Roman" w:hAnsi="Times New Roman"/>
                <w:b/>
                <w:i/>
                <w:szCs w:val="24"/>
              </w:rPr>
              <w:t>parengtą ne anksčiau, kaip iki 2014 sausio 1 d.</w:t>
            </w:r>
            <w:r w:rsidR="00F266D7" w:rsidRPr="00E32086">
              <w:rPr>
                <w:rFonts w:ascii="Times New Roman" w:hAnsi="Times New Roman"/>
                <w:szCs w:val="24"/>
              </w:rPr>
              <w:t xml:space="preserve">&gt;. </w:t>
            </w:r>
          </w:p>
        </w:tc>
        <w:tc>
          <w:tcPr>
            <w:tcW w:w="7626" w:type="dxa"/>
            <w:tcBorders>
              <w:top w:val="single" w:sz="4" w:space="0" w:color="auto"/>
              <w:left w:val="single" w:sz="4" w:space="0" w:color="auto"/>
              <w:bottom w:val="single" w:sz="4" w:space="0" w:color="auto"/>
              <w:right w:val="single" w:sz="4" w:space="0" w:color="auto"/>
            </w:tcBorders>
          </w:tcPr>
          <w:p w:rsidR="00F964F4" w:rsidRPr="00E32086" w:rsidRDefault="00326FEC" w:rsidP="00EE354C">
            <w:pPr>
              <w:pStyle w:val="Pagrindinistekstas"/>
              <w:ind w:firstLine="0"/>
              <w:rPr>
                <w:b/>
              </w:rPr>
            </w:pPr>
            <w:r>
              <w:rPr>
                <w:b/>
              </w:rPr>
              <w:t xml:space="preserve">     </w:t>
            </w:r>
            <w:r w:rsidR="00F964F4" w:rsidRPr="00E32086">
              <w:rPr>
                <w:b/>
              </w:rPr>
              <w:t>Atsižvelgta.</w:t>
            </w:r>
            <w:r w:rsidR="00BD372D">
              <w:rPr>
                <w:b/>
              </w:rPr>
              <w:t xml:space="preserve"> </w:t>
            </w:r>
          </w:p>
          <w:p w:rsidR="009B51CD" w:rsidRPr="00EE354C" w:rsidRDefault="00EE354C" w:rsidP="00EE354C">
            <w:pPr>
              <w:pStyle w:val="Pagrindinistekstas"/>
              <w:ind w:firstLine="0"/>
            </w:pPr>
            <w:r>
              <w:t xml:space="preserve">     </w:t>
            </w:r>
            <w:r w:rsidR="001C3A5E">
              <w:t xml:space="preserve">Vadovaujantis </w:t>
            </w:r>
            <w:r w:rsidR="00E40399" w:rsidRPr="00E32086">
              <w:t>P</w:t>
            </w:r>
            <w:r w:rsidR="009B51CD" w:rsidRPr="00E32086">
              <w:t>rojekt</w:t>
            </w:r>
            <w:r w:rsidR="009B51CD" w:rsidRPr="00E32086">
              <w:rPr>
                <w:rFonts w:hint="eastAsia"/>
              </w:rPr>
              <w:t>ų</w:t>
            </w:r>
            <w:r w:rsidR="009B51CD" w:rsidRPr="00E32086">
              <w:t xml:space="preserve"> administravimo ir finansavimo taisyklių</w:t>
            </w:r>
            <w:r w:rsidR="00E40399" w:rsidRPr="00E32086">
              <w:t xml:space="preserve">, patvirtintų </w:t>
            </w:r>
            <w:r w:rsidR="00E40399" w:rsidRPr="00E32086">
              <w:rPr>
                <w:rFonts w:cs="Times New Roman"/>
              </w:rPr>
              <w:t>Lietuvos Respublikos finansų ministro 2014 m. spalio 8 d. įsakymu Nr. 1K–316</w:t>
            </w:r>
            <w:r>
              <w:rPr>
                <w:rFonts w:cs="Times New Roman"/>
              </w:rPr>
              <w:t>,</w:t>
            </w:r>
            <w:r w:rsidR="009B51CD" w:rsidRPr="00E32086">
              <w:t xml:space="preserve"> 401.1 papunk</w:t>
            </w:r>
            <w:r w:rsidR="0035143C">
              <w:t xml:space="preserve">čiu </w:t>
            </w:r>
            <w:r w:rsidR="001C3A5E">
              <w:t xml:space="preserve">tinkamos išlaidos yra laikomos išlaidomis, patirtomis </w:t>
            </w:r>
            <w:r w:rsidR="009B51CD" w:rsidRPr="00E32086">
              <w:t>ir apmok</w:t>
            </w:r>
            <w:r w:rsidR="009B51CD" w:rsidRPr="00E32086">
              <w:rPr>
                <w:rFonts w:hint="eastAsia"/>
              </w:rPr>
              <w:t>ė</w:t>
            </w:r>
            <w:r w:rsidR="009B51CD" w:rsidRPr="00E32086">
              <w:t>to</w:t>
            </w:r>
            <w:r w:rsidR="001C3A5E">
              <w:t>mi</w:t>
            </w:r>
            <w:r w:rsidR="009B51CD" w:rsidRPr="00E32086">
              <w:t>s laikotarpiu nuo 2014 m. sausio 1 d. iki 2023 m. gruodžio 31 d., su s</w:t>
            </w:r>
            <w:r w:rsidR="009B51CD" w:rsidRPr="00E32086">
              <w:rPr>
                <w:rFonts w:hint="eastAsia"/>
              </w:rPr>
              <w:t>ą</w:t>
            </w:r>
            <w:r w:rsidR="009B51CD" w:rsidRPr="00E32086">
              <w:t>lyga, kad visos projekto veiklos n</w:t>
            </w:r>
            <w:r w:rsidR="009B51CD" w:rsidRPr="00E32086">
              <w:rPr>
                <w:rFonts w:hint="eastAsia"/>
              </w:rPr>
              <w:t>ė</w:t>
            </w:r>
            <w:r w:rsidR="009B51CD" w:rsidRPr="00E32086">
              <w:t>ra baigtos iki pareišk</w:t>
            </w:r>
            <w:r w:rsidR="009B51CD" w:rsidRPr="00E32086">
              <w:rPr>
                <w:rFonts w:hint="eastAsia"/>
              </w:rPr>
              <w:t>ė</w:t>
            </w:r>
            <w:r w:rsidR="009B51CD" w:rsidRPr="00E32086">
              <w:t>jui pateikiant paraišk</w:t>
            </w:r>
            <w:r w:rsidR="009B51CD" w:rsidRPr="00E32086">
              <w:rPr>
                <w:rFonts w:hint="eastAsia"/>
              </w:rPr>
              <w:t>ą</w:t>
            </w:r>
            <w:r w:rsidR="009B51CD" w:rsidRPr="00E32086">
              <w:t xml:space="preserve">. </w:t>
            </w:r>
            <w:r w:rsidR="001C3A5E">
              <w:t>(Valstybės pagalbos schemos  išankstinio derinimo su Europos Komisija atveju, tinkamos išlaidos būtų laikomos išlaidomis, patirtomis po sprendimo finansuoti projektą priėmimo.)</w:t>
            </w:r>
          </w:p>
        </w:tc>
      </w:tr>
      <w:tr w:rsidR="006942D5" w:rsidRPr="00E32086" w:rsidTr="003D30D8">
        <w:trPr>
          <w:trHeight w:val="415"/>
        </w:trPr>
        <w:tc>
          <w:tcPr>
            <w:tcW w:w="647" w:type="dxa"/>
            <w:tcBorders>
              <w:left w:val="single" w:sz="4" w:space="0" w:color="auto"/>
              <w:right w:val="single" w:sz="4" w:space="0" w:color="auto"/>
            </w:tcBorders>
          </w:tcPr>
          <w:p w:rsidR="006942D5" w:rsidRPr="00E32086" w:rsidRDefault="009D7BEB" w:rsidP="00C674E2">
            <w:pPr>
              <w:rPr>
                <w:rFonts w:ascii="Times New Roman" w:hAnsi="Times New Roman"/>
                <w:szCs w:val="24"/>
              </w:rPr>
            </w:pPr>
            <w:r w:rsidRPr="00E32086">
              <w:rPr>
                <w:rFonts w:ascii="Times New Roman" w:hAnsi="Times New Roman"/>
                <w:szCs w:val="24"/>
              </w:rPr>
              <w:lastRenderedPageBreak/>
              <w:t>4.</w:t>
            </w:r>
          </w:p>
        </w:tc>
        <w:tc>
          <w:tcPr>
            <w:tcW w:w="6861" w:type="dxa"/>
            <w:tcBorders>
              <w:top w:val="single" w:sz="4" w:space="0" w:color="auto"/>
              <w:left w:val="single" w:sz="4" w:space="0" w:color="auto"/>
              <w:bottom w:val="single" w:sz="4" w:space="0" w:color="auto"/>
              <w:right w:val="single" w:sz="4" w:space="0" w:color="auto"/>
            </w:tcBorders>
          </w:tcPr>
          <w:p w:rsidR="00F266D7" w:rsidRPr="00EE354C" w:rsidRDefault="00EE354C" w:rsidP="00F266D7">
            <w:pPr>
              <w:pStyle w:val="Sraopastraipa"/>
              <w:ind w:left="0"/>
              <w:jc w:val="both"/>
              <w:rPr>
                <w:rFonts w:ascii="Times New Roman" w:hAnsi="Times New Roman"/>
                <w:color w:val="000000"/>
                <w:szCs w:val="24"/>
              </w:rPr>
            </w:pPr>
            <w:r>
              <w:rPr>
                <w:rFonts w:ascii="Times New Roman" w:hAnsi="Times New Roman"/>
                <w:b/>
                <w:color w:val="000000"/>
                <w:szCs w:val="24"/>
              </w:rPr>
              <w:t xml:space="preserve">     </w:t>
            </w:r>
            <w:r w:rsidR="00F266D7" w:rsidRPr="00EE354C">
              <w:rPr>
                <w:rFonts w:ascii="Times New Roman" w:hAnsi="Times New Roman"/>
                <w:color w:val="000000"/>
                <w:szCs w:val="24"/>
              </w:rPr>
              <w:t xml:space="preserve">Aprašo 30 punkte nurodyta suma (4 mln. eurų) turėtų būtų padidinta bent iki 8 mln. eurų. </w:t>
            </w:r>
          </w:p>
        </w:tc>
        <w:tc>
          <w:tcPr>
            <w:tcW w:w="7626" w:type="dxa"/>
            <w:tcBorders>
              <w:top w:val="single" w:sz="4" w:space="0" w:color="auto"/>
              <w:left w:val="single" w:sz="4" w:space="0" w:color="auto"/>
              <w:bottom w:val="single" w:sz="4" w:space="0" w:color="auto"/>
              <w:right w:val="single" w:sz="4" w:space="0" w:color="auto"/>
            </w:tcBorders>
          </w:tcPr>
          <w:p w:rsidR="006B491C" w:rsidRDefault="00326FEC" w:rsidP="00551DD5">
            <w:pPr>
              <w:pStyle w:val="Pagrindinistekstas"/>
              <w:ind w:firstLine="0"/>
              <w:rPr>
                <w:b/>
              </w:rPr>
            </w:pPr>
            <w:r>
              <w:rPr>
                <w:b/>
              </w:rPr>
              <w:t xml:space="preserve">     </w:t>
            </w:r>
            <w:r w:rsidR="006B491C">
              <w:rPr>
                <w:b/>
              </w:rPr>
              <w:t>A</w:t>
            </w:r>
            <w:r w:rsidR="006B491C" w:rsidRPr="00551DD5">
              <w:rPr>
                <w:b/>
              </w:rPr>
              <w:t>tsižvelgta iš dalies.</w:t>
            </w:r>
            <w:r w:rsidR="006B491C">
              <w:rPr>
                <w:b/>
              </w:rPr>
              <w:t xml:space="preserve"> </w:t>
            </w:r>
          </w:p>
          <w:p w:rsidR="0020468E" w:rsidRPr="006B491C" w:rsidRDefault="006B491C" w:rsidP="006B491C">
            <w:pPr>
              <w:pStyle w:val="Pagrindinistekstas"/>
              <w:ind w:firstLine="0"/>
              <w:rPr>
                <w:highlight w:val="yellow"/>
              </w:rPr>
            </w:pPr>
            <w:r w:rsidRPr="006B491C">
              <w:t>PFSA nurodyta suma kult</w:t>
            </w:r>
            <w:r w:rsidRPr="006B491C">
              <w:rPr>
                <w:rFonts w:hint="eastAsia"/>
              </w:rPr>
              <w:t>ū</w:t>
            </w:r>
            <w:r w:rsidRPr="006B491C">
              <w:t>ros paveldo pastatų</w:t>
            </w:r>
            <w:r>
              <w:t xml:space="preserve"> atnaujinimo projektams</w:t>
            </w:r>
            <w:r w:rsidRPr="006B491C">
              <w:t xml:space="preserve"> </w:t>
            </w:r>
            <w:r>
              <w:t>6 mln. eurų.</w:t>
            </w:r>
          </w:p>
        </w:tc>
      </w:tr>
      <w:tr w:rsidR="009443A6" w:rsidRPr="00E32086" w:rsidTr="00EE354C">
        <w:trPr>
          <w:trHeight w:val="2447"/>
        </w:trPr>
        <w:tc>
          <w:tcPr>
            <w:tcW w:w="647" w:type="dxa"/>
            <w:vMerge w:val="restart"/>
            <w:tcBorders>
              <w:left w:val="single" w:sz="4" w:space="0" w:color="auto"/>
              <w:right w:val="single" w:sz="4" w:space="0" w:color="auto"/>
            </w:tcBorders>
          </w:tcPr>
          <w:p w:rsidR="009443A6" w:rsidRPr="00E32086" w:rsidRDefault="009443A6" w:rsidP="00C674E2">
            <w:pPr>
              <w:rPr>
                <w:rFonts w:ascii="Times New Roman" w:hAnsi="Times New Roman"/>
                <w:szCs w:val="24"/>
              </w:rPr>
            </w:pPr>
            <w:r w:rsidRPr="00E32086">
              <w:rPr>
                <w:rFonts w:ascii="Times New Roman" w:hAnsi="Times New Roman"/>
                <w:szCs w:val="24"/>
              </w:rPr>
              <w:t>5.</w:t>
            </w:r>
          </w:p>
        </w:tc>
        <w:tc>
          <w:tcPr>
            <w:tcW w:w="6861" w:type="dxa"/>
            <w:tcBorders>
              <w:top w:val="single" w:sz="4" w:space="0" w:color="auto"/>
              <w:left w:val="single" w:sz="4" w:space="0" w:color="auto"/>
              <w:bottom w:val="single" w:sz="4" w:space="0" w:color="auto"/>
              <w:right w:val="single" w:sz="4" w:space="0" w:color="auto"/>
            </w:tcBorders>
          </w:tcPr>
          <w:p w:rsidR="009443A6" w:rsidRPr="00E32086" w:rsidRDefault="00326FEC" w:rsidP="005A12CA">
            <w:pPr>
              <w:spacing w:before="120" w:after="240"/>
              <w:jc w:val="both"/>
            </w:pPr>
            <w:r>
              <w:rPr>
                <w:rFonts w:ascii="Times New Roman" w:hAnsi="Times New Roman"/>
                <w:szCs w:val="24"/>
              </w:rPr>
              <w:t xml:space="preserve">     </w:t>
            </w:r>
            <w:r w:rsidR="009443A6" w:rsidRPr="00E32086">
              <w:rPr>
                <w:rFonts w:ascii="Times New Roman" w:hAnsi="Times New Roman"/>
                <w:szCs w:val="24"/>
              </w:rPr>
              <w:t xml:space="preserve">5.1. Aprašo 34 punkte prie tinkamų finansuoti išlaidų nėra įtrauktos įrangos įsigijimo išlaidos (energiją taupantys įrenginiai), kaip tuo tarpu Aprašo 26 punkte, nuodyta &lt;.. padidintas pastatų energinis efektyvumas ir sumažintos metinės pirminės ir galutinės energijos sąnaudos..&gt;.  </w:t>
            </w:r>
            <w:r w:rsidR="009443A6" w:rsidRPr="00E32086">
              <w:rPr>
                <w:rFonts w:ascii="Times New Roman" w:hAnsi="Times New Roman"/>
                <w:b/>
                <w:szCs w:val="24"/>
              </w:rPr>
              <w:t xml:space="preserve">Atsižvelgiant į tai, energiją taupantys įrenginiai turėtų būti priskirti ir įtraukti į tinkamą išlaidų biudžetą.  </w:t>
            </w:r>
          </w:p>
        </w:tc>
        <w:tc>
          <w:tcPr>
            <w:tcW w:w="7626" w:type="dxa"/>
            <w:tcBorders>
              <w:top w:val="single" w:sz="4" w:space="0" w:color="auto"/>
              <w:left w:val="single" w:sz="4" w:space="0" w:color="auto"/>
              <w:bottom w:val="single" w:sz="4" w:space="0" w:color="auto"/>
              <w:right w:val="single" w:sz="4" w:space="0" w:color="auto"/>
            </w:tcBorders>
          </w:tcPr>
          <w:p w:rsidR="009443A6" w:rsidRDefault="00326FEC" w:rsidP="009A02C6">
            <w:pPr>
              <w:pStyle w:val="Pagrindinistekstas"/>
              <w:ind w:firstLine="0"/>
              <w:rPr>
                <w:rFonts w:eastAsia="Times New Roman"/>
                <w:lang w:eastAsia="lt-LT"/>
              </w:rPr>
            </w:pPr>
            <w:r>
              <w:rPr>
                <w:rFonts w:eastAsia="Times New Roman"/>
                <w:b/>
                <w:lang w:eastAsia="lt-LT"/>
              </w:rPr>
              <w:t xml:space="preserve">     </w:t>
            </w:r>
            <w:r w:rsidR="009A02C6" w:rsidRPr="00E32086">
              <w:rPr>
                <w:rFonts w:eastAsia="Times New Roman"/>
                <w:b/>
                <w:lang w:eastAsia="lt-LT"/>
              </w:rPr>
              <w:t xml:space="preserve">Neatsižvelgta, </w:t>
            </w:r>
            <w:r w:rsidR="009A02C6" w:rsidRPr="00E32086">
              <w:rPr>
                <w:rFonts w:eastAsia="Times New Roman"/>
                <w:lang w:eastAsia="lt-LT"/>
              </w:rPr>
              <w:t>k</w:t>
            </w:r>
            <w:r w:rsidR="00947E87" w:rsidRPr="00E32086">
              <w:rPr>
                <w:rFonts w:eastAsia="Times New Roman"/>
                <w:lang w:eastAsia="lt-LT"/>
              </w:rPr>
              <w:t>adangi</w:t>
            </w:r>
            <w:r w:rsidR="009443A6" w:rsidRPr="00E32086">
              <w:rPr>
                <w:rFonts w:eastAsia="Times New Roman"/>
                <w:lang w:eastAsia="lt-LT"/>
              </w:rPr>
              <w:t xml:space="preserve"> </w:t>
            </w:r>
            <w:r w:rsidR="00A94BA9" w:rsidRPr="00E32086">
              <w:rPr>
                <w:rFonts w:eastAsia="Times New Roman"/>
                <w:lang w:eastAsia="lt-LT"/>
              </w:rPr>
              <w:t>pagal šį aprašą bus finansuojamos Vieš</w:t>
            </w:r>
            <w:r w:rsidR="00A94BA9" w:rsidRPr="00E32086">
              <w:rPr>
                <w:rFonts w:eastAsia="Times New Roman" w:hint="eastAsia"/>
                <w:lang w:eastAsia="lt-LT"/>
              </w:rPr>
              <w:t>ų</w:t>
            </w:r>
            <w:r w:rsidR="00A94BA9" w:rsidRPr="00E32086">
              <w:rPr>
                <w:rFonts w:eastAsia="Times New Roman"/>
                <w:lang w:eastAsia="lt-LT"/>
              </w:rPr>
              <w:t>j</w:t>
            </w:r>
            <w:r w:rsidR="00A94BA9" w:rsidRPr="00E32086">
              <w:rPr>
                <w:rFonts w:eastAsia="Times New Roman" w:hint="eastAsia"/>
                <w:lang w:eastAsia="lt-LT"/>
              </w:rPr>
              <w:t>ų</w:t>
            </w:r>
            <w:r w:rsidR="00A94BA9" w:rsidRPr="00E32086">
              <w:rPr>
                <w:rFonts w:eastAsia="Times New Roman"/>
                <w:lang w:eastAsia="lt-LT"/>
              </w:rPr>
              <w:t xml:space="preserve"> pastat</w:t>
            </w:r>
            <w:r w:rsidR="00A94BA9" w:rsidRPr="00E32086">
              <w:rPr>
                <w:rFonts w:eastAsia="Times New Roman" w:hint="eastAsia"/>
                <w:lang w:eastAsia="lt-LT"/>
              </w:rPr>
              <w:t>ų</w:t>
            </w:r>
            <w:r w:rsidR="00A94BA9" w:rsidRPr="00E32086">
              <w:rPr>
                <w:rFonts w:eastAsia="Times New Roman"/>
                <w:lang w:eastAsia="lt-LT"/>
              </w:rPr>
              <w:t xml:space="preserve"> energinio efektyvumo didinimo programoje</w:t>
            </w:r>
            <w:r w:rsidR="001A2E4D" w:rsidRPr="00E32086">
              <w:rPr>
                <w:rFonts w:eastAsia="Times New Roman"/>
                <w:lang w:eastAsia="lt-LT"/>
              </w:rPr>
              <w:t>, patvirtintoje Lietuvos Respublikos Vyriausyb</w:t>
            </w:r>
            <w:r w:rsidR="001A2E4D" w:rsidRPr="00E32086">
              <w:rPr>
                <w:rFonts w:eastAsia="Times New Roman" w:hint="eastAsia"/>
                <w:lang w:eastAsia="lt-LT"/>
              </w:rPr>
              <w:t>ė</w:t>
            </w:r>
            <w:r w:rsidR="001A2E4D" w:rsidRPr="00E32086">
              <w:rPr>
                <w:rFonts w:eastAsia="Times New Roman"/>
                <w:lang w:eastAsia="lt-LT"/>
              </w:rPr>
              <w:t>s 2014 m. lapkri</w:t>
            </w:r>
            <w:r w:rsidR="001A2E4D" w:rsidRPr="00E32086">
              <w:rPr>
                <w:rFonts w:eastAsia="Times New Roman" w:hint="eastAsia"/>
                <w:lang w:eastAsia="lt-LT"/>
              </w:rPr>
              <w:t>č</w:t>
            </w:r>
            <w:r w:rsidR="001A2E4D" w:rsidRPr="00E32086">
              <w:rPr>
                <w:rFonts w:eastAsia="Times New Roman"/>
                <w:lang w:eastAsia="lt-LT"/>
              </w:rPr>
              <w:t>io 26 d. nutarimu Nr. 1328,</w:t>
            </w:r>
            <w:r w:rsidR="00A94BA9" w:rsidRPr="00E32086">
              <w:rPr>
                <w:rFonts w:eastAsia="Times New Roman"/>
                <w:lang w:eastAsia="lt-LT"/>
              </w:rPr>
              <w:t xml:space="preserve"> nurodytos energijos vartojimo efektyvumą didinančios priemon</w:t>
            </w:r>
            <w:r w:rsidR="00A94BA9" w:rsidRPr="00E32086">
              <w:rPr>
                <w:rFonts w:eastAsia="Times New Roman" w:hint="eastAsia"/>
                <w:lang w:eastAsia="lt-LT"/>
              </w:rPr>
              <w:t>ė</w:t>
            </w:r>
            <w:r w:rsidR="00A94BA9" w:rsidRPr="00E32086">
              <w:rPr>
                <w:rFonts w:eastAsia="Times New Roman"/>
                <w:lang w:eastAsia="lt-LT"/>
              </w:rPr>
              <w:t>s</w:t>
            </w:r>
            <w:r w:rsidR="001A2E4D" w:rsidRPr="00E32086">
              <w:rPr>
                <w:rFonts w:eastAsia="Times New Roman"/>
                <w:lang w:eastAsia="lt-LT"/>
              </w:rPr>
              <w:t xml:space="preserve">, kurios, </w:t>
            </w:r>
            <w:r w:rsidR="00947E87" w:rsidRPr="00E32086">
              <w:rPr>
                <w:rFonts w:eastAsia="Times New Roman"/>
                <w:lang w:eastAsia="lt-LT"/>
              </w:rPr>
              <w:t>kaip tai nurodyta priemonių finansavimo sąlygų apraše</w:t>
            </w:r>
            <w:r w:rsidR="001A2E4D" w:rsidRPr="00E32086">
              <w:rPr>
                <w:rFonts w:eastAsia="Times New Roman"/>
                <w:lang w:eastAsia="lt-LT"/>
              </w:rPr>
              <w:t>,</w:t>
            </w:r>
            <w:r w:rsidR="00947E87" w:rsidRPr="00E32086">
              <w:rPr>
                <w:rFonts w:eastAsia="Times New Roman"/>
                <w:lang w:eastAsia="lt-LT"/>
              </w:rPr>
              <w:t xml:space="preserve"> bus finansuojamos pagal eilutę „Statyba, rekonstra</w:t>
            </w:r>
            <w:r w:rsidR="00A94BA9" w:rsidRPr="00E32086">
              <w:rPr>
                <w:rFonts w:eastAsia="Times New Roman"/>
                <w:lang w:eastAsia="lt-LT"/>
              </w:rPr>
              <w:t>vimas, remontas ir kiti darbai“. Atkreiptinas dėmesys, kad jeigu norima finansuoti priemonė nėra pastato inžinerini</w:t>
            </w:r>
            <w:r w:rsidR="00A94BA9" w:rsidRPr="00E32086">
              <w:rPr>
                <w:rFonts w:eastAsia="Times New Roman" w:hint="eastAsia"/>
                <w:lang w:eastAsia="lt-LT"/>
              </w:rPr>
              <w:t>ų</w:t>
            </w:r>
            <w:r w:rsidR="00A94BA9" w:rsidRPr="00E32086">
              <w:rPr>
                <w:rFonts w:eastAsia="Times New Roman"/>
                <w:lang w:eastAsia="lt-LT"/>
              </w:rPr>
              <w:t xml:space="preserve"> sistem</w:t>
            </w:r>
            <w:r w:rsidR="00A94BA9" w:rsidRPr="00E32086">
              <w:rPr>
                <w:rFonts w:eastAsia="Times New Roman" w:hint="eastAsia"/>
                <w:lang w:eastAsia="lt-LT"/>
              </w:rPr>
              <w:t>ų</w:t>
            </w:r>
            <w:r w:rsidR="00A94BA9" w:rsidRPr="00E32086">
              <w:rPr>
                <w:rFonts w:eastAsia="Times New Roman"/>
                <w:lang w:eastAsia="lt-LT"/>
              </w:rPr>
              <w:t xml:space="preserve"> dalis</w:t>
            </w:r>
            <w:r w:rsidR="001761C7">
              <w:rPr>
                <w:rFonts w:eastAsia="Times New Roman"/>
                <w:lang w:eastAsia="lt-LT"/>
              </w:rPr>
              <w:t>,</w:t>
            </w:r>
            <w:r w:rsidR="00A94BA9" w:rsidRPr="00E32086">
              <w:rPr>
                <w:rFonts w:eastAsia="Times New Roman"/>
                <w:lang w:eastAsia="lt-LT"/>
              </w:rPr>
              <w:t xml:space="preserve"> tokiu atveju ji</w:t>
            </w:r>
            <w:r w:rsidR="00C81B72" w:rsidRPr="00E32086">
              <w:rPr>
                <w:rFonts w:eastAsia="Times New Roman"/>
                <w:lang w:eastAsia="lt-LT"/>
              </w:rPr>
              <w:t xml:space="preserve"> nėra t</w:t>
            </w:r>
            <w:r w:rsidR="00A94BA9" w:rsidRPr="00E32086">
              <w:rPr>
                <w:rFonts w:eastAsia="Times New Roman"/>
                <w:lang w:eastAsia="lt-LT"/>
              </w:rPr>
              <w:t>inkama finansuoti.</w:t>
            </w:r>
          </w:p>
          <w:p w:rsidR="00A34837" w:rsidRPr="00E32086" w:rsidRDefault="00A34837" w:rsidP="009A02C6">
            <w:pPr>
              <w:pStyle w:val="Pagrindinistekstas"/>
              <w:ind w:firstLine="0"/>
              <w:rPr>
                <w:rFonts w:eastAsia="Times New Roman"/>
                <w:lang w:eastAsia="lt-LT"/>
              </w:rPr>
            </w:pPr>
            <w:r w:rsidRPr="00A34837">
              <w:rPr>
                <w:rFonts w:eastAsia="Times New Roman"/>
                <w:lang w:eastAsia="lt-LT"/>
              </w:rPr>
              <w:t>Pagal STR 2.01.09:2012 „Pastat</w:t>
            </w:r>
            <w:r w:rsidRPr="00A34837">
              <w:rPr>
                <w:rFonts w:eastAsia="Times New Roman" w:hint="eastAsia"/>
                <w:lang w:eastAsia="lt-LT"/>
              </w:rPr>
              <w:t>ų</w:t>
            </w:r>
            <w:r w:rsidRPr="00A34837">
              <w:rPr>
                <w:rFonts w:eastAsia="Times New Roman"/>
                <w:lang w:eastAsia="lt-LT"/>
              </w:rPr>
              <w:t xml:space="preserve"> energinis naudingumas. Energinio naudingumo sertifikavimas“, patvirtintu Lietuvos Respublikos aplinkos ministro 2012 m. rugpj</w:t>
            </w:r>
            <w:r w:rsidRPr="00A34837">
              <w:rPr>
                <w:rFonts w:eastAsia="Times New Roman" w:hint="eastAsia"/>
                <w:lang w:eastAsia="lt-LT"/>
              </w:rPr>
              <w:t>ūč</w:t>
            </w:r>
            <w:r w:rsidR="00950F5A">
              <w:rPr>
                <w:rFonts w:eastAsia="Times New Roman"/>
                <w:lang w:eastAsia="lt-LT"/>
              </w:rPr>
              <w:t xml:space="preserve">io 21 d. </w:t>
            </w:r>
            <w:r w:rsidRPr="00A34837">
              <w:rPr>
                <w:rFonts w:eastAsia="Times New Roman" w:hint="eastAsia"/>
                <w:lang w:eastAsia="lt-LT"/>
              </w:rPr>
              <w:t>į</w:t>
            </w:r>
            <w:r w:rsidRPr="00A34837">
              <w:rPr>
                <w:rFonts w:eastAsia="Times New Roman"/>
                <w:lang w:eastAsia="lt-LT"/>
              </w:rPr>
              <w:t xml:space="preserve">sakymu Nr. D1-674, scenos apšvietimo </w:t>
            </w:r>
            <w:r w:rsidRPr="00A34837">
              <w:rPr>
                <w:rFonts w:eastAsia="Times New Roman" w:hint="eastAsia"/>
                <w:lang w:eastAsia="lt-LT"/>
              </w:rPr>
              <w:t>į</w:t>
            </w:r>
            <w:r w:rsidRPr="00A34837">
              <w:rPr>
                <w:rFonts w:eastAsia="Times New Roman"/>
                <w:lang w:eastAsia="lt-LT"/>
              </w:rPr>
              <w:t>renginiai n</w:t>
            </w:r>
            <w:r w:rsidRPr="00A34837">
              <w:rPr>
                <w:rFonts w:eastAsia="Times New Roman" w:hint="eastAsia"/>
                <w:lang w:eastAsia="lt-LT"/>
              </w:rPr>
              <w:t>ė</w:t>
            </w:r>
            <w:r w:rsidRPr="00A34837">
              <w:rPr>
                <w:rFonts w:eastAsia="Times New Roman"/>
                <w:lang w:eastAsia="lt-LT"/>
              </w:rPr>
              <w:t>ra vertinami, nustatant pastato energin</w:t>
            </w:r>
            <w:r w:rsidRPr="00A34837">
              <w:rPr>
                <w:rFonts w:eastAsia="Times New Roman" w:hint="eastAsia"/>
                <w:lang w:eastAsia="lt-LT"/>
              </w:rPr>
              <w:t>ę</w:t>
            </w:r>
            <w:r w:rsidRPr="00A34837">
              <w:rPr>
                <w:rFonts w:eastAsia="Times New Roman"/>
                <w:lang w:eastAsia="lt-LT"/>
              </w:rPr>
              <w:t xml:space="preserve"> klas</w:t>
            </w:r>
            <w:r w:rsidRPr="00A34837">
              <w:rPr>
                <w:rFonts w:eastAsia="Times New Roman" w:hint="eastAsia"/>
                <w:lang w:eastAsia="lt-LT"/>
              </w:rPr>
              <w:t>ę</w:t>
            </w:r>
            <w:r w:rsidRPr="00A34837">
              <w:rPr>
                <w:rFonts w:eastAsia="Times New Roman"/>
                <w:lang w:eastAsia="lt-LT"/>
              </w:rPr>
              <w:t>.</w:t>
            </w:r>
          </w:p>
        </w:tc>
      </w:tr>
      <w:tr w:rsidR="009443A6" w:rsidRPr="00E32086" w:rsidTr="00B57D35">
        <w:trPr>
          <w:trHeight w:val="2730"/>
        </w:trPr>
        <w:tc>
          <w:tcPr>
            <w:tcW w:w="647" w:type="dxa"/>
            <w:vMerge/>
            <w:tcBorders>
              <w:left w:val="single" w:sz="4" w:space="0" w:color="auto"/>
              <w:right w:val="single" w:sz="4" w:space="0" w:color="auto"/>
            </w:tcBorders>
          </w:tcPr>
          <w:p w:rsidR="009443A6" w:rsidRPr="00E32086" w:rsidRDefault="009443A6" w:rsidP="00C674E2">
            <w:pPr>
              <w:rPr>
                <w:rFonts w:ascii="Times New Roman" w:hAnsi="Times New Roman"/>
                <w:szCs w:val="24"/>
              </w:rPr>
            </w:pPr>
          </w:p>
        </w:tc>
        <w:tc>
          <w:tcPr>
            <w:tcW w:w="6861" w:type="dxa"/>
            <w:tcBorders>
              <w:top w:val="single" w:sz="4" w:space="0" w:color="auto"/>
              <w:left w:val="single" w:sz="4" w:space="0" w:color="auto"/>
              <w:bottom w:val="single" w:sz="4" w:space="0" w:color="auto"/>
              <w:right w:val="single" w:sz="4" w:space="0" w:color="auto"/>
            </w:tcBorders>
          </w:tcPr>
          <w:p w:rsidR="00B57D35" w:rsidRPr="00E32086" w:rsidRDefault="00326FEC" w:rsidP="005A12CA">
            <w:pPr>
              <w:spacing w:before="120" w:after="120"/>
              <w:jc w:val="both"/>
              <w:rPr>
                <w:rFonts w:ascii="Times New Roman" w:hAnsi="Times New Roman"/>
                <w:b/>
                <w:szCs w:val="24"/>
              </w:rPr>
            </w:pPr>
            <w:r>
              <w:rPr>
                <w:rFonts w:ascii="Times New Roman" w:hAnsi="Times New Roman"/>
                <w:szCs w:val="24"/>
              </w:rPr>
              <w:t xml:space="preserve">     </w:t>
            </w:r>
            <w:r w:rsidR="009443A6" w:rsidRPr="00E32086">
              <w:rPr>
                <w:rFonts w:ascii="Times New Roman" w:hAnsi="Times New Roman"/>
                <w:szCs w:val="24"/>
              </w:rPr>
              <w:t xml:space="preserve">5.2. Aprašo 34 punkte prie tinkamų finansuoti išlaidų nėra įtrauktos pirkimo ir pirkimo procedūrų parengimo dokumentai (konsultacijų teikimas). Atsižvelgiant į tai, kad paraiškų teikėjai neturi pakankamai patirties įgyvendinant tokio pobūdžio projektus bei siekiant išvengti pirkimo procedūrų pažeidimų, ko </w:t>
            </w:r>
            <w:proofErr w:type="spellStart"/>
            <w:r w:rsidR="009443A6" w:rsidRPr="00E32086">
              <w:rPr>
                <w:rFonts w:ascii="Times New Roman" w:hAnsi="Times New Roman"/>
                <w:szCs w:val="24"/>
              </w:rPr>
              <w:t>pasekoje</w:t>
            </w:r>
            <w:proofErr w:type="spellEnd"/>
            <w:r w:rsidR="009443A6" w:rsidRPr="00E32086">
              <w:rPr>
                <w:rFonts w:ascii="Times New Roman" w:hAnsi="Times New Roman"/>
                <w:szCs w:val="24"/>
              </w:rPr>
              <w:t xml:space="preserve"> paraiškų teikėjai gali pasiekti nuostolių (korekcijų taikymas ir pan.), rekomenduotume, kad </w:t>
            </w:r>
            <w:r w:rsidR="009443A6" w:rsidRPr="00E32086">
              <w:rPr>
                <w:rFonts w:ascii="Times New Roman" w:hAnsi="Times New Roman"/>
                <w:b/>
                <w:szCs w:val="24"/>
              </w:rPr>
              <w:t xml:space="preserve">pirkimo dokumentų parengimo ar konsultacijų teikimas pirkimo procedūrų klausimais paslaugos būtų </w:t>
            </w:r>
            <w:r w:rsidR="00B57D35" w:rsidRPr="00E32086">
              <w:rPr>
                <w:rFonts w:ascii="Times New Roman" w:hAnsi="Times New Roman"/>
                <w:b/>
                <w:szCs w:val="24"/>
              </w:rPr>
              <w:t>prie tinkamų finansuoti išlaidų.</w:t>
            </w:r>
          </w:p>
        </w:tc>
        <w:tc>
          <w:tcPr>
            <w:tcW w:w="7626" w:type="dxa"/>
            <w:tcBorders>
              <w:top w:val="single" w:sz="4" w:space="0" w:color="auto"/>
              <w:left w:val="single" w:sz="4" w:space="0" w:color="auto"/>
              <w:bottom w:val="single" w:sz="4" w:space="0" w:color="auto"/>
              <w:right w:val="single" w:sz="4" w:space="0" w:color="auto"/>
            </w:tcBorders>
          </w:tcPr>
          <w:p w:rsidR="009443A6" w:rsidRDefault="00326FEC" w:rsidP="00CF2826">
            <w:pPr>
              <w:pStyle w:val="Pagrindinistekstas"/>
              <w:ind w:firstLine="0"/>
            </w:pPr>
            <w:r>
              <w:rPr>
                <w:rFonts w:eastAsia="Times New Roman"/>
                <w:b/>
                <w:lang w:eastAsia="lt-LT"/>
              </w:rPr>
              <w:t xml:space="preserve">     </w:t>
            </w:r>
            <w:r w:rsidR="00C3068D" w:rsidRPr="00C3068D">
              <w:rPr>
                <w:rFonts w:eastAsia="Times New Roman"/>
                <w:b/>
                <w:lang w:eastAsia="lt-LT"/>
              </w:rPr>
              <w:t>Neatsižvelgta,</w:t>
            </w:r>
            <w:r w:rsidR="00C3068D">
              <w:rPr>
                <w:rFonts w:eastAsia="Times New Roman"/>
                <w:lang w:eastAsia="lt-LT"/>
              </w:rPr>
              <w:t xml:space="preserve"> kadangi PFSA projekto 34 punkto lentelės išlaidų eilutėje „</w:t>
            </w:r>
            <w:r w:rsidR="00C3068D" w:rsidRPr="00C3068D">
              <w:rPr>
                <w:rFonts w:eastAsia="Times New Roman"/>
                <w:lang w:eastAsia="lt-LT"/>
              </w:rPr>
              <w:t>Netiesiogin</w:t>
            </w:r>
            <w:r w:rsidR="00C3068D" w:rsidRPr="00C3068D">
              <w:rPr>
                <w:rFonts w:eastAsia="Times New Roman" w:hint="eastAsia"/>
                <w:lang w:eastAsia="lt-LT"/>
              </w:rPr>
              <w:t>ė</w:t>
            </w:r>
            <w:r w:rsidR="00C3068D" w:rsidRPr="00C3068D">
              <w:rPr>
                <w:rFonts w:eastAsia="Times New Roman"/>
                <w:lang w:eastAsia="lt-LT"/>
              </w:rPr>
              <w:t>s išlaidos ir kitos išlaidos pagal fiksuot</w:t>
            </w:r>
            <w:r w:rsidR="00C3068D" w:rsidRPr="00C3068D">
              <w:rPr>
                <w:rFonts w:eastAsia="Times New Roman" w:hint="eastAsia"/>
                <w:lang w:eastAsia="lt-LT"/>
              </w:rPr>
              <w:t>ą</w:t>
            </w:r>
            <w:r w:rsidR="00C3068D" w:rsidRPr="00C3068D">
              <w:rPr>
                <w:rFonts w:eastAsia="Times New Roman"/>
                <w:lang w:eastAsia="lt-LT"/>
              </w:rPr>
              <w:t>j</w:t>
            </w:r>
            <w:r w:rsidR="00C3068D" w:rsidRPr="00C3068D">
              <w:rPr>
                <w:rFonts w:eastAsia="Times New Roman" w:hint="eastAsia"/>
                <w:lang w:eastAsia="lt-LT"/>
              </w:rPr>
              <w:t>ą</w:t>
            </w:r>
            <w:r w:rsidR="00C3068D" w:rsidRPr="00C3068D">
              <w:rPr>
                <w:rFonts w:eastAsia="Times New Roman"/>
                <w:lang w:eastAsia="lt-LT"/>
              </w:rPr>
              <w:t xml:space="preserve"> projekto išlaid</w:t>
            </w:r>
            <w:r w:rsidR="00C3068D" w:rsidRPr="00C3068D">
              <w:rPr>
                <w:rFonts w:eastAsia="Times New Roman" w:hint="eastAsia"/>
                <w:lang w:eastAsia="lt-LT"/>
              </w:rPr>
              <w:t>ų</w:t>
            </w:r>
            <w:r w:rsidR="00C3068D" w:rsidRPr="00C3068D">
              <w:rPr>
                <w:rFonts w:eastAsia="Times New Roman"/>
                <w:lang w:eastAsia="lt-LT"/>
              </w:rPr>
              <w:t xml:space="preserve"> norm</w:t>
            </w:r>
            <w:r w:rsidR="00C3068D" w:rsidRPr="00C3068D">
              <w:rPr>
                <w:rFonts w:eastAsia="Times New Roman" w:hint="eastAsia"/>
                <w:lang w:eastAsia="lt-LT"/>
              </w:rPr>
              <w:t>ą</w:t>
            </w:r>
            <w:r w:rsidR="00C3068D">
              <w:rPr>
                <w:rFonts w:eastAsia="Times New Roman"/>
                <w:lang w:eastAsia="lt-LT"/>
              </w:rPr>
              <w:t>“ yra numatyta finansuoti fiksuotąją</w:t>
            </w:r>
            <w:r w:rsidR="00C3068D" w:rsidRPr="000C71E1">
              <w:rPr>
                <w:rFonts w:eastAsia="Times New Roman"/>
                <w:lang w:eastAsia="lt-LT"/>
              </w:rPr>
              <w:t xml:space="preserve"> projekto išlaidų norm</w:t>
            </w:r>
            <w:r w:rsidR="00C3068D">
              <w:rPr>
                <w:rFonts w:eastAsia="Times New Roman"/>
                <w:lang w:eastAsia="lt-LT"/>
              </w:rPr>
              <w:t>ą</w:t>
            </w:r>
            <w:r w:rsidR="00C3068D" w:rsidRPr="000C71E1">
              <w:rPr>
                <w:rFonts w:eastAsia="Times New Roman"/>
                <w:lang w:eastAsia="lt-LT"/>
              </w:rPr>
              <w:t xml:space="preserve"> netiesioginėms projekto administravimo išlaidoms, neįskaitant paraiškos parengimo išlaidų, Projektų taisyklių 10 priede nustatyta tvarka</w:t>
            </w:r>
            <w:r w:rsidR="00C3068D">
              <w:rPr>
                <w:rFonts w:eastAsia="Times New Roman"/>
                <w:lang w:eastAsia="lt-LT"/>
              </w:rPr>
              <w:t xml:space="preserve">. Vadovaujantis </w:t>
            </w:r>
            <w:r w:rsidR="00C3068D" w:rsidRPr="00E32086">
              <w:rPr>
                <w:rFonts w:cs="Times New Roman"/>
              </w:rPr>
              <w:t>Lietuvos Respublikos finansų ministro 2014 m. spalio 8 d. įsakymo Nr. 1K–316 „Dėl Projektų administravimo ir finansavimo taisyklių patvirtinimo</w:t>
            </w:r>
            <w:r w:rsidR="00C3068D">
              <w:rPr>
                <w:rFonts w:cs="Times New Roman"/>
              </w:rPr>
              <w:t>“ 435 punkto papunkčiuose nurodytos išlaidos, k</w:t>
            </w:r>
            <w:r w:rsidR="00C3068D">
              <w:t xml:space="preserve">ai netiesioginėms projekto išlaidoms apmokėti taikoma fiksuotoji norma, </w:t>
            </w:r>
            <w:r w:rsidR="00CF2826">
              <w:t xml:space="preserve">negali būti priskiriamos </w:t>
            </w:r>
            <w:r w:rsidR="00C3068D">
              <w:t>tiesioginėms projekto išlaidoms.</w:t>
            </w:r>
          </w:p>
          <w:p w:rsidR="00DE0DEA" w:rsidRPr="00CF2826" w:rsidRDefault="00DE0DEA" w:rsidP="00CF2826">
            <w:pPr>
              <w:pStyle w:val="Pagrindinistekstas"/>
              <w:ind w:firstLine="0"/>
              <w:rPr>
                <w:rFonts w:cs="Times New Roman"/>
              </w:rPr>
            </w:pPr>
          </w:p>
        </w:tc>
      </w:tr>
      <w:tr w:rsidR="00B57D35" w:rsidRPr="00E32086" w:rsidTr="00DE0DEA">
        <w:trPr>
          <w:trHeight w:val="1130"/>
        </w:trPr>
        <w:tc>
          <w:tcPr>
            <w:tcW w:w="647" w:type="dxa"/>
            <w:vMerge/>
            <w:tcBorders>
              <w:left w:val="single" w:sz="4" w:space="0" w:color="auto"/>
              <w:right w:val="single" w:sz="4" w:space="0" w:color="auto"/>
            </w:tcBorders>
          </w:tcPr>
          <w:p w:rsidR="00B57D35" w:rsidRPr="00E32086" w:rsidRDefault="00B57D35" w:rsidP="00C674E2">
            <w:pPr>
              <w:rPr>
                <w:rFonts w:ascii="Times New Roman" w:hAnsi="Times New Roman"/>
                <w:szCs w:val="24"/>
              </w:rPr>
            </w:pPr>
          </w:p>
        </w:tc>
        <w:tc>
          <w:tcPr>
            <w:tcW w:w="6861" w:type="dxa"/>
            <w:tcBorders>
              <w:top w:val="single" w:sz="4" w:space="0" w:color="auto"/>
              <w:left w:val="single" w:sz="4" w:space="0" w:color="auto"/>
              <w:bottom w:val="single" w:sz="4" w:space="0" w:color="auto"/>
              <w:right w:val="single" w:sz="4" w:space="0" w:color="auto"/>
            </w:tcBorders>
          </w:tcPr>
          <w:p w:rsidR="00B57D35" w:rsidRPr="00E32086" w:rsidRDefault="00326FEC" w:rsidP="007F16C1">
            <w:pPr>
              <w:spacing w:before="120" w:after="120"/>
              <w:jc w:val="both"/>
              <w:rPr>
                <w:rFonts w:ascii="Times New Roman" w:hAnsi="Times New Roman"/>
                <w:szCs w:val="24"/>
              </w:rPr>
            </w:pPr>
            <w:r>
              <w:rPr>
                <w:rFonts w:ascii="Times New Roman" w:hAnsi="Times New Roman"/>
                <w:szCs w:val="24"/>
              </w:rPr>
              <w:t xml:space="preserve">     </w:t>
            </w:r>
            <w:r w:rsidR="00B57D35" w:rsidRPr="00E32086">
              <w:rPr>
                <w:rFonts w:ascii="Times New Roman" w:hAnsi="Times New Roman"/>
                <w:szCs w:val="24"/>
              </w:rPr>
              <w:t xml:space="preserve">5.3. Siekiant tinkamai ir efektyviai įsivertinti darbų planavimą, rekomenduojame Apraše įvardinti projektinių pasiūlymų ir paraiškų galimą pateikimo laikotarpį. </w:t>
            </w:r>
          </w:p>
        </w:tc>
        <w:tc>
          <w:tcPr>
            <w:tcW w:w="7626" w:type="dxa"/>
            <w:tcBorders>
              <w:top w:val="single" w:sz="4" w:space="0" w:color="auto"/>
              <w:left w:val="single" w:sz="4" w:space="0" w:color="auto"/>
              <w:bottom w:val="single" w:sz="4" w:space="0" w:color="auto"/>
              <w:right w:val="single" w:sz="4" w:space="0" w:color="auto"/>
            </w:tcBorders>
          </w:tcPr>
          <w:p w:rsidR="00B57D35" w:rsidRDefault="00326FEC" w:rsidP="00960BB7">
            <w:pPr>
              <w:pStyle w:val="Pagrindinistekstas"/>
              <w:ind w:firstLine="0"/>
              <w:rPr>
                <w:rFonts w:eastAsia="Times New Roman"/>
                <w:lang w:eastAsia="lt-LT"/>
              </w:rPr>
            </w:pPr>
            <w:r>
              <w:rPr>
                <w:rFonts w:eastAsia="Times New Roman"/>
                <w:b/>
                <w:lang w:eastAsia="lt-LT"/>
              </w:rPr>
              <w:t xml:space="preserve">     </w:t>
            </w:r>
            <w:r w:rsidR="009A02C6" w:rsidRPr="00E32086">
              <w:rPr>
                <w:rFonts w:eastAsia="Times New Roman"/>
                <w:b/>
                <w:lang w:eastAsia="lt-LT"/>
              </w:rPr>
              <w:t>Neatsižvelgta</w:t>
            </w:r>
            <w:r w:rsidR="00D7103D">
              <w:rPr>
                <w:rFonts w:eastAsia="Times New Roman"/>
                <w:b/>
                <w:lang w:eastAsia="lt-LT"/>
              </w:rPr>
              <w:t xml:space="preserve">, </w:t>
            </w:r>
            <w:r w:rsidR="00D7103D" w:rsidRPr="00D7103D">
              <w:rPr>
                <w:rFonts w:eastAsia="Times New Roman"/>
                <w:lang w:eastAsia="lt-LT"/>
              </w:rPr>
              <w:t>kadangi v</w:t>
            </w:r>
            <w:r w:rsidR="00B57D35" w:rsidRPr="00E32086">
              <w:rPr>
                <w:rFonts w:eastAsia="Times New Roman"/>
                <w:lang w:eastAsia="lt-LT"/>
              </w:rPr>
              <w:t xml:space="preserve">adovaujantis Lietuvos Respublikos energetikos ministro 2015 m. sausio 29 d. </w:t>
            </w:r>
            <w:r w:rsidR="00B57D35" w:rsidRPr="00E32086">
              <w:rPr>
                <w:rFonts w:eastAsia="Times New Roman" w:hint="eastAsia"/>
                <w:lang w:eastAsia="lt-LT"/>
              </w:rPr>
              <w:t>į</w:t>
            </w:r>
            <w:r w:rsidR="00B57D35" w:rsidRPr="00E32086">
              <w:rPr>
                <w:rFonts w:eastAsia="Times New Roman"/>
                <w:lang w:eastAsia="lt-LT"/>
              </w:rPr>
              <w:t>sakymo Nr. 1-21„D</w:t>
            </w:r>
            <w:r w:rsidR="00B57D35" w:rsidRPr="00E32086">
              <w:rPr>
                <w:rFonts w:eastAsia="Times New Roman" w:hint="eastAsia"/>
                <w:lang w:eastAsia="lt-LT"/>
              </w:rPr>
              <w:t>ė</w:t>
            </w:r>
            <w:r w:rsidR="00B57D35" w:rsidRPr="00E32086">
              <w:rPr>
                <w:rFonts w:eastAsia="Times New Roman"/>
                <w:lang w:eastAsia="lt-LT"/>
              </w:rPr>
              <w:t>l valstyb</w:t>
            </w:r>
            <w:r w:rsidR="00B57D35" w:rsidRPr="00E32086">
              <w:rPr>
                <w:rFonts w:eastAsia="Times New Roman" w:hint="eastAsia"/>
                <w:lang w:eastAsia="lt-LT"/>
              </w:rPr>
              <w:t>ė</w:t>
            </w:r>
            <w:r w:rsidR="00B57D35" w:rsidRPr="00E32086">
              <w:rPr>
                <w:rFonts w:eastAsia="Times New Roman"/>
                <w:lang w:eastAsia="lt-LT"/>
              </w:rPr>
              <w:t>s projekt</w:t>
            </w:r>
            <w:r w:rsidR="00B57D35" w:rsidRPr="00E32086">
              <w:rPr>
                <w:rFonts w:eastAsia="Times New Roman" w:hint="eastAsia"/>
                <w:lang w:eastAsia="lt-LT"/>
              </w:rPr>
              <w:t>ų</w:t>
            </w:r>
            <w:r w:rsidR="00B57D35" w:rsidRPr="00E32086">
              <w:rPr>
                <w:rFonts w:eastAsia="Times New Roman"/>
                <w:lang w:eastAsia="lt-LT"/>
              </w:rPr>
              <w:t xml:space="preserve"> atrankos tvarkos aprašo patvirtinimo“ 11 punktu, Energetikos ministerija galimiems pareišk</w:t>
            </w:r>
            <w:r w:rsidR="00B57D35" w:rsidRPr="00E32086">
              <w:rPr>
                <w:rFonts w:eastAsia="Times New Roman" w:hint="eastAsia"/>
                <w:lang w:eastAsia="lt-LT"/>
              </w:rPr>
              <w:t>ė</w:t>
            </w:r>
            <w:r w:rsidR="00B57D35" w:rsidRPr="00E32086">
              <w:rPr>
                <w:rFonts w:eastAsia="Times New Roman"/>
                <w:lang w:eastAsia="lt-LT"/>
              </w:rPr>
              <w:t>jams išsi</w:t>
            </w:r>
            <w:r w:rsidR="00B57D35" w:rsidRPr="00E32086">
              <w:rPr>
                <w:rFonts w:eastAsia="Times New Roman" w:hint="eastAsia"/>
                <w:lang w:eastAsia="lt-LT"/>
              </w:rPr>
              <w:t>ų</w:t>
            </w:r>
            <w:r w:rsidR="00B57D35" w:rsidRPr="00E32086">
              <w:rPr>
                <w:rFonts w:eastAsia="Times New Roman"/>
                <w:lang w:eastAsia="lt-LT"/>
              </w:rPr>
              <w:t>s kvietim</w:t>
            </w:r>
            <w:r w:rsidR="00B57D35" w:rsidRPr="00E32086">
              <w:rPr>
                <w:rFonts w:eastAsia="Times New Roman" w:hint="eastAsia"/>
                <w:lang w:eastAsia="lt-LT"/>
              </w:rPr>
              <w:t>ą</w:t>
            </w:r>
            <w:r w:rsidR="00B57D35" w:rsidRPr="00E32086">
              <w:rPr>
                <w:rFonts w:eastAsia="Times New Roman"/>
                <w:lang w:eastAsia="lt-LT"/>
              </w:rPr>
              <w:t xml:space="preserve"> teikti projektin</w:t>
            </w:r>
            <w:r w:rsidR="00B57D35" w:rsidRPr="00E32086">
              <w:rPr>
                <w:rFonts w:eastAsia="Times New Roman" w:hint="eastAsia"/>
                <w:lang w:eastAsia="lt-LT"/>
              </w:rPr>
              <w:t>į</w:t>
            </w:r>
            <w:r w:rsidR="00B57D35" w:rsidRPr="00E32086">
              <w:rPr>
                <w:rFonts w:eastAsia="Times New Roman"/>
                <w:lang w:eastAsia="lt-LT"/>
              </w:rPr>
              <w:t xml:space="preserve"> pasi</w:t>
            </w:r>
            <w:r w:rsidR="00B57D35" w:rsidRPr="00E32086">
              <w:rPr>
                <w:rFonts w:eastAsia="Times New Roman" w:hint="eastAsia"/>
                <w:lang w:eastAsia="lt-LT"/>
              </w:rPr>
              <w:t>ū</w:t>
            </w:r>
            <w:r w:rsidR="00B57D35" w:rsidRPr="00E32086">
              <w:rPr>
                <w:rFonts w:eastAsia="Times New Roman"/>
                <w:lang w:eastAsia="lt-LT"/>
              </w:rPr>
              <w:t>lym</w:t>
            </w:r>
            <w:r w:rsidR="00B57D35" w:rsidRPr="00E32086">
              <w:rPr>
                <w:rFonts w:eastAsia="Times New Roman" w:hint="eastAsia"/>
                <w:lang w:eastAsia="lt-LT"/>
              </w:rPr>
              <w:t>ą</w:t>
            </w:r>
            <w:r w:rsidR="00B57D35" w:rsidRPr="00E32086">
              <w:rPr>
                <w:rFonts w:eastAsia="Times New Roman"/>
                <w:lang w:eastAsia="lt-LT"/>
              </w:rPr>
              <w:t xml:space="preserve"> bei 12.3. papunkčiu šiame kvietime bus nurodytas „</w:t>
            </w:r>
            <w:r w:rsidR="00B57D35" w:rsidRPr="00960BB7">
              <w:rPr>
                <w:rFonts w:eastAsia="Times New Roman"/>
                <w:i/>
                <w:lang w:eastAsia="lt-LT"/>
              </w:rPr>
              <w:t>projektinio pasi</w:t>
            </w:r>
            <w:r w:rsidR="00B57D35" w:rsidRPr="00960BB7">
              <w:rPr>
                <w:rFonts w:eastAsia="Times New Roman" w:hint="eastAsia"/>
                <w:i/>
                <w:lang w:eastAsia="lt-LT"/>
              </w:rPr>
              <w:t>ū</w:t>
            </w:r>
            <w:r w:rsidR="00B57D35" w:rsidRPr="00960BB7">
              <w:rPr>
                <w:rFonts w:eastAsia="Times New Roman"/>
                <w:i/>
                <w:lang w:eastAsia="lt-LT"/>
              </w:rPr>
              <w:t>lymo galutinis pateikimo terminas</w:t>
            </w:r>
            <w:r w:rsidR="00B57D35" w:rsidRPr="00E32086">
              <w:rPr>
                <w:rFonts w:eastAsia="Times New Roman"/>
                <w:lang w:eastAsia="lt-LT"/>
              </w:rPr>
              <w:t>, kuris negali b</w:t>
            </w:r>
            <w:r w:rsidR="00B57D35" w:rsidRPr="00E32086">
              <w:rPr>
                <w:rFonts w:eastAsia="Times New Roman" w:hint="eastAsia"/>
                <w:lang w:eastAsia="lt-LT"/>
              </w:rPr>
              <w:t>ū</w:t>
            </w:r>
            <w:r w:rsidR="00B57D35" w:rsidRPr="00E32086">
              <w:rPr>
                <w:rFonts w:eastAsia="Times New Roman"/>
                <w:lang w:eastAsia="lt-LT"/>
              </w:rPr>
              <w:t>ti trumpesnis kaip 30 dien</w:t>
            </w:r>
            <w:r w:rsidR="00B57D35" w:rsidRPr="00E32086">
              <w:rPr>
                <w:rFonts w:eastAsia="Times New Roman" w:hint="eastAsia"/>
                <w:lang w:eastAsia="lt-LT"/>
              </w:rPr>
              <w:t>ų</w:t>
            </w:r>
            <w:r w:rsidR="00B57D35" w:rsidRPr="00E32086">
              <w:rPr>
                <w:rFonts w:eastAsia="Times New Roman"/>
                <w:lang w:eastAsia="lt-LT"/>
              </w:rPr>
              <w:t xml:space="preserve"> nuo dienos, kada kvietimas patalpinamas Ministerijos tinklalapyje </w:t>
            </w:r>
            <w:proofErr w:type="spellStart"/>
            <w:r w:rsidR="00B57D35" w:rsidRPr="00E32086">
              <w:rPr>
                <w:rFonts w:eastAsia="Times New Roman"/>
                <w:lang w:eastAsia="lt-LT"/>
              </w:rPr>
              <w:t>www.enmin.lt</w:t>
            </w:r>
            <w:proofErr w:type="spellEnd"/>
            <w:r w:rsidR="00B57D35" w:rsidRPr="00E32086">
              <w:rPr>
                <w:rFonts w:eastAsia="Times New Roman"/>
                <w:lang w:eastAsia="lt-LT"/>
              </w:rPr>
              <w:t>, išskyrus atvejus, kai Ministerijai suderinus su pareišk</w:t>
            </w:r>
            <w:r w:rsidR="00B57D35" w:rsidRPr="00E32086">
              <w:rPr>
                <w:rFonts w:eastAsia="Times New Roman" w:hint="eastAsia"/>
                <w:lang w:eastAsia="lt-LT"/>
              </w:rPr>
              <w:t>ė</w:t>
            </w:r>
            <w:r w:rsidR="00B57D35" w:rsidRPr="00E32086">
              <w:rPr>
                <w:rFonts w:eastAsia="Times New Roman"/>
                <w:lang w:eastAsia="lt-LT"/>
              </w:rPr>
              <w:t>ju ir</w:t>
            </w:r>
            <w:r w:rsidR="007F16C1" w:rsidRPr="00E32086">
              <w:rPr>
                <w:rFonts w:eastAsia="Times New Roman"/>
                <w:lang w:eastAsia="lt-LT"/>
              </w:rPr>
              <w:t xml:space="preserve"> jam sutikus </w:t>
            </w:r>
            <w:r w:rsidR="007F16C1" w:rsidRPr="00E32086">
              <w:rPr>
                <w:rFonts w:eastAsia="Times New Roman"/>
                <w:lang w:eastAsia="lt-LT"/>
              </w:rPr>
              <w:lastRenderedPageBreak/>
              <w:t>tinkamai parengta paraiška gali b</w:t>
            </w:r>
            <w:r w:rsidR="007F16C1" w:rsidRPr="00E32086">
              <w:rPr>
                <w:rFonts w:eastAsia="Times New Roman" w:hint="eastAsia"/>
                <w:lang w:eastAsia="lt-LT"/>
              </w:rPr>
              <w:t>ū</w:t>
            </w:r>
            <w:r w:rsidR="007F16C1" w:rsidRPr="00E32086">
              <w:rPr>
                <w:rFonts w:eastAsia="Times New Roman"/>
                <w:lang w:eastAsia="lt-LT"/>
              </w:rPr>
              <w:t>ti pateikta per trumpesn</w:t>
            </w:r>
            <w:r w:rsidR="007F16C1" w:rsidRPr="00E32086">
              <w:rPr>
                <w:rFonts w:eastAsia="Times New Roman" w:hint="eastAsia"/>
                <w:lang w:eastAsia="lt-LT"/>
              </w:rPr>
              <w:t>į</w:t>
            </w:r>
            <w:r w:rsidR="007F16C1" w:rsidRPr="00E32086">
              <w:rPr>
                <w:rFonts w:eastAsia="Times New Roman"/>
                <w:lang w:eastAsia="lt-LT"/>
              </w:rPr>
              <w:t xml:space="preserve"> laikotarp</w:t>
            </w:r>
            <w:r w:rsidR="007F16C1" w:rsidRPr="00E32086">
              <w:rPr>
                <w:rFonts w:eastAsia="Times New Roman" w:hint="eastAsia"/>
                <w:lang w:eastAsia="lt-LT"/>
              </w:rPr>
              <w:t>į</w:t>
            </w:r>
            <w:r w:rsidR="007F16C1" w:rsidRPr="00E32086">
              <w:rPr>
                <w:rFonts w:eastAsia="Times New Roman"/>
                <w:lang w:eastAsia="lt-LT"/>
              </w:rPr>
              <w:t xml:space="preserve">“. </w:t>
            </w:r>
            <w:r w:rsidR="00D7103D">
              <w:rPr>
                <w:rFonts w:eastAsia="Times New Roman"/>
                <w:lang w:eastAsia="lt-LT"/>
              </w:rPr>
              <w:t xml:space="preserve">Tuo tarpu vadovaujantis </w:t>
            </w:r>
            <w:r w:rsidR="00D7103D" w:rsidRPr="00E32086">
              <w:rPr>
                <w:rFonts w:cs="Times New Roman"/>
              </w:rPr>
              <w:t>Lietuvos Respublikos finansų ministro 2014 m. spalio 8 d. įsakymo Nr. 1K–316 „Dėl Projektų administravimo ir finansavimo taisyklių patvirtinimo“ 29 punktu</w:t>
            </w:r>
            <w:r w:rsidR="00D7103D">
              <w:rPr>
                <w:rFonts w:cs="Times New Roman"/>
              </w:rPr>
              <w:t>,</w:t>
            </w:r>
            <w:r w:rsidR="00D7103D" w:rsidRPr="00E32086">
              <w:rPr>
                <w:rFonts w:eastAsia="Times New Roman"/>
                <w:lang w:eastAsia="lt-LT"/>
              </w:rPr>
              <w:t xml:space="preserve"> kiekvieno </w:t>
            </w:r>
            <w:r w:rsidR="00D7103D" w:rsidRPr="00960BB7">
              <w:rPr>
                <w:rFonts w:eastAsia="Times New Roman"/>
                <w:i/>
                <w:lang w:eastAsia="lt-LT"/>
              </w:rPr>
              <w:t xml:space="preserve">projekto paraiškos pateikimo terminas </w:t>
            </w:r>
            <w:r w:rsidR="00D7103D" w:rsidRPr="00E32086">
              <w:rPr>
                <w:rFonts w:eastAsia="Times New Roman"/>
                <w:lang w:eastAsia="lt-LT"/>
              </w:rPr>
              <w:t>bus nustatomas valstyb</w:t>
            </w:r>
            <w:r w:rsidR="00D7103D" w:rsidRPr="00E32086">
              <w:rPr>
                <w:rFonts w:eastAsia="Times New Roman" w:hint="eastAsia"/>
                <w:lang w:eastAsia="lt-LT"/>
              </w:rPr>
              <w:t>ė</w:t>
            </w:r>
            <w:r w:rsidR="00D7103D" w:rsidRPr="00E32086">
              <w:rPr>
                <w:rFonts w:eastAsia="Times New Roman"/>
                <w:lang w:eastAsia="lt-LT"/>
              </w:rPr>
              <w:t>s projekt</w:t>
            </w:r>
            <w:r w:rsidR="00D7103D" w:rsidRPr="00E32086">
              <w:rPr>
                <w:rFonts w:eastAsia="Times New Roman" w:hint="eastAsia"/>
                <w:lang w:eastAsia="lt-LT"/>
              </w:rPr>
              <w:t>ų</w:t>
            </w:r>
            <w:r w:rsidR="00D7103D" w:rsidRPr="00E32086">
              <w:rPr>
                <w:rFonts w:eastAsia="Times New Roman"/>
                <w:lang w:eastAsia="lt-LT"/>
              </w:rPr>
              <w:t xml:space="preserve"> s</w:t>
            </w:r>
            <w:r w:rsidR="00D7103D" w:rsidRPr="00E32086">
              <w:rPr>
                <w:rFonts w:eastAsia="Times New Roman" w:hint="eastAsia"/>
                <w:lang w:eastAsia="lt-LT"/>
              </w:rPr>
              <w:t>ą</w:t>
            </w:r>
            <w:r w:rsidR="00D7103D">
              <w:rPr>
                <w:rFonts w:eastAsia="Times New Roman"/>
                <w:lang w:eastAsia="lt-LT"/>
              </w:rPr>
              <w:t>raše. Todėl PFSA nebus įvardijamas nei p</w:t>
            </w:r>
            <w:r w:rsidR="00D7103D" w:rsidRPr="00D7103D">
              <w:rPr>
                <w:rFonts w:eastAsia="Times New Roman"/>
                <w:lang w:eastAsia="lt-LT"/>
              </w:rPr>
              <w:t xml:space="preserve">rojektinio pasiūlymo terminas, nei </w:t>
            </w:r>
            <w:r w:rsidR="00D7103D">
              <w:rPr>
                <w:rFonts w:eastAsia="Times New Roman"/>
                <w:lang w:eastAsia="lt-LT"/>
              </w:rPr>
              <w:t>p</w:t>
            </w:r>
            <w:r w:rsidR="00D7103D" w:rsidRPr="00D7103D">
              <w:rPr>
                <w:rFonts w:eastAsia="Times New Roman"/>
                <w:lang w:eastAsia="lt-LT"/>
              </w:rPr>
              <w:t>araiškų galimas pateikimo laikotarpis.</w:t>
            </w:r>
          </w:p>
          <w:p w:rsidR="00DE0DEA" w:rsidRPr="00E32086" w:rsidRDefault="00DE0DEA" w:rsidP="00960BB7">
            <w:pPr>
              <w:pStyle w:val="Pagrindinistekstas"/>
              <w:ind w:firstLine="0"/>
              <w:rPr>
                <w:rFonts w:eastAsia="Times New Roman"/>
                <w:lang w:eastAsia="lt-LT"/>
              </w:rPr>
            </w:pPr>
          </w:p>
        </w:tc>
      </w:tr>
      <w:tr w:rsidR="007F16C1" w:rsidRPr="00E32086" w:rsidTr="00190479">
        <w:trPr>
          <w:trHeight w:val="415"/>
        </w:trPr>
        <w:tc>
          <w:tcPr>
            <w:tcW w:w="647" w:type="dxa"/>
            <w:tcBorders>
              <w:left w:val="single" w:sz="4" w:space="0" w:color="auto"/>
              <w:right w:val="single" w:sz="4" w:space="0" w:color="auto"/>
            </w:tcBorders>
          </w:tcPr>
          <w:p w:rsidR="007F16C1" w:rsidRPr="00E32086" w:rsidRDefault="007F16C1" w:rsidP="00C674E2">
            <w:pPr>
              <w:rPr>
                <w:rFonts w:ascii="Times New Roman" w:hAnsi="Times New Roman"/>
                <w:szCs w:val="24"/>
              </w:rPr>
            </w:pPr>
          </w:p>
        </w:tc>
        <w:tc>
          <w:tcPr>
            <w:tcW w:w="14487" w:type="dxa"/>
            <w:gridSpan w:val="2"/>
            <w:tcBorders>
              <w:top w:val="single" w:sz="4" w:space="0" w:color="auto"/>
              <w:left w:val="single" w:sz="4" w:space="0" w:color="auto"/>
              <w:bottom w:val="single" w:sz="4" w:space="0" w:color="auto"/>
              <w:right w:val="single" w:sz="4" w:space="0" w:color="auto"/>
            </w:tcBorders>
          </w:tcPr>
          <w:p w:rsidR="007F16C1" w:rsidRPr="00E32086" w:rsidRDefault="007F16C1" w:rsidP="008C1390">
            <w:pPr>
              <w:pStyle w:val="Pagrindinistekstas"/>
              <w:ind w:firstLine="0"/>
              <w:jc w:val="center"/>
              <w:rPr>
                <w:rFonts w:eastAsia="Times New Roman"/>
                <w:b/>
                <w:lang w:eastAsia="lt-LT"/>
              </w:rPr>
            </w:pPr>
            <w:r w:rsidRPr="00E32086">
              <w:rPr>
                <w:b/>
                <w:color w:val="000000"/>
              </w:rPr>
              <w:t>Atsakymas į</w:t>
            </w:r>
            <w:r w:rsidRPr="00E32086">
              <w:rPr>
                <w:rFonts w:eastAsia="Times New Roman"/>
                <w:b/>
                <w:lang w:eastAsia="lt-LT"/>
              </w:rPr>
              <w:t xml:space="preserve"> raštu pateiktas Lietuvos savivaldybių asociacijos pastabas</w:t>
            </w:r>
          </w:p>
        </w:tc>
      </w:tr>
      <w:tr w:rsidR="007F16C1" w:rsidRPr="00C674E2" w:rsidTr="00391B2A">
        <w:trPr>
          <w:trHeight w:val="415"/>
        </w:trPr>
        <w:tc>
          <w:tcPr>
            <w:tcW w:w="647" w:type="dxa"/>
            <w:tcBorders>
              <w:left w:val="single" w:sz="4" w:space="0" w:color="auto"/>
              <w:right w:val="single" w:sz="4" w:space="0" w:color="auto"/>
            </w:tcBorders>
          </w:tcPr>
          <w:p w:rsidR="007F16C1" w:rsidRPr="00E32086" w:rsidRDefault="007F16C1" w:rsidP="00C674E2">
            <w:pPr>
              <w:rPr>
                <w:rFonts w:ascii="Times New Roman" w:hAnsi="Times New Roman"/>
                <w:szCs w:val="24"/>
              </w:rPr>
            </w:pPr>
          </w:p>
        </w:tc>
        <w:tc>
          <w:tcPr>
            <w:tcW w:w="6861" w:type="dxa"/>
            <w:tcBorders>
              <w:top w:val="single" w:sz="4" w:space="0" w:color="auto"/>
              <w:left w:val="single" w:sz="4" w:space="0" w:color="auto"/>
              <w:bottom w:val="single" w:sz="4" w:space="0" w:color="auto"/>
              <w:right w:val="single" w:sz="4" w:space="0" w:color="auto"/>
            </w:tcBorders>
          </w:tcPr>
          <w:p w:rsidR="007F16C1" w:rsidRPr="00E32086" w:rsidRDefault="00326FEC" w:rsidP="008C1390">
            <w:pPr>
              <w:spacing w:before="120" w:after="240"/>
              <w:jc w:val="both"/>
              <w:rPr>
                <w:rFonts w:ascii="Times New Roman" w:hAnsi="Times New Roman"/>
                <w:szCs w:val="24"/>
              </w:rPr>
            </w:pPr>
            <w:r>
              <w:rPr>
                <w:rFonts w:ascii="Times New Roman" w:hAnsi="Times New Roman"/>
                <w:szCs w:val="24"/>
              </w:rPr>
              <w:t xml:space="preserve">     </w:t>
            </w:r>
            <w:r w:rsidR="007F16C1" w:rsidRPr="00E32086">
              <w:rPr>
                <w:rFonts w:ascii="Times New Roman" w:hAnsi="Times New Roman"/>
                <w:szCs w:val="24"/>
              </w:rPr>
              <w:t>Atkreipiame dėmesį, kad Projekto 22 punkte netiksliai nurodytas teisės aktas.</w:t>
            </w:r>
          </w:p>
        </w:tc>
        <w:tc>
          <w:tcPr>
            <w:tcW w:w="7626" w:type="dxa"/>
            <w:tcBorders>
              <w:top w:val="single" w:sz="4" w:space="0" w:color="auto"/>
              <w:left w:val="single" w:sz="4" w:space="0" w:color="auto"/>
              <w:bottom w:val="single" w:sz="4" w:space="0" w:color="auto"/>
              <w:right w:val="single" w:sz="4" w:space="0" w:color="auto"/>
            </w:tcBorders>
          </w:tcPr>
          <w:p w:rsidR="007F16C1" w:rsidRPr="00E32086" w:rsidRDefault="007F16C1" w:rsidP="008C1390">
            <w:pPr>
              <w:pStyle w:val="Pagrindinistekstas"/>
              <w:ind w:firstLine="0"/>
              <w:rPr>
                <w:rFonts w:eastAsia="Times New Roman"/>
                <w:b/>
                <w:lang w:eastAsia="lt-LT"/>
              </w:rPr>
            </w:pPr>
            <w:r w:rsidRPr="00E32086">
              <w:rPr>
                <w:rFonts w:eastAsia="Times New Roman"/>
                <w:b/>
                <w:lang w:eastAsia="lt-LT"/>
              </w:rPr>
              <w:t>Atsižvelgta.</w:t>
            </w:r>
          </w:p>
          <w:p w:rsidR="007F16C1" w:rsidRDefault="00326FEC" w:rsidP="008C1390">
            <w:pPr>
              <w:pStyle w:val="Pagrindinistekstas"/>
              <w:ind w:firstLine="0"/>
              <w:rPr>
                <w:rFonts w:cs="Times New Roman"/>
              </w:rPr>
            </w:pPr>
            <w:r>
              <w:rPr>
                <w:rFonts w:eastAsia="Times New Roman"/>
                <w:lang w:eastAsia="lt-LT"/>
              </w:rPr>
              <w:t xml:space="preserve">     </w:t>
            </w:r>
            <w:r w:rsidR="000C05BE" w:rsidRPr="00E32086">
              <w:rPr>
                <w:rFonts w:eastAsia="Times New Roman"/>
                <w:lang w:eastAsia="lt-LT"/>
              </w:rPr>
              <w:t>PFSA projekto</w:t>
            </w:r>
            <w:r w:rsidR="007F16C1" w:rsidRPr="00E32086">
              <w:rPr>
                <w:rFonts w:eastAsia="Times New Roman"/>
                <w:lang w:eastAsia="lt-LT"/>
              </w:rPr>
              <w:t xml:space="preserve"> 22 punktas patikslintas „</w:t>
            </w:r>
            <w:r w:rsidR="007F16C1" w:rsidRPr="00E32086">
              <w:rPr>
                <w:rFonts w:cs="Times New Roman"/>
              </w:rPr>
              <w:t>Lietuvos Respublikos finansų ministro 201</w:t>
            </w:r>
            <w:r w:rsidR="007F16C1" w:rsidRPr="00E32086">
              <w:rPr>
                <w:rFonts w:cs="Times New Roman"/>
                <w:b/>
              </w:rPr>
              <w:t>4</w:t>
            </w:r>
            <w:r w:rsidR="007F16C1" w:rsidRPr="00E32086">
              <w:rPr>
                <w:rFonts w:cs="Times New Roman"/>
              </w:rPr>
              <w:t xml:space="preserve"> m. gruodžio 30 d. įsakymu Nr. 1</w:t>
            </w:r>
            <w:r w:rsidR="007F16C1" w:rsidRPr="00E32086">
              <w:rPr>
                <w:rFonts w:cs="Times New Roman"/>
                <w:b/>
              </w:rPr>
              <w:t>K</w:t>
            </w:r>
            <w:r w:rsidR="007F16C1" w:rsidRPr="00E32086">
              <w:rPr>
                <w:rFonts w:cs="Times New Roman"/>
              </w:rPr>
              <w:t>-499 „Dėl 2014–2020 m. Europos Sąjungos fondų investicijų veiksmų programos prioriteto įgyvendinimo priemonių įgyvendinimo plano“</w:t>
            </w:r>
            <w:r w:rsidR="00E32086">
              <w:rPr>
                <w:rFonts w:cs="Times New Roman"/>
              </w:rPr>
              <w:t>.</w:t>
            </w:r>
          </w:p>
          <w:p w:rsidR="00DE0DEA" w:rsidRPr="004A379B" w:rsidRDefault="00DE0DEA" w:rsidP="008C1390">
            <w:pPr>
              <w:pStyle w:val="Pagrindinistekstas"/>
              <w:ind w:firstLine="0"/>
              <w:rPr>
                <w:rFonts w:eastAsia="Times New Roman"/>
                <w:lang w:eastAsia="lt-LT"/>
              </w:rPr>
            </w:pPr>
          </w:p>
        </w:tc>
      </w:tr>
    </w:tbl>
    <w:p w:rsidR="00363178" w:rsidRPr="00C674E2" w:rsidRDefault="00363178" w:rsidP="00E32086">
      <w:pPr>
        <w:rPr>
          <w:rFonts w:ascii="Times New Roman" w:hAnsi="Times New Roman"/>
        </w:rPr>
      </w:pPr>
    </w:p>
    <w:sectPr w:rsidR="00363178" w:rsidRPr="00C674E2" w:rsidSect="00310F9C">
      <w:headerReference w:type="default" r:id="rId9"/>
      <w:pgSz w:w="16838" w:h="11906" w:orient="landscape"/>
      <w:pgMar w:top="851"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AC0" w:rsidRDefault="00776AC0" w:rsidP="00655D03">
      <w:r>
        <w:separator/>
      </w:r>
    </w:p>
  </w:endnote>
  <w:endnote w:type="continuationSeparator" w:id="0">
    <w:p w:rsidR="00776AC0" w:rsidRDefault="00776AC0" w:rsidP="0065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AC0" w:rsidRDefault="00776AC0" w:rsidP="00655D03">
      <w:r>
        <w:separator/>
      </w:r>
    </w:p>
  </w:footnote>
  <w:footnote w:type="continuationSeparator" w:id="0">
    <w:p w:rsidR="00776AC0" w:rsidRDefault="00776AC0" w:rsidP="0065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0592"/>
      <w:docPartObj>
        <w:docPartGallery w:val="Page Numbers (Top of Page)"/>
        <w:docPartUnique/>
      </w:docPartObj>
    </w:sdtPr>
    <w:sdtEndPr/>
    <w:sdtContent>
      <w:p w:rsidR="00EB79D9" w:rsidRDefault="00EB79D9">
        <w:pPr>
          <w:pStyle w:val="Antrats"/>
          <w:jc w:val="center"/>
        </w:pPr>
        <w:r>
          <w:fldChar w:fldCharType="begin"/>
        </w:r>
        <w:r>
          <w:instrText>PAGE   \* MERGEFORMAT</w:instrText>
        </w:r>
        <w:r>
          <w:fldChar w:fldCharType="separate"/>
        </w:r>
        <w:r w:rsidR="00F0643E">
          <w:rPr>
            <w:noProof/>
          </w:rPr>
          <w:t>2</w:t>
        </w:r>
        <w:r>
          <w:fldChar w:fldCharType="end"/>
        </w:r>
      </w:p>
    </w:sdtContent>
  </w:sdt>
  <w:p w:rsidR="00EB79D9" w:rsidRDefault="00EB79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B0A2B"/>
    <w:multiLevelType w:val="hybridMultilevel"/>
    <w:tmpl w:val="A27E2B40"/>
    <w:lvl w:ilvl="0" w:tplc="4738A3E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9450430"/>
    <w:multiLevelType w:val="multilevel"/>
    <w:tmpl w:val="BB10CFBC"/>
    <w:lvl w:ilvl="0">
      <w:start w:val="2"/>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nsid w:val="2A7911D0"/>
    <w:multiLevelType w:val="multilevel"/>
    <w:tmpl w:val="6D98B8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8FD35F6"/>
    <w:multiLevelType w:val="hybridMultilevel"/>
    <w:tmpl w:val="C7CA33A0"/>
    <w:lvl w:ilvl="0" w:tplc="EBB2BD5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69913EC4"/>
    <w:multiLevelType w:val="hybridMultilevel"/>
    <w:tmpl w:val="5FC8D182"/>
    <w:lvl w:ilvl="0" w:tplc="3990D1C8">
      <w:start w:val="1"/>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71070A0"/>
    <w:multiLevelType w:val="hybridMultilevel"/>
    <w:tmpl w:val="09C4E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78"/>
    <w:rsid w:val="00002BDF"/>
    <w:rsid w:val="00004605"/>
    <w:rsid w:val="00006D5D"/>
    <w:rsid w:val="00007624"/>
    <w:rsid w:val="00007886"/>
    <w:rsid w:val="000105F0"/>
    <w:rsid w:val="00011540"/>
    <w:rsid w:val="00015B59"/>
    <w:rsid w:val="00016633"/>
    <w:rsid w:val="00020440"/>
    <w:rsid w:val="00021108"/>
    <w:rsid w:val="00021D7C"/>
    <w:rsid w:val="00022050"/>
    <w:rsid w:val="00023179"/>
    <w:rsid w:val="00023623"/>
    <w:rsid w:val="000251C4"/>
    <w:rsid w:val="0002734B"/>
    <w:rsid w:val="00030BA1"/>
    <w:rsid w:val="00034114"/>
    <w:rsid w:val="00036625"/>
    <w:rsid w:val="00037383"/>
    <w:rsid w:val="00045791"/>
    <w:rsid w:val="00046212"/>
    <w:rsid w:val="0004748D"/>
    <w:rsid w:val="00052880"/>
    <w:rsid w:val="00056638"/>
    <w:rsid w:val="00060FA6"/>
    <w:rsid w:val="0006195C"/>
    <w:rsid w:val="00062BE9"/>
    <w:rsid w:val="00076874"/>
    <w:rsid w:val="000813C5"/>
    <w:rsid w:val="00083D53"/>
    <w:rsid w:val="0009575F"/>
    <w:rsid w:val="00095A25"/>
    <w:rsid w:val="00097043"/>
    <w:rsid w:val="000A0997"/>
    <w:rsid w:val="000A6147"/>
    <w:rsid w:val="000A75A1"/>
    <w:rsid w:val="000A7BCB"/>
    <w:rsid w:val="000B0354"/>
    <w:rsid w:val="000B118B"/>
    <w:rsid w:val="000B168E"/>
    <w:rsid w:val="000B360E"/>
    <w:rsid w:val="000B5485"/>
    <w:rsid w:val="000B6494"/>
    <w:rsid w:val="000B73D2"/>
    <w:rsid w:val="000C05BE"/>
    <w:rsid w:val="000C5D46"/>
    <w:rsid w:val="000C75B0"/>
    <w:rsid w:val="000C7F5B"/>
    <w:rsid w:val="000D0C1B"/>
    <w:rsid w:val="000D5662"/>
    <w:rsid w:val="000D6EC5"/>
    <w:rsid w:val="000D73C6"/>
    <w:rsid w:val="000E10E0"/>
    <w:rsid w:val="000E4713"/>
    <w:rsid w:val="000E4B0A"/>
    <w:rsid w:val="000E6222"/>
    <w:rsid w:val="000F4E51"/>
    <w:rsid w:val="000F4E9C"/>
    <w:rsid w:val="000F5935"/>
    <w:rsid w:val="000F6592"/>
    <w:rsid w:val="00101F55"/>
    <w:rsid w:val="00102936"/>
    <w:rsid w:val="00103DF6"/>
    <w:rsid w:val="00106540"/>
    <w:rsid w:val="00111D70"/>
    <w:rsid w:val="00117194"/>
    <w:rsid w:val="00117F09"/>
    <w:rsid w:val="00126334"/>
    <w:rsid w:val="00131439"/>
    <w:rsid w:val="001340E7"/>
    <w:rsid w:val="001358A5"/>
    <w:rsid w:val="00142ABE"/>
    <w:rsid w:val="00143FAF"/>
    <w:rsid w:val="00150202"/>
    <w:rsid w:val="00151A37"/>
    <w:rsid w:val="001577CA"/>
    <w:rsid w:val="0016097E"/>
    <w:rsid w:val="00165F56"/>
    <w:rsid w:val="001666FD"/>
    <w:rsid w:val="001752BD"/>
    <w:rsid w:val="001761C7"/>
    <w:rsid w:val="0017677B"/>
    <w:rsid w:val="00181B6A"/>
    <w:rsid w:val="00185F1F"/>
    <w:rsid w:val="0018673A"/>
    <w:rsid w:val="00190479"/>
    <w:rsid w:val="00197102"/>
    <w:rsid w:val="00197549"/>
    <w:rsid w:val="001A200A"/>
    <w:rsid w:val="001A2E4D"/>
    <w:rsid w:val="001A3105"/>
    <w:rsid w:val="001A3961"/>
    <w:rsid w:val="001A3D35"/>
    <w:rsid w:val="001A44A5"/>
    <w:rsid w:val="001A4737"/>
    <w:rsid w:val="001A57C3"/>
    <w:rsid w:val="001A746A"/>
    <w:rsid w:val="001B0618"/>
    <w:rsid w:val="001B1254"/>
    <w:rsid w:val="001B21AE"/>
    <w:rsid w:val="001B74BC"/>
    <w:rsid w:val="001B75BA"/>
    <w:rsid w:val="001B7E93"/>
    <w:rsid w:val="001C1CCE"/>
    <w:rsid w:val="001C2676"/>
    <w:rsid w:val="001C3A5E"/>
    <w:rsid w:val="001C467D"/>
    <w:rsid w:val="001C4F91"/>
    <w:rsid w:val="001C5016"/>
    <w:rsid w:val="001C744B"/>
    <w:rsid w:val="001D1B83"/>
    <w:rsid w:val="001D6531"/>
    <w:rsid w:val="001D78D0"/>
    <w:rsid w:val="001D7D9C"/>
    <w:rsid w:val="001E6726"/>
    <w:rsid w:val="001E6B58"/>
    <w:rsid w:val="001F3946"/>
    <w:rsid w:val="001F45D3"/>
    <w:rsid w:val="001F58A1"/>
    <w:rsid w:val="001F6C7A"/>
    <w:rsid w:val="0020468E"/>
    <w:rsid w:val="00207A4A"/>
    <w:rsid w:val="002247B1"/>
    <w:rsid w:val="00224F09"/>
    <w:rsid w:val="0022669A"/>
    <w:rsid w:val="002269AC"/>
    <w:rsid w:val="00233BE0"/>
    <w:rsid w:val="00235F89"/>
    <w:rsid w:val="00236EF6"/>
    <w:rsid w:val="00237AA3"/>
    <w:rsid w:val="00245FD5"/>
    <w:rsid w:val="0024794C"/>
    <w:rsid w:val="002543CF"/>
    <w:rsid w:val="00256259"/>
    <w:rsid w:val="00260610"/>
    <w:rsid w:val="00263C94"/>
    <w:rsid w:val="00263F02"/>
    <w:rsid w:val="0026513E"/>
    <w:rsid w:val="002652FF"/>
    <w:rsid w:val="002702E1"/>
    <w:rsid w:val="00274749"/>
    <w:rsid w:val="00284D90"/>
    <w:rsid w:val="002864C2"/>
    <w:rsid w:val="0028653A"/>
    <w:rsid w:val="00287056"/>
    <w:rsid w:val="00290F5A"/>
    <w:rsid w:val="0029123D"/>
    <w:rsid w:val="0029169B"/>
    <w:rsid w:val="00295C94"/>
    <w:rsid w:val="002A0E08"/>
    <w:rsid w:val="002A1B5D"/>
    <w:rsid w:val="002A7A07"/>
    <w:rsid w:val="002B10F8"/>
    <w:rsid w:val="002C048E"/>
    <w:rsid w:val="002C1708"/>
    <w:rsid w:val="002C5F5F"/>
    <w:rsid w:val="002C6E49"/>
    <w:rsid w:val="002D0888"/>
    <w:rsid w:val="002D0B71"/>
    <w:rsid w:val="002D190D"/>
    <w:rsid w:val="002D3098"/>
    <w:rsid w:val="002D3798"/>
    <w:rsid w:val="002E103D"/>
    <w:rsid w:val="002F0B33"/>
    <w:rsid w:val="002F3C58"/>
    <w:rsid w:val="002F797E"/>
    <w:rsid w:val="003036E4"/>
    <w:rsid w:val="0030437F"/>
    <w:rsid w:val="00310F9C"/>
    <w:rsid w:val="00315469"/>
    <w:rsid w:val="00315F72"/>
    <w:rsid w:val="0032075C"/>
    <w:rsid w:val="003244DD"/>
    <w:rsid w:val="00325440"/>
    <w:rsid w:val="00326FEC"/>
    <w:rsid w:val="00334A2E"/>
    <w:rsid w:val="00334BE2"/>
    <w:rsid w:val="0033511E"/>
    <w:rsid w:val="0033522A"/>
    <w:rsid w:val="003405CA"/>
    <w:rsid w:val="00342A2A"/>
    <w:rsid w:val="003452B2"/>
    <w:rsid w:val="00347A13"/>
    <w:rsid w:val="003501F8"/>
    <w:rsid w:val="0035143C"/>
    <w:rsid w:val="00361219"/>
    <w:rsid w:val="00363178"/>
    <w:rsid w:val="00367D50"/>
    <w:rsid w:val="00376C97"/>
    <w:rsid w:val="00383FA2"/>
    <w:rsid w:val="00384BF2"/>
    <w:rsid w:val="00385EB4"/>
    <w:rsid w:val="00391B2A"/>
    <w:rsid w:val="00393710"/>
    <w:rsid w:val="00393970"/>
    <w:rsid w:val="003A416E"/>
    <w:rsid w:val="003A6469"/>
    <w:rsid w:val="003A7B2B"/>
    <w:rsid w:val="003B3AC3"/>
    <w:rsid w:val="003B4B9A"/>
    <w:rsid w:val="003B5619"/>
    <w:rsid w:val="003B6701"/>
    <w:rsid w:val="003C1A51"/>
    <w:rsid w:val="003C3ABE"/>
    <w:rsid w:val="003C4007"/>
    <w:rsid w:val="003C4340"/>
    <w:rsid w:val="003D07DB"/>
    <w:rsid w:val="003D1D1B"/>
    <w:rsid w:val="003D2CEA"/>
    <w:rsid w:val="003D30D8"/>
    <w:rsid w:val="003D4050"/>
    <w:rsid w:val="003D5C53"/>
    <w:rsid w:val="003E00B5"/>
    <w:rsid w:val="003E0A16"/>
    <w:rsid w:val="003E1D5B"/>
    <w:rsid w:val="003E2834"/>
    <w:rsid w:val="003F1403"/>
    <w:rsid w:val="003F2E75"/>
    <w:rsid w:val="003F46EA"/>
    <w:rsid w:val="003F6C7C"/>
    <w:rsid w:val="003F7F3A"/>
    <w:rsid w:val="00401077"/>
    <w:rsid w:val="00401331"/>
    <w:rsid w:val="004014EF"/>
    <w:rsid w:val="00401620"/>
    <w:rsid w:val="00407998"/>
    <w:rsid w:val="00410C1B"/>
    <w:rsid w:val="0041205F"/>
    <w:rsid w:val="00415EE4"/>
    <w:rsid w:val="004269E7"/>
    <w:rsid w:val="00431F57"/>
    <w:rsid w:val="0043355F"/>
    <w:rsid w:val="00434318"/>
    <w:rsid w:val="00436734"/>
    <w:rsid w:val="00441455"/>
    <w:rsid w:val="004419E8"/>
    <w:rsid w:val="0044254D"/>
    <w:rsid w:val="004469DE"/>
    <w:rsid w:val="00446E37"/>
    <w:rsid w:val="00447AC4"/>
    <w:rsid w:val="004502CD"/>
    <w:rsid w:val="00450BE9"/>
    <w:rsid w:val="00452419"/>
    <w:rsid w:val="00452F1A"/>
    <w:rsid w:val="004531BA"/>
    <w:rsid w:val="00455814"/>
    <w:rsid w:val="0045697A"/>
    <w:rsid w:val="00457B58"/>
    <w:rsid w:val="0046386B"/>
    <w:rsid w:val="0046485F"/>
    <w:rsid w:val="00467FA8"/>
    <w:rsid w:val="00470175"/>
    <w:rsid w:val="00471E91"/>
    <w:rsid w:val="00473503"/>
    <w:rsid w:val="00476FB4"/>
    <w:rsid w:val="00494A35"/>
    <w:rsid w:val="004971ED"/>
    <w:rsid w:val="004A051E"/>
    <w:rsid w:val="004A379B"/>
    <w:rsid w:val="004A63E7"/>
    <w:rsid w:val="004B0DD6"/>
    <w:rsid w:val="004B3E52"/>
    <w:rsid w:val="004B4221"/>
    <w:rsid w:val="004B5538"/>
    <w:rsid w:val="004B72AE"/>
    <w:rsid w:val="004B7B04"/>
    <w:rsid w:val="004C0006"/>
    <w:rsid w:val="004C4ED0"/>
    <w:rsid w:val="004D000C"/>
    <w:rsid w:val="004D3207"/>
    <w:rsid w:val="004D7D01"/>
    <w:rsid w:val="004E0525"/>
    <w:rsid w:val="004E0E26"/>
    <w:rsid w:val="004E3927"/>
    <w:rsid w:val="004E43FE"/>
    <w:rsid w:val="004E5312"/>
    <w:rsid w:val="004E53F9"/>
    <w:rsid w:val="004F253F"/>
    <w:rsid w:val="004F3BB5"/>
    <w:rsid w:val="004F40BD"/>
    <w:rsid w:val="004F7A90"/>
    <w:rsid w:val="00500CDD"/>
    <w:rsid w:val="0050111E"/>
    <w:rsid w:val="00501535"/>
    <w:rsid w:val="005019AA"/>
    <w:rsid w:val="00501E9F"/>
    <w:rsid w:val="00506CFE"/>
    <w:rsid w:val="00507EBF"/>
    <w:rsid w:val="00510034"/>
    <w:rsid w:val="00511077"/>
    <w:rsid w:val="0051284B"/>
    <w:rsid w:val="00523831"/>
    <w:rsid w:val="00524DB1"/>
    <w:rsid w:val="005307C5"/>
    <w:rsid w:val="00532954"/>
    <w:rsid w:val="005458F4"/>
    <w:rsid w:val="00545AF9"/>
    <w:rsid w:val="00547758"/>
    <w:rsid w:val="00550508"/>
    <w:rsid w:val="00551DD5"/>
    <w:rsid w:val="00556DF7"/>
    <w:rsid w:val="00562E9C"/>
    <w:rsid w:val="00562FBB"/>
    <w:rsid w:val="005647A8"/>
    <w:rsid w:val="00571C81"/>
    <w:rsid w:val="00575153"/>
    <w:rsid w:val="005772EF"/>
    <w:rsid w:val="00581B42"/>
    <w:rsid w:val="00587CB2"/>
    <w:rsid w:val="005A0665"/>
    <w:rsid w:val="005A12CA"/>
    <w:rsid w:val="005B6F79"/>
    <w:rsid w:val="005B7E24"/>
    <w:rsid w:val="005C3465"/>
    <w:rsid w:val="005C4575"/>
    <w:rsid w:val="005D3EA1"/>
    <w:rsid w:val="005D454E"/>
    <w:rsid w:val="005D5750"/>
    <w:rsid w:val="005E5C58"/>
    <w:rsid w:val="005E6E2A"/>
    <w:rsid w:val="005F4B63"/>
    <w:rsid w:val="006117AD"/>
    <w:rsid w:val="0061310C"/>
    <w:rsid w:val="006131CF"/>
    <w:rsid w:val="00615140"/>
    <w:rsid w:val="00616E22"/>
    <w:rsid w:val="00617E14"/>
    <w:rsid w:val="00625061"/>
    <w:rsid w:val="006255D1"/>
    <w:rsid w:val="00627975"/>
    <w:rsid w:val="006328DF"/>
    <w:rsid w:val="00632BD5"/>
    <w:rsid w:val="0063343B"/>
    <w:rsid w:val="00634546"/>
    <w:rsid w:val="006409FB"/>
    <w:rsid w:val="0064123C"/>
    <w:rsid w:val="00642FF0"/>
    <w:rsid w:val="006476CD"/>
    <w:rsid w:val="006501C4"/>
    <w:rsid w:val="00650771"/>
    <w:rsid w:val="00653234"/>
    <w:rsid w:val="00654DEE"/>
    <w:rsid w:val="00655D03"/>
    <w:rsid w:val="00661E05"/>
    <w:rsid w:val="00663113"/>
    <w:rsid w:val="00674634"/>
    <w:rsid w:val="0067587E"/>
    <w:rsid w:val="006807AD"/>
    <w:rsid w:val="00685839"/>
    <w:rsid w:val="0068638F"/>
    <w:rsid w:val="00690C8D"/>
    <w:rsid w:val="00690F6E"/>
    <w:rsid w:val="00692240"/>
    <w:rsid w:val="00693152"/>
    <w:rsid w:val="006933B1"/>
    <w:rsid w:val="006942D5"/>
    <w:rsid w:val="00696F8B"/>
    <w:rsid w:val="006A17CF"/>
    <w:rsid w:val="006A466D"/>
    <w:rsid w:val="006A54F2"/>
    <w:rsid w:val="006A593E"/>
    <w:rsid w:val="006A62BC"/>
    <w:rsid w:val="006A671E"/>
    <w:rsid w:val="006B491C"/>
    <w:rsid w:val="006B4DC6"/>
    <w:rsid w:val="006B58B7"/>
    <w:rsid w:val="006B6E04"/>
    <w:rsid w:val="006B6E4E"/>
    <w:rsid w:val="006C04B9"/>
    <w:rsid w:val="006C22A9"/>
    <w:rsid w:val="006C250F"/>
    <w:rsid w:val="006C2C37"/>
    <w:rsid w:val="006C45D6"/>
    <w:rsid w:val="006C5678"/>
    <w:rsid w:val="006C76C8"/>
    <w:rsid w:val="006C786E"/>
    <w:rsid w:val="006D239B"/>
    <w:rsid w:val="006D5118"/>
    <w:rsid w:val="006D7FE3"/>
    <w:rsid w:val="006E2E6B"/>
    <w:rsid w:val="006E4DA9"/>
    <w:rsid w:val="006F197C"/>
    <w:rsid w:val="006F2667"/>
    <w:rsid w:val="006F5006"/>
    <w:rsid w:val="006F7CA5"/>
    <w:rsid w:val="00701DF6"/>
    <w:rsid w:val="007050ED"/>
    <w:rsid w:val="00707973"/>
    <w:rsid w:val="007079A3"/>
    <w:rsid w:val="00707A53"/>
    <w:rsid w:val="00710715"/>
    <w:rsid w:val="00711344"/>
    <w:rsid w:val="00714D84"/>
    <w:rsid w:val="00715E0B"/>
    <w:rsid w:val="00716CA5"/>
    <w:rsid w:val="00723999"/>
    <w:rsid w:val="00723D2C"/>
    <w:rsid w:val="00724C39"/>
    <w:rsid w:val="007263A6"/>
    <w:rsid w:val="0072760F"/>
    <w:rsid w:val="00732523"/>
    <w:rsid w:val="00733672"/>
    <w:rsid w:val="00736BAF"/>
    <w:rsid w:val="00736DA2"/>
    <w:rsid w:val="00737741"/>
    <w:rsid w:val="00741D63"/>
    <w:rsid w:val="0075007C"/>
    <w:rsid w:val="007500CD"/>
    <w:rsid w:val="007507BC"/>
    <w:rsid w:val="00751B60"/>
    <w:rsid w:val="00751CE0"/>
    <w:rsid w:val="007520E4"/>
    <w:rsid w:val="00754C16"/>
    <w:rsid w:val="00755122"/>
    <w:rsid w:val="00755DF1"/>
    <w:rsid w:val="00761EC5"/>
    <w:rsid w:val="00763D91"/>
    <w:rsid w:val="00770CF4"/>
    <w:rsid w:val="00770E4E"/>
    <w:rsid w:val="00771555"/>
    <w:rsid w:val="00772966"/>
    <w:rsid w:val="00773272"/>
    <w:rsid w:val="00773DF8"/>
    <w:rsid w:val="00774835"/>
    <w:rsid w:val="00774B9F"/>
    <w:rsid w:val="00776AC0"/>
    <w:rsid w:val="007814DA"/>
    <w:rsid w:val="007870B7"/>
    <w:rsid w:val="00787AD3"/>
    <w:rsid w:val="00793CB6"/>
    <w:rsid w:val="00796853"/>
    <w:rsid w:val="007A2160"/>
    <w:rsid w:val="007A5711"/>
    <w:rsid w:val="007A77A6"/>
    <w:rsid w:val="007A7A36"/>
    <w:rsid w:val="007B5544"/>
    <w:rsid w:val="007C0E89"/>
    <w:rsid w:val="007C1841"/>
    <w:rsid w:val="007C3EA7"/>
    <w:rsid w:val="007C5D6F"/>
    <w:rsid w:val="007C609D"/>
    <w:rsid w:val="007C7D19"/>
    <w:rsid w:val="007C7ED3"/>
    <w:rsid w:val="007C7F7E"/>
    <w:rsid w:val="007D1D57"/>
    <w:rsid w:val="007D409A"/>
    <w:rsid w:val="007E1503"/>
    <w:rsid w:val="007F0E81"/>
    <w:rsid w:val="007F1410"/>
    <w:rsid w:val="007F16C1"/>
    <w:rsid w:val="007F28CB"/>
    <w:rsid w:val="007F368F"/>
    <w:rsid w:val="007F413D"/>
    <w:rsid w:val="007F53C1"/>
    <w:rsid w:val="007F66F7"/>
    <w:rsid w:val="007F7563"/>
    <w:rsid w:val="007F785C"/>
    <w:rsid w:val="008004B0"/>
    <w:rsid w:val="00800BE6"/>
    <w:rsid w:val="00804C3C"/>
    <w:rsid w:val="008103DC"/>
    <w:rsid w:val="00817953"/>
    <w:rsid w:val="008208F5"/>
    <w:rsid w:val="0082159B"/>
    <w:rsid w:val="00824F4C"/>
    <w:rsid w:val="008252E9"/>
    <w:rsid w:val="00827FD2"/>
    <w:rsid w:val="00831FD8"/>
    <w:rsid w:val="0083756A"/>
    <w:rsid w:val="00840004"/>
    <w:rsid w:val="00841F94"/>
    <w:rsid w:val="0084432A"/>
    <w:rsid w:val="008452CE"/>
    <w:rsid w:val="008452D8"/>
    <w:rsid w:val="00845AB6"/>
    <w:rsid w:val="008470D3"/>
    <w:rsid w:val="00853D48"/>
    <w:rsid w:val="00856486"/>
    <w:rsid w:val="00860205"/>
    <w:rsid w:val="0086178B"/>
    <w:rsid w:val="00863BBF"/>
    <w:rsid w:val="008648EC"/>
    <w:rsid w:val="00865D3C"/>
    <w:rsid w:val="0086608F"/>
    <w:rsid w:val="008666D2"/>
    <w:rsid w:val="008724FB"/>
    <w:rsid w:val="00875113"/>
    <w:rsid w:val="008776E2"/>
    <w:rsid w:val="008820D8"/>
    <w:rsid w:val="008824B1"/>
    <w:rsid w:val="00883B8B"/>
    <w:rsid w:val="00883F20"/>
    <w:rsid w:val="00884F60"/>
    <w:rsid w:val="008859E3"/>
    <w:rsid w:val="00887BF3"/>
    <w:rsid w:val="00890126"/>
    <w:rsid w:val="0089140A"/>
    <w:rsid w:val="008917EE"/>
    <w:rsid w:val="0089505A"/>
    <w:rsid w:val="008975A3"/>
    <w:rsid w:val="008A25F2"/>
    <w:rsid w:val="008A308C"/>
    <w:rsid w:val="008A3AD4"/>
    <w:rsid w:val="008A76DD"/>
    <w:rsid w:val="008A78AB"/>
    <w:rsid w:val="008A7D05"/>
    <w:rsid w:val="008C0918"/>
    <w:rsid w:val="008C095C"/>
    <w:rsid w:val="008C1390"/>
    <w:rsid w:val="008C70A6"/>
    <w:rsid w:val="008D13B9"/>
    <w:rsid w:val="008E04F0"/>
    <w:rsid w:val="008E2732"/>
    <w:rsid w:val="008E6346"/>
    <w:rsid w:val="008F2BAB"/>
    <w:rsid w:val="008F311E"/>
    <w:rsid w:val="00901F37"/>
    <w:rsid w:val="00903CC0"/>
    <w:rsid w:val="00905A0C"/>
    <w:rsid w:val="00906C5C"/>
    <w:rsid w:val="00913BBE"/>
    <w:rsid w:val="00915BCE"/>
    <w:rsid w:val="00916264"/>
    <w:rsid w:val="00917347"/>
    <w:rsid w:val="009212D7"/>
    <w:rsid w:val="00922144"/>
    <w:rsid w:val="0092489F"/>
    <w:rsid w:val="009270D7"/>
    <w:rsid w:val="00931496"/>
    <w:rsid w:val="0093196D"/>
    <w:rsid w:val="00933D25"/>
    <w:rsid w:val="009353D4"/>
    <w:rsid w:val="00935FEA"/>
    <w:rsid w:val="0093630E"/>
    <w:rsid w:val="0094296F"/>
    <w:rsid w:val="009443A6"/>
    <w:rsid w:val="009444FC"/>
    <w:rsid w:val="00947E87"/>
    <w:rsid w:val="00950F5A"/>
    <w:rsid w:val="00951F60"/>
    <w:rsid w:val="009530E0"/>
    <w:rsid w:val="00954168"/>
    <w:rsid w:val="009574D4"/>
    <w:rsid w:val="00960BB7"/>
    <w:rsid w:val="009624D0"/>
    <w:rsid w:val="0096490F"/>
    <w:rsid w:val="009669FA"/>
    <w:rsid w:val="00967BCC"/>
    <w:rsid w:val="009727B0"/>
    <w:rsid w:val="00977884"/>
    <w:rsid w:val="00977B34"/>
    <w:rsid w:val="00980CF0"/>
    <w:rsid w:val="0098240F"/>
    <w:rsid w:val="009940DE"/>
    <w:rsid w:val="00994F60"/>
    <w:rsid w:val="00997C5A"/>
    <w:rsid w:val="009A02C6"/>
    <w:rsid w:val="009A1DEC"/>
    <w:rsid w:val="009A5446"/>
    <w:rsid w:val="009A5524"/>
    <w:rsid w:val="009A67D2"/>
    <w:rsid w:val="009A6CA9"/>
    <w:rsid w:val="009B0FD0"/>
    <w:rsid w:val="009B51CD"/>
    <w:rsid w:val="009B663D"/>
    <w:rsid w:val="009B69E3"/>
    <w:rsid w:val="009B7E8E"/>
    <w:rsid w:val="009D1F7D"/>
    <w:rsid w:val="009D2D73"/>
    <w:rsid w:val="009D483A"/>
    <w:rsid w:val="009D75B3"/>
    <w:rsid w:val="009D7BEB"/>
    <w:rsid w:val="009E1949"/>
    <w:rsid w:val="009E20F4"/>
    <w:rsid w:val="009E46FA"/>
    <w:rsid w:val="009E4965"/>
    <w:rsid w:val="009E58AA"/>
    <w:rsid w:val="009E5AC5"/>
    <w:rsid w:val="009E6EA8"/>
    <w:rsid w:val="009E738F"/>
    <w:rsid w:val="009E7888"/>
    <w:rsid w:val="009F1C72"/>
    <w:rsid w:val="009F5FB1"/>
    <w:rsid w:val="009F732A"/>
    <w:rsid w:val="00A151B7"/>
    <w:rsid w:val="00A156AE"/>
    <w:rsid w:val="00A16899"/>
    <w:rsid w:val="00A16D86"/>
    <w:rsid w:val="00A17F50"/>
    <w:rsid w:val="00A2098F"/>
    <w:rsid w:val="00A22764"/>
    <w:rsid w:val="00A23BB6"/>
    <w:rsid w:val="00A27224"/>
    <w:rsid w:val="00A27C98"/>
    <w:rsid w:val="00A303EE"/>
    <w:rsid w:val="00A31D80"/>
    <w:rsid w:val="00A32FBB"/>
    <w:rsid w:val="00A34837"/>
    <w:rsid w:val="00A3706E"/>
    <w:rsid w:val="00A37729"/>
    <w:rsid w:val="00A40339"/>
    <w:rsid w:val="00A4034B"/>
    <w:rsid w:val="00A404CC"/>
    <w:rsid w:val="00A41719"/>
    <w:rsid w:val="00A44AF2"/>
    <w:rsid w:val="00A4507C"/>
    <w:rsid w:val="00A45756"/>
    <w:rsid w:val="00A502BD"/>
    <w:rsid w:val="00A51CFF"/>
    <w:rsid w:val="00A548A6"/>
    <w:rsid w:val="00A6360A"/>
    <w:rsid w:val="00A64F1C"/>
    <w:rsid w:val="00A650C6"/>
    <w:rsid w:val="00A650D7"/>
    <w:rsid w:val="00A66C92"/>
    <w:rsid w:val="00A67732"/>
    <w:rsid w:val="00A7430A"/>
    <w:rsid w:val="00A7729A"/>
    <w:rsid w:val="00A80F41"/>
    <w:rsid w:val="00A8197E"/>
    <w:rsid w:val="00A81AC9"/>
    <w:rsid w:val="00A82179"/>
    <w:rsid w:val="00A8399B"/>
    <w:rsid w:val="00A9231A"/>
    <w:rsid w:val="00A9237B"/>
    <w:rsid w:val="00A94BA9"/>
    <w:rsid w:val="00A950F2"/>
    <w:rsid w:val="00A95205"/>
    <w:rsid w:val="00A95F6C"/>
    <w:rsid w:val="00A97BC7"/>
    <w:rsid w:val="00AA35DE"/>
    <w:rsid w:val="00AA4E94"/>
    <w:rsid w:val="00AA56D0"/>
    <w:rsid w:val="00AA6398"/>
    <w:rsid w:val="00AB18C5"/>
    <w:rsid w:val="00AB432F"/>
    <w:rsid w:val="00AC34D9"/>
    <w:rsid w:val="00AC35E3"/>
    <w:rsid w:val="00AC438F"/>
    <w:rsid w:val="00AD1878"/>
    <w:rsid w:val="00AD197C"/>
    <w:rsid w:val="00AD295C"/>
    <w:rsid w:val="00AD2B49"/>
    <w:rsid w:val="00AD472F"/>
    <w:rsid w:val="00AD78DC"/>
    <w:rsid w:val="00AD7F60"/>
    <w:rsid w:val="00AE14DA"/>
    <w:rsid w:val="00AE375E"/>
    <w:rsid w:val="00AE562F"/>
    <w:rsid w:val="00AF0094"/>
    <w:rsid w:val="00AF5C9E"/>
    <w:rsid w:val="00AF62DE"/>
    <w:rsid w:val="00B05115"/>
    <w:rsid w:val="00B0588B"/>
    <w:rsid w:val="00B0696F"/>
    <w:rsid w:val="00B07211"/>
    <w:rsid w:val="00B15176"/>
    <w:rsid w:val="00B25EFD"/>
    <w:rsid w:val="00B34AAF"/>
    <w:rsid w:val="00B37658"/>
    <w:rsid w:val="00B40F7D"/>
    <w:rsid w:val="00B42D9F"/>
    <w:rsid w:val="00B50951"/>
    <w:rsid w:val="00B54425"/>
    <w:rsid w:val="00B565AB"/>
    <w:rsid w:val="00B57D35"/>
    <w:rsid w:val="00B63F16"/>
    <w:rsid w:val="00B64FBA"/>
    <w:rsid w:val="00B6559E"/>
    <w:rsid w:val="00B66021"/>
    <w:rsid w:val="00B72601"/>
    <w:rsid w:val="00B760A5"/>
    <w:rsid w:val="00B775D4"/>
    <w:rsid w:val="00B80EE4"/>
    <w:rsid w:val="00B81D89"/>
    <w:rsid w:val="00B85572"/>
    <w:rsid w:val="00B86287"/>
    <w:rsid w:val="00B92551"/>
    <w:rsid w:val="00B932BA"/>
    <w:rsid w:val="00B93EC6"/>
    <w:rsid w:val="00B95C02"/>
    <w:rsid w:val="00B9747F"/>
    <w:rsid w:val="00B9781A"/>
    <w:rsid w:val="00B978B6"/>
    <w:rsid w:val="00B97EA7"/>
    <w:rsid w:val="00BA4859"/>
    <w:rsid w:val="00BA5618"/>
    <w:rsid w:val="00BB277D"/>
    <w:rsid w:val="00BB2D9C"/>
    <w:rsid w:val="00BB3D51"/>
    <w:rsid w:val="00BB4C83"/>
    <w:rsid w:val="00BB5630"/>
    <w:rsid w:val="00BB74DD"/>
    <w:rsid w:val="00BC13BE"/>
    <w:rsid w:val="00BD2D82"/>
    <w:rsid w:val="00BD372D"/>
    <w:rsid w:val="00BD3A4A"/>
    <w:rsid w:val="00BD3A63"/>
    <w:rsid w:val="00BD4294"/>
    <w:rsid w:val="00BD54A5"/>
    <w:rsid w:val="00BE2CA2"/>
    <w:rsid w:val="00BE3EBF"/>
    <w:rsid w:val="00BE6BB3"/>
    <w:rsid w:val="00BE7DDC"/>
    <w:rsid w:val="00BF34FD"/>
    <w:rsid w:val="00BF5537"/>
    <w:rsid w:val="00C0011F"/>
    <w:rsid w:val="00C02071"/>
    <w:rsid w:val="00C028DB"/>
    <w:rsid w:val="00C05139"/>
    <w:rsid w:val="00C14AD5"/>
    <w:rsid w:val="00C2032C"/>
    <w:rsid w:val="00C21205"/>
    <w:rsid w:val="00C24A6B"/>
    <w:rsid w:val="00C26EA0"/>
    <w:rsid w:val="00C2782F"/>
    <w:rsid w:val="00C3068D"/>
    <w:rsid w:val="00C32E37"/>
    <w:rsid w:val="00C33DA5"/>
    <w:rsid w:val="00C350E4"/>
    <w:rsid w:val="00C35252"/>
    <w:rsid w:val="00C41403"/>
    <w:rsid w:val="00C419CF"/>
    <w:rsid w:val="00C42A1D"/>
    <w:rsid w:val="00C504B6"/>
    <w:rsid w:val="00C51BD4"/>
    <w:rsid w:val="00C522A4"/>
    <w:rsid w:val="00C52726"/>
    <w:rsid w:val="00C53394"/>
    <w:rsid w:val="00C54350"/>
    <w:rsid w:val="00C57A0C"/>
    <w:rsid w:val="00C60985"/>
    <w:rsid w:val="00C60A4B"/>
    <w:rsid w:val="00C62C52"/>
    <w:rsid w:val="00C65B45"/>
    <w:rsid w:val="00C65B48"/>
    <w:rsid w:val="00C669CD"/>
    <w:rsid w:val="00C67291"/>
    <w:rsid w:val="00C67490"/>
    <w:rsid w:val="00C674E2"/>
    <w:rsid w:val="00C725E2"/>
    <w:rsid w:val="00C738A5"/>
    <w:rsid w:val="00C738D7"/>
    <w:rsid w:val="00C74431"/>
    <w:rsid w:val="00C74818"/>
    <w:rsid w:val="00C80441"/>
    <w:rsid w:val="00C81B72"/>
    <w:rsid w:val="00C81C53"/>
    <w:rsid w:val="00C944E3"/>
    <w:rsid w:val="00C94B9C"/>
    <w:rsid w:val="00C956DE"/>
    <w:rsid w:val="00CA3637"/>
    <w:rsid w:val="00CA4160"/>
    <w:rsid w:val="00CA5207"/>
    <w:rsid w:val="00CA725E"/>
    <w:rsid w:val="00CB052C"/>
    <w:rsid w:val="00CB089A"/>
    <w:rsid w:val="00CB18E2"/>
    <w:rsid w:val="00CB70F3"/>
    <w:rsid w:val="00CC0524"/>
    <w:rsid w:val="00CC28D3"/>
    <w:rsid w:val="00CC6E2D"/>
    <w:rsid w:val="00CD33E0"/>
    <w:rsid w:val="00CD74DA"/>
    <w:rsid w:val="00CD7782"/>
    <w:rsid w:val="00CE2774"/>
    <w:rsid w:val="00CF2826"/>
    <w:rsid w:val="00D00FC6"/>
    <w:rsid w:val="00D019C4"/>
    <w:rsid w:val="00D027E6"/>
    <w:rsid w:val="00D03047"/>
    <w:rsid w:val="00D06875"/>
    <w:rsid w:val="00D1202A"/>
    <w:rsid w:val="00D147D3"/>
    <w:rsid w:val="00D171EE"/>
    <w:rsid w:val="00D26CDB"/>
    <w:rsid w:val="00D309F6"/>
    <w:rsid w:val="00D32980"/>
    <w:rsid w:val="00D329B7"/>
    <w:rsid w:val="00D35191"/>
    <w:rsid w:val="00D4015B"/>
    <w:rsid w:val="00D4380C"/>
    <w:rsid w:val="00D45C74"/>
    <w:rsid w:val="00D46AAB"/>
    <w:rsid w:val="00D46F76"/>
    <w:rsid w:val="00D4701C"/>
    <w:rsid w:val="00D524E1"/>
    <w:rsid w:val="00D615B6"/>
    <w:rsid w:val="00D6323C"/>
    <w:rsid w:val="00D63342"/>
    <w:rsid w:val="00D658FE"/>
    <w:rsid w:val="00D65CBC"/>
    <w:rsid w:val="00D67248"/>
    <w:rsid w:val="00D7103D"/>
    <w:rsid w:val="00D76785"/>
    <w:rsid w:val="00D8132C"/>
    <w:rsid w:val="00D8133A"/>
    <w:rsid w:val="00D84E37"/>
    <w:rsid w:val="00D85BA6"/>
    <w:rsid w:val="00D867A5"/>
    <w:rsid w:val="00D87643"/>
    <w:rsid w:val="00D90471"/>
    <w:rsid w:val="00D94E5F"/>
    <w:rsid w:val="00D95D9C"/>
    <w:rsid w:val="00D964A9"/>
    <w:rsid w:val="00DA5337"/>
    <w:rsid w:val="00DA5DE6"/>
    <w:rsid w:val="00DB0A3E"/>
    <w:rsid w:val="00DB55FB"/>
    <w:rsid w:val="00DB660F"/>
    <w:rsid w:val="00DC51AF"/>
    <w:rsid w:val="00DC7514"/>
    <w:rsid w:val="00DD21DF"/>
    <w:rsid w:val="00DD25CC"/>
    <w:rsid w:val="00DD4CCA"/>
    <w:rsid w:val="00DD6717"/>
    <w:rsid w:val="00DE0DEA"/>
    <w:rsid w:val="00DE40F6"/>
    <w:rsid w:val="00DE50B2"/>
    <w:rsid w:val="00DE611B"/>
    <w:rsid w:val="00DE7AFB"/>
    <w:rsid w:val="00DF07E7"/>
    <w:rsid w:val="00DF545A"/>
    <w:rsid w:val="00E04053"/>
    <w:rsid w:val="00E0419B"/>
    <w:rsid w:val="00E063AB"/>
    <w:rsid w:val="00E06E74"/>
    <w:rsid w:val="00E10564"/>
    <w:rsid w:val="00E10DDE"/>
    <w:rsid w:val="00E16A73"/>
    <w:rsid w:val="00E173D7"/>
    <w:rsid w:val="00E232CA"/>
    <w:rsid w:val="00E25BED"/>
    <w:rsid w:val="00E25D59"/>
    <w:rsid w:val="00E26A69"/>
    <w:rsid w:val="00E27422"/>
    <w:rsid w:val="00E277F9"/>
    <w:rsid w:val="00E32086"/>
    <w:rsid w:val="00E32DA6"/>
    <w:rsid w:val="00E33313"/>
    <w:rsid w:val="00E366C6"/>
    <w:rsid w:val="00E40399"/>
    <w:rsid w:val="00E41C89"/>
    <w:rsid w:val="00E46635"/>
    <w:rsid w:val="00E50F9B"/>
    <w:rsid w:val="00E53474"/>
    <w:rsid w:val="00E53EBB"/>
    <w:rsid w:val="00E54D57"/>
    <w:rsid w:val="00E550E6"/>
    <w:rsid w:val="00E55F20"/>
    <w:rsid w:val="00E56329"/>
    <w:rsid w:val="00E60496"/>
    <w:rsid w:val="00E614B1"/>
    <w:rsid w:val="00E62BE6"/>
    <w:rsid w:val="00E64008"/>
    <w:rsid w:val="00E66252"/>
    <w:rsid w:val="00E728EB"/>
    <w:rsid w:val="00E74414"/>
    <w:rsid w:val="00E81C90"/>
    <w:rsid w:val="00E82D7F"/>
    <w:rsid w:val="00E8741E"/>
    <w:rsid w:val="00E940C2"/>
    <w:rsid w:val="00EA030C"/>
    <w:rsid w:val="00EA060D"/>
    <w:rsid w:val="00EA165B"/>
    <w:rsid w:val="00EA21BB"/>
    <w:rsid w:val="00EA706C"/>
    <w:rsid w:val="00EB27A4"/>
    <w:rsid w:val="00EB79D9"/>
    <w:rsid w:val="00EC572B"/>
    <w:rsid w:val="00ED0AEC"/>
    <w:rsid w:val="00ED0CC2"/>
    <w:rsid w:val="00ED17FD"/>
    <w:rsid w:val="00EE1E43"/>
    <w:rsid w:val="00EE354C"/>
    <w:rsid w:val="00EE4D2B"/>
    <w:rsid w:val="00EE55B4"/>
    <w:rsid w:val="00EF1419"/>
    <w:rsid w:val="00EF6D07"/>
    <w:rsid w:val="00EF791D"/>
    <w:rsid w:val="00EF7F71"/>
    <w:rsid w:val="00F0229C"/>
    <w:rsid w:val="00F038A2"/>
    <w:rsid w:val="00F0643E"/>
    <w:rsid w:val="00F13E58"/>
    <w:rsid w:val="00F140B2"/>
    <w:rsid w:val="00F266D7"/>
    <w:rsid w:val="00F306DB"/>
    <w:rsid w:val="00F327AA"/>
    <w:rsid w:val="00F32E45"/>
    <w:rsid w:val="00F453F3"/>
    <w:rsid w:val="00F454EA"/>
    <w:rsid w:val="00F51EF5"/>
    <w:rsid w:val="00F52F59"/>
    <w:rsid w:val="00F542FC"/>
    <w:rsid w:val="00F543E0"/>
    <w:rsid w:val="00F611F5"/>
    <w:rsid w:val="00F61D99"/>
    <w:rsid w:val="00F622F6"/>
    <w:rsid w:val="00F640DE"/>
    <w:rsid w:val="00F658E4"/>
    <w:rsid w:val="00F71E87"/>
    <w:rsid w:val="00F74CDA"/>
    <w:rsid w:val="00F752BF"/>
    <w:rsid w:val="00F80093"/>
    <w:rsid w:val="00F823A8"/>
    <w:rsid w:val="00F83019"/>
    <w:rsid w:val="00F83DBC"/>
    <w:rsid w:val="00F878DF"/>
    <w:rsid w:val="00F90BE0"/>
    <w:rsid w:val="00F91780"/>
    <w:rsid w:val="00F93904"/>
    <w:rsid w:val="00F947BB"/>
    <w:rsid w:val="00F964F4"/>
    <w:rsid w:val="00FA3CB3"/>
    <w:rsid w:val="00FA476A"/>
    <w:rsid w:val="00FA4D9B"/>
    <w:rsid w:val="00FA7764"/>
    <w:rsid w:val="00FB4C32"/>
    <w:rsid w:val="00FC084F"/>
    <w:rsid w:val="00FC0FA1"/>
    <w:rsid w:val="00FC12AB"/>
    <w:rsid w:val="00FC38DD"/>
    <w:rsid w:val="00FC7B23"/>
    <w:rsid w:val="00FD0BCE"/>
    <w:rsid w:val="00FD4579"/>
    <w:rsid w:val="00FD4CAD"/>
    <w:rsid w:val="00FD6416"/>
    <w:rsid w:val="00FD7448"/>
    <w:rsid w:val="00FE4C78"/>
    <w:rsid w:val="00FE53A6"/>
    <w:rsid w:val="00FE6499"/>
    <w:rsid w:val="00FF06DA"/>
    <w:rsid w:val="00FF17C3"/>
    <w:rsid w:val="00FF1805"/>
    <w:rsid w:val="00FF4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3178"/>
    <w:pPr>
      <w:jc w:val="left"/>
    </w:pPr>
    <w:rPr>
      <w:rFonts w:ascii="TimesLT" w:eastAsia="Times New Roman" w:hAnsi="TimesLT" w:cs="Times New Roman"/>
      <w:szCs w:val="20"/>
      <w:lang w:eastAsia="lt-LT"/>
    </w:rPr>
  </w:style>
  <w:style w:type="paragraph" w:styleId="Antrat1">
    <w:name w:val="heading 1"/>
    <w:basedOn w:val="prastasis"/>
    <w:next w:val="prastasis"/>
    <w:link w:val="Antrat1Diagrama"/>
    <w:qFormat/>
    <w:rsid w:val="00B86287"/>
    <w:pPr>
      <w:keepNext/>
      <w:jc w:val="center"/>
      <w:outlineLvl w:val="0"/>
    </w:pPr>
    <w:rPr>
      <w:rFonts w:ascii="HelveticaLT" w:hAnsi="HelveticaLT"/>
      <w:caps/>
      <w:sz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63178"/>
    <w:pPr>
      <w:widowControl w:val="0"/>
      <w:suppressAutoHyphens/>
      <w:ind w:firstLine="567"/>
      <w:jc w:val="both"/>
    </w:pPr>
    <w:rPr>
      <w:rFonts w:ascii="Times New Roman" w:eastAsia="Andale Sans UI" w:hAnsi="Times New Roman" w:cs="Tahoma"/>
      <w:szCs w:val="24"/>
      <w:lang w:eastAsia="en-US" w:bidi="en-US"/>
    </w:rPr>
  </w:style>
  <w:style w:type="character" w:customStyle="1" w:styleId="PagrindinistekstasDiagrama">
    <w:name w:val="Pagrindinis tekstas Diagrama"/>
    <w:basedOn w:val="Numatytasispastraiposriftas"/>
    <w:link w:val="Pagrindinistekstas"/>
    <w:rsid w:val="00363178"/>
    <w:rPr>
      <w:rFonts w:eastAsia="Andale Sans UI" w:cs="Tahoma"/>
      <w:szCs w:val="24"/>
      <w:lang w:bidi="en-US"/>
    </w:rPr>
  </w:style>
  <w:style w:type="character" w:customStyle="1" w:styleId="quatationtext">
    <w:name w:val="quatation_text"/>
    <w:basedOn w:val="Numatytasispastraiposriftas"/>
    <w:rsid w:val="008C095C"/>
    <w:rPr>
      <w:rFonts w:ascii="Arial" w:hAnsi="Arial" w:cs="Arial" w:hint="default"/>
      <w:b/>
      <w:bCs/>
      <w:vanish w:val="0"/>
      <w:webHidden w:val="0"/>
      <w:color w:val="4A473C"/>
      <w:sz w:val="17"/>
      <w:szCs w:val="17"/>
      <w:specVanish w:val="0"/>
    </w:rPr>
  </w:style>
  <w:style w:type="paragraph" w:styleId="Debesliotekstas">
    <w:name w:val="Balloon Text"/>
    <w:basedOn w:val="prastasis"/>
    <w:link w:val="DebesliotekstasDiagrama"/>
    <w:uiPriority w:val="99"/>
    <w:semiHidden/>
    <w:unhideWhenUsed/>
    <w:rsid w:val="008A7D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7D05"/>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106540"/>
    <w:rPr>
      <w:strike w:val="0"/>
      <w:dstrike w:val="0"/>
      <w:color w:val="0000FF"/>
      <w:u w:val="none"/>
      <w:effect w:val="none"/>
    </w:rPr>
  </w:style>
  <w:style w:type="paragraph" w:styleId="Sraopastraipa">
    <w:name w:val="List Paragraph"/>
    <w:basedOn w:val="prastasis"/>
    <w:uiPriority w:val="34"/>
    <w:qFormat/>
    <w:rsid w:val="00FA7764"/>
    <w:pPr>
      <w:ind w:left="720"/>
      <w:contextualSpacing/>
    </w:pPr>
  </w:style>
  <w:style w:type="character" w:styleId="Perirtashipersaitas">
    <w:name w:val="FollowedHyperlink"/>
    <w:basedOn w:val="Numatytasispastraiposriftas"/>
    <w:uiPriority w:val="99"/>
    <w:semiHidden/>
    <w:unhideWhenUsed/>
    <w:rsid w:val="00770CF4"/>
    <w:rPr>
      <w:color w:val="800080" w:themeColor="followedHyperlink"/>
      <w:u w:val="single"/>
    </w:rPr>
  </w:style>
  <w:style w:type="paragraph" w:customStyle="1" w:styleId="CentrBold">
    <w:name w:val="CentrBold"/>
    <w:rsid w:val="0092489F"/>
    <w:pPr>
      <w:jc w:val="center"/>
    </w:pPr>
    <w:rPr>
      <w:rFonts w:ascii="TimesLT" w:eastAsia="Times New Roman" w:hAnsi="TimesLT" w:cs="Times New Roman"/>
      <w:b/>
      <w:caps/>
      <w:sz w:val="20"/>
      <w:szCs w:val="20"/>
      <w:lang w:val="en-GB"/>
    </w:rPr>
  </w:style>
  <w:style w:type="character" w:styleId="HTMLspausdinimomainl">
    <w:name w:val="HTML Typewriter"/>
    <w:basedOn w:val="Numatytasispastraiposriftas"/>
    <w:uiPriority w:val="99"/>
    <w:semiHidden/>
    <w:unhideWhenUsed/>
    <w:rsid w:val="00207A4A"/>
    <w:rPr>
      <w:rFonts w:ascii="Courier New" w:eastAsia="Times New Roman" w:hAnsi="Courier New" w:cs="Courier New"/>
      <w:sz w:val="20"/>
      <w:szCs w:val="20"/>
    </w:rPr>
  </w:style>
  <w:style w:type="character" w:customStyle="1" w:styleId="Absatz-Standardschriftart">
    <w:name w:val="Absatz-Standardschriftart"/>
    <w:rsid w:val="004C0006"/>
  </w:style>
  <w:style w:type="paragraph" w:styleId="Betarp">
    <w:name w:val="No Spacing"/>
    <w:basedOn w:val="prastasis"/>
    <w:uiPriority w:val="1"/>
    <w:qFormat/>
    <w:rsid w:val="00D45C74"/>
    <w:pPr>
      <w:spacing w:before="100" w:beforeAutospacing="1" w:after="100" w:afterAutospacing="1"/>
    </w:pPr>
    <w:rPr>
      <w:rFonts w:ascii="Times New Roman" w:hAnsi="Times New Roman"/>
      <w:szCs w:val="24"/>
    </w:rPr>
  </w:style>
  <w:style w:type="paragraph" w:customStyle="1" w:styleId="tajtip">
    <w:name w:val="tajtip"/>
    <w:basedOn w:val="prastasis"/>
    <w:rsid w:val="00BD3A4A"/>
    <w:pPr>
      <w:spacing w:before="100" w:beforeAutospacing="1" w:after="100" w:afterAutospacing="1"/>
    </w:pPr>
    <w:rPr>
      <w:rFonts w:ascii="Times New Roman" w:hAnsi="Times New Roman"/>
      <w:szCs w:val="24"/>
    </w:rPr>
  </w:style>
  <w:style w:type="paragraph" w:customStyle="1" w:styleId="tin">
    <w:name w:val="tin"/>
    <w:basedOn w:val="prastasis"/>
    <w:rsid w:val="00906C5C"/>
    <w:pPr>
      <w:spacing w:before="100" w:beforeAutospacing="1" w:after="100" w:afterAutospacing="1"/>
    </w:pPr>
    <w:rPr>
      <w:rFonts w:ascii="Times New Roman" w:hAnsi="Times New Roman"/>
      <w:szCs w:val="24"/>
    </w:rPr>
  </w:style>
  <w:style w:type="paragraph" w:customStyle="1" w:styleId="BodyText1">
    <w:name w:val="Body Text1"/>
    <w:rsid w:val="009212D7"/>
    <w:pPr>
      <w:ind w:firstLine="312"/>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unhideWhenUsed/>
    <w:rsid w:val="0031546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15469"/>
    <w:rPr>
      <w:rFonts w:ascii="TimesLT" w:eastAsia="Times New Roman" w:hAnsi="TimesLT" w:cs="Times New Roman"/>
      <w:sz w:val="16"/>
      <w:szCs w:val="16"/>
      <w:lang w:eastAsia="lt-LT"/>
    </w:rPr>
  </w:style>
  <w:style w:type="character" w:styleId="Komentaronuoroda">
    <w:name w:val="annotation reference"/>
    <w:basedOn w:val="Numatytasispastraiposriftas"/>
    <w:uiPriority w:val="99"/>
    <w:semiHidden/>
    <w:unhideWhenUsed/>
    <w:rsid w:val="00C65B48"/>
    <w:rPr>
      <w:sz w:val="16"/>
      <w:szCs w:val="16"/>
    </w:rPr>
  </w:style>
  <w:style w:type="paragraph" w:styleId="Pagrindiniotekstotrauka2">
    <w:name w:val="Body Text Indent 2"/>
    <w:basedOn w:val="prastasis"/>
    <w:link w:val="Pagrindiniotekstotrauka2Diagrama"/>
    <w:uiPriority w:val="99"/>
    <w:semiHidden/>
    <w:unhideWhenUsed/>
    <w:rsid w:val="00B8628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86287"/>
    <w:rPr>
      <w:rFonts w:ascii="TimesLT" w:eastAsia="Times New Roman" w:hAnsi="TimesLT" w:cs="Times New Roman"/>
      <w:szCs w:val="20"/>
      <w:lang w:eastAsia="lt-LT"/>
    </w:rPr>
  </w:style>
  <w:style w:type="character" w:customStyle="1" w:styleId="Antrat1Diagrama">
    <w:name w:val="Antraštė 1 Diagrama"/>
    <w:basedOn w:val="Numatytasispastraiposriftas"/>
    <w:link w:val="Antrat1"/>
    <w:rsid w:val="00B86287"/>
    <w:rPr>
      <w:rFonts w:ascii="HelveticaLT" w:eastAsia="Times New Roman" w:hAnsi="HelveticaLT" w:cs="Times New Roman"/>
      <w:caps/>
      <w:sz w:val="32"/>
      <w:szCs w:val="20"/>
    </w:rPr>
  </w:style>
  <w:style w:type="paragraph" w:styleId="Komentarotekstas">
    <w:name w:val="annotation text"/>
    <w:basedOn w:val="prastasis"/>
    <w:link w:val="KomentarotekstasDiagrama"/>
    <w:semiHidden/>
    <w:unhideWhenUsed/>
    <w:rsid w:val="00B86287"/>
    <w:rPr>
      <w:rFonts w:ascii="Times New Roman" w:hAnsi="Times New Roman"/>
      <w:sz w:val="20"/>
      <w:lang w:eastAsia="en-US"/>
    </w:rPr>
  </w:style>
  <w:style w:type="character" w:customStyle="1" w:styleId="KomentarotekstasDiagrama">
    <w:name w:val="Komentaro tekstas Diagrama"/>
    <w:basedOn w:val="Numatytasispastraiposriftas"/>
    <w:link w:val="Komentarotekstas"/>
    <w:semiHidden/>
    <w:rsid w:val="00B86287"/>
    <w:rPr>
      <w:rFonts w:eastAsia="Times New Roman" w:cs="Times New Roman"/>
      <w:sz w:val="20"/>
      <w:szCs w:val="20"/>
    </w:rPr>
  </w:style>
  <w:style w:type="paragraph" w:customStyle="1" w:styleId="BodyText2">
    <w:name w:val="Body Text2"/>
    <w:rsid w:val="00B86287"/>
    <w:pPr>
      <w:snapToGrid w:val="0"/>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655D03"/>
    <w:pPr>
      <w:tabs>
        <w:tab w:val="center" w:pos="4819"/>
        <w:tab w:val="right" w:pos="9638"/>
      </w:tabs>
    </w:pPr>
  </w:style>
  <w:style w:type="character" w:customStyle="1" w:styleId="AntratsDiagrama">
    <w:name w:val="Antraštės Diagrama"/>
    <w:basedOn w:val="Numatytasispastraiposriftas"/>
    <w:link w:val="Antrats"/>
    <w:uiPriority w:val="99"/>
    <w:rsid w:val="00655D03"/>
    <w:rPr>
      <w:rFonts w:ascii="TimesLT" w:eastAsia="Times New Roman" w:hAnsi="TimesLT" w:cs="Times New Roman"/>
      <w:szCs w:val="20"/>
      <w:lang w:eastAsia="lt-LT"/>
    </w:rPr>
  </w:style>
  <w:style w:type="paragraph" w:styleId="Porat">
    <w:name w:val="footer"/>
    <w:basedOn w:val="prastasis"/>
    <w:link w:val="PoratDiagrama"/>
    <w:uiPriority w:val="99"/>
    <w:unhideWhenUsed/>
    <w:rsid w:val="00655D03"/>
    <w:pPr>
      <w:tabs>
        <w:tab w:val="center" w:pos="4819"/>
        <w:tab w:val="right" w:pos="9638"/>
      </w:tabs>
    </w:pPr>
  </w:style>
  <w:style w:type="character" w:customStyle="1" w:styleId="PoratDiagrama">
    <w:name w:val="Poraštė Diagrama"/>
    <w:basedOn w:val="Numatytasispastraiposriftas"/>
    <w:link w:val="Porat"/>
    <w:uiPriority w:val="99"/>
    <w:rsid w:val="00655D03"/>
    <w:rPr>
      <w:rFonts w:ascii="TimesLT" w:eastAsia="Times New Roman" w:hAnsi="TimesLT" w:cs="Times New Roman"/>
      <w:szCs w:val="20"/>
      <w:lang w:eastAsia="lt-LT"/>
    </w:rPr>
  </w:style>
  <w:style w:type="paragraph" w:customStyle="1" w:styleId="Preformatted">
    <w:name w:val="Preformatted"/>
    <w:basedOn w:val="prastasis"/>
    <w:rsid w:val="004120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st">
    <w:name w:val="st"/>
    <w:rsid w:val="00E04053"/>
  </w:style>
  <w:style w:type="paragraph" w:styleId="Komentarotema">
    <w:name w:val="annotation subject"/>
    <w:basedOn w:val="Komentarotekstas"/>
    <w:next w:val="Komentarotekstas"/>
    <w:link w:val="KomentarotemaDiagrama"/>
    <w:uiPriority w:val="99"/>
    <w:semiHidden/>
    <w:unhideWhenUsed/>
    <w:rsid w:val="00F542FC"/>
    <w:rPr>
      <w:rFonts w:ascii="TimesLT" w:hAnsi="TimesLT"/>
      <w:b/>
      <w:bCs/>
      <w:lang w:eastAsia="lt-LT"/>
    </w:rPr>
  </w:style>
  <w:style w:type="character" w:customStyle="1" w:styleId="KomentarotemaDiagrama">
    <w:name w:val="Komentaro tema Diagrama"/>
    <w:basedOn w:val="KomentarotekstasDiagrama"/>
    <w:link w:val="Komentarotema"/>
    <w:uiPriority w:val="99"/>
    <w:semiHidden/>
    <w:rsid w:val="00F542FC"/>
    <w:rPr>
      <w:rFonts w:ascii="TimesLT" w:eastAsia="Times New Roman" w:hAnsi="TimesLT" w:cs="Times New Roman"/>
      <w:b/>
      <w:bCs/>
      <w:sz w:val="20"/>
      <w:szCs w:val="20"/>
      <w:lang w:eastAsia="lt-LT"/>
    </w:rPr>
  </w:style>
  <w:style w:type="paragraph" w:customStyle="1" w:styleId="Default">
    <w:name w:val="Default"/>
    <w:rsid w:val="00696F8B"/>
    <w:pPr>
      <w:autoSpaceDE w:val="0"/>
      <w:autoSpaceDN w:val="0"/>
      <w:adjustRightInd w:val="0"/>
      <w:jc w:val="left"/>
    </w:pPr>
    <w:rPr>
      <w:rFonts w:ascii="Calibri" w:eastAsia="Calibri" w:hAnsi="Calibri" w:cs="Calibri"/>
      <w:color w:val="000000"/>
      <w:szCs w:val="24"/>
      <w:lang w:eastAsia="lt-LT"/>
    </w:rPr>
  </w:style>
  <w:style w:type="character" w:customStyle="1" w:styleId="apple-converted-space">
    <w:name w:val="apple-converted-space"/>
    <w:basedOn w:val="Numatytasispastraiposriftas"/>
    <w:rsid w:val="00015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3178"/>
    <w:pPr>
      <w:jc w:val="left"/>
    </w:pPr>
    <w:rPr>
      <w:rFonts w:ascii="TimesLT" w:eastAsia="Times New Roman" w:hAnsi="TimesLT" w:cs="Times New Roman"/>
      <w:szCs w:val="20"/>
      <w:lang w:eastAsia="lt-LT"/>
    </w:rPr>
  </w:style>
  <w:style w:type="paragraph" w:styleId="Antrat1">
    <w:name w:val="heading 1"/>
    <w:basedOn w:val="prastasis"/>
    <w:next w:val="prastasis"/>
    <w:link w:val="Antrat1Diagrama"/>
    <w:qFormat/>
    <w:rsid w:val="00B86287"/>
    <w:pPr>
      <w:keepNext/>
      <w:jc w:val="center"/>
      <w:outlineLvl w:val="0"/>
    </w:pPr>
    <w:rPr>
      <w:rFonts w:ascii="HelveticaLT" w:hAnsi="HelveticaLT"/>
      <w:caps/>
      <w:sz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63178"/>
    <w:pPr>
      <w:widowControl w:val="0"/>
      <w:suppressAutoHyphens/>
      <w:ind w:firstLine="567"/>
      <w:jc w:val="both"/>
    </w:pPr>
    <w:rPr>
      <w:rFonts w:ascii="Times New Roman" w:eastAsia="Andale Sans UI" w:hAnsi="Times New Roman" w:cs="Tahoma"/>
      <w:szCs w:val="24"/>
      <w:lang w:eastAsia="en-US" w:bidi="en-US"/>
    </w:rPr>
  </w:style>
  <w:style w:type="character" w:customStyle="1" w:styleId="PagrindinistekstasDiagrama">
    <w:name w:val="Pagrindinis tekstas Diagrama"/>
    <w:basedOn w:val="Numatytasispastraiposriftas"/>
    <w:link w:val="Pagrindinistekstas"/>
    <w:rsid w:val="00363178"/>
    <w:rPr>
      <w:rFonts w:eastAsia="Andale Sans UI" w:cs="Tahoma"/>
      <w:szCs w:val="24"/>
      <w:lang w:bidi="en-US"/>
    </w:rPr>
  </w:style>
  <w:style w:type="character" w:customStyle="1" w:styleId="quatationtext">
    <w:name w:val="quatation_text"/>
    <w:basedOn w:val="Numatytasispastraiposriftas"/>
    <w:rsid w:val="008C095C"/>
    <w:rPr>
      <w:rFonts w:ascii="Arial" w:hAnsi="Arial" w:cs="Arial" w:hint="default"/>
      <w:b/>
      <w:bCs/>
      <w:vanish w:val="0"/>
      <w:webHidden w:val="0"/>
      <w:color w:val="4A473C"/>
      <w:sz w:val="17"/>
      <w:szCs w:val="17"/>
      <w:specVanish w:val="0"/>
    </w:rPr>
  </w:style>
  <w:style w:type="paragraph" w:styleId="Debesliotekstas">
    <w:name w:val="Balloon Text"/>
    <w:basedOn w:val="prastasis"/>
    <w:link w:val="DebesliotekstasDiagrama"/>
    <w:uiPriority w:val="99"/>
    <w:semiHidden/>
    <w:unhideWhenUsed/>
    <w:rsid w:val="008A7D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7D05"/>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106540"/>
    <w:rPr>
      <w:strike w:val="0"/>
      <w:dstrike w:val="0"/>
      <w:color w:val="0000FF"/>
      <w:u w:val="none"/>
      <w:effect w:val="none"/>
    </w:rPr>
  </w:style>
  <w:style w:type="paragraph" w:styleId="Sraopastraipa">
    <w:name w:val="List Paragraph"/>
    <w:basedOn w:val="prastasis"/>
    <w:uiPriority w:val="34"/>
    <w:qFormat/>
    <w:rsid w:val="00FA7764"/>
    <w:pPr>
      <w:ind w:left="720"/>
      <w:contextualSpacing/>
    </w:pPr>
  </w:style>
  <w:style w:type="character" w:styleId="Perirtashipersaitas">
    <w:name w:val="FollowedHyperlink"/>
    <w:basedOn w:val="Numatytasispastraiposriftas"/>
    <w:uiPriority w:val="99"/>
    <w:semiHidden/>
    <w:unhideWhenUsed/>
    <w:rsid w:val="00770CF4"/>
    <w:rPr>
      <w:color w:val="800080" w:themeColor="followedHyperlink"/>
      <w:u w:val="single"/>
    </w:rPr>
  </w:style>
  <w:style w:type="paragraph" w:customStyle="1" w:styleId="CentrBold">
    <w:name w:val="CentrBold"/>
    <w:rsid w:val="0092489F"/>
    <w:pPr>
      <w:jc w:val="center"/>
    </w:pPr>
    <w:rPr>
      <w:rFonts w:ascii="TimesLT" w:eastAsia="Times New Roman" w:hAnsi="TimesLT" w:cs="Times New Roman"/>
      <w:b/>
      <w:caps/>
      <w:sz w:val="20"/>
      <w:szCs w:val="20"/>
      <w:lang w:val="en-GB"/>
    </w:rPr>
  </w:style>
  <w:style w:type="character" w:styleId="HTMLspausdinimomainl">
    <w:name w:val="HTML Typewriter"/>
    <w:basedOn w:val="Numatytasispastraiposriftas"/>
    <w:uiPriority w:val="99"/>
    <w:semiHidden/>
    <w:unhideWhenUsed/>
    <w:rsid w:val="00207A4A"/>
    <w:rPr>
      <w:rFonts w:ascii="Courier New" w:eastAsia="Times New Roman" w:hAnsi="Courier New" w:cs="Courier New"/>
      <w:sz w:val="20"/>
      <w:szCs w:val="20"/>
    </w:rPr>
  </w:style>
  <w:style w:type="character" w:customStyle="1" w:styleId="Absatz-Standardschriftart">
    <w:name w:val="Absatz-Standardschriftart"/>
    <w:rsid w:val="004C0006"/>
  </w:style>
  <w:style w:type="paragraph" w:styleId="Betarp">
    <w:name w:val="No Spacing"/>
    <w:basedOn w:val="prastasis"/>
    <w:uiPriority w:val="1"/>
    <w:qFormat/>
    <w:rsid w:val="00D45C74"/>
    <w:pPr>
      <w:spacing w:before="100" w:beforeAutospacing="1" w:after="100" w:afterAutospacing="1"/>
    </w:pPr>
    <w:rPr>
      <w:rFonts w:ascii="Times New Roman" w:hAnsi="Times New Roman"/>
      <w:szCs w:val="24"/>
    </w:rPr>
  </w:style>
  <w:style w:type="paragraph" w:customStyle="1" w:styleId="tajtip">
    <w:name w:val="tajtip"/>
    <w:basedOn w:val="prastasis"/>
    <w:rsid w:val="00BD3A4A"/>
    <w:pPr>
      <w:spacing w:before="100" w:beforeAutospacing="1" w:after="100" w:afterAutospacing="1"/>
    </w:pPr>
    <w:rPr>
      <w:rFonts w:ascii="Times New Roman" w:hAnsi="Times New Roman"/>
      <w:szCs w:val="24"/>
    </w:rPr>
  </w:style>
  <w:style w:type="paragraph" w:customStyle="1" w:styleId="tin">
    <w:name w:val="tin"/>
    <w:basedOn w:val="prastasis"/>
    <w:rsid w:val="00906C5C"/>
    <w:pPr>
      <w:spacing w:before="100" w:beforeAutospacing="1" w:after="100" w:afterAutospacing="1"/>
    </w:pPr>
    <w:rPr>
      <w:rFonts w:ascii="Times New Roman" w:hAnsi="Times New Roman"/>
      <w:szCs w:val="24"/>
    </w:rPr>
  </w:style>
  <w:style w:type="paragraph" w:customStyle="1" w:styleId="BodyText1">
    <w:name w:val="Body Text1"/>
    <w:rsid w:val="009212D7"/>
    <w:pPr>
      <w:ind w:firstLine="312"/>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unhideWhenUsed/>
    <w:rsid w:val="0031546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15469"/>
    <w:rPr>
      <w:rFonts w:ascii="TimesLT" w:eastAsia="Times New Roman" w:hAnsi="TimesLT" w:cs="Times New Roman"/>
      <w:sz w:val="16"/>
      <w:szCs w:val="16"/>
      <w:lang w:eastAsia="lt-LT"/>
    </w:rPr>
  </w:style>
  <w:style w:type="character" w:styleId="Komentaronuoroda">
    <w:name w:val="annotation reference"/>
    <w:basedOn w:val="Numatytasispastraiposriftas"/>
    <w:uiPriority w:val="99"/>
    <w:semiHidden/>
    <w:unhideWhenUsed/>
    <w:rsid w:val="00C65B48"/>
    <w:rPr>
      <w:sz w:val="16"/>
      <w:szCs w:val="16"/>
    </w:rPr>
  </w:style>
  <w:style w:type="paragraph" w:styleId="Pagrindiniotekstotrauka2">
    <w:name w:val="Body Text Indent 2"/>
    <w:basedOn w:val="prastasis"/>
    <w:link w:val="Pagrindiniotekstotrauka2Diagrama"/>
    <w:uiPriority w:val="99"/>
    <w:semiHidden/>
    <w:unhideWhenUsed/>
    <w:rsid w:val="00B8628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86287"/>
    <w:rPr>
      <w:rFonts w:ascii="TimesLT" w:eastAsia="Times New Roman" w:hAnsi="TimesLT" w:cs="Times New Roman"/>
      <w:szCs w:val="20"/>
      <w:lang w:eastAsia="lt-LT"/>
    </w:rPr>
  </w:style>
  <w:style w:type="character" w:customStyle="1" w:styleId="Antrat1Diagrama">
    <w:name w:val="Antraštė 1 Diagrama"/>
    <w:basedOn w:val="Numatytasispastraiposriftas"/>
    <w:link w:val="Antrat1"/>
    <w:rsid w:val="00B86287"/>
    <w:rPr>
      <w:rFonts w:ascii="HelveticaLT" w:eastAsia="Times New Roman" w:hAnsi="HelveticaLT" w:cs="Times New Roman"/>
      <w:caps/>
      <w:sz w:val="32"/>
      <w:szCs w:val="20"/>
    </w:rPr>
  </w:style>
  <w:style w:type="paragraph" w:styleId="Komentarotekstas">
    <w:name w:val="annotation text"/>
    <w:basedOn w:val="prastasis"/>
    <w:link w:val="KomentarotekstasDiagrama"/>
    <w:semiHidden/>
    <w:unhideWhenUsed/>
    <w:rsid w:val="00B86287"/>
    <w:rPr>
      <w:rFonts w:ascii="Times New Roman" w:hAnsi="Times New Roman"/>
      <w:sz w:val="20"/>
      <w:lang w:eastAsia="en-US"/>
    </w:rPr>
  </w:style>
  <w:style w:type="character" w:customStyle="1" w:styleId="KomentarotekstasDiagrama">
    <w:name w:val="Komentaro tekstas Diagrama"/>
    <w:basedOn w:val="Numatytasispastraiposriftas"/>
    <w:link w:val="Komentarotekstas"/>
    <w:semiHidden/>
    <w:rsid w:val="00B86287"/>
    <w:rPr>
      <w:rFonts w:eastAsia="Times New Roman" w:cs="Times New Roman"/>
      <w:sz w:val="20"/>
      <w:szCs w:val="20"/>
    </w:rPr>
  </w:style>
  <w:style w:type="paragraph" w:customStyle="1" w:styleId="BodyText2">
    <w:name w:val="Body Text2"/>
    <w:rsid w:val="00B86287"/>
    <w:pPr>
      <w:snapToGrid w:val="0"/>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655D03"/>
    <w:pPr>
      <w:tabs>
        <w:tab w:val="center" w:pos="4819"/>
        <w:tab w:val="right" w:pos="9638"/>
      </w:tabs>
    </w:pPr>
  </w:style>
  <w:style w:type="character" w:customStyle="1" w:styleId="AntratsDiagrama">
    <w:name w:val="Antraštės Diagrama"/>
    <w:basedOn w:val="Numatytasispastraiposriftas"/>
    <w:link w:val="Antrats"/>
    <w:uiPriority w:val="99"/>
    <w:rsid w:val="00655D03"/>
    <w:rPr>
      <w:rFonts w:ascii="TimesLT" w:eastAsia="Times New Roman" w:hAnsi="TimesLT" w:cs="Times New Roman"/>
      <w:szCs w:val="20"/>
      <w:lang w:eastAsia="lt-LT"/>
    </w:rPr>
  </w:style>
  <w:style w:type="paragraph" w:styleId="Porat">
    <w:name w:val="footer"/>
    <w:basedOn w:val="prastasis"/>
    <w:link w:val="PoratDiagrama"/>
    <w:uiPriority w:val="99"/>
    <w:unhideWhenUsed/>
    <w:rsid w:val="00655D03"/>
    <w:pPr>
      <w:tabs>
        <w:tab w:val="center" w:pos="4819"/>
        <w:tab w:val="right" w:pos="9638"/>
      </w:tabs>
    </w:pPr>
  </w:style>
  <w:style w:type="character" w:customStyle="1" w:styleId="PoratDiagrama">
    <w:name w:val="Poraštė Diagrama"/>
    <w:basedOn w:val="Numatytasispastraiposriftas"/>
    <w:link w:val="Porat"/>
    <w:uiPriority w:val="99"/>
    <w:rsid w:val="00655D03"/>
    <w:rPr>
      <w:rFonts w:ascii="TimesLT" w:eastAsia="Times New Roman" w:hAnsi="TimesLT" w:cs="Times New Roman"/>
      <w:szCs w:val="20"/>
      <w:lang w:eastAsia="lt-LT"/>
    </w:rPr>
  </w:style>
  <w:style w:type="paragraph" w:customStyle="1" w:styleId="Preformatted">
    <w:name w:val="Preformatted"/>
    <w:basedOn w:val="prastasis"/>
    <w:rsid w:val="004120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st">
    <w:name w:val="st"/>
    <w:rsid w:val="00E04053"/>
  </w:style>
  <w:style w:type="paragraph" w:styleId="Komentarotema">
    <w:name w:val="annotation subject"/>
    <w:basedOn w:val="Komentarotekstas"/>
    <w:next w:val="Komentarotekstas"/>
    <w:link w:val="KomentarotemaDiagrama"/>
    <w:uiPriority w:val="99"/>
    <w:semiHidden/>
    <w:unhideWhenUsed/>
    <w:rsid w:val="00F542FC"/>
    <w:rPr>
      <w:rFonts w:ascii="TimesLT" w:hAnsi="TimesLT"/>
      <w:b/>
      <w:bCs/>
      <w:lang w:eastAsia="lt-LT"/>
    </w:rPr>
  </w:style>
  <w:style w:type="character" w:customStyle="1" w:styleId="KomentarotemaDiagrama">
    <w:name w:val="Komentaro tema Diagrama"/>
    <w:basedOn w:val="KomentarotekstasDiagrama"/>
    <w:link w:val="Komentarotema"/>
    <w:uiPriority w:val="99"/>
    <w:semiHidden/>
    <w:rsid w:val="00F542FC"/>
    <w:rPr>
      <w:rFonts w:ascii="TimesLT" w:eastAsia="Times New Roman" w:hAnsi="TimesLT" w:cs="Times New Roman"/>
      <w:b/>
      <w:bCs/>
      <w:sz w:val="20"/>
      <w:szCs w:val="20"/>
      <w:lang w:eastAsia="lt-LT"/>
    </w:rPr>
  </w:style>
  <w:style w:type="paragraph" w:customStyle="1" w:styleId="Default">
    <w:name w:val="Default"/>
    <w:rsid w:val="00696F8B"/>
    <w:pPr>
      <w:autoSpaceDE w:val="0"/>
      <w:autoSpaceDN w:val="0"/>
      <w:adjustRightInd w:val="0"/>
      <w:jc w:val="left"/>
    </w:pPr>
    <w:rPr>
      <w:rFonts w:ascii="Calibri" w:eastAsia="Calibri" w:hAnsi="Calibri" w:cs="Calibri"/>
      <w:color w:val="000000"/>
      <w:szCs w:val="24"/>
      <w:lang w:eastAsia="lt-LT"/>
    </w:rPr>
  </w:style>
  <w:style w:type="character" w:customStyle="1" w:styleId="apple-converted-space">
    <w:name w:val="apple-converted-space"/>
    <w:basedOn w:val="Numatytasispastraiposriftas"/>
    <w:rsid w:val="0001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3342">
      <w:bodyDiv w:val="1"/>
      <w:marLeft w:val="0"/>
      <w:marRight w:val="0"/>
      <w:marTop w:val="0"/>
      <w:marBottom w:val="0"/>
      <w:divBdr>
        <w:top w:val="none" w:sz="0" w:space="0" w:color="auto"/>
        <w:left w:val="none" w:sz="0" w:space="0" w:color="auto"/>
        <w:bottom w:val="none" w:sz="0" w:space="0" w:color="auto"/>
        <w:right w:val="none" w:sz="0" w:space="0" w:color="auto"/>
      </w:divBdr>
    </w:div>
    <w:div w:id="33090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992169557">
          <w:marLeft w:val="0"/>
          <w:marRight w:val="0"/>
          <w:marTop w:val="0"/>
          <w:marBottom w:val="0"/>
          <w:divBdr>
            <w:top w:val="none" w:sz="0" w:space="0" w:color="auto"/>
            <w:left w:val="none" w:sz="0" w:space="0" w:color="auto"/>
            <w:bottom w:val="none" w:sz="0" w:space="0" w:color="auto"/>
            <w:right w:val="none" w:sz="0" w:space="0" w:color="auto"/>
          </w:divBdr>
        </w:div>
      </w:divsChild>
    </w:div>
    <w:div w:id="942150661">
      <w:bodyDiv w:val="1"/>
      <w:marLeft w:val="225"/>
      <w:marRight w:val="225"/>
      <w:marTop w:val="0"/>
      <w:marBottom w:val="0"/>
      <w:divBdr>
        <w:top w:val="none" w:sz="0" w:space="0" w:color="auto"/>
        <w:left w:val="none" w:sz="0" w:space="0" w:color="auto"/>
        <w:bottom w:val="none" w:sz="0" w:space="0" w:color="auto"/>
        <w:right w:val="none" w:sz="0" w:space="0" w:color="auto"/>
      </w:divBdr>
    </w:div>
    <w:div w:id="1023090819">
      <w:bodyDiv w:val="1"/>
      <w:marLeft w:val="225"/>
      <w:marRight w:val="225"/>
      <w:marTop w:val="0"/>
      <w:marBottom w:val="0"/>
      <w:divBdr>
        <w:top w:val="none" w:sz="0" w:space="0" w:color="auto"/>
        <w:left w:val="none" w:sz="0" w:space="0" w:color="auto"/>
        <w:bottom w:val="none" w:sz="0" w:space="0" w:color="auto"/>
        <w:right w:val="none" w:sz="0" w:space="0" w:color="auto"/>
      </w:divBdr>
      <w:divsChild>
        <w:div w:id="47732470">
          <w:marLeft w:val="0"/>
          <w:marRight w:val="0"/>
          <w:marTop w:val="0"/>
          <w:marBottom w:val="0"/>
          <w:divBdr>
            <w:top w:val="none" w:sz="0" w:space="0" w:color="auto"/>
            <w:left w:val="none" w:sz="0" w:space="0" w:color="auto"/>
            <w:bottom w:val="none" w:sz="0" w:space="0" w:color="auto"/>
            <w:right w:val="none" w:sz="0" w:space="0" w:color="auto"/>
          </w:divBdr>
        </w:div>
      </w:divsChild>
    </w:div>
    <w:div w:id="1177885520">
      <w:bodyDiv w:val="1"/>
      <w:marLeft w:val="225"/>
      <w:marRight w:val="225"/>
      <w:marTop w:val="0"/>
      <w:marBottom w:val="0"/>
      <w:divBdr>
        <w:top w:val="none" w:sz="0" w:space="0" w:color="auto"/>
        <w:left w:val="none" w:sz="0" w:space="0" w:color="auto"/>
        <w:bottom w:val="none" w:sz="0" w:space="0" w:color="auto"/>
        <w:right w:val="none" w:sz="0" w:space="0" w:color="auto"/>
      </w:divBdr>
      <w:divsChild>
        <w:div w:id="846670336">
          <w:marLeft w:val="0"/>
          <w:marRight w:val="0"/>
          <w:marTop w:val="0"/>
          <w:marBottom w:val="0"/>
          <w:divBdr>
            <w:top w:val="none" w:sz="0" w:space="0" w:color="auto"/>
            <w:left w:val="none" w:sz="0" w:space="0" w:color="auto"/>
            <w:bottom w:val="none" w:sz="0" w:space="0" w:color="auto"/>
            <w:right w:val="none" w:sz="0" w:space="0" w:color="auto"/>
          </w:divBdr>
        </w:div>
      </w:divsChild>
    </w:div>
    <w:div w:id="1216576991">
      <w:bodyDiv w:val="1"/>
      <w:marLeft w:val="0"/>
      <w:marRight w:val="0"/>
      <w:marTop w:val="0"/>
      <w:marBottom w:val="0"/>
      <w:divBdr>
        <w:top w:val="none" w:sz="0" w:space="0" w:color="auto"/>
        <w:left w:val="none" w:sz="0" w:space="0" w:color="auto"/>
        <w:bottom w:val="none" w:sz="0" w:space="0" w:color="auto"/>
        <w:right w:val="none" w:sz="0" w:space="0" w:color="auto"/>
      </w:divBdr>
    </w:div>
    <w:div w:id="1321040633">
      <w:bodyDiv w:val="1"/>
      <w:marLeft w:val="0"/>
      <w:marRight w:val="0"/>
      <w:marTop w:val="0"/>
      <w:marBottom w:val="150"/>
      <w:divBdr>
        <w:top w:val="none" w:sz="0" w:space="0" w:color="auto"/>
        <w:left w:val="none" w:sz="0" w:space="0" w:color="auto"/>
        <w:bottom w:val="none" w:sz="0" w:space="0" w:color="auto"/>
        <w:right w:val="none" w:sz="0" w:space="0" w:color="auto"/>
      </w:divBdr>
      <w:divsChild>
        <w:div w:id="2135243949">
          <w:marLeft w:val="600"/>
          <w:marRight w:val="0"/>
          <w:marTop w:val="0"/>
          <w:marBottom w:val="0"/>
          <w:divBdr>
            <w:top w:val="none" w:sz="0" w:space="0" w:color="auto"/>
            <w:left w:val="none" w:sz="0" w:space="0" w:color="auto"/>
            <w:bottom w:val="none" w:sz="0" w:space="0" w:color="auto"/>
            <w:right w:val="none" w:sz="0" w:space="0" w:color="auto"/>
          </w:divBdr>
          <w:divsChild>
            <w:div w:id="6903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6253">
      <w:bodyDiv w:val="1"/>
      <w:marLeft w:val="0"/>
      <w:marRight w:val="0"/>
      <w:marTop w:val="0"/>
      <w:marBottom w:val="0"/>
      <w:divBdr>
        <w:top w:val="none" w:sz="0" w:space="0" w:color="auto"/>
        <w:left w:val="none" w:sz="0" w:space="0" w:color="auto"/>
        <w:bottom w:val="none" w:sz="0" w:space="0" w:color="auto"/>
        <w:right w:val="none" w:sz="0" w:space="0" w:color="auto"/>
      </w:divBdr>
    </w:div>
    <w:div w:id="1508053308">
      <w:bodyDiv w:val="1"/>
      <w:marLeft w:val="225"/>
      <w:marRight w:val="225"/>
      <w:marTop w:val="0"/>
      <w:marBottom w:val="0"/>
      <w:divBdr>
        <w:top w:val="none" w:sz="0" w:space="0" w:color="auto"/>
        <w:left w:val="none" w:sz="0" w:space="0" w:color="auto"/>
        <w:bottom w:val="none" w:sz="0" w:space="0" w:color="auto"/>
        <w:right w:val="none" w:sz="0" w:space="0" w:color="auto"/>
      </w:divBdr>
      <w:divsChild>
        <w:div w:id="768501329">
          <w:marLeft w:val="0"/>
          <w:marRight w:val="0"/>
          <w:marTop w:val="0"/>
          <w:marBottom w:val="0"/>
          <w:divBdr>
            <w:top w:val="none" w:sz="0" w:space="0" w:color="auto"/>
            <w:left w:val="none" w:sz="0" w:space="0" w:color="auto"/>
            <w:bottom w:val="none" w:sz="0" w:space="0" w:color="auto"/>
            <w:right w:val="none" w:sz="0" w:space="0" w:color="auto"/>
          </w:divBdr>
        </w:div>
      </w:divsChild>
    </w:div>
    <w:div w:id="1985963139">
      <w:bodyDiv w:val="1"/>
      <w:marLeft w:val="225"/>
      <w:marRight w:val="225"/>
      <w:marTop w:val="0"/>
      <w:marBottom w:val="0"/>
      <w:divBdr>
        <w:top w:val="none" w:sz="0" w:space="0" w:color="auto"/>
        <w:left w:val="none" w:sz="0" w:space="0" w:color="auto"/>
        <w:bottom w:val="none" w:sz="0" w:space="0" w:color="auto"/>
        <w:right w:val="none" w:sz="0" w:space="0" w:color="auto"/>
      </w:divBdr>
      <w:divsChild>
        <w:div w:id="114592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3080F-B6AD-4B3B-BED7-67812906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6474</Words>
  <Characters>3691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Kapačinskaitė</dc:creator>
  <cp:lastModifiedBy>Jonas Balkevičius</cp:lastModifiedBy>
  <cp:revision>2</cp:revision>
  <cp:lastPrinted>2014-11-17T13:25:00Z</cp:lastPrinted>
  <dcterms:created xsi:type="dcterms:W3CDTF">2015-07-15T05:37:00Z</dcterms:created>
  <dcterms:modified xsi:type="dcterms:W3CDTF">2015-07-15T05:37:00Z</dcterms:modified>
</cp:coreProperties>
</file>