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68F192" w14:textId="77777777" w:rsidR="00A75823" w:rsidRDefault="0085246A" w:rsidP="00A75823">
      <w:pPr>
        <w:pStyle w:val="Pagrindinistekstas1"/>
        <w:widowControl/>
        <w:tabs>
          <w:tab w:val="left" w:pos="720"/>
          <w:tab w:val="left" w:pos="1134"/>
          <w:tab w:val="left" w:pos="1276"/>
          <w:tab w:val="left" w:pos="6237"/>
          <w:tab w:val="left" w:pos="10773"/>
        </w:tabs>
        <w:spacing w:line="240" w:lineRule="auto"/>
        <w:ind w:firstLine="8080"/>
        <w:rPr>
          <w:rFonts w:ascii="Times New Roman" w:hAnsi="Times New Roman"/>
          <w:sz w:val="24"/>
          <w:szCs w:val="24"/>
          <w:lang w:val="lt-LT"/>
        </w:rPr>
      </w:pPr>
      <w:r>
        <w:rPr>
          <w:rFonts w:ascii="Times New Roman" w:hAnsi="Times New Roman"/>
          <w:sz w:val="24"/>
          <w:szCs w:val="24"/>
          <w:lang w:val="lt-LT"/>
        </w:rPr>
        <w:t>PATVIRTINTA</w:t>
      </w:r>
    </w:p>
    <w:p w14:paraId="19081A53" w14:textId="77777777" w:rsidR="0085246A" w:rsidRDefault="0085246A" w:rsidP="00A75823">
      <w:pPr>
        <w:pStyle w:val="Pagrindinistekstas1"/>
        <w:widowControl/>
        <w:tabs>
          <w:tab w:val="left" w:pos="720"/>
          <w:tab w:val="left" w:pos="1134"/>
          <w:tab w:val="left" w:pos="1276"/>
          <w:tab w:val="left" w:pos="6237"/>
          <w:tab w:val="left" w:pos="10773"/>
        </w:tabs>
        <w:spacing w:line="240" w:lineRule="auto"/>
        <w:ind w:firstLine="8080"/>
        <w:rPr>
          <w:rFonts w:ascii="Times New Roman" w:hAnsi="Times New Roman"/>
          <w:sz w:val="24"/>
          <w:szCs w:val="24"/>
          <w:lang w:val="lt-LT"/>
        </w:rPr>
      </w:pPr>
      <w:r>
        <w:rPr>
          <w:rFonts w:ascii="Times New Roman" w:hAnsi="Times New Roman"/>
          <w:sz w:val="24"/>
          <w:szCs w:val="24"/>
          <w:lang w:val="lt-LT"/>
        </w:rPr>
        <w:t xml:space="preserve">Lietuvos Respublikos aplinkos ministro </w:t>
      </w:r>
    </w:p>
    <w:p w14:paraId="66E6A30A" w14:textId="77777777" w:rsidR="0085246A" w:rsidRDefault="0085246A" w:rsidP="00A75823">
      <w:pPr>
        <w:pStyle w:val="Pagrindinistekstas1"/>
        <w:widowControl/>
        <w:tabs>
          <w:tab w:val="left" w:pos="1134"/>
          <w:tab w:val="left" w:pos="1276"/>
          <w:tab w:val="left" w:pos="10773"/>
        </w:tabs>
        <w:spacing w:line="240" w:lineRule="auto"/>
        <w:ind w:firstLine="8080"/>
        <w:rPr>
          <w:rFonts w:ascii="Times New Roman" w:hAnsi="Times New Roman"/>
          <w:sz w:val="24"/>
          <w:szCs w:val="24"/>
          <w:lang w:val="lt-LT"/>
        </w:rPr>
      </w:pPr>
      <w:r>
        <w:rPr>
          <w:rFonts w:ascii="Times New Roman" w:hAnsi="Times New Roman"/>
          <w:sz w:val="24"/>
          <w:szCs w:val="24"/>
          <w:lang w:val="lt-LT"/>
        </w:rPr>
        <w:t>2014 m. gruodžio 19 d. įsakymu Nr. D1-1050</w:t>
      </w:r>
    </w:p>
    <w:p w14:paraId="39099C03" w14:textId="77777777" w:rsidR="0085246A" w:rsidRDefault="0085246A" w:rsidP="0085246A"/>
    <w:p w14:paraId="40B2EFB7" w14:textId="77777777" w:rsidR="00383E60" w:rsidRDefault="00383E60" w:rsidP="0085246A"/>
    <w:p w14:paraId="2BA3040B" w14:textId="77777777" w:rsidR="0085246A" w:rsidRDefault="0085246A" w:rsidP="0085246A">
      <w:pPr>
        <w:jc w:val="center"/>
      </w:pPr>
      <w:r>
        <w:rPr>
          <w:b/>
          <w:bCs/>
          <w:szCs w:val="24"/>
          <w:lang w:eastAsia="lt-LT"/>
        </w:rPr>
        <w:t>NACIONALINIŲ STEBĖSENOS RODIKLIŲ SKAIČIAVIMO APRAŠAS</w:t>
      </w:r>
    </w:p>
    <w:p w14:paraId="27DED531" w14:textId="77777777" w:rsidR="00184DC7" w:rsidRDefault="00AF7A1B"/>
    <w:p w14:paraId="2AA57F4F" w14:textId="77777777" w:rsidR="0085246A" w:rsidRDefault="0085246A"/>
    <w:tbl>
      <w:tblPr>
        <w:tblStyle w:val="TableGrid"/>
        <w:tblW w:w="15255" w:type="dxa"/>
        <w:tblInd w:w="-743" w:type="dxa"/>
        <w:tblLayout w:type="fixed"/>
        <w:tblLook w:val="04A0" w:firstRow="1" w:lastRow="0" w:firstColumn="1" w:lastColumn="0" w:noHBand="0" w:noVBand="1"/>
      </w:tblPr>
      <w:tblGrid>
        <w:gridCol w:w="880"/>
        <w:gridCol w:w="1134"/>
        <w:gridCol w:w="1418"/>
        <w:gridCol w:w="1052"/>
        <w:gridCol w:w="2886"/>
        <w:gridCol w:w="1512"/>
        <w:gridCol w:w="1651"/>
        <w:gridCol w:w="1679"/>
        <w:gridCol w:w="1663"/>
        <w:gridCol w:w="1380"/>
      </w:tblGrid>
      <w:tr w:rsidR="0085246A" w14:paraId="35BEC0CB" w14:textId="77777777" w:rsidTr="00693B5F">
        <w:trPr>
          <w:trHeight w:val="89"/>
        </w:trPr>
        <w:tc>
          <w:tcPr>
            <w:tcW w:w="880" w:type="dxa"/>
            <w:tcBorders>
              <w:top w:val="single" w:sz="4" w:space="0" w:color="auto"/>
              <w:left w:val="single" w:sz="4" w:space="0" w:color="auto"/>
              <w:bottom w:val="single" w:sz="4" w:space="0" w:color="auto"/>
              <w:right w:val="single" w:sz="4" w:space="0" w:color="auto"/>
            </w:tcBorders>
            <w:vAlign w:val="center"/>
          </w:tcPr>
          <w:p w14:paraId="2A11D09E" w14:textId="77777777" w:rsidR="0085246A" w:rsidRDefault="0085246A" w:rsidP="00E37E6A">
            <w:pPr>
              <w:suppressAutoHyphens/>
              <w:jc w:val="center"/>
              <w:rPr>
                <w:iCs/>
                <w:szCs w:val="16"/>
                <w:lang w:eastAsia="lt-LT"/>
              </w:rPr>
            </w:pPr>
            <w:r>
              <w:rPr>
                <w:iCs/>
                <w:szCs w:val="16"/>
                <w:lang w:eastAsia="lt-LT"/>
              </w:rPr>
              <w:t>Eil. Nr.</w:t>
            </w:r>
          </w:p>
        </w:tc>
        <w:tc>
          <w:tcPr>
            <w:tcW w:w="1134" w:type="dxa"/>
            <w:tcBorders>
              <w:top w:val="single" w:sz="4" w:space="0" w:color="auto"/>
              <w:left w:val="single" w:sz="4" w:space="0" w:color="auto"/>
              <w:bottom w:val="single" w:sz="4" w:space="0" w:color="auto"/>
              <w:right w:val="single" w:sz="4" w:space="0" w:color="auto"/>
            </w:tcBorders>
            <w:vAlign w:val="center"/>
          </w:tcPr>
          <w:p w14:paraId="087D0BDA" w14:textId="77777777" w:rsidR="0085246A" w:rsidRDefault="0085246A" w:rsidP="00E37E6A">
            <w:pPr>
              <w:suppressAutoHyphens/>
              <w:jc w:val="center"/>
              <w:rPr>
                <w:iCs/>
                <w:szCs w:val="16"/>
                <w:lang w:eastAsia="lt-LT"/>
              </w:rPr>
            </w:pPr>
            <w:r>
              <w:rPr>
                <w:iCs/>
                <w:szCs w:val="16"/>
                <w:lang w:eastAsia="lt-LT"/>
              </w:rPr>
              <w:t>Rodiklio kodas</w:t>
            </w:r>
          </w:p>
        </w:tc>
        <w:tc>
          <w:tcPr>
            <w:tcW w:w="1418" w:type="dxa"/>
            <w:tcBorders>
              <w:top w:val="single" w:sz="4" w:space="0" w:color="auto"/>
              <w:left w:val="single" w:sz="4" w:space="0" w:color="auto"/>
              <w:bottom w:val="single" w:sz="4" w:space="0" w:color="auto"/>
              <w:right w:val="single" w:sz="4" w:space="0" w:color="auto"/>
            </w:tcBorders>
            <w:vAlign w:val="center"/>
          </w:tcPr>
          <w:p w14:paraId="403C647D" w14:textId="77777777" w:rsidR="0085246A" w:rsidRDefault="0085246A" w:rsidP="00E37E6A">
            <w:pPr>
              <w:widowControl w:val="0"/>
              <w:suppressAutoHyphens/>
              <w:jc w:val="center"/>
              <w:rPr>
                <w:szCs w:val="16"/>
                <w:lang w:eastAsia="lt-LT"/>
              </w:rPr>
            </w:pPr>
            <w:r>
              <w:rPr>
                <w:szCs w:val="16"/>
                <w:lang w:eastAsia="lt-LT"/>
              </w:rPr>
              <w:t>Rodiklio pavadini</w:t>
            </w:r>
            <w:r w:rsidR="00693B5F">
              <w:rPr>
                <w:szCs w:val="16"/>
                <w:lang w:eastAsia="lt-LT"/>
              </w:rPr>
              <w:t>-</w:t>
            </w:r>
            <w:r>
              <w:rPr>
                <w:szCs w:val="16"/>
                <w:lang w:eastAsia="lt-LT"/>
              </w:rPr>
              <w:t>mas</w:t>
            </w:r>
          </w:p>
        </w:tc>
        <w:tc>
          <w:tcPr>
            <w:tcW w:w="1052" w:type="dxa"/>
            <w:tcBorders>
              <w:top w:val="single" w:sz="4" w:space="0" w:color="auto"/>
              <w:left w:val="single" w:sz="4" w:space="0" w:color="auto"/>
              <w:bottom w:val="single" w:sz="4" w:space="0" w:color="auto"/>
              <w:right w:val="single" w:sz="4" w:space="0" w:color="auto"/>
            </w:tcBorders>
            <w:vAlign w:val="center"/>
          </w:tcPr>
          <w:p w14:paraId="67E7F563" w14:textId="77777777" w:rsidR="0085246A" w:rsidRDefault="0085246A" w:rsidP="00E37E6A">
            <w:pPr>
              <w:widowControl w:val="0"/>
              <w:tabs>
                <w:tab w:val="left" w:pos="622"/>
              </w:tabs>
              <w:suppressAutoHyphens/>
              <w:jc w:val="center"/>
              <w:rPr>
                <w:rFonts w:eastAsia="AngsanaUPC"/>
                <w:bCs/>
                <w:szCs w:val="16"/>
                <w:lang w:eastAsia="lt-LT"/>
              </w:rPr>
            </w:pPr>
            <w:r>
              <w:rPr>
                <w:rFonts w:eastAsia="AngsanaUPC"/>
                <w:bCs/>
                <w:szCs w:val="16"/>
                <w:lang w:eastAsia="lt-LT"/>
              </w:rPr>
              <w:t>Matavi-</w:t>
            </w:r>
          </w:p>
          <w:p w14:paraId="48BDB8F9" w14:textId="77777777" w:rsidR="0085246A" w:rsidRDefault="0085246A" w:rsidP="00E37E6A">
            <w:pPr>
              <w:widowControl w:val="0"/>
              <w:tabs>
                <w:tab w:val="left" w:pos="622"/>
              </w:tabs>
              <w:suppressAutoHyphens/>
              <w:jc w:val="center"/>
              <w:rPr>
                <w:rFonts w:eastAsia="AngsanaUPC"/>
                <w:bCs/>
                <w:szCs w:val="16"/>
                <w:lang w:eastAsia="lt-LT"/>
              </w:rPr>
            </w:pPr>
            <w:r>
              <w:rPr>
                <w:rFonts w:eastAsia="AngsanaUPC"/>
                <w:bCs/>
                <w:szCs w:val="16"/>
                <w:lang w:eastAsia="lt-LT"/>
              </w:rPr>
              <w:t>mo vienetai</w:t>
            </w:r>
          </w:p>
        </w:tc>
        <w:tc>
          <w:tcPr>
            <w:tcW w:w="2886" w:type="dxa"/>
            <w:tcBorders>
              <w:top w:val="single" w:sz="4" w:space="0" w:color="auto"/>
              <w:left w:val="single" w:sz="4" w:space="0" w:color="auto"/>
              <w:bottom w:val="single" w:sz="4" w:space="0" w:color="auto"/>
              <w:right w:val="single" w:sz="4" w:space="0" w:color="auto"/>
            </w:tcBorders>
            <w:vAlign w:val="center"/>
          </w:tcPr>
          <w:p w14:paraId="316DF26A" w14:textId="77777777" w:rsidR="0085246A" w:rsidRDefault="0085246A" w:rsidP="00E37E6A">
            <w:pPr>
              <w:widowControl w:val="0"/>
              <w:tabs>
                <w:tab w:val="left" w:pos="622"/>
              </w:tabs>
              <w:suppressAutoHyphens/>
              <w:jc w:val="center"/>
              <w:rPr>
                <w:rFonts w:eastAsia="AngsanaUPC"/>
                <w:bCs/>
                <w:szCs w:val="16"/>
                <w:lang w:eastAsia="lt-LT"/>
              </w:rPr>
            </w:pPr>
            <w:r>
              <w:rPr>
                <w:rFonts w:eastAsia="AngsanaUPC"/>
                <w:bCs/>
                <w:szCs w:val="16"/>
                <w:lang w:eastAsia="lt-LT"/>
              </w:rPr>
              <w:t>Sąvokų apibrėžtys</w:t>
            </w:r>
          </w:p>
        </w:tc>
        <w:tc>
          <w:tcPr>
            <w:tcW w:w="1512" w:type="dxa"/>
            <w:tcBorders>
              <w:top w:val="single" w:sz="4" w:space="0" w:color="auto"/>
              <w:left w:val="single" w:sz="4" w:space="0" w:color="auto"/>
              <w:bottom w:val="single" w:sz="4" w:space="0" w:color="auto"/>
              <w:right w:val="single" w:sz="4" w:space="0" w:color="auto"/>
            </w:tcBorders>
            <w:vAlign w:val="center"/>
          </w:tcPr>
          <w:p w14:paraId="61F98AB2" w14:textId="77777777" w:rsidR="0085246A" w:rsidRDefault="0085246A" w:rsidP="00E37E6A">
            <w:pPr>
              <w:suppressAutoHyphens/>
              <w:jc w:val="center"/>
              <w:rPr>
                <w:iCs/>
                <w:szCs w:val="16"/>
                <w:lang w:eastAsia="lt-LT"/>
              </w:rPr>
            </w:pPr>
            <w:r>
              <w:rPr>
                <w:iCs/>
                <w:szCs w:val="16"/>
                <w:lang w:eastAsia="lt-LT"/>
              </w:rPr>
              <w:t>Apskaičiavi-mo tipas</w:t>
            </w:r>
          </w:p>
        </w:tc>
        <w:tc>
          <w:tcPr>
            <w:tcW w:w="1651" w:type="dxa"/>
            <w:tcBorders>
              <w:top w:val="single" w:sz="4" w:space="0" w:color="auto"/>
              <w:left w:val="single" w:sz="4" w:space="0" w:color="auto"/>
              <w:bottom w:val="single" w:sz="4" w:space="0" w:color="auto"/>
              <w:right w:val="single" w:sz="4" w:space="0" w:color="auto"/>
            </w:tcBorders>
            <w:vAlign w:val="center"/>
          </w:tcPr>
          <w:p w14:paraId="3D4AC5BA" w14:textId="77777777" w:rsidR="0085246A" w:rsidRDefault="0085246A" w:rsidP="00E37E6A">
            <w:pPr>
              <w:suppressAutoHyphens/>
              <w:jc w:val="center"/>
              <w:rPr>
                <w:iCs/>
                <w:szCs w:val="16"/>
                <w:lang w:eastAsia="lt-LT"/>
              </w:rPr>
            </w:pPr>
            <w:r>
              <w:rPr>
                <w:iCs/>
                <w:szCs w:val="16"/>
                <w:lang w:eastAsia="lt-LT"/>
              </w:rPr>
              <w:t>Skaičiavimo būdas</w:t>
            </w:r>
          </w:p>
        </w:tc>
        <w:tc>
          <w:tcPr>
            <w:tcW w:w="1679" w:type="dxa"/>
            <w:tcBorders>
              <w:top w:val="single" w:sz="4" w:space="0" w:color="auto"/>
              <w:left w:val="single" w:sz="4" w:space="0" w:color="auto"/>
              <w:bottom w:val="single" w:sz="4" w:space="0" w:color="auto"/>
              <w:right w:val="single" w:sz="4" w:space="0" w:color="auto"/>
            </w:tcBorders>
            <w:vAlign w:val="center"/>
          </w:tcPr>
          <w:p w14:paraId="78903C18" w14:textId="77777777" w:rsidR="0085246A" w:rsidRDefault="0085246A" w:rsidP="00E37E6A">
            <w:pPr>
              <w:suppressAutoHyphens/>
              <w:jc w:val="center"/>
              <w:rPr>
                <w:iCs/>
                <w:szCs w:val="16"/>
                <w:lang w:eastAsia="lt-LT"/>
              </w:rPr>
            </w:pPr>
            <w:r>
              <w:rPr>
                <w:iCs/>
                <w:szCs w:val="16"/>
                <w:lang w:eastAsia="lt-LT"/>
              </w:rPr>
              <w:t>Duomenų šaltinis</w:t>
            </w:r>
          </w:p>
        </w:tc>
        <w:tc>
          <w:tcPr>
            <w:tcW w:w="1663" w:type="dxa"/>
            <w:tcBorders>
              <w:top w:val="single" w:sz="4" w:space="0" w:color="auto"/>
              <w:left w:val="single" w:sz="4" w:space="0" w:color="auto"/>
              <w:bottom w:val="single" w:sz="4" w:space="0" w:color="auto"/>
              <w:right w:val="single" w:sz="4" w:space="0" w:color="auto"/>
            </w:tcBorders>
            <w:vAlign w:val="center"/>
          </w:tcPr>
          <w:p w14:paraId="505E6884" w14:textId="77777777" w:rsidR="0085246A" w:rsidRDefault="0085246A" w:rsidP="00E37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szCs w:val="16"/>
                <w:lang w:eastAsia="lt-LT"/>
              </w:rPr>
            </w:pPr>
            <w:r>
              <w:rPr>
                <w:iCs/>
                <w:szCs w:val="16"/>
                <w:lang w:eastAsia="lt-LT"/>
              </w:rPr>
              <w:t>Pasiekimo momentas</w:t>
            </w:r>
          </w:p>
        </w:tc>
        <w:tc>
          <w:tcPr>
            <w:tcW w:w="1380" w:type="dxa"/>
            <w:tcBorders>
              <w:top w:val="single" w:sz="4" w:space="0" w:color="auto"/>
              <w:left w:val="single" w:sz="4" w:space="0" w:color="auto"/>
              <w:bottom w:val="single" w:sz="4" w:space="0" w:color="auto"/>
              <w:right w:val="single" w:sz="4" w:space="0" w:color="auto"/>
            </w:tcBorders>
            <w:vAlign w:val="center"/>
          </w:tcPr>
          <w:p w14:paraId="50DC7D46" w14:textId="77777777" w:rsidR="0085246A" w:rsidRDefault="0085246A" w:rsidP="00E37E6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iCs/>
                <w:szCs w:val="16"/>
                <w:lang w:eastAsia="lt-LT"/>
              </w:rPr>
            </w:pPr>
            <w:r>
              <w:rPr>
                <w:iCs/>
                <w:szCs w:val="16"/>
                <w:lang w:eastAsia="lt-LT"/>
              </w:rPr>
              <w:t>Institucija</w:t>
            </w:r>
          </w:p>
        </w:tc>
      </w:tr>
      <w:tr w:rsidR="00EC016F" w14:paraId="3512165E" w14:textId="77777777" w:rsidTr="00693B5F">
        <w:trPr>
          <w:trHeight w:val="562"/>
        </w:trPr>
        <w:tc>
          <w:tcPr>
            <w:tcW w:w="880" w:type="dxa"/>
            <w:tcBorders>
              <w:top w:val="single" w:sz="4" w:space="0" w:color="auto"/>
              <w:left w:val="single" w:sz="4" w:space="0" w:color="auto"/>
              <w:bottom w:val="single" w:sz="4" w:space="0" w:color="auto"/>
              <w:right w:val="single" w:sz="4" w:space="0" w:color="auto"/>
            </w:tcBorders>
            <w:vAlign w:val="center"/>
          </w:tcPr>
          <w:p w14:paraId="71F707D5" w14:textId="77777777" w:rsidR="00EC016F" w:rsidRDefault="00EC016F" w:rsidP="00652C14">
            <w:pPr>
              <w:widowControl w:val="0"/>
              <w:tabs>
                <w:tab w:val="left" w:pos="622"/>
              </w:tabs>
              <w:suppressAutoHyphens/>
              <w:jc w:val="center"/>
              <w:rPr>
                <w:rFonts w:eastAsia="AngsanaUPC"/>
                <w:bCs/>
                <w:szCs w:val="16"/>
                <w:lang w:eastAsia="lt-LT"/>
              </w:rPr>
            </w:pPr>
            <w:r>
              <w:rPr>
                <w:rFonts w:eastAsia="AngsanaUPC"/>
                <w:bCs/>
                <w:szCs w:val="16"/>
                <w:lang w:eastAsia="lt-LT"/>
              </w:rPr>
              <w:t>14.</w:t>
            </w:r>
          </w:p>
        </w:tc>
        <w:tc>
          <w:tcPr>
            <w:tcW w:w="14375" w:type="dxa"/>
            <w:gridSpan w:val="9"/>
            <w:tcBorders>
              <w:top w:val="single" w:sz="4" w:space="0" w:color="auto"/>
              <w:left w:val="single" w:sz="4" w:space="0" w:color="auto"/>
              <w:bottom w:val="single" w:sz="4" w:space="0" w:color="auto"/>
              <w:right w:val="single" w:sz="4" w:space="0" w:color="auto"/>
            </w:tcBorders>
            <w:vAlign w:val="center"/>
          </w:tcPr>
          <w:p w14:paraId="2CF45949" w14:textId="77777777" w:rsidR="00EC016F" w:rsidRDefault="00EC016F" w:rsidP="00EC016F">
            <w:pPr>
              <w:jc w:val="center"/>
              <w:rPr>
                <w:iCs/>
                <w:szCs w:val="24"/>
              </w:rPr>
            </w:pPr>
            <w:r>
              <w:rPr>
                <w:szCs w:val="24"/>
                <w:lang w:eastAsia="lt-LT"/>
              </w:rPr>
              <w:t>Priemonė Nr. 05.3.1-APVA-V-011 „Vandens išteklių valdymas ir apsauga“</w:t>
            </w:r>
          </w:p>
        </w:tc>
      </w:tr>
      <w:tr w:rsidR="006506B5" w:rsidRPr="006506B5" w14:paraId="610F66AD" w14:textId="77777777" w:rsidTr="00693B5F">
        <w:trPr>
          <w:trHeight w:val="562"/>
        </w:trPr>
        <w:tc>
          <w:tcPr>
            <w:tcW w:w="880" w:type="dxa"/>
            <w:tcBorders>
              <w:top w:val="single" w:sz="4" w:space="0" w:color="auto"/>
              <w:left w:val="single" w:sz="4" w:space="0" w:color="auto"/>
              <w:right w:val="single" w:sz="4" w:space="0" w:color="auto"/>
            </w:tcBorders>
          </w:tcPr>
          <w:p w14:paraId="11F0ED9E" w14:textId="24547E66" w:rsidR="006506B5" w:rsidRPr="006506B5" w:rsidRDefault="006506B5" w:rsidP="006506B5">
            <w:pPr>
              <w:widowControl w:val="0"/>
              <w:tabs>
                <w:tab w:val="left" w:pos="622"/>
              </w:tabs>
              <w:suppressAutoHyphens/>
              <w:jc w:val="left"/>
              <w:rPr>
                <w:rFonts w:eastAsia="AngsanaUPC"/>
                <w:bCs/>
                <w:szCs w:val="24"/>
                <w:lang w:eastAsia="lt-LT"/>
              </w:rPr>
            </w:pPr>
            <w:r w:rsidRPr="006506B5">
              <w:rPr>
                <w:rFonts w:eastAsia="AngsanaUPC"/>
                <w:bCs/>
                <w:szCs w:val="24"/>
                <w:lang w:eastAsia="lt-LT"/>
              </w:rPr>
              <w:t>14.</w:t>
            </w:r>
            <w:r>
              <w:rPr>
                <w:rFonts w:eastAsia="AngsanaUPC"/>
                <w:bCs/>
                <w:szCs w:val="24"/>
                <w:lang w:eastAsia="lt-LT"/>
              </w:rPr>
              <w:t>7</w:t>
            </w:r>
          </w:p>
        </w:tc>
        <w:tc>
          <w:tcPr>
            <w:tcW w:w="1134" w:type="dxa"/>
            <w:tcBorders>
              <w:top w:val="single" w:sz="4" w:space="0" w:color="auto"/>
              <w:left w:val="single" w:sz="4" w:space="0" w:color="auto"/>
              <w:right w:val="single" w:sz="4" w:space="0" w:color="auto"/>
            </w:tcBorders>
          </w:tcPr>
          <w:p w14:paraId="62D8753A" w14:textId="03D22155" w:rsidR="006506B5" w:rsidRPr="006506B5" w:rsidRDefault="006506B5" w:rsidP="006506B5">
            <w:pPr>
              <w:widowControl w:val="0"/>
              <w:tabs>
                <w:tab w:val="left" w:pos="622"/>
              </w:tabs>
              <w:suppressAutoHyphens/>
              <w:jc w:val="left"/>
              <w:rPr>
                <w:rFonts w:eastAsia="AngsanaUPC"/>
                <w:bCs/>
                <w:szCs w:val="16"/>
                <w:lang w:eastAsia="lt-LT"/>
              </w:rPr>
            </w:pPr>
            <w:r w:rsidRPr="006506B5">
              <w:rPr>
                <w:rFonts w:eastAsia="AngsanaUPC"/>
                <w:bCs/>
                <w:szCs w:val="16"/>
                <w:lang w:eastAsia="lt-LT"/>
              </w:rPr>
              <w:t>P.N.046</w:t>
            </w:r>
          </w:p>
        </w:tc>
        <w:tc>
          <w:tcPr>
            <w:tcW w:w="1418" w:type="dxa"/>
            <w:tcBorders>
              <w:top w:val="single" w:sz="4" w:space="0" w:color="auto"/>
              <w:left w:val="single" w:sz="4" w:space="0" w:color="auto"/>
              <w:right w:val="single" w:sz="4" w:space="0" w:color="auto"/>
            </w:tcBorders>
          </w:tcPr>
          <w:p w14:paraId="25162011" w14:textId="1384C8D9" w:rsidR="006506B5" w:rsidRPr="006506B5" w:rsidRDefault="006506B5" w:rsidP="006506B5">
            <w:pPr>
              <w:widowControl w:val="0"/>
              <w:tabs>
                <w:tab w:val="left" w:pos="622"/>
              </w:tabs>
              <w:suppressAutoHyphens/>
              <w:jc w:val="left"/>
              <w:rPr>
                <w:rFonts w:eastAsia="AngsanaUPC"/>
                <w:szCs w:val="16"/>
                <w:lang w:eastAsia="lt-LT"/>
              </w:rPr>
            </w:pPr>
            <w:r w:rsidRPr="006506B5">
              <w:rPr>
                <w:lang w:eastAsia="lt-LT"/>
              </w:rPr>
              <w:t>„</w:t>
            </w:r>
            <w:r w:rsidRPr="00725C1F">
              <w:rPr>
                <w:strike/>
                <w:lang w:eastAsia="lt-LT"/>
              </w:rPr>
              <w:t>Aglomera-cijos, kuriose a</w:t>
            </w:r>
            <w:r w:rsidRPr="006506B5">
              <w:rPr>
                <w:b/>
                <w:bCs/>
                <w:lang w:eastAsia="lt-LT"/>
              </w:rPr>
              <w:t>A</w:t>
            </w:r>
            <w:r w:rsidRPr="006506B5">
              <w:rPr>
                <w:lang w:eastAsia="lt-LT"/>
              </w:rPr>
              <w:t>tlikta individualiųnuotekų tvarkymo sistemų inventori-zacija“</w:t>
            </w:r>
          </w:p>
        </w:tc>
        <w:tc>
          <w:tcPr>
            <w:tcW w:w="1052" w:type="dxa"/>
            <w:tcBorders>
              <w:top w:val="single" w:sz="4" w:space="0" w:color="auto"/>
              <w:left w:val="single" w:sz="4" w:space="0" w:color="auto"/>
              <w:right w:val="single" w:sz="4" w:space="0" w:color="auto"/>
            </w:tcBorders>
          </w:tcPr>
          <w:p w14:paraId="5CD8F887" w14:textId="77777777" w:rsidR="006506B5" w:rsidRPr="006506B5" w:rsidRDefault="006506B5" w:rsidP="006506B5">
            <w:pPr>
              <w:widowControl w:val="0"/>
              <w:tabs>
                <w:tab w:val="left" w:pos="622"/>
              </w:tabs>
              <w:suppressAutoHyphens/>
              <w:jc w:val="left"/>
              <w:rPr>
                <w:rFonts w:eastAsia="AngsanaUPC"/>
                <w:b/>
                <w:szCs w:val="16"/>
                <w:lang w:eastAsia="lt-LT"/>
              </w:rPr>
            </w:pPr>
            <w:r w:rsidRPr="006506B5">
              <w:rPr>
                <w:rFonts w:eastAsia="AngsanaUPC"/>
                <w:b/>
                <w:szCs w:val="16"/>
                <w:lang w:eastAsia="lt-LT"/>
              </w:rPr>
              <w:t>Viene-tai</w:t>
            </w:r>
          </w:p>
        </w:tc>
        <w:tc>
          <w:tcPr>
            <w:tcW w:w="2886" w:type="dxa"/>
            <w:tcBorders>
              <w:top w:val="single" w:sz="4" w:space="0" w:color="auto"/>
              <w:left w:val="single" w:sz="4" w:space="0" w:color="auto"/>
              <w:bottom w:val="single" w:sz="4" w:space="0" w:color="auto"/>
              <w:right w:val="single" w:sz="4" w:space="0" w:color="auto"/>
            </w:tcBorders>
          </w:tcPr>
          <w:p w14:paraId="00CAF6F7" w14:textId="60579E04" w:rsidR="00A642A0" w:rsidRPr="00A642A0" w:rsidRDefault="00A642A0" w:rsidP="006506B5">
            <w:pPr>
              <w:suppressAutoHyphens/>
              <w:jc w:val="left"/>
              <w:rPr>
                <w:b/>
                <w:bCs/>
                <w:szCs w:val="24"/>
              </w:rPr>
            </w:pPr>
            <w:r w:rsidRPr="00733B93">
              <w:rPr>
                <w:b/>
                <w:bCs/>
                <w:szCs w:val="24"/>
              </w:rPr>
              <w:t>Individualių nuotekų tvarkymo sistemų inventorizacija – preliminarios individualių nuotekų tvarkymo sistemų inventorizacijos metu surinktų duomenų suvedimas į sukurtą individualių nuotekų tvarkymo sistemų registravimo sistemą</w:t>
            </w:r>
          </w:p>
          <w:p w14:paraId="1936E53A" w14:textId="35C5D00B" w:rsidR="006506B5" w:rsidRPr="006506B5" w:rsidRDefault="006506B5" w:rsidP="006506B5">
            <w:pPr>
              <w:suppressAutoHyphens/>
              <w:jc w:val="left"/>
              <w:rPr>
                <w:strike/>
                <w:szCs w:val="24"/>
              </w:rPr>
            </w:pPr>
            <w:r w:rsidRPr="006506B5">
              <w:rPr>
                <w:strike/>
                <w:szCs w:val="24"/>
              </w:rPr>
              <w:t xml:space="preserve">Aglomeracija – tai teritorija, kuri yra gana tankiai apgyvendinta ir/arba kurioje gana sutelkta ūkinė veikla (teritorijoje yra ne mažiau kaip 25 atskiri nuotekų šaltiniai (objektai), kurių bendras dydis atitinka ne mažiau kaip 100 GE, o </w:t>
            </w:r>
            <w:r w:rsidRPr="006506B5">
              <w:rPr>
                <w:strike/>
                <w:szCs w:val="24"/>
              </w:rPr>
              <w:lastRenderedPageBreak/>
              <w:t>įrengiant centralizuotąjį nuotakyną vienam GE vidutiniškai tektų ne daugiau  kaip 15 m lauko/gatvių tinklų, nevertinant įvadų, kolektorių iki valymo įrenginių ir išleidimo vietos ilgio), dėl ko nuotekas tikslinga surinkti naudojant centralizuotąjį nuotakyną, arba teritorija, kurioje nuotekas rinkti naudojant centralizuotąjį nuotakyną yra  tikslinga dėl  kitų priežasčių (šaltinis: Nuotekų tvarkymo reglamentas)</w:t>
            </w:r>
          </w:p>
          <w:p w14:paraId="6A049F22" w14:textId="77777777" w:rsidR="006506B5" w:rsidRPr="006506B5" w:rsidRDefault="006506B5" w:rsidP="006506B5">
            <w:pPr>
              <w:suppressAutoHyphens/>
              <w:ind w:firstLine="283"/>
              <w:jc w:val="left"/>
              <w:rPr>
                <w:szCs w:val="24"/>
              </w:rPr>
            </w:pPr>
          </w:p>
          <w:p w14:paraId="4E59DCFA" w14:textId="77777777" w:rsidR="006506B5" w:rsidRPr="006506B5" w:rsidRDefault="006506B5" w:rsidP="006506B5">
            <w:pPr>
              <w:suppressAutoHyphens/>
              <w:jc w:val="left"/>
              <w:rPr>
                <w:szCs w:val="24"/>
              </w:rPr>
            </w:pPr>
            <w:r w:rsidRPr="006506B5">
              <w:rPr>
                <w:szCs w:val="24"/>
              </w:rPr>
              <w:t xml:space="preserve">Individualusis nuotekų tvarkymas – teisės aktų nustatyta tvarka namų ūkio nuotekų arba nuotekų, susidarančių vykdant ūkinę komercinę veiklą, išleidimas į nuosavybės teise ar kitaip valdomus ir (arba) naudojamus nuotekų kaupimo ar valymo įrenginius, nuotekų valymas, išleidimas į aplinką, valant nuotekas susidariusių atliekų (dumblo), sukauptų nuotekų perdavimas nuotekų transportavimo </w:t>
            </w:r>
            <w:r w:rsidRPr="006506B5">
              <w:rPr>
                <w:szCs w:val="24"/>
              </w:rPr>
              <w:lastRenderedPageBreak/>
              <w:t>paslaugas teikiančiam asmeniui (šaltinis: Lietuvos Respublikos geriamojo vandens tiekimo ir nuotekų tvarkymo įstatymas)</w:t>
            </w:r>
          </w:p>
          <w:p w14:paraId="687F45CC" w14:textId="77777777" w:rsidR="006506B5" w:rsidRPr="006506B5" w:rsidRDefault="006506B5" w:rsidP="006506B5">
            <w:pPr>
              <w:suppressAutoHyphens/>
              <w:ind w:firstLine="283"/>
              <w:jc w:val="left"/>
              <w:rPr>
                <w:szCs w:val="24"/>
              </w:rPr>
            </w:pPr>
          </w:p>
          <w:p w14:paraId="75A5A149" w14:textId="77777777" w:rsidR="006506B5" w:rsidRPr="006506B5" w:rsidRDefault="006506B5" w:rsidP="006506B5">
            <w:pPr>
              <w:suppressAutoHyphens/>
              <w:jc w:val="left"/>
              <w:rPr>
                <w:szCs w:val="24"/>
              </w:rPr>
            </w:pPr>
            <w:r w:rsidRPr="006506B5">
              <w:rPr>
                <w:szCs w:val="24"/>
              </w:rPr>
              <w:t>Individualusis nuotekų tvarkymas vykdomas atskirąja ir (ar) grupine nuotekų tvarkymo sistema, neprijungta prie centralizuoto nuotakyno</w:t>
            </w:r>
          </w:p>
          <w:p w14:paraId="45B6ABB7" w14:textId="77777777" w:rsidR="006506B5" w:rsidRPr="006506B5" w:rsidRDefault="006506B5" w:rsidP="006506B5">
            <w:pPr>
              <w:suppressAutoHyphens/>
              <w:jc w:val="left"/>
              <w:rPr>
                <w:szCs w:val="24"/>
              </w:rPr>
            </w:pPr>
            <w:r w:rsidRPr="006506B5">
              <w:rPr>
                <w:szCs w:val="24"/>
              </w:rPr>
              <w:t>Atskiroji nuotekų tvarkymo sistema – ne daugiau kaip dviejų gyvenamųjų namų ar kitų objektų nuotekoms tvarkyti  skirta sistema, iš kurios nuotekos išleidžiamos į aplinką arba kaupiamos ir periodiškai išvežamos mobiliosiomis priemonėmis (šaltinis: Nuotekų tvarkymo reglamentas)</w:t>
            </w:r>
          </w:p>
          <w:p w14:paraId="0BE656A3" w14:textId="77777777" w:rsidR="006506B5" w:rsidRPr="006506B5" w:rsidRDefault="006506B5" w:rsidP="006506B5">
            <w:pPr>
              <w:suppressAutoHyphens/>
              <w:ind w:firstLine="283"/>
              <w:jc w:val="left"/>
              <w:rPr>
                <w:szCs w:val="24"/>
              </w:rPr>
            </w:pPr>
          </w:p>
          <w:p w14:paraId="1E9665D0" w14:textId="77777777" w:rsidR="006506B5" w:rsidRPr="006506B5" w:rsidRDefault="006506B5" w:rsidP="006506B5">
            <w:pPr>
              <w:suppressAutoHyphens/>
              <w:jc w:val="left"/>
              <w:rPr>
                <w:szCs w:val="24"/>
              </w:rPr>
            </w:pPr>
            <w:r w:rsidRPr="006506B5">
              <w:rPr>
                <w:szCs w:val="24"/>
              </w:rPr>
              <w:t>Grupinė nuotekų tvarkymo sistema – grupės (daugiau kaip dviejų) objektų nuotekoms tvarkyti skirta sistema, iš kurios nuotekos išleidžiamos į aplinką arba kaupiamos ir periodiškai išvežamos mobiliosiomis priemonėmis (šaltinis: Nuotekų tvarkymo reglamentas)</w:t>
            </w:r>
          </w:p>
          <w:p w14:paraId="0ACC91B1" w14:textId="77777777" w:rsidR="006506B5" w:rsidRPr="006506B5" w:rsidRDefault="006506B5" w:rsidP="006506B5">
            <w:pPr>
              <w:suppressAutoHyphens/>
              <w:ind w:firstLine="283"/>
              <w:jc w:val="left"/>
              <w:rPr>
                <w:szCs w:val="24"/>
              </w:rPr>
            </w:pPr>
          </w:p>
          <w:p w14:paraId="64FDDE75" w14:textId="09590934" w:rsidR="006506B5" w:rsidRPr="00FE0BC9" w:rsidRDefault="006506B5" w:rsidP="006506B5">
            <w:pPr>
              <w:suppressAutoHyphens/>
              <w:jc w:val="left"/>
              <w:rPr>
                <w:strike/>
                <w:szCs w:val="24"/>
              </w:rPr>
            </w:pPr>
            <w:r w:rsidRPr="00FE0BC9">
              <w:rPr>
                <w:strike/>
                <w:szCs w:val="24"/>
              </w:rPr>
              <w:t>Centralizuotasis nuotakynas (centralizuotoji nuotekų surinkimo sistema) – nuotakynas, į kurį patenkančios nuotekos nukreipiamos į aglomeracijos nuotekų valymo įrenginius arba į galutinę išleidimo vietą ir kurį naudojant teikiamos viešosios nuotekų tvarkymo paslaugos ir surenkama ne mažiau kaip 30 % aglomeracijoje susidarančių nuotekų (šaltinis: Nuotekų tvarkymo reglamentas)</w:t>
            </w:r>
          </w:p>
          <w:p w14:paraId="7A4C2051" w14:textId="77777777" w:rsidR="006506B5" w:rsidRPr="006506B5" w:rsidRDefault="006506B5" w:rsidP="006506B5">
            <w:pPr>
              <w:suppressAutoHyphens/>
              <w:ind w:firstLine="283"/>
              <w:jc w:val="left"/>
              <w:rPr>
                <w:szCs w:val="24"/>
              </w:rPr>
            </w:pPr>
          </w:p>
          <w:p w14:paraId="5580C041" w14:textId="77777777" w:rsidR="006506B5" w:rsidRPr="006506B5" w:rsidRDefault="006506B5" w:rsidP="006506B5">
            <w:pPr>
              <w:suppressAutoHyphens/>
              <w:jc w:val="left"/>
              <w:rPr>
                <w:szCs w:val="24"/>
              </w:rPr>
            </w:pPr>
            <w:r w:rsidRPr="006506B5">
              <w:rPr>
                <w:szCs w:val="24"/>
              </w:rPr>
              <w:t>Inventorizacija - turto surašymas (šaltinis: Terminų žodynas)</w:t>
            </w:r>
          </w:p>
          <w:p w14:paraId="475C6F21" w14:textId="77777777" w:rsidR="006506B5" w:rsidRPr="006506B5" w:rsidRDefault="006506B5" w:rsidP="006506B5">
            <w:pPr>
              <w:suppressAutoHyphens/>
              <w:ind w:firstLine="283"/>
              <w:jc w:val="left"/>
              <w:rPr>
                <w:szCs w:val="24"/>
              </w:rPr>
            </w:pPr>
          </w:p>
          <w:p w14:paraId="572C5A75" w14:textId="77777777" w:rsidR="006506B5" w:rsidRDefault="006506B5" w:rsidP="006506B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Cs w:val="24"/>
              </w:rPr>
            </w:pPr>
            <w:r w:rsidRPr="006506B5">
              <w:rPr>
                <w:szCs w:val="24"/>
              </w:rPr>
              <w:t>Inventorizacija – turto ir įsipareigojimų patikrinimas ir jų faktiškai rastų likučių palyginimas su buhalterinės apskaitos duomenimis (šaltinis: Terminų bankas)</w:t>
            </w:r>
          </w:p>
          <w:p w14:paraId="5097C740" w14:textId="77777777" w:rsidR="003D25DD" w:rsidRDefault="003D25DD" w:rsidP="006506B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Cs w:val="24"/>
              </w:rPr>
            </w:pPr>
          </w:p>
          <w:p w14:paraId="69C3B245" w14:textId="1D3C28B6" w:rsidR="003D25DD" w:rsidRPr="0069591A" w:rsidRDefault="003D25DD" w:rsidP="003D25D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bCs/>
                <w:iCs/>
                <w:szCs w:val="24"/>
              </w:rPr>
            </w:pPr>
            <w:r w:rsidRPr="00B45569">
              <w:rPr>
                <w:b/>
                <w:bCs/>
                <w:iCs/>
                <w:szCs w:val="24"/>
              </w:rPr>
              <w:t xml:space="preserve">Individualių nuotekų tvarkymo sistemų registravimo sistema – informacinė sistema, apimanti individualių </w:t>
            </w:r>
            <w:r w:rsidRPr="00B45569">
              <w:rPr>
                <w:b/>
                <w:bCs/>
                <w:iCs/>
                <w:szCs w:val="24"/>
              </w:rPr>
              <w:lastRenderedPageBreak/>
              <w:t xml:space="preserve">nuotekų tvarkymo </w:t>
            </w:r>
            <w:r w:rsidR="00626F9A">
              <w:rPr>
                <w:b/>
                <w:bCs/>
                <w:iCs/>
                <w:szCs w:val="24"/>
              </w:rPr>
              <w:t xml:space="preserve">infrastruktūros objektų, jų tipų ir </w:t>
            </w:r>
            <w:r w:rsidRPr="00B45569">
              <w:rPr>
                <w:b/>
                <w:bCs/>
                <w:iCs/>
                <w:szCs w:val="24"/>
              </w:rPr>
              <w:t>bū</w:t>
            </w:r>
            <w:r w:rsidR="00626F9A">
              <w:rPr>
                <w:b/>
                <w:bCs/>
                <w:iCs/>
                <w:szCs w:val="24"/>
              </w:rPr>
              <w:t xml:space="preserve">klės </w:t>
            </w:r>
            <w:bookmarkStart w:id="0" w:name="_GoBack"/>
            <w:bookmarkEnd w:id="0"/>
            <w:r w:rsidR="00B23050" w:rsidRPr="00B45569">
              <w:rPr>
                <w:b/>
                <w:bCs/>
                <w:iCs/>
                <w:szCs w:val="24"/>
              </w:rPr>
              <w:t>registravimą,</w:t>
            </w:r>
            <w:r w:rsidRPr="00B45569">
              <w:rPr>
                <w:b/>
                <w:bCs/>
                <w:iCs/>
                <w:szCs w:val="24"/>
              </w:rPr>
              <w:t xml:space="preserve"> analizės ir kontrolės funkcionalum</w:t>
            </w:r>
            <w:r w:rsidR="00B23050" w:rsidRPr="00B45569">
              <w:rPr>
                <w:b/>
                <w:bCs/>
                <w:iCs/>
                <w:szCs w:val="24"/>
              </w:rPr>
              <w:t>us</w:t>
            </w:r>
          </w:p>
          <w:p w14:paraId="5764C2D5" w14:textId="0762819A" w:rsidR="00B23050" w:rsidRPr="006506B5" w:rsidRDefault="00B23050" w:rsidP="006506B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iCs/>
                <w:szCs w:val="24"/>
              </w:rPr>
            </w:pPr>
          </w:p>
        </w:tc>
        <w:tc>
          <w:tcPr>
            <w:tcW w:w="1512" w:type="dxa"/>
            <w:tcBorders>
              <w:top w:val="single" w:sz="4" w:space="0" w:color="auto"/>
              <w:left w:val="single" w:sz="4" w:space="0" w:color="auto"/>
              <w:bottom w:val="single" w:sz="4" w:space="0" w:color="auto"/>
              <w:right w:val="single" w:sz="4" w:space="0" w:color="auto"/>
            </w:tcBorders>
          </w:tcPr>
          <w:p w14:paraId="4F935193" w14:textId="77777777" w:rsidR="006506B5" w:rsidRPr="006506B5" w:rsidRDefault="006506B5" w:rsidP="006506B5">
            <w:pPr>
              <w:jc w:val="left"/>
              <w:rPr>
                <w:b/>
                <w:iCs/>
                <w:szCs w:val="24"/>
              </w:rPr>
            </w:pPr>
            <w:r w:rsidRPr="006506B5">
              <w:rPr>
                <w:b/>
                <w:iCs/>
                <w:szCs w:val="24"/>
              </w:rPr>
              <w:lastRenderedPageBreak/>
              <w:t>Automatiš-kai apskaičiuo-jamas</w:t>
            </w:r>
          </w:p>
        </w:tc>
        <w:tc>
          <w:tcPr>
            <w:tcW w:w="1651" w:type="dxa"/>
            <w:tcBorders>
              <w:top w:val="single" w:sz="4" w:space="0" w:color="auto"/>
              <w:left w:val="single" w:sz="4" w:space="0" w:color="auto"/>
              <w:right w:val="single" w:sz="4" w:space="0" w:color="auto"/>
            </w:tcBorders>
          </w:tcPr>
          <w:p w14:paraId="2291CA73" w14:textId="12C690AC" w:rsidR="00C542D0" w:rsidRDefault="00C542D0" w:rsidP="003D25DD">
            <w:pPr>
              <w:suppressAutoHyphens/>
              <w:jc w:val="left"/>
              <w:rPr>
                <w:b/>
                <w:bCs/>
                <w:iCs/>
                <w:szCs w:val="24"/>
              </w:rPr>
            </w:pPr>
            <w:r>
              <w:rPr>
                <w:iCs/>
                <w:szCs w:val="24"/>
              </w:rPr>
              <w:t xml:space="preserve">Rodiklio </w:t>
            </w:r>
            <w:r w:rsidRPr="00C542D0">
              <w:rPr>
                <w:b/>
                <w:bCs/>
                <w:iCs/>
                <w:szCs w:val="24"/>
              </w:rPr>
              <w:t>ap</w:t>
            </w:r>
            <w:r>
              <w:rPr>
                <w:b/>
                <w:bCs/>
                <w:iCs/>
                <w:szCs w:val="24"/>
              </w:rPr>
              <w:t>skaičia-</w:t>
            </w:r>
          </w:p>
          <w:p w14:paraId="7788C13C" w14:textId="4913BC4A" w:rsidR="00244915" w:rsidRDefault="00C542D0" w:rsidP="003D25DD">
            <w:pPr>
              <w:suppressAutoHyphens/>
              <w:jc w:val="left"/>
              <w:rPr>
                <w:iCs/>
                <w:szCs w:val="24"/>
              </w:rPr>
            </w:pPr>
            <w:r>
              <w:rPr>
                <w:b/>
                <w:bCs/>
                <w:iCs/>
                <w:szCs w:val="24"/>
              </w:rPr>
              <w:t>vimui sumuojama</w:t>
            </w:r>
            <w:r w:rsidR="002755EA" w:rsidRPr="00C542D0">
              <w:rPr>
                <w:iCs/>
                <w:strike/>
                <w:szCs w:val="24"/>
              </w:rPr>
              <w:t>Skaičiuojam</w:t>
            </w:r>
            <w:r w:rsidR="002755EA" w:rsidRPr="002755EA">
              <w:rPr>
                <w:iCs/>
                <w:strike/>
                <w:szCs w:val="24"/>
              </w:rPr>
              <w:t>os</w:t>
            </w:r>
            <w:r w:rsidR="002755EA">
              <w:rPr>
                <w:iCs/>
                <w:szCs w:val="24"/>
              </w:rPr>
              <w:t xml:space="preserve"> </w:t>
            </w:r>
            <w:r w:rsidR="002755EA" w:rsidRPr="00244915">
              <w:rPr>
                <w:iCs/>
                <w:strike/>
                <w:szCs w:val="24"/>
              </w:rPr>
              <w:t>aglomeracijos, kuriose inventorizuo</w:t>
            </w:r>
            <w:r w:rsidR="00244915">
              <w:rPr>
                <w:iCs/>
                <w:strike/>
                <w:szCs w:val="24"/>
              </w:rPr>
              <w:t>-</w:t>
            </w:r>
            <w:r w:rsidR="002755EA" w:rsidRPr="00244915">
              <w:rPr>
                <w:iCs/>
                <w:strike/>
                <w:szCs w:val="24"/>
              </w:rPr>
              <w:t>tos visos</w:t>
            </w:r>
            <w:r w:rsidRPr="00C542D0">
              <w:rPr>
                <w:b/>
                <w:bCs/>
                <w:iCs/>
                <w:szCs w:val="24"/>
              </w:rPr>
              <w:t>:</w:t>
            </w:r>
          </w:p>
          <w:p w14:paraId="7BC29617" w14:textId="6AFC7960" w:rsidR="003D25DD" w:rsidRPr="004C3FD8" w:rsidRDefault="00244915" w:rsidP="004C3FD8">
            <w:pPr>
              <w:suppressAutoHyphens/>
              <w:jc w:val="left"/>
              <w:rPr>
                <w:szCs w:val="24"/>
              </w:rPr>
            </w:pPr>
            <w:r w:rsidRPr="003D25DD">
              <w:rPr>
                <w:b/>
                <w:bCs/>
                <w:iCs/>
                <w:szCs w:val="24"/>
              </w:rPr>
              <w:t>1.</w:t>
            </w:r>
            <w:r>
              <w:rPr>
                <w:b/>
                <w:bCs/>
                <w:iCs/>
                <w:szCs w:val="24"/>
              </w:rPr>
              <w:t xml:space="preserve"> atlikta </w:t>
            </w:r>
            <w:r w:rsidR="004C3FD8">
              <w:rPr>
                <w:b/>
                <w:bCs/>
                <w:iCs/>
                <w:szCs w:val="24"/>
              </w:rPr>
              <w:t xml:space="preserve">preliminari </w:t>
            </w:r>
            <w:r w:rsidR="002755EA">
              <w:rPr>
                <w:iCs/>
                <w:szCs w:val="24"/>
              </w:rPr>
              <w:t>individuali</w:t>
            </w:r>
            <w:r w:rsidRPr="00244915">
              <w:rPr>
                <w:b/>
                <w:bCs/>
                <w:iCs/>
                <w:szCs w:val="24"/>
              </w:rPr>
              <w:t>ų</w:t>
            </w:r>
            <w:r w:rsidR="002755EA" w:rsidRPr="00244915">
              <w:rPr>
                <w:iCs/>
                <w:strike/>
                <w:szCs w:val="24"/>
              </w:rPr>
              <w:t>os</w:t>
            </w:r>
            <w:r w:rsidR="002755EA">
              <w:rPr>
                <w:iCs/>
                <w:szCs w:val="24"/>
              </w:rPr>
              <w:t xml:space="preserve"> nuotekų tvarkymo sistem</w:t>
            </w:r>
            <w:r w:rsidRPr="00244915">
              <w:rPr>
                <w:b/>
                <w:bCs/>
                <w:iCs/>
                <w:szCs w:val="24"/>
              </w:rPr>
              <w:t>ų</w:t>
            </w:r>
            <w:r w:rsidR="002755EA" w:rsidRPr="00244915">
              <w:rPr>
                <w:iCs/>
                <w:strike/>
                <w:szCs w:val="24"/>
              </w:rPr>
              <w:t>os</w:t>
            </w:r>
            <w:r>
              <w:rPr>
                <w:iCs/>
                <w:strike/>
                <w:szCs w:val="24"/>
              </w:rPr>
              <w:t xml:space="preserve"> </w:t>
            </w:r>
            <w:r w:rsidRPr="00244915">
              <w:rPr>
                <w:b/>
                <w:bCs/>
                <w:iCs/>
                <w:szCs w:val="24"/>
              </w:rPr>
              <w:t>inventorizaci</w:t>
            </w:r>
            <w:r>
              <w:rPr>
                <w:b/>
                <w:bCs/>
                <w:iCs/>
                <w:szCs w:val="24"/>
              </w:rPr>
              <w:t>-</w:t>
            </w:r>
            <w:r w:rsidRPr="00244915">
              <w:rPr>
                <w:b/>
                <w:bCs/>
                <w:iCs/>
                <w:szCs w:val="24"/>
              </w:rPr>
              <w:t>ja</w:t>
            </w:r>
            <w:r w:rsidR="00F704DA">
              <w:rPr>
                <w:b/>
                <w:bCs/>
                <w:iCs/>
                <w:szCs w:val="24"/>
              </w:rPr>
              <w:t xml:space="preserve"> </w:t>
            </w:r>
            <w:r w:rsidR="00E63DA0">
              <w:rPr>
                <w:b/>
                <w:bCs/>
                <w:szCs w:val="24"/>
              </w:rPr>
              <w:t>–</w:t>
            </w:r>
            <w:r w:rsidR="00FE0BC9">
              <w:rPr>
                <w:b/>
                <w:bCs/>
                <w:szCs w:val="24"/>
              </w:rPr>
              <w:t xml:space="preserve"> 0,5 vnt</w:t>
            </w:r>
            <w:r w:rsidR="00C542D0">
              <w:rPr>
                <w:b/>
                <w:bCs/>
                <w:szCs w:val="24"/>
              </w:rPr>
              <w:t>.</w:t>
            </w:r>
          </w:p>
          <w:p w14:paraId="1917C243" w14:textId="77777777" w:rsidR="003D25DD" w:rsidRDefault="003D25DD" w:rsidP="003D25D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rPr>
                <w:b/>
                <w:bCs/>
                <w:szCs w:val="24"/>
              </w:rPr>
            </w:pPr>
          </w:p>
          <w:p w14:paraId="5248DF0E" w14:textId="402A17CF" w:rsidR="00725C1F" w:rsidRPr="00725C1F" w:rsidRDefault="003D25DD" w:rsidP="003D25D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rPr>
                <w:b/>
                <w:iCs/>
                <w:szCs w:val="24"/>
              </w:rPr>
            </w:pPr>
            <w:r>
              <w:rPr>
                <w:b/>
                <w:bCs/>
                <w:szCs w:val="24"/>
              </w:rPr>
              <w:t xml:space="preserve">2. </w:t>
            </w:r>
            <w:r w:rsidR="00244915" w:rsidRPr="00B45569">
              <w:rPr>
                <w:b/>
                <w:bCs/>
                <w:szCs w:val="24"/>
              </w:rPr>
              <w:t>sukurta</w:t>
            </w:r>
            <w:r w:rsidR="00B45569">
              <w:rPr>
                <w:b/>
                <w:bCs/>
                <w:szCs w:val="24"/>
              </w:rPr>
              <w:t xml:space="preserve"> </w:t>
            </w:r>
            <w:r w:rsidR="00E3502D">
              <w:rPr>
                <w:b/>
                <w:bCs/>
                <w:szCs w:val="24"/>
              </w:rPr>
              <w:t xml:space="preserve">ir įdiegta </w:t>
            </w:r>
            <w:r w:rsidR="00244915">
              <w:rPr>
                <w:b/>
                <w:bCs/>
                <w:szCs w:val="24"/>
              </w:rPr>
              <w:t>i</w:t>
            </w:r>
            <w:r w:rsidR="00725C1F" w:rsidRPr="00A24EEB">
              <w:rPr>
                <w:b/>
                <w:bCs/>
                <w:szCs w:val="24"/>
              </w:rPr>
              <w:t xml:space="preserve">ndividualių nuotekų </w:t>
            </w:r>
            <w:r w:rsidR="00725C1F" w:rsidRPr="00A24EEB">
              <w:rPr>
                <w:b/>
                <w:bCs/>
                <w:szCs w:val="24"/>
              </w:rPr>
              <w:lastRenderedPageBreak/>
              <w:t>tvarkymo sistemų registravimo siste</w:t>
            </w:r>
            <w:r w:rsidR="004C3FD8">
              <w:rPr>
                <w:b/>
                <w:bCs/>
                <w:szCs w:val="24"/>
              </w:rPr>
              <w:t xml:space="preserve">ma ir suvesti preliminarios individualių nuotekų tvarkymo sistemos </w:t>
            </w:r>
            <w:r w:rsidR="00A642A0">
              <w:rPr>
                <w:b/>
                <w:bCs/>
                <w:szCs w:val="24"/>
              </w:rPr>
              <w:t xml:space="preserve">inventoriza-cijos </w:t>
            </w:r>
            <w:r w:rsidR="004C3FD8">
              <w:rPr>
                <w:b/>
                <w:bCs/>
                <w:szCs w:val="24"/>
              </w:rPr>
              <w:t>duomenys</w:t>
            </w:r>
            <w:r w:rsidR="00F704DA">
              <w:rPr>
                <w:b/>
                <w:bCs/>
                <w:szCs w:val="24"/>
              </w:rPr>
              <w:t xml:space="preserve"> </w:t>
            </w:r>
            <w:r w:rsidR="004C3FD8">
              <w:rPr>
                <w:b/>
                <w:bCs/>
                <w:szCs w:val="24"/>
              </w:rPr>
              <w:t>-</w:t>
            </w:r>
            <w:r w:rsidR="00FE0BC9">
              <w:rPr>
                <w:b/>
                <w:bCs/>
                <w:szCs w:val="24"/>
              </w:rPr>
              <w:t>0,5 vnt</w:t>
            </w:r>
            <w:r w:rsidR="00C542D0">
              <w:rPr>
                <w:b/>
                <w:bCs/>
                <w:szCs w:val="24"/>
              </w:rPr>
              <w:t>.</w:t>
            </w:r>
          </w:p>
        </w:tc>
        <w:tc>
          <w:tcPr>
            <w:tcW w:w="1679" w:type="dxa"/>
            <w:tcBorders>
              <w:top w:val="single" w:sz="4" w:space="0" w:color="auto"/>
              <w:left w:val="single" w:sz="4" w:space="0" w:color="auto"/>
              <w:bottom w:val="single" w:sz="4" w:space="0" w:color="auto"/>
              <w:right w:val="single" w:sz="4" w:space="0" w:color="auto"/>
            </w:tcBorders>
          </w:tcPr>
          <w:p w14:paraId="7B74802C" w14:textId="77777777" w:rsidR="006506B5" w:rsidRDefault="006506B5" w:rsidP="006506B5">
            <w:pPr>
              <w:suppressAutoHyphens/>
              <w:rPr>
                <w:iCs/>
                <w:szCs w:val="24"/>
                <w:lang w:eastAsia="zh-CN"/>
              </w:rPr>
            </w:pPr>
            <w:r>
              <w:rPr>
                <w:iCs/>
                <w:szCs w:val="24"/>
                <w:lang w:eastAsia="zh-CN"/>
              </w:rPr>
              <w:lastRenderedPageBreak/>
              <w:t>Pirminiai šaltiniai:</w:t>
            </w:r>
          </w:p>
          <w:p w14:paraId="3F660B00" w14:textId="77777777" w:rsidR="006506B5" w:rsidRDefault="006506B5" w:rsidP="006506B5">
            <w:pPr>
              <w:suppressAutoHyphens/>
              <w:rPr>
                <w:iCs/>
                <w:szCs w:val="24"/>
                <w:lang w:eastAsia="zh-CN"/>
              </w:rPr>
            </w:pPr>
            <w:r>
              <w:rPr>
                <w:iCs/>
                <w:szCs w:val="24"/>
                <w:lang w:eastAsia="zh-CN"/>
              </w:rPr>
              <w:t>priėmimo–perdavimo aktai</w:t>
            </w:r>
          </w:p>
          <w:p w14:paraId="48C0D1F2" w14:textId="77777777" w:rsidR="006506B5" w:rsidRDefault="006506B5" w:rsidP="006506B5">
            <w:pPr>
              <w:suppressAutoHyphens/>
              <w:rPr>
                <w:iCs/>
                <w:szCs w:val="24"/>
                <w:lang w:eastAsia="zh-CN"/>
              </w:rPr>
            </w:pPr>
          </w:p>
          <w:p w14:paraId="3B8A0308" w14:textId="28430DAD" w:rsidR="006506B5" w:rsidRPr="006506B5" w:rsidRDefault="006506B5" w:rsidP="006506B5">
            <w:pPr>
              <w:jc w:val="left"/>
              <w:rPr>
                <w:rFonts w:eastAsiaTheme="minorEastAsia"/>
                <w:iCs/>
                <w:szCs w:val="24"/>
              </w:rPr>
            </w:pPr>
            <w:r>
              <w:rPr>
                <w:iCs/>
                <w:szCs w:val="24"/>
                <w:lang w:eastAsia="zh-CN"/>
              </w:rPr>
              <w:t>Antriniai šaltiniai: mokėjimo prašymai</w:t>
            </w:r>
          </w:p>
        </w:tc>
        <w:tc>
          <w:tcPr>
            <w:tcW w:w="1663" w:type="dxa"/>
            <w:tcBorders>
              <w:top w:val="single" w:sz="4" w:space="0" w:color="auto"/>
              <w:left w:val="single" w:sz="4" w:space="0" w:color="auto"/>
              <w:bottom w:val="single" w:sz="4" w:space="0" w:color="auto"/>
              <w:right w:val="single" w:sz="4" w:space="0" w:color="auto"/>
            </w:tcBorders>
          </w:tcPr>
          <w:p w14:paraId="38A31D01" w14:textId="358A2B1E" w:rsidR="006506B5" w:rsidRPr="006506B5" w:rsidRDefault="006506B5" w:rsidP="006506B5">
            <w:pPr>
              <w:rPr>
                <w:b/>
                <w:bCs/>
                <w:iCs/>
                <w:szCs w:val="24"/>
              </w:rPr>
            </w:pPr>
            <w:r>
              <w:rPr>
                <w:iCs/>
                <w:szCs w:val="24"/>
              </w:rPr>
              <w:t>Rodiklis laikomas pasiektu, kai projekto veiklų įgyvendinimo pabaigoje pasirašomas priėmimo–perdavimo aktas</w:t>
            </w:r>
          </w:p>
        </w:tc>
        <w:tc>
          <w:tcPr>
            <w:tcW w:w="1380" w:type="dxa"/>
            <w:tcBorders>
              <w:top w:val="single" w:sz="4" w:space="0" w:color="auto"/>
              <w:left w:val="single" w:sz="4" w:space="0" w:color="auto"/>
              <w:bottom w:val="single" w:sz="4" w:space="0" w:color="auto"/>
              <w:right w:val="single" w:sz="4" w:space="0" w:color="auto"/>
            </w:tcBorders>
          </w:tcPr>
          <w:p w14:paraId="649C73B2" w14:textId="66325072" w:rsidR="006506B5" w:rsidRPr="006506B5" w:rsidRDefault="006506B5" w:rsidP="006506B5">
            <w:pPr>
              <w:rPr>
                <w:b/>
                <w:iCs/>
                <w:szCs w:val="24"/>
              </w:rPr>
            </w:pPr>
            <w:r>
              <w:rPr>
                <w:iCs/>
                <w:szCs w:val="24"/>
              </w:rPr>
              <w:t>Už stebėsenos rodiklio pasiekimą ir duomenų apie pasiektą stebėsenos rodiklio reikšmę teikimą antriniuose šaltiniuose atsakingas projekto vykdytojas</w:t>
            </w:r>
          </w:p>
        </w:tc>
      </w:tr>
    </w:tbl>
    <w:p w14:paraId="26E2F415" w14:textId="07BCAEDE" w:rsidR="0085246A" w:rsidRPr="006506B5" w:rsidRDefault="0085246A" w:rsidP="00B23050">
      <w:pPr>
        <w:rPr>
          <w:rFonts w:ascii="Segoe UI Symbol" w:hAnsi="Segoe UI Symbol"/>
        </w:rPr>
      </w:pPr>
    </w:p>
    <w:sectPr w:rsidR="0085246A" w:rsidRPr="006506B5" w:rsidSect="0085246A">
      <w:pgSz w:w="15840" w:h="12240" w:orient="landscape"/>
      <w:pgMar w:top="1701" w:right="1701"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22D2C" w14:textId="77777777" w:rsidR="00AF7A1B" w:rsidRDefault="00AF7A1B" w:rsidP="00122D66">
      <w:r>
        <w:separator/>
      </w:r>
    </w:p>
  </w:endnote>
  <w:endnote w:type="continuationSeparator" w:id="0">
    <w:p w14:paraId="7D8E7315" w14:textId="77777777" w:rsidR="00AF7A1B" w:rsidRDefault="00AF7A1B" w:rsidP="00122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AngsanaUPC">
    <w:panose1 w:val="02020603050405020304"/>
    <w:charset w:val="00"/>
    <w:family w:val="roman"/>
    <w:pitch w:val="variable"/>
    <w:sig w:usb0="81000003" w:usb1="00000000" w:usb2="00000000" w:usb3="00000000" w:csb0="00010001"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9E1B28" w14:textId="77777777" w:rsidR="00AF7A1B" w:rsidRDefault="00AF7A1B" w:rsidP="00122D66">
      <w:r>
        <w:separator/>
      </w:r>
    </w:p>
  </w:footnote>
  <w:footnote w:type="continuationSeparator" w:id="0">
    <w:p w14:paraId="6C74C06C" w14:textId="77777777" w:rsidR="00AF7A1B" w:rsidRDefault="00AF7A1B" w:rsidP="00122D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46A"/>
    <w:rsid w:val="00007B42"/>
    <w:rsid w:val="00030983"/>
    <w:rsid w:val="00045D8E"/>
    <w:rsid w:val="00050484"/>
    <w:rsid w:val="00053210"/>
    <w:rsid w:val="00077075"/>
    <w:rsid w:val="0007750C"/>
    <w:rsid w:val="000905EE"/>
    <w:rsid w:val="00093A97"/>
    <w:rsid w:val="000B0FA8"/>
    <w:rsid w:val="000C4E7E"/>
    <w:rsid w:val="000C7638"/>
    <w:rsid w:val="000D0E81"/>
    <w:rsid w:val="000E70CA"/>
    <w:rsid w:val="00105DE1"/>
    <w:rsid w:val="0012127C"/>
    <w:rsid w:val="00122D66"/>
    <w:rsid w:val="001560E1"/>
    <w:rsid w:val="00183714"/>
    <w:rsid w:val="00185894"/>
    <w:rsid w:val="00186CC5"/>
    <w:rsid w:val="001B684C"/>
    <w:rsid w:val="001E40AE"/>
    <w:rsid w:val="00207499"/>
    <w:rsid w:val="00221137"/>
    <w:rsid w:val="00244915"/>
    <w:rsid w:val="002524B3"/>
    <w:rsid w:val="0025667D"/>
    <w:rsid w:val="002755EA"/>
    <w:rsid w:val="002770B6"/>
    <w:rsid w:val="0028336C"/>
    <w:rsid w:val="0028346B"/>
    <w:rsid w:val="002A3501"/>
    <w:rsid w:val="002D1E08"/>
    <w:rsid w:val="002D641C"/>
    <w:rsid w:val="002E21B6"/>
    <w:rsid w:val="002E2924"/>
    <w:rsid w:val="002F496E"/>
    <w:rsid w:val="00307360"/>
    <w:rsid w:val="00312D9A"/>
    <w:rsid w:val="0033124D"/>
    <w:rsid w:val="0033655B"/>
    <w:rsid w:val="00376575"/>
    <w:rsid w:val="00383084"/>
    <w:rsid w:val="00383E60"/>
    <w:rsid w:val="00384E42"/>
    <w:rsid w:val="0039078D"/>
    <w:rsid w:val="003A1605"/>
    <w:rsid w:val="003A1D1D"/>
    <w:rsid w:val="003C1866"/>
    <w:rsid w:val="003D25DD"/>
    <w:rsid w:val="0041743C"/>
    <w:rsid w:val="004338C3"/>
    <w:rsid w:val="00456927"/>
    <w:rsid w:val="0045766D"/>
    <w:rsid w:val="00497E8C"/>
    <w:rsid w:val="004C3FD8"/>
    <w:rsid w:val="004D4454"/>
    <w:rsid w:val="004D7165"/>
    <w:rsid w:val="004F1875"/>
    <w:rsid w:val="00522B3C"/>
    <w:rsid w:val="005337C3"/>
    <w:rsid w:val="00535F9D"/>
    <w:rsid w:val="0054529C"/>
    <w:rsid w:val="005458D4"/>
    <w:rsid w:val="0056711E"/>
    <w:rsid w:val="00572FEE"/>
    <w:rsid w:val="00576759"/>
    <w:rsid w:val="005828A4"/>
    <w:rsid w:val="00584FFE"/>
    <w:rsid w:val="005A216D"/>
    <w:rsid w:val="005C5E03"/>
    <w:rsid w:val="005C7FE9"/>
    <w:rsid w:val="005D30D8"/>
    <w:rsid w:val="005D7F78"/>
    <w:rsid w:val="005E4248"/>
    <w:rsid w:val="005F1779"/>
    <w:rsid w:val="005F7A56"/>
    <w:rsid w:val="00617853"/>
    <w:rsid w:val="0062069B"/>
    <w:rsid w:val="00626F9A"/>
    <w:rsid w:val="006339A7"/>
    <w:rsid w:val="00644CD2"/>
    <w:rsid w:val="006506B5"/>
    <w:rsid w:val="00652C14"/>
    <w:rsid w:val="00660347"/>
    <w:rsid w:val="006634D2"/>
    <w:rsid w:val="00665C5E"/>
    <w:rsid w:val="00674A9A"/>
    <w:rsid w:val="006802C1"/>
    <w:rsid w:val="00680B7F"/>
    <w:rsid w:val="00685D82"/>
    <w:rsid w:val="006928DE"/>
    <w:rsid w:val="00693B5F"/>
    <w:rsid w:val="0069591A"/>
    <w:rsid w:val="006B053F"/>
    <w:rsid w:val="006B372B"/>
    <w:rsid w:val="006C5903"/>
    <w:rsid w:val="006C673D"/>
    <w:rsid w:val="006D62E2"/>
    <w:rsid w:val="006D7BD7"/>
    <w:rsid w:val="006E42AB"/>
    <w:rsid w:val="006F3BB9"/>
    <w:rsid w:val="00712114"/>
    <w:rsid w:val="00721126"/>
    <w:rsid w:val="00725C1F"/>
    <w:rsid w:val="00732D87"/>
    <w:rsid w:val="00733B93"/>
    <w:rsid w:val="00766645"/>
    <w:rsid w:val="0077104A"/>
    <w:rsid w:val="0077111C"/>
    <w:rsid w:val="00772635"/>
    <w:rsid w:val="00780C39"/>
    <w:rsid w:val="007847A0"/>
    <w:rsid w:val="007A29E8"/>
    <w:rsid w:val="007A6161"/>
    <w:rsid w:val="007B45A9"/>
    <w:rsid w:val="007D4356"/>
    <w:rsid w:val="007E4F39"/>
    <w:rsid w:val="007F0B65"/>
    <w:rsid w:val="007F48F2"/>
    <w:rsid w:val="008028B9"/>
    <w:rsid w:val="00806506"/>
    <w:rsid w:val="008079D8"/>
    <w:rsid w:val="00815D36"/>
    <w:rsid w:val="00820166"/>
    <w:rsid w:val="00821A22"/>
    <w:rsid w:val="008255ED"/>
    <w:rsid w:val="0082643B"/>
    <w:rsid w:val="0084080E"/>
    <w:rsid w:val="00842F09"/>
    <w:rsid w:val="00846749"/>
    <w:rsid w:val="0085246A"/>
    <w:rsid w:val="00853AC0"/>
    <w:rsid w:val="008722BC"/>
    <w:rsid w:val="008957A8"/>
    <w:rsid w:val="008A087D"/>
    <w:rsid w:val="008A3F7A"/>
    <w:rsid w:val="008A7BEE"/>
    <w:rsid w:val="008B5DBA"/>
    <w:rsid w:val="008B5FBF"/>
    <w:rsid w:val="008C254D"/>
    <w:rsid w:val="008C789F"/>
    <w:rsid w:val="009103BC"/>
    <w:rsid w:val="0091481E"/>
    <w:rsid w:val="0092047E"/>
    <w:rsid w:val="009330A3"/>
    <w:rsid w:val="009333C0"/>
    <w:rsid w:val="00942223"/>
    <w:rsid w:val="009424A0"/>
    <w:rsid w:val="009524C1"/>
    <w:rsid w:val="009707E6"/>
    <w:rsid w:val="00984A2C"/>
    <w:rsid w:val="009A6593"/>
    <w:rsid w:val="009A6897"/>
    <w:rsid w:val="009B0820"/>
    <w:rsid w:val="009C7783"/>
    <w:rsid w:val="009F579C"/>
    <w:rsid w:val="00A140F6"/>
    <w:rsid w:val="00A17D60"/>
    <w:rsid w:val="00A34830"/>
    <w:rsid w:val="00A45E48"/>
    <w:rsid w:val="00A642A0"/>
    <w:rsid w:val="00A736E7"/>
    <w:rsid w:val="00A75823"/>
    <w:rsid w:val="00A77F53"/>
    <w:rsid w:val="00A8281B"/>
    <w:rsid w:val="00A8389B"/>
    <w:rsid w:val="00AB6FCE"/>
    <w:rsid w:val="00AD1FC0"/>
    <w:rsid w:val="00AD7A46"/>
    <w:rsid w:val="00AF4B2C"/>
    <w:rsid w:val="00AF7A1B"/>
    <w:rsid w:val="00B0154D"/>
    <w:rsid w:val="00B018F8"/>
    <w:rsid w:val="00B03CDA"/>
    <w:rsid w:val="00B050B1"/>
    <w:rsid w:val="00B159BA"/>
    <w:rsid w:val="00B23050"/>
    <w:rsid w:val="00B31666"/>
    <w:rsid w:val="00B360DA"/>
    <w:rsid w:val="00B45569"/>
    <w:rsid w:val="00B4650B"/>
    <w:rsid w:val="00B5054D"/>
    <w:rsid w:val="00B5216E"/>
    <w:rsid w:val="00B96E0D"/>
    <w:rsid w:val="00BB09EF"/>
    <w:rsid w:val="00BC72E5"/>
    <w:rsid w:val="00BD2EE0"/>
    <w:rsid w:val="00BE2CB6"/>
    <w:rsid w:val="00BF7B82"/>
    <w:rsid w:val="00C05802"/>
    <w:rsid w:val="00C46BE3"/>
    <w:rsid w:val="00C47AF9"/>
    <w:rsid w:val="00C542D0"/>
    <w:rsid w:val="00C57C99"/>
    <w:rsid w:val="00C62738"/>
    <w:rsid w:val="00C641DC"/>
    <w:rsid w:val="00C702DA"/>
    <w:rsid w:val="00C71024"/>
    <w:rsid w:val="00CB1332"/>
    <w:rsid w:val="00CC1C84"/>
    <w:rsid w:val="00CF2D8F"/>
    <w:rsid w:val="00CF3EEC"/>
    <w:rsid w:val="00CF5F14"/>
    <w:rsid w:val="00D27057"/>
    <w:rsid w:val="00D46585"/>
    <w:rsid w:val="00D52328"/>
    <w:rsid w:val="00D63105"/>
    <w:rsid w:val="00D64A2E"/>
    <w:rsid w:val="00D70741"/>
    <w:rsid w:val="00D9454B"/>
    <w:rsid w:val="00E02E93"/>
    <w:rsid w:val="00E11FF7"/>
    <w:rsid w:val="00E27B5B"/>
    <w:rsid w:val="00E3502D"/>
    <w:rsid w:val="00E36467"/>
    <w:rsid w:val="00E63DA0"/>
    <w:rsid w:val="00E673EC"/>
    <w:rsid w:val="00E70D7D"/>
    <w:rsid w:val="00E715A8"/>
    <w:rsid w:val="00E93CA0"/>
    <w:rsid w:val="00EC016F"/>
    <w:rsid w:val="00ED45BD"/>
    <w:rsid w:val="00EE0B71"/>
    <w:rsid w:val="00EF37D4"/>
    <w:rsid w:val="00F043FE"/>
    <w:rsid w:val="00F11DE8"/>
    <w:rsid w:val="00F31192"/>
    <w:rsid w:val="00F37612"/>
    <w:rsid w:val="00F42A02"/>
    <w:rsid w:val="00F54340"/>
    <w:rsid w:val="00F562A2"/>
    <w:rsid w:val="00F704DA"/>
    <w:rsid w:val="00F7316E"/>
    <w:rsid w:val="00F90BD1"/>
    <w:rsid w:val="00FA379C"/>
    <w:rsid w:val="00FB4104"/>
    <w:rsid w:val="00FC52FB"/>
    <w:rsid w:val="00FD3977"/>
    <w:rsid w:val="00FE0BC9"/>
    <w:rsid w:val="00FE1591"/>
    <w:rsid w:val="00FE2731"/>
    <w:rsid w:val="00FF16B9"/>
    <w:rsid w:val="00FF1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C4B35"/>
  <w15:docId w15:val="{5CC82C64-4DCE-4B12-96BC-68CE4F13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46A"/>
    <w:rPr>
      <w:rFonts w:eastAsia="Times New Roman" w:cs="Times New Roman"/>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246A"/>
    <w:rPr>
      <w:rFonts w:eastAsia="Times New Roman" w:cs="Times New Roman"/>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85246A"/>
    <w:pPr>
      <w:widowControl w:val="0"/>
      <w:autoSpaceDE w:val="0"/>
      <w:autoSpaceDN w:val="0"/>
      <w:adjustRightInd w:val="0"/>
      <w:spacing w:line="360" w:lineRule="atLeast"/>
      <w:ind w:firstLine="312"/>
    </w:pPr>
    <w:rPr>
      <w:rFonts w:ascii="TimesLT" w:eastAsia="Times New Roman" w:hAnsi="TimesLT" w:cs="Times New Roman"/>
      <w:sz w:val="20"/>
      <w:szCs w:val="20"/>
    </w:rPr>
  </w:style>
  <w:style w:type="paragraph" w:styleId="FootnoteText">
    <w:name w:val="footnote text"/>
    <w:basedOn w:val="Normal"/>
    <w:link w:val="FootnoteTextChar"/>
    <w:uiPriority w:val="99"/>
    <w:semiHidden/>
    <w:unhideWhenUsed/>
    <w:rsid w:val="00122D66"/>
    <w:rPr>
      <w:sz w:val="20"/>
    </w:rPr>
  </w:style>
  <w:style w:type="character" w:customStyle="1" w:styleId="FootnoteTextChar">
    <w:name w:val="Footnote Text Char"/>
    <w:basedOn w:val="DefaultParagraphFont"/>
    <w:link w:val="FootnoteText"/>
    <w:uiPriority w:val="99"/>
    <w:semiHidden/>
    <w:rsid w:val="00122D66"/>
    <w:rPr>
      <w:rFonts w:eastAsia="Times New Roman" w:cs="Times New Roman"/>
      <w:sz w:val="20"/>
      <w:szCs w:val="20"/>
      <w:lang w:val="lt-LT"/>
    </w:rPr>
  </w:style>
  <w:style w:type="character" w:styleId="FootnoteReference">
    <w:name w:val="footnote reference"/>
    <w:basedOn w:val="DefaultParagraphFont"/>
    <w:uiPriority w:val="99"/>
    <w:semiHidden/>
    <w:unhideWhenUsed/>
    <w:rsid w:val="00122D66"/>
    <w:rPr>
      <w:vertAlign w:val="superscript"/>
    </w:rPr>
  </w:style>
  <w:style w:type="paragraph" w:styleId="ListParagraph">
    <w:name w:val="List Paragraph"/>
    <w:basedOn w:val="Normal"/>
    <w:uiPriority w:val="34"/>
    <w:qFormat/>
    <w:rsid w:val="00725C1F"/>
    <w:pPr>
      <w:ind w:left="720"/>
      <w:contextualSpacing/>
    </w:pPr>
  </w:style>
  <w:style w:type="paragraph" w:styleId="BalloonText">
    <w:name w:val="Balloon Text"/>
    <w:basedOn w:val="Normal"/>
    <w:link w:val="BalloonTextChar"/>
    <w:uiPriority w:val="99"/>
    <w:semiHidden/>
    <w:unhideWhenUsed/>
    <w:rsid w:val="004D4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454"/>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ADD9B-2253-46F8-8C9F-92301FD34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Gudaitiene</dc:creator>
  <cp:lastModifiedBy>Dalia</cp:lastModifiedBy>
  <cp:revision>3</cp:revision>
  <cp:lastPrinted>2020-03-05T12:16:00Z</cp:lastPrinted>
  <dcterms:created xsi:type="dcterms:W3CDTF">2020-03-19T14:37:00Z</dcterms:created>
  <dcterms:modified xsi:type="dcterms:W3CDTF">2020-03-19T14:39:00Z</dcterms:modified>
</cp:coreProperties>
</file>