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EF" w:rsidRDefault="005C56EF" w:rsidP="005C56EF">
      <w:pPr>
        <w:tabs>
          <w:tab w:val="left" w:pos="4678"/>
          <w:tab w:val="left" w:pos="7513"/>
        </w:tabs>
        <w:jc w:val="center"/>
        <w:rPr>
          <w:rFonts w:eastAsia="Calibri"/>
          <w:b/>
          <w:noProof/>
          <w:szCs w:val="24"/>
          <w:lang w:eastAsia="lt-LT"/>
        </w:rPr>
      </w:pPr>
      <w:r>
        <w:rPr>
          <w:rFonts w:eastAsia="Calibri"/>
          <w:b/>
          <w:noProof/>
          <w:szCs w:val="24"/>
          <w:lang w:eastAsia="lt-LT"/>
        </w:rPr>
        <w:tab/>
      </w:r>
      <w:r>
        <w:rPr>
          <w:rFonts w:eastAsia="Calibri"/>
          <w:b/>
          <w:noProof/>
          <w:szCs w:val="24"/>
          <w:lang w:eastAsia="lt-LT"/>
        </w:rPr>
        <w:tab/>
        <w:t>Projektas</w:t>
      </w:r>
      <w:r>
        <w:rPr>
          <w:rFonts w:eastAsia="Calibri"/>
          <w:b/>
          <w:noProof/>
          <w:szCs w:val="24"/>
          <w:lang w:eastAsia="lt-LT"/>
        </w:rPr>
        <w:t xml:space="preserve"> </w:t>
      </w:r>
    </w:p>
    <w:p w:rsidR="005C56EF" w:rsidRDefault="005C56EF" w:rsidP="005C56EF">
      <w:pPr>
        <w:tabs>
          <w:tab w:val="center" w:pos="4819"/>
          <w:tab w:val="right" w:pos="9638"/>
        </w:tabs>
        <w:suppressAutoHyphens/>
        <w:jc w:val="center"/>
        <w:rPr>
          <w:b/>
          <w:bCs/>
          <w:szCs w:val="24"/>
          <w:lang w:eastAsia="lt-LT"/>
        </w:rPr>
      </w:pPr>
    </w:p>
    <w:p w:rsidR="005C56EF" w:rsidRDefault="005C56EF" w:rsidP="005C56EF">
      <w:pPr>
        <w:tabs>
          <w:tab w:val="center" w:pos="4819"/>
          <w:tab w:val="right" w:pos="9638"/>
        </w:tabs>
        <w:suppressAutoHyphens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APLINKOS MINISTRAS</w:t>
      </w:r>
    </w:p>
    <w:p w:rsidR="005C56EF" w:rsidRDefault="005C56EF" w:rsidP="005C56EF">
      <w:pPr>
        <w:jc w:val="center"/>
        <w:rPr>
          <w:szCs w:val="24"/>
        </w:rPr>
      </w:pPr>
    </w:p>
    <w:p w:rsidR="005C56EF" w:rsidRDefault="005C56EF" w:rsidP="005C56EF">
      <w:pPr>
        <w:suppressAutoHyphens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:rsidR="005C56EF" w:rsidRDefault="005C56EF" w:rsidP="005C56EF">
      <w:pPr>
        <w:keepLines/>
        <w:tabs>
          <w:tab w:val="left" w:pos="14317"/>
        </w:tabs>
        <w:suppressAutoHyphens/>
        <w:jc w:val="center"/>
        <w:textAlignment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DĖL LIETUVOS RE</w:t>
      </w:r>
      <w:r>
        <w:rPr>
          <w:b/>
          <w:bCs/>
          <w:color w:val="000000"/>
          <w:szCs w:val="24"/>
          <w:lang w:eastAsia="lt-LT"/>
        </w:rPr>
        <w:t>SPUBLIKOS APLINKOS MINISTRO 2017 M. LIEPOS</w:t>
      </w:r>
      <w:r>
        <w:rPr>
          <w:b/>
          <w:bCs/>
          <w:caps/>
          <w:color w:val="000000"/>
          <w:szCs w:val="24"/>
          <w:lang w:eastAsia="lt-LT"/>
        </w:rPr>
        <w:t xml:space="preserve"> 24 D.</w:t>
      </w:r>
      <w:r>
        <w:rPr>
          <w:b/>
          <w:bCs/>
          <w:color w:val="000000"/>
          <w:szCs w:val="24"/>
          <w:lang w:eastAsia="lt-LT"/>
        </w:rPr>
        <w:t xml:space="preserve"> ĮSAKYMO NR. D1-619 „</w:t>
      </w:r>
      <w:r>
        <w:rPr>
          <w:b/>
          <w:bCs/>
          <w:caps/>
          <w:color w:val="000000"/>
          <w:szCs w:val="24"/>
          <w:lang w:eastAsia="lt-LT"/>
        </w:rPr>
        <w:t xml:space="preserve">DĖL 2014–2020 METŲ EUROPOS SĄJUNGOS FONDŲ INVESTICIJŲ VEIKSMŲ PROGRAMOS 5 prioriteto „Aplinkosauga, gamtos išteklių darnus naudojimas ir prisitaikymas prie klimato kaitos“ 05.3.1-APVA-V-012 priemonės „VANDENS TELKINIŲ BŪKLĖS GERINIMAS“ </w:t>
      </w:r>
      <w:r>
        <w:rPr>
          <w:rFonts w:eastAsia="Calibri"/>
          <w:b/>
          <w:bCs/>
          <w:szCs w:val="24"/>
        </w:rPr>
        <w:t xml:space="preserve">PROJEKTŲ FINANSAVIMO SĄLYGŲ APRAŠO PATVIRTINIMO“ </w:t>
      </w:r>
      <w:r>
        <w:rPr>
          <w:b/>
          <w:bCs/>
          <w:caps/>
          <w:szCs w:val="24"/>
          <w:lang w:eastAsia="lt-LT"/>
        </w:rPr>
        <w:t>PAKEITIMO</w:t>
      </w:r>
    </w:p>
    <w:p w:rsidR="005C56EF" w:rsidRDefault="005C56EF" w:rsidP="005C56EF">
      <w:pPr>
        <w:jc w:val="center"/>
        <w:rPr>
          <w:rFonts w:eastAsia="Calibri"/>
          <w:szCs w:val="24"/>
        </w:rPr>
      </w:pPr>
    </w:p>
    <w:p w:rsidR="005C56EF" w:rsidRDefault="005C56EF" w:rsidP="005C56EF">
      <w:pPr>
        <w:suppressAutoHyphens/>
        <w:spacing w:line="276" w:lineRule="auto"/>
        <w:jc w:val="center"/>
        <w:textAlignment w:val="center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2020 m. balandžio             d. Nr. D1-</w:t>
      </w:r>
    </w:p>
    <w:p w:rsidR="005C56EF" w:rsidRDefault="005C56EF" w:rsidP="005C56EF">
      <w:pPr>
        <w:suppressAutoHyphens/>
        <w:spacing w:line="276" w:lineRule="auto"/>
        <w:jc w:val="center"/>
        <w:textAlignment w:val="center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Vilnius</w:t>
      </w:r>
    </w:p>
    <w:p w:rsidR="005C56EF" w:rsidRDefault="005C56EF" w:rsidP="005C56EF">
      <w:pPr>
        <w:suppressAutoHyphens/>
        <w:spacing w:line="276" w:lineRule="auto"/>
        <w:textAlignment w:val="center"/>
        <w:rPr>
          <w:rFonts w:eastAsia="Calibri"/>
          <w:color w:val="000000"/>
          <w:szCs w:val="24"/>
          <w:lang w:eastAsia="lt-LT"/>
        </w:rPr>
      </w:pPr>
    </w:p>
    <w:p w:rsidR="005C56EF" w:rsidRDefault="005C56EF" w:rsidP="005C56EF">
      <w:pPr>
        <w:tabs>
          <w:tab w:val="left" w:pos="993"/>
        </w:tabs>
        <w:suppressAutoHyphens/>
        <w:ind w:firstLine="567"/>
        <w:jc w:val="both"/>
        <w:textAlignment w:val="center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P a k e i č i u 2014–2020 metų Europos Sąjungos fondų investicijų veiksmų programos 5 prioriteto „Aplinkosauga, gamtos išteklių darnus naudojimas ir prisitaikymas prie klimato kaitos“ 05.3.1-APVA-V-012 priemonės „Vandens telkinių būklės gerinimas“ projektų finansavimo sąlygų aprašą, patvirtintą Lietuvos Respublikos aplinkos ministro 2017 m. liepos 24 d. įsakymu Nr. D1-619 „Dėl 2014–2020 metų Europos Sąjungos fondų investicijų veiksmų programos 5 prioriteto „Aplinkosauga, gamtos išteklių darnus naudojimas ir prisitaikymas prie klimato kaitos“ 05.3.1-APVA-V-012 priemonės „Vandens telkinių būklės gerinimas“ projektų finansavimo sąlygų aprašo patvirtinimo“:</w:t>
      </w:r>
    </w:p>
    <w:p w:rsidR="005C56EF" w:rsidRDefault="005C56EF" w:rsidP="005C56EF">
      <w:pPr>
        <w:pStyle w:val="ListParagraph"/>
        <w:numPr>
          <w:ilvl w:val="0"/>
          <w:numId w:val="1"/>
        </w:numPr>
        <w:tabs>
          <w:tab w:val="left" w:pos="993"/>
        </w:tabs>
        <w:suppressAutoHyphens/>
        <w:jc w:val="both"/>
        <w:textAlignment w:val="center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Pakeičiu 7 punktą ir jį išdėstau taip:</w:t>
      </w:r>
    </w:p>
    <w:p w:rsidR="005C56EF" w:rsidRDefault="005C56EF" w:rsidP="005C56EF">
      <w:pPr>
        <w:tabs>
          <w:tab w:val="left" w:pos="993"/>
        </w:tabs>
        <w:suppressAutoHyphens/>
        <w:ind w:firstLine="567"/>
        <w:jc w:val="both"/>
        <w:textAlignment w:val="center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 xml:space="preserve">„7. Pagal Aprašą projektams įgyvendinti numatoma skirti iki </w:t>
      </w:r>
      <w:r w:rsidRPr="005C56EF">
        <w:rPr>
          <w:rFonts w:eastAsia="Calibri"/>
          <w:bCs/>
          <w:szCs w:val="24"/>
          <w:lang w:val="en-US" w:eastAsia="lt-LT"/>
        </w:rPr>
        <w:t>11 711 121</w:t>
      </w:r>
      <w:r w:rsidRPr="005C56EF">
        <w:rPr>
          <w:rFonts w:eastAsia="Calibri"/>
          <w:bCs/>
          <w:szCs w:val="24"/>
          <w:lang w:eastAsia="lt-LT"/>
        </w:rPr>
        <w:t xml:space="preserve"> eurų (vienuolikos milijonų septynių šimtų vienuolikos tūkstančių vieno šimto dvidešimt vieno euro)</w:t>
      </w:r>
      <w:r w:rsidRPr="00296D31">
        <w:rPr>
          <w:rFonts w:eastAsia="Calibri"/>
          <w:b/>
          <w:bCs/>
          <w:szCs w:val="24"/>
          <w:lang w:eastAsia="lt-LT"/>
        </w:rPr>
        <w:t xml:space="preserve"> </w:t>
      </w:r>
      <w:r>
        <w:rPr>
          <w:rFonts w:eastAsia="Calibri"/>
          <w:color w:val="000000"/>
          <w:szCs w:val="24"/>
          <w:lang w:eastAsia="lt-LT"/>
        </w:rPr>
        <w:t>Europos Sąjungos Sanglaudos fondo lėšų.“</w:t>
      </w:r>
    </w:p>
    <w:p w:rsidR="005C56EF" w:rsidRDefault="005C56EF" w:rsidP="005C56EF">
      <w:pPr>
        <w:pStyle w:val="ListParagraph"/>
        <w:numPr>
          <w:ilvl w:val="0"/>
          <w:numId w:val="1"/>
        </w:numPr>
        <w:tabs>
          <w:tab w:val="left" w:pos="993"/>
        </w:tabs>
        <w:suppressAutoHyphens/>
        <w:jc w:val="both"/>
        <w:textAlignment w:val="center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Pakeičiu 11 punktą ir jį išdėstau taip:</w:t>
      </w:r>
    </w:p>
    <w:p w:rsidR="005C56EF" w:rsidRDefault="005C56EF" w:rsidP="005C56EF">
      <w:pPr>
        <w:ind w:firstLine="567"/>
        <w:jc w:val="both"/>
        <w:rPr>
          <w:rFonts w:eastAsia="Calibri"/>
        </w:rPr>
      </w:pPr>
      <w:r>
        <w:rPr>
          <w:rFonts w:eastAsia="Calibri"/>
          <w:color w:val="000000"/>
          <w:szCs w:val="24"/>
          <w:lang w:eastAsia="lt-LT"/>
        </w:rPr>
        <w:t xml:space="preserve">„11. </w:t>
      </w:r>
      <w:r w:rsidRPr="00185C8D">
        <w:rPr>
          <w:rFonts w:eastAsia="Calibri"/>
        </w:rPr>
        <w:t xml:space="preserve">Pagal Aprašą galimi pareiškėjai yra savivaldybių administracijos, Žuvininkystės tarnyba prie Lietuvos Respublikos žemės ūkio ministerijos, Aplinkos apsaugos agentūra, </w:t>
      </w:r>
      <w:r w:rsidRPr="005C56EF">
        <w:rPr>
          <w:rFonts w:eastAsia="Calibri"/>
          <w:bCs/>
        </w:rPr>
        <w:t>regioninių parkų direkcijos</w:t>
      </w:r>
      <w:r>
        <w:rPr>
          <w:rFonts w:eastAsia="Calibri"/>
        </w:rPr>
        <w:t xml:space="preserve">, </w:t>
      </w:r>
      <w:r w:rsidRPr="00185C8D">
        <w:rPr>
          <w:rFonts w:eastAsia="Calibri"/>
        </w:rPr>
        <w:t>galimi  partneriai yra Aplinkos apsaugos agentūra, Žuvininkystės tarnyba prie Lietuvos Respublikos žemės ūkio ministerijos ir savivaldybių administracijos.</w:t>
      </w:r>
    </w:p>
    <w:p w:rsidR="005C56EF" w:rsidRPr="00CF1525" w:rsidRDefault="005C56EF" w:rsidP="005C56EF">
      <w:pPr>
        <w:pStyle w:val="ListParagraph"/>
        <w:numPr>
          <w:ilvl w:val="0"/>
          <w:numId w:val="1"/>
        </w:numPr>
        <w:jc w:val="both"/>
        <w:rPr>
          <w:rFonts w:eastAsia="Calibri"/>
        </w:rPr>
      </w:pPr>
      <w:r w:rsidRPr="00CF1525">
        <w:rPr>
          <w:rFonts w:eastAsia="Calibri"/>
        </w:rPr>
        <w:t>Pakeičiu 17 punktą ir jį išdėstau taip:</w:t>
      </w:r>
    </w:p>
    <w:p w:rsidR="005C56EF" w:rsidRDefault="005C56EF" w:rsidP="005C56EF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„17. </w:t>
      </w:r>
      <w:r w:rsidRPr="00185C8D">
        <w:rPr>
          <w:rFonts w:eastAsia="Calibri"/>
        </w:rPr>
        <w:t xml:space="preserve">Projektas turi atitikti specialųjį projektų atrankos kriterijų, patvirtintą Veiksmų programos </w:t>
      </w:r>
      <w:proofErr w:type="spellStart"/>
      <w:r w:rsidRPr="00185C8D">
        <w:rPr>
          <w:rFonts w:eastAsia="Calibri"/>
        </w:rPr>
        <w:t>stebėsenos</w:t>
      </w:r>
      <w:proofErr w:type="spellEnd"/>
      <w:r w:rsidRPr="00185C8D">
        <w:rPr>
          <w:rFonts w:eastAsia="Calibri"/>
        </w:rPr>
        <w:t xml:space="preserve"> komiteto </w:t>
      </w:r>
      <w:r w:rsidRPr="008504D0">
        <w:rPr>
          <w:rFonts w:eastAsia="Calibri"/>
        </w:rPr>
        <w:t>2017 m. birželio 15 d. posėdžio nutarimu Nr. 44P-3.1(25)</w:t>
      </w:r>
      <w:r>
        <w:rPr>
          <w:rFonts w:eastAsia="Calibri"/>
        </w:rPr>
        <w:t xml:space="preserve"> </w:t>
      </w:r>
      <w:r w:rsidRPr="005C56EF">
        <w:rPr>
          <w:rFonts w:eastAsia="Calibri"/>
        </w:rPr>
        <w:t>(</w:t>
      </w:r>
      <w:r>
        <w:rPr>
          <w:rFonts w:eastAsia="Calibri"/>
          <w:lang w:val="en-US"/>
        </w:rPr>
        <w:t xml:space="preserve">2020 m. </w:t>
      </w:r>
      <w:proofErr w:type="spellStart"/>
      <w:r>
        <w:rPr>
          <w:rFonts w:eastAsia="Calibri"/>
          <w:lang w:val="en-US"/>
        </w:rPr>
        <w:t>vasario</w:t>
      </w:r>
      <w:proofErr w:type="spellEnd"/>
      <w:r>
        <w:rPr>
          <w:rFonts w:eastAsia="Calibri"/>
          <w:lang w:val="en-US"/>
        </w:rPr>
        <w:t xml:space="preserve"> 19 d.</w:t>
      </w:r>
      <w:r w:rsidRPr="005C56EF">
        <w:rPr>
          <w:rFonts w:eastAsia="Calibri"/>
        </w:rPr>
        <w:t xml:space="preserve"> </w:t>
      </w:r>
      <w:r>
        <w:rPr>
          <w:rFonts w:eastAsia="Calibri"/>
        </w:rPr>
        <w:t xml:space="preserve">pakeitimas, patvirtintas </w:t>
      </w:r>
      <w:r>
        <w:rPr>
          <w:rFonts w:eastAsia="Calibri"/>
          <w:lang w:val="en-US"/>
        </w:rPr>
        <w:t xml:space="preserve">2020 m. </w:t>
      </w:r>
      <w:proofErr w:type="spellStart"/>
      <w:r>
        <w:rPr>
          <w:rFonts w:eastAsia="Calibri"/>
          <w:lang w:val="en-US"/>
        </w:rPr>
        <w:t>vasario</w:t>
      </w:r>
      <w:proofErr w:type="spellEnd"/>
      <w:r>
        <w:rPr>
          <w:rFonts w:eastAsia="Calibri"/>
          <w:lang w:val="en-US"/>
        </w:rPr>
        <w:t xml:space="preserve"> 19 d.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protokoliniu sprendimu</w:t>
      </w:r>
      <w:r w:rsidRPr="005C56EF">
        <w:rPr>
          <w:rFonts w:eastAsia="Calibri"/>
        </w:rPr>
        <w:t xml:space="preserve"> Nr. </w:t>
      </w:r>
      <w:r w:rsidRPr="005C56EF">
        <w:rPr>
          <w:rFonts w:eastAsia="Calibri"/>
          <w:lang w:val="en-US"/>
        </w:rPr>
        <w:t>44P-2(50)</w:t>
      </w:r>
      <w:r>
        <w:rPr>
          <w:rFonts w:eastAsia="Calibri"/>
          <w:lang w:val="en-US"/>
        </w:rPr>
        <w:t>)</w:t>
      </w:r>
      <w:r w:rsidRPr="008504D0">
        <w:rPr>
          <w:rFonts w:eastAsia="Calibri"/>
        </w:rPr>
        <w:t>,</w:t>
      </w:r>
      <w:r w:rsidRPr="00605DEA">
        <w:rPr>
          <w:rFonts w:eastAsia="Calibri"/>
          <w:color w:val="FF0000"/>
        </w:rPr>
        <w:t xml:space="preserve"> </w:t>
      </w:r>
      <w:r w:rsidRPr="00185C8D">
        <w:rPr>
          <w:rFonts w:eastAsia="Calibri"/>
        </w:rPr>
        <w:t>t. y.</w:t>
      </w:r>
      <w:r w:rsidRPr="00185C8D">
        <w:rPr>
          <w:rFonts w:eastAsia="Calibri"/>
          <w:sz w:val="22"/>
        </w:rPr>
        <w:t xml:space="preserve"> </w:t>
      </w:r>
      <w:r w:rsidRPr="00185C8D">
        <w:rPr>
          <w:rFonts w:eastAsia="Calibri"/>
        </w:rPr>
        <w:t xml:space="preserve">projekto veiklos ir projekto vykdytojas turi atitikti bent vieną Vandenų srities plėtros 2017–2023 metų programos įgyvendinimo veiksmų plano 2.2.3, 2.3.3, 2.3.4, </w:t>
      </w:r>
      <w:r w:rsidRPr="005C56EF">
        <w:rPr>
          <w:bCs/>
        </w:rPr>
        <w:t>2.3.5</w:t>
      </w:r>
      <w:r w:rsidRPr="005C56EF">
        <w:t xml:space="preserve">, </w:t>
      </w:r>
      <w:r w:rsidRPr="005C56EF">
        <w:rPr>
          <w:bCs/>
        </w:rPr>
        <w:t>2.3.7</w:t>
      </w:r>
      <w:r w:rsidRPr="005C56EF">
        <w:t xml:space="preserve">, </w:t>
      </w:r>
      <w:r w:rsidRPr="005C56EF">
        <w:rPr>
          <w:bCs/>
        </w:rPr>
        <w:t>2.3.8,</w:t>
      </w:r>
      <w:r>
        <w:rPr>
          <w:b/>
          <w:bCs/>
        </w:rPr>
        <w:t xml:space="preserve"> </w:t>
      </w:r>
      <w:r w:rsidRPr="00185C8D">
        <w:rPr>
          <w:rFonts w:eastAsia="Calibri"/>
        </w:rPr>
        <w:t xml:space="preserve">3.1, 3.2, 3.4, 3.6, 3.7, 3.8.2, 3.9, 5.1, 18.15 (taikomas tik Žuvininkystės tarnybos prie Žemės ūkio ministerijos įrengtų žuvų pralaidų, finansuotų pagal šį Aprašą, </w:t>
      </w:r>
      <w:proofErr w:type="spellStart"/>
      <w:r w:rsidRPr="00185C8D">
        <w:rPr>
          <w:rFonts w:eastAsia="Calibri"/>
        </w:rPr>
        <w:t>stebėsenos</w:t>
      </w:r>
      <w:proofErr w:type="spellEnd"/>
      <w:r w:rsidRPr="00185C8D">
        <w:rPr>
          <w:rFonts w:eastAsia="Calibri"/>
        </w:rPr>
        <w:t xml:space="preserve"> veikloms) papunkčiuose išdėstytą priemonę ir atsakingą vykdytoją.</w:t>
      </w:r>
    </w:p>
    <w:p w:rsidR="005C56EF" w:rsidRPr="00171722" w:rsidRDefault="005C56EF" w:rsidP="005C56EF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171722">
        <w:rPr>
          <w:szCs w:val="24"/>
        </w:rPr>
        <w:t>Pakeičiu 29 punktą ir jį išdėstau taip:</w:t>
      </w:r>
    </w:p>
    <w:p w:rsidR="005C56EF" w:rsidRPr="00171722" w:rsidRDefault="005C56EF" w:rsidP="005C56EF">
      <w:pPr>
        <w:ind w:left="567"/>
        <w:jc w:val="both"/>
        <w:rPr>
          <w:szCs w:val="24"/>
        </w:rPr>
      </w:pPr>
      <w:r w:rsidRPr="00171722">
        <w:rPr>
          <w:szCs w:val="24"/>
        </w:rPr>
        <w:t>„29. Didžiausia galima projekto finansuojamoji dalis sudaro:</w:t>
      </w:r>
    </w:p>
    <w:p w:rsidR="005C56EF" w:rsidRDefault="005C56EF" w:rsidP="005C56EF">
      <w:pPr>
        <w:ind w:firstLine="567"/>
        <w:jc w:val="both"/>
        <w:rPr>
          <w:rFonts w:eastAsia="Calibri"/>
          <w:szCs w:val="22"/>
          <w:lang w:eastAsia="lt-LT"/>
        </w:rPr>
      </w:pPr>
      <w:r w:rsidRPr="00171722">
        <w:rPr>
          <w:szCs w:val="24"/>
        </w:rPr>
        <w:t xml:space="preserve">29.1. </w:t>
      </w:r>
      <w:r w:rsidRPr="00185C8D">
        <w:rPr>
          <w:rFonts w:eastAsia="Calibri"/>
          <w:szCs w:val="22"/>
          <w:lang w:eastAsia="lt-LT"/>
        </w:rPr>
        <w:t>100 proc. visų tinkamų finansuoti projekto išlaidų, jei Pareiškėjas yra Aplinkos apsaugos agentūra</w:t>
      </w:r>
      <w:r w:rsidRPr="00171722">
        <w:rPr>
          <w:rFonts w:eastAsia="Calibri"/>
          <w:b/>
          <w:bCs/>
          <w:szCs w:val="22"/>
          <w:lang w:eastAsia="lt-LT"/>
        </w:rPr>
        <w:t>,</w:t>
      </w:r>
      <w:r w:rsidRPr="00185C8D">
        <w:rPr>
          <w:rFonts w:eastAsia="Calibri"/>
          <w:szCs w:val="22"/>
          <w:lang w:eastAsia="lt-LT"/>
        </w:rPr>
        <w:t xml:space="preserve"> Žuvininkystės tarnyba prie Lietuvos Respublikos žemės ūkio ministerijos </w:t>
      </w:r>
      <w:r w:rsidRPr="005C56EF">
        <w:rPr>
          <w:rFonts w:eastAsia="Calibri"/>
          <w:bCs/>
          <w:szCs w:val="22"/>
          <w:lang w:eastAsia="lt-LT"/>
        </w:rPr>
        <w:t>ar regioninių parkų direkcijos</w:t>
      </w:r>
      <w:r>
        <w:rPr>
          <w:rFonts w:eastAsia="Calibri"/>
          <w:szCs w:val="22"/>
          <w:lang w:eastAsia="lt-LT"/>
        </w:rPr>
        <w:t xml:space="preserve"> </w:t>
      </w:r>
      <w:r w:rsidRPr="00185C8D">
        <w:rPr>
          <w:rFonts w:eastAsia="Calibri"/>
          <w:szCs w:val="22"/>
          <w:lang w:eastAsia="lt-LT"/>
        </w:rPr>
        <w:t>ir jei įgyvendinamos 9.1, 9.2, 9.3, 9.7, 9.9, 9.10 papunkčiuose numatytos veiklos;</w:t>
      </w:r>
    </w:p>
    <w:p w:rsidR="005C56EF" w:rsidRPr="005C56EF" w:rsidRDefault="005C56EF" w:rsidP="005C56EF">
      <w:pPr>
        <w:tabs>
          <w:tab w:val="left" w:pos="1134"/>
        </w:tabs>
        <w:ind w:firstLine="567"/>
        <w:jc w:val="both"/>
        <w:rPr>
          <w:rFonts w:eastAsia="Calibri"/>
          <w:i/>
          <w:szCs w:val="22"/>
          <w:lang w:eastAsia="lt-LT"/>
        </w:rPr>
      </w:pPr>
      <w:r>
        <w:rPr>
          <w:rFonts w:eastAsia="Calibri"/>
          <w:szCs w:val="22"/>
          <w:lang w:eastAsia="lt-LT"/>
        </w:rPr>
        <w:t xml:space="preserve">29.2. </w:t>
      </w:r>
      <w:r w:rsidRPr="00185C8D">
        <w:rPr>
          <w:rFonts w:eastAsia="Calibri"/>
          <w:szCs w:val="22"/>
          <w:lang w:eastAsia="lt-LT"/>
        </w:rPr>
        <w:t xml:space="preserve">92,5 proc. visų tinkamų finansuoti projekto išlaidų, jei Pareiškėjas yra savivaldybės administracija ir jei įgyvendinamos </w:t>
      </w:r>
      <w:r w:rsidRPr="005C56EF">
        <w:rPr>
          <w:rFonts w:eastAsia="Calibri"/>
          <w:bCs/>
          <w:szCs w:val="22"/>
          <w:lang w:eastAsia="lt-LT"/>
        </w:rPr>
        <w:t>9.2,</w:t>
      </w:r>
      <w:r>
        <w:rPr>
          <w:rFonts w:eastAsia="Calibri"/>
          <w:szCs w:val="22"/>
          <w:lang w:eastAsia="lt-LT"/>
        </w:rPr>
        <w:t xml:space="preserve"> </w:t>
      </w:r>
      <w:r w:rsidRPr="00185C8D">
        <w:rPr>
          <w:rFonts w:eastAsia="Calibri"/>
          <w:szCs w:val="22"/>
          <w:lang w:eastAsia="lt-LT"/>
        </w:rPr>
        <w:t>9.4, 9.5, 9.6, 9.8 papunkčiuose numatytos veiklos. Pareiškėjas ir (arba) partneris privalo prisidėti prie projekto finansavimo ne mažiau nei 7,5 proc. visų tinkamų finansuoti projekto išlaidų.</w:t>
      </w:r>
      <w:r>
        <w:rPr>
          <w:rFonts w:eastAsia="Calibri"/>
          <w:szCs w:val="22"/>
          <w:lang w:eastAsia="lt-LT"/>
        </w:rPr>
        <w:t>“</w:t>
      </w:r>
      <w:r w:rsidRPr="00185C8D">
        <w:rPr>
          <w:rFonts w:eastAsia="Calibri"/>
          <w:szCs w:val="22"/>
          <w:lang w:eastAsia="lt-LT"/>
        </w:rPr>
        <w:t xml:space="preserve"> </w:t>
      </w:r>
    </w:p>
    <w:p w:rsidR="005C56EF" w:rsidRPr="00CD42FF" w:rsidRDefault="005C56EF" w:rsidP="005C56EF">
      <w:pPr>
        <w:pStyle w:val="ListParagraph"/>
        <w:numPr>
          <w:ilvl w:val="0"/>
          <w:numId w:val="1"/>
        </w:numPr>
        <w:tabs>
          <w:tab w:val="left" w:pos="993"/>
        </w:tabs>
        <w:suppressAutoHyphens/>
        <w:jc w:val="both"/>
        <w:textAlignment w:val="center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Pakeičiu 32 punkto lentelės 3.2 papunktį ir jį išdėstau taip:</w:t>
      </w:r>
    </w:p>
    <w:tbl>
      <w:tblPr>
        <w:tblW w:w="9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8"/>
        <w:gridCol w:w="2700"/>
        <w:gridCol w:w="5712"/>
      </w:tblGrid>
      <w:tr w:rsidR="005C56EF" w:rsidRPr="00071C9B" w:rsidTr="00756EA7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6EF" w:rsidRPr="00071C9B" w:rsidRDefault="005C56EF" w:rsidP="00756EA7">
            <w:pPr>
              <w:rPr>
                <w:rFonts w:eastAsia="Calibri"/>
                <w:szCs w:val="24"/>
                <w:lang w:eastAsia="lt-LT"/>
              </w:rPr>
            </w:pPr>
            <w:r w:rsidRPr="00071C9B">
              <w:rPr>
                <w:rFonts w:eastAsia="Calibri"/>
                <w:szCs w:val="24"/>
                <w:lang w:eastAsia="lt-LT"/>
              </w:rPr>
              <w:lastRenderedPageBreak/>
              <w:t>„3.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6EF" w:rsidRPr="00071C9B" w:rsidRDefault="005C56EF" w:rsidP="00756EA7">
            <w:pPr>
              <w:ind w:left="-107"/>
              <w:contextualSpacing/>
              <w:jc w:val="center"/>
              <w:rPr>
                <w:rFonts w:eastAsia="Calibri"/>
                <w:szCs w:val="24"/>
                <w:lang w:eastAsia="lt-LT"/>
              </w:rPr>
            </w:pPr>
            <w:r w:rsidRPr="00071C9B">
              <w:rPr>
                <w:rFonts w:eastAsia="Calibri"/>
                <w:szCs w:val="24"/>
                <w:lang w:eastAsia="lt-LT"/>
              </w:rPr>
              <w:t>Statyba, rekonstravimas, remontas ir kiti darbai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6EF" w:rsidRPr="00071C9B" w:rsidRDefault="005C56EF" w:rsidP="00756EA7">
            <w:pPr>
              <w:rPr>
                <w:rFonts w:eastAsia="Calibri"/>
                <w:szCs w:val="24"/>
                <w:lang w:eastAsia="lt-LT"/>
              </w:rPr>
            </w:pPr>
            <w:r w:rsidRPr="00071C9B">
              <w:rPr>
                <w:rFonts w:eastAsia="Calibri"/>
                <w:szCs w:val="24"/>
                <w:lang w:eastAsia="lt-LT"/>
              </w:rPr>
              <w:t>Tinkama finansuoti:</w:t>
            </w:r>
          </w:p>
          <w:p w:rsidR="005C56EF" w:rsidRPr="00071C9B" w:rsidRDefault="005C56EF" w:rsidP="00756EA7">
            <w:pPr>
              <w:rPr>
                <w:rFonts w:eastAsia="Calibri"/>
                <w:szCs w:val="24"/>
                <w:lang w:eastAsia="lt-LT"/>
              </w:rPr>
            </w:pPr>
          </w:p>
          <w:p w:rsidR="005C56EF" w:rsidRPr="00071C9B" w:rsidRDefault="005C56EF" w:rsidP="00756EA7">
            <w:pPr>
              <w:ind w:firstLine="317"/>
              <w:jc w:val="both"/>
              <w:rPr>
                <w:rFonts w:eastAsia="Calibri"/>
                <w:szCs w:val="24"/>
                <w:lang w:eastAsia="lt-LT"/>
              </w:rPr>
            </w:pPr>
            <w:r w:rsidRPr="00185C8D">
              <w:rPr>
                <w:rFonts w:eastAsia="Calibri"/>
                <w:szCs w:val="24"/>
                <w:lang w:eastAsia="lt-LT"/>
              </w:rPr>
              <w:t xml:space="preserve">3.2. išlaidos, būtinos Aprašo 9.2. papunktyje nurodytai veiklai vykdyti: migracijos kliūčių inžineriniai tyrimai, projektavimo paslaugos ir projekto ekspertizė (ypatingiems statiniams), </w:t>
            </w:r>
            <w:r w:rsidRPr="00E656C8">
              <w:rPr>
                <w:rFonts w:eastAsia="Calibri"/>
                <w:szCs w:val="24"/>
                <w:lang w:eastAsia="lt-LT"/>
              </w:rPr>
              <w:t>užtvankų slenksčių, trukdančių žuvų migracijai, pertvarkymo/išardymo/griovimo</w:t>
            </w:r>
            <w:r w:rsidRPr="007E3FA5">
              <w:rPr>
                <w:rFonts w:eastAsia="Calibri"/>
                <w:b/>
                <w:bCs/>
                <w:szCs w:val="24"/>
                <w:lang w:eastAsia="lt-LT"/>
              </w:rPr>
              <w:t xml:space="preserve"> </w:t>
            </w:r>
            <w:r w:rsidRPr="005C56EF">
              <w:rPr>
                <w:rFonts w:eastAsia="Calibri"/>
                <w:bCs/>
                <w:szCs w:val="24"/>
                <w:lang w:eastAsia="lt-LT"/>
              </w:rPr>
              <w:t xml:space="preserve">ir </w:t>
            </w:r>
            <w:r w:rsidRPr="005C56EF">
              <w:rPr>
                <w:rFonts w:eastAsia="Calibri"/>
                <w:szCs w:val="24"/>
                <w:lang w:eastAsia="lt-LT"/>
              </w:rPr>
              <w:t>vagos ir tvenkinio sutvarkymo</w:t>
            </w:r>
            <w:r w:rsidRPr="005C56EF">
              <w:rPr>
                <w:rFonts w:eastAsia="Calibri"/>
                <w:bCs/>
                <w:szCs w:val="24"/>
                <w:lang w:eastAsia="lt-LT"/>
              </w:rPr>
              <w:t xml:space="preserve"> darbų aprašų parengimas ir </w:t>
            </w:r>
            <w:r w:rsidRPr="005C56EF">
              <w:rPr>
                <w:rFonts w:eastAsia="Calibri"/>
                <w:szCs w:val="24"/>
                <w:lang w:eastAsia="lt-LT"/>
              </w:rPr>
              <w:t>darbai</w:t>
            </w:r>
            <w:r w:rsidRPr="005C56EF">
              <w:rPr>
                <w:rFonts w:eastAsia="Calibri"/>
                <w:bCs/>
                <w:szCs w:val="24"/>
                <w:lang w:eastAsia="lt-LT"/>
              </w:rPr>
              <w:t>, statybinio laužo, atliekų pašalinimas, sutvarkymas ir pridavimas</w:t>
            </w:r>
            <w:r w:rsidRPr="005C56EF">
              <w:rPr>
                <w:rFonts w:eastAsia="Calibri"/>
                <w:szCs w:val="24"/>
                <w:lang w:eastAsia="lt-LT"/>
              </w:rPr>
              <w:t>,</w:t>
            </w:r>
            <w:r w:rsidRPr="00185C8D">
              <w:rPr>
                <w:rFonts w:eastAsia="Calibri"/>
                <w:szCs w:val="24"/>
                <w:lang w:eastAsia="lt-LT"/>
              </w:rPr>
              <w:t xml:space="preserve"> nešmenų pašalinimo darbai, </w:t>
            </w:r>
            <w:proofErr w:type="spellStart"/>
            <w:r w:rsidRPr="00185C8D">
              <w:rPr>
                <w:rFonts w:eastAsia="Calibri"/>
                <w:szCs w:val="24"/>
                <w:lang w:eastAsia="lt-LT"/>
              </w:rPr>
              <w:t>krantosaugos</w:t>
            </w:r>
            <w:proofErr w:type="spellEnd"/>
            <w:r w:rsidRPr="00185C8D">
              <w:rPr>
                <w:rFonts w:eastAsia="Calibri"/>
                <w:szCs w:val="24"/>
                <w:lang w:eastAsia="lt-LT"/>
              </w:rPr>
              <w:t xml:space="preserve"> darbai, statybos darbų techninė priežiūra ir projekto vykdymo priežiūra,  pertvarkyto  statinio išpildomosios nuotraukos (kontrolinės, geodezinės nuotraukos), pertvarkyto statinio kadastrinių matavimų, kadastrinių matavimų bylos parengimo ir kadastrinių matavimų įteisinimas Nekilnojamojo turto registre;</w:t>
            </w:r>
            <w:r w:rsidRPr="00071C9B">
              <w:rPr>
                <w:rFonts w:eastAsia="Calibri"/>
                <w:szCs w:val="24"/>
                <w:lang w:eastAsia="lt-LT"/>
              </w:rPr>
              <w:t xml:space="preserve">“ </w:t>
            </w:r>
          </w:p>
        </w:tc>
      </w:tr>
    </w:tbl>
    <w:p w:rsidR="005C56EF" w:rsidRDefault="005C56EF" w:rsidP="005C56EF">
      <w:pPr>
        <w:tabs>
          <w:tab w:val="left" w:pos="993"/>
        </w:tabs>
        <w:suppressAutoHyphens/>
        <w:jc w:val="both"/>
        <w:textAlignment w:val="center"/>
        <w:rPr>
          <w:rFonts w:eastAsia="Calibri"/>
          <w:color w:val="000000"/>
          <w:szCs w:val="24"/>
          <w:lang w:eastAsia="lt-LT"/>
        </w:rPr>
      </w:pPr>
    </w:p>
    <w:p w:rsidR="005C56EF" w:rsidRDefault="005C56EF" w:rsidP="005C56EF">
      <w:pPr>
        <w:tabs>
          <w:tab w:val="left" w:pos="993"/>
        </w:tabs>
        <w:suppressAutoHyphens/>
        <w:jc w:val="both"/>
        <w:textAlignment w:val="center"/>
        <w:rPr>
          <w:rFonts w:eastAsia="Calibri"/>
          <w:color w:val="000000"/>
          <w:szCs w:val="24"/>
          <w:lang w:eastAsia="lt-LT"/>
        </w:rPr>
      </w:pPr>
    </w:p>
    <w:p w:rsidR="005C56EF" w:rsidRDefault="005C56EF" w:rsidP="005C56EF">
      <w:pPr>
        <w:tabs>
          <w:tab w:val="left" w:pos="993"/>
        </w:tabs>
        <w:suppressAutoHyphens/>
        <w:jc w:val="both"/>
        <w:textAlignment w:val="center"/>
        <w:rPr>
          <w:rFonts w:eastAsia="Calibri"/>
          <w:color w:val="000000"/>
          <w:szCs w:val="24"/>
          <w:lang w:eastAsia="lt-LT"/>
        </w:rPr>
      </w:pPr>
    </w:p>
    <w:p w:rsidR="005C56EF" w:rsidRDefault="005C56EF" w:rsidP="005C56EF">
      <w:pPr>
        <w:tabs>
          <w:tab w:val="left" w:pos="993"/>
        </w:tabs>
        <w:suppressAutoHyphens/>
        <w:jc w:val="both"/>
        <w:textAlignment w:val="center"/>
        <w:rPr>
          <w:rFonts w:eastAsia="Calibri"/>
          <w:color w:val="000000"/>
          <w:szCs w:val="24"/>
          <w:lang w:eastAsia="lt-LT"/>
        </w:rPr>
      </w:pPr>
    </w:p>
    <w:p w:rsidR="005C56EF" w:rsidRPr="000A486A" w:rsidRDefault="005C56EF" w:rsidP="005C56EF">
      <w:pPr>
        <w:tabs>
          <w:tab w:val="left" w:pos="7797"/>
        </w:tabs>
        <w:suppressAutoHyphens/>
        <w:ind w:right="-4689"/>
        <w:rPr>
          <w:szCs w:val="24"/>
          <w:lang w:eastAsia="lt-LT"/>
        </w:rPr>
      </w:pPr>
      <w:r>
        <w:rPr>
          <w:szCs w:val="24"/>
          <w:lang w:eastAsia="lt-LT"/>
        </w:rPr>
        <w:t>Aplinkos ministras</w:t>
      </w:r>
      <w:r>
        <w:rPr>
          <w:szCs w:val="24"/>
          <w:lang w:eastAsia="lt-LT"/>
        </w:rPr>
        <w:tab/>
      </w: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  <w:bookmarkStart w:id="0" w:name="_GoBack"/>
      <w:bookmarkEnd w:id="0"/>
    </w:p>
    <w:p w:rsidR="005C56EF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</w:rPr>
      </w:pPr>
    </w:p>
    <w:p w:rsidR="005C56EF" w:rsidRPr="00C92D56" w:rsidRDefault="005C56EF" w:rsidP="005C56EF">
      <w:pPr>
        <w:tabs>
          <w:tab w:val="left" w:pos="7797"/>
        </w:tabs>
        <w:suppressAutoHyphens/>
        <w:ind w:right="-4689"/>
        <w:rPr>
          <w:sz w:val="22"/>
          <w:szCs w:val="22"/>
          <w:lang w:eastAsia="lt-LT"/>
        </w:rPr>
      </w:pPr>
      <w:r w:rsidRPr="00C92D56">
        <w:rPr>
          <w:sz w:val="22"/>
          <w:szCs w:val="22"/>
        </w:rPr>
        <w:t>Parengė</w:t>
      </w:r>
    </w:p>
    <w:p w:rsidR="005C56EF" w:rsidRPr="00C92D56" w:rsidRDefault="005C56EF" w:rsidP="005C56EF">
      <w:pPr>
        <w:rPr>
          <w:sz w:val="22"/>
          <w:szCs w:val="22"/>
        </w:rPr>
      </w:pPr>
      <w:r w:rsidRPr="00C92D56">
        <w:rPr>
          <w:sz w:val="22"/>
          <w:szCs w:val="22"/>
        </w:rPr>
        <w:t xml:space="preserve">Daiva </w:t>
      </w:r>
      <w:proofErr w:type="spellStart"/>
      <w:r w:rsidRPr="00C92D56">
        <w:rPr>
          <w:sz w:val="22"/>
          <w:szCs w:val="22"/>
        </w:rPr>
        <w:t>Astasevičiūtė</w:t>
      </w:r>
      <w:proofErr w:type="spellEnd"/>
    </w:p>
    <w:p w:rsidR="0036331D" w:rsidRDefault="0036331D"/>
    <w:sectPr w:rsidR="0036331D" w:rsidSect="005C56EF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EF" w:rsidRDefault="005C56EF" w:rsidP="005C56EF">
      <w:r>
        <w:separator/>
      </w:r>
    </w:p>
  </w:endnote>
  <w:endnote w:type="continuationSeparator" w:id="0">
    <w:p w:rsidR="005C56EF" w:rsidRDefault="005C56EF" w:rsidP="005C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EF" w:rsidRDefault="005C56EF" w:rsidP="005C56EF">
      <w:r>
        <w:separator/>
      </w:r>
    </w:p>
  </w:footnote>
  <w:footnote w:type="continuationSeparator" w:id="0">
    <w:p w:rsidR="005C56EF" w:rsidRDefault="005C56EF" w:rsidP="005C5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5117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56EF" w:rsidRDefault="005C56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56EF" w:rsidRDefault="005C56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22C4"/>
    <w:multiLevelType w:val="hybridMultilevel"/>
    <w:tmpl w:val="16480BD2"/>
    <w:lvl w:ilvl="0" w:tplc="C7FA795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EF"/>
    <w:rsid w:val="0036331D"/>
    <w:rsid w:val="005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6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E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C56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EF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6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E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C56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EF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6A3B-4E28-4B9A-B712-0964EBED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Astasevičiūtė</dc:creator>
  <cp:lastModifiedBy>Daiva Astasevičiūtė</cp:lastModifiedBy>
  <cp:revision>1</cp:revision>
  <dcterms:created xsi:type="dcterms:W3CDTF">2020-04-06T10:27:00Z</dcterms:created>
  <dcterms:modified xsi:type="dcterms:W3CDTF">2020-04-06T10:33:00Z</dcterms:modified>
</cp:coreProperties>
</file>