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74870" w14:textId="77777777" w:rsidR="00E65469" w:rsidRPr="00DD27E2" w:rsidRDefault="00E65469" w:rsidP="00E65469">
      <w:pPr>
        <w:spacing w:before="160"/>
        <w:jc w:val="center"/>
        <w:rPr>
          <w:b/>
          <w:caps/>
          <w:szCs w:val="24"/>
        </w:rPr>
      </w:pPr>
      <w:r w:rsidRPr="00DD27E2">
        <w:rPr>
          <w:noProof/>
          <w:szCs w:val="24"/>
          <w:lang w:eastAsia="lt-LT"/>
        </w:rPr>
        <w:drawing>
          <wp:anchor distT="0" distB="0" distL="114300" distR="114300" simplePos="0" relativeHeight="251659264" behindDoc="0" locked="0" layoutInCell="0" allowOverlap="1" wp14:anchorId="079609BF" wp14:editId="2200A2A7">
            <wp:simplePos x="0" y="0"/>
            <wp:positionH relativeFrom="page">
              <wp:posOffset>3843655</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7E2">
        <w:rPr>
          <w:b/>
          <w:caps/>
          <w:szCs w:val="24"/>
        </w:rPr>
        <w:t>LIETUVOS RESPUBLIKOS Ekonomikos ir inovacijų MINISTRAS</w:t>
      </w:r>
    </w:p>
    <w:p w14:paraId="2062E607" w14:textId="77777777" w:rsidR="00E65469" w:rsidRDefault="00E65469" w:rsidP="00E65469">
      <w:pPr>
        <w:pStyle w:val="centrbold"/>
        <w:spacing w:before="0" w:beforeAutospacing="0" w:after="0" w:afterAutospacing="0"/>
        <w:jc w:val="center"/>
        <w:rPr>
          <w:b/>
        </w:rPr>
      </w:pPr>
    </w:p>
    <w:p w14:paraId="0D1F5F41" w14:textId="77777777" w:rsidR="00E65469" w:rsidRPr="002D2728" w:rsidRDefault="00E65469" w:rsidP="00E65469">
      <w:pPr>
        <w:pStyle w:val="centrbold"/>
        <w:spacing w:before="0" w:beforeAutospacing="0" w:after="0" w:afterAutospacing="0"/>
        <w:jc w:val="center"/>
        <w:rPr>
          <w:b/>
          <w:caps/>
        </w:rPr>
      </w:pPr>
      <w:r w:rsidRPr="00B376C8">
        <w:rPr>
          <w:b/>
        </w:rPr>
        <w:t>ĮSAKYMAS</w:t>
      </w:r>
    </w:p>
    <w:p w14:paraId="359B33F0" w14:textId="77777777" w:rsidR="003F720C" w:rsidRPr="00945977" w:rsidRDefault="003F720C" w:rsidP="00945977">
      <w:pPr>
        <w:jc w:val="center"/>
        <w:rPr>
          <w:rFonts w:eastAsia="Calibri"/>
          <w:szCs w:val="24"/>
        </w:rPr>
      </w:pPr>
      <w:r w:rsidRPr="003B02E3">
        <w:rPr>
          <w:b/>
          <w:szCs w:val="24"/>
        </w:rPr>
        <w:t xml:space="preserve">DĖL LIETUVOS RESPUBLIKOS </w:t>
      </w:r>
      <w:r w:rsidR="00CF7DDC" w:rsidRPr="003B02E3">
        <w:rPr>
          <w:b/>
          <w:szCs w:val="24"/>
        </w:rPr>
        <w:t xml:space="preserve">EKONOMIKOS IR INOVACIJŲ </w:t>
      </w:r>
      <w:r w:rsidRPr="003B02E3">
        <w:rPr>
          <w:b/>
          <w:szCs w:val="24"/>
        </w:rPr>
        <w:t>MINISTRO 201</w:t>
      </w:r>
      <w:r w:rsidR="00764345">
        <w:rPr>
          <w:b/>
          <w:szCs w:val="24"/>
        </w:rPr>
        <w:t>9</w:t>
      </w:r>
      <w:r w:rsidRPr="003B02E3">
        <w:rPr>
          <w:b/>
          <w:szCs w:val="24"/>
        </w:rPr>
        <w:t xml:space="preserve"> M. </w:t>
      </w:r>
      <w:r w:rsidR="00832F78" w:rsidRPr="003B02E3">
        <w:rPr>
          <w:b/>
          <w:szCs w:val="24"/>
        </w:rPr>
        <w:t xml:space="preserve">BIRŽELIO </w:t>
      </w:r>
      <w:r w:rsidR="00764345">
        <w:rPr>
          <w:b/>
          <w:szCs w:val="24"/>
          <w:lang w:val="en-US"/>
        </w:rPr>
        <w:t>5</w:t>
      </w:r>
      <w:r w:rsidRPr="003B02E3">
        <w:rPr>
          <w:b/>
          <w:caps/>
          <w:szCs w:val="24"/>
        </w:rPr>
        <w:t xml:space="preserve"> </w:t>
      </w:r>
      <w:r w:rsidRPr="003B02E3">
        <w:rPr>
          <w:b/>
          <w:szCs w:val="24"/>
        </w:rPr>
        <w:t>D. ĮSAKYMO NR. 4-</w:t>
      </w:r>
      <w:r w:rsidR="00945977">
        <w:rPr>
          <w:b/>
          <w:szCs w:val="24"/>
        </w:rPr>
        <w:t>35</w:t>
      </w:r>
      <w:r w:rsidR="00764345">
        <w:rPr>
          <w:b/>
          <w:szCs w:val="24"/>
        </w:rPr>
        <w:t>6</w:t>
      </w:r>
      <w:r w:rsidRPr="003B02E3">
        <w:rPr>
          <w:b/>
          <w:szCs w:val="24"/>
        </w:rPr>
        <w:t xml:space="preserve"> „</w:t>
      </w:r>
      <w:r w:rsidR="00764345">
        <w:rPr>
          <w:b/>
          <w:bCs/>
          <w:caps/>
          <w:szCs w:val="24"/>
        </w:rPr>
        <w:t>dėl 2014–2020 mETŲ europos sąjungos fondų investicijų veiksmų programos 9 prioriteto „</w:t>
      </w:r>
      <w:r w:rsidR="00764345">
        <w:rPr>
          <w:rFonts w:eastAsia="Calibri"/>
          <w:b/>
          <w:kern w:val="16"/>
          <w:szCs w:val="24"/>
        </w:rPr>
        <w:t>VISUOMENĖS ŠVIETIMAS IR ŽMOGIŠKŲJŲ IŠTEKLIŲ POTENCIALO DIDINIMAS“</w:t>
      </w:r>
      <w:r w:rsidR="00764345">
        <w:rPr>
          <w:b/>
          <w:bCs/>
          <w:caps/>
          <w:szCs w:val="24"/>
        </w:rPr>
        <w:t xml:space="preserve"> </w:t>
      </w:r>
      <w:r w:rsidR="00764345">
        <w:rPr>
          <w:b/>
          <w:bCs/>
          <w:caps/>
          <w:szCs w:val="24"/>
        </w:rPr>
        <w:br/>
        <w:t xml:space="preserve">priemonės nr. </w:t>
      </w:r>
      <w:r w:rsidR="00764345">
        <w:rPr>
          <w:b/>
          <w:szCs w:val="24"/>
          <w:lang w:eastAsia="lt-LT"/>
        </w:rPr>
        <w:t xml:space="preserve">09.4.3-ESFA-T-846 </w:t>
      </w:r>
      <w:r w:rsidR="00764345">
        <w:rPr>
          <w:rFonts w:eastAsia="Calibri"/>
          <w:b/>
          <w:szCs w:val="24"/>
        </w:rPr>
        <w:t>„</w:t>
      </w:r>
      <w:r w:rsidR="00764345">
        <w:rPr>
          <w:rFonts w:eastAsia="Calibri"/>
          <w:b/>
          <w:caps/>
          <w:szCs w:val="24"/>
        </w:rPr>
        <w:t>Mokymai užsienio investuotojų darbuotojams</w:t>
      </w:r>
      <w:r w:rsidR="00764345">
        <w:rPr>
          <w:rFonts w:eastAsia="Calibri"/>
          <w:b/>
          <w:szCs w:val="24"/>
          <w:lang w:eastAsia="lt-LT"/>
        </w:rPr>
        <w:t>“</w:t>
      </w:r>
      <w:r w:rsidR="00764345">
        <w:rPr>
          <w:b/>
          <w:bCs/>
          <w:caps/>
          <w:szCs w:val="24"/>
        </w:rPr>
        <w:t xml:space="preserve"> projektų finansavimo sąlygų aprašo Nr. 2 patvirtinimo</w:t>
      </w:r>
      <w:r w:rsidRPr="00023FCA">
        <w:rPr>
          <w:rFonts w:eastAsia="Calibri"/>
          <w:b/>
          <w:szCs w:val="24"/>
        </w:rPr>
        <w:t>“</w:t>
      </w:r>
      <w:r w:rsidR="00764345">
        <w:rPr>
          <w:rFonts w:eastAsia="Calibri"/>
          <w:b/>
          <w:szCs w:val="24"/>
        </w:rPr>
        <w:t xml:space="preserve"> </w:t>
      </w:r>
      <w:r w:rsidRPr="00023FCA">
        <w:rPr>
          <w:b/>
          <w:caps/>
          <w:szCs w:val="24"/>
        </w:rPr>
        <w:t>PAKEITIMO</w:t>
      </w:r>
    </w:p>
    <w:p w14:paraId="1E243DA7" w14:textId="77777777" w:rsidR="003F720C" w:rsidRPr="002D2728" w:rsidRDefault="003F720C" w:rsidP="00E50C93">
      <w:pPr>
        <w:rPr>
          <w:szCs w:val="24"/>
        </w:rPr>
      </w:pPr>
    </w:p>
    <w:p w14:paraId="6F5E03BC" w14:textId="40DAEA09" w:rsidR="003F720C" w:rsidRPr="00B45C43" w:rsidRDefault="001A0FD0" w:rsidP="00E50C93">
      <w:pPr>
        <w:jc w:val="center"/>
        <w:rPr>
          <w:szCs w:val="24"/>
          <w:lang w:val="en-US"/>
        </w:rPr>
      </w:pPr>
      <w:r>
        <w:rPr>
          <w:szCs w:val="24"/>
        </w:rPr>
        <w:t>20</w:t>
      </w:r>
      <w:r w:rsidR="00945977">
        <w:rPr>
          <w:szCs w:val="24"/>
        </w:rPr>
        <w:t>20</w:t>
      </w:r>
      <w:r>
        <w:rPr>
          <w:szCs w:val="24"/>
        </w:rPr>
        <w:t xml:space="preserve"> m.</w:t>
      </w:r>
      <w:r w:rsidR="00B45C43">
        <w:rPr>
          <w:szCs w:val="24"/>
        </w:rPr>
        <w:t xml:space="preserve"> balandžio 9 </w:t>
      </w:r>
      <w:r w:rsidR="003F720C" w:rsidRPr="002D2728">
        <w:rPr>
          <w:szCs w:val="24"/>
        </w:rPr>
        <w:t>d. Nr. 4-</w:t>
      </w:r>
      <w:r w:rsidR="00B45C43">
        <w:rPr>
          <w:szCs w:val="24"/>
          <w:lang w:val="en-US"/>
        </w:rPr>
        <w:t>213</w:t>
      </w:r>
      <w:bookmarkStart w:id="0" w:name="_GoBack"/>
      <w:bookmarkEnd w:id="0"/>
    </w:p>
    <w:p w14:paraId="04C23BDC" w14:textId="77777777" w:rsidR="003F720C" w:rsidRPr="002D2728" w:rsidRDefault="003F720C" w:rsidP="00E50C93">
      <w:pPr>
        <w:jc w:val="center"/>
        <w:rPr>
          <w:szCs w:val="24"/>
        </w:rPr>
      </w:pPr>
      <w:r w:rsidRPr="002D2728">
        <w:rPr>
          <w:szCs w:val="24"/>
        </w:rPr>
        <w:t>Vilnius</w:t>
      </w:r>
    </w:p>
    <w:p w14:paraId="2A7F2471" w14:textId="77777777" w:rsidR="00764345" w:rsidRDefault="00764345" w:rsidP="00E50C93">
      <w:pPr>
        <w:jc w:val="center"/>
        <w:rPr>
          <w:szCs w:val="24"/>
        </w:rPr>
      </w:pPr>
    </w:p>
    <w:p w14:paraId="6AA5BB65" w14:textId="77777777" w:rsidR="003F720C" w:rsidRPr="002D2728" w:rsidRDefault="003F720C" w:rsidP="00023FCA">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r w:rsidR="009718ED">
        <w:rPr>
          <w:color w:val="auto"/>
          <w:sz w:val="24"/>
          <w:szCs w:val="24"/>
        </w:rPr>
        <w:t xml:space="preserve"> ir </w:t>
      </w:r>
      <w:r w:rsidR="009718ED" w:rsidRPr="004C2D90">
        <w:rPr>
          <w:color w:val="auto"/>
          <w:sz w:val="24"/>
          <w:szCs w:val="24"/>
        </w:rPr>
        <w:t>atsižvelgdamas į tai, kad Lietuvos Respublikos Vyriausybės 2020 m. vasario 26 d. nutarimu Nr. 152 „Dėl valstybės lygio ekstremaliosios situacijos paskelbimo“ visoje šalyje paskelbta valstybės lygio ekstremalioji situacija dėl naujojo koronaviruso (COVID-19) plitimo grėsmės</w:t>
      </w:r>
      <w:r w:rsidR="00D94B32">
        <w:rPr>
          <w:color w:val="auto"/>
          <w:sz w:val="24"/>
          <w:szCs w:val="24"/>
        </w:rPr>
        <w:t>,</w:t>
      </w:r>
      <w:r w:rsidR="009718ED" w:rsidRPr="004C2D90">
        <w:rPr>
          <w:color w:val="auto"/>
          <w:sz w:val="24"/>
          <w:szCs w:val="24"/>
        </w:rPr>
        <w:t xml:space="preserve"> ir į Lietuvos Respublikos Vyriausybės 2020 m. kovo 14 d. nutarimą Nr. 207 „Dėl karantino Lietuvos Respublikos teritorijoje paskelbimo“</w:t>
      </w:r>
      <w:r w:rsidR="00EE6356">
        <w:rPr>
          <w:color w:val="auto"/>
          <w:sz w:val="24"/>
          <w:szCs w:val="24"/>
        </w:rPr>
        <w:t>:</w:t>
      </w:r>
    </w:p>
    <w:p w14:paraId="7313024E" w14:textId="77777777" w:rsidR="00CF7DDC" w:rsidRDefault="00FB0C36" w:rsidP="006702D9">
      <w:pPr>
        <w:pStyle w:val="BodyText1"/>
        <w:spacing w:line="240" w:lineRule="auto"/>
        <w:ind w:firstLine="720"/>
        <w:rPr>
          <w:color w:val="auto"/>
          <w:sz w:val="24"/>
          <w:szCs w:val="24"/>
        </w:rPr>
      </w:pPr>
      <w:r>
        <w:rPr>
          <w:color w:val="auto"/>
          <w:sz w:val="24"/>
          <w:szCs w:val="24"/>
        </w:rPr>
        <w:t>1. P</w:t>
      </w:r>
      <w:r w:rsidR="003F720C">
        <w:rPr>
          <w:color w:val="auto"/>
          <w:sz w:val="24"/>
          <w:szCs w:val="24"/>
        </w:rPr>
        <w:t xml:space="preserve"> a k e i č i u </w:t>
      </w:r>
      <w:r w:rsidR="007A73B4">
        <w:rPr>
          <w:color w:val="auto"/>
          <w:sz w:val="24"/>
          <w:szCs w:val="24"/>
        </w:rPr>
        <w:t xml:space="preserve"> </w:t>
      </w:r>
      <w:r w:rsidR="00C615E3" w:rsidRPr="00C615E3">
        <w:rPr>
          <w:color w:val="auto"/>
          <w:sz w:val="24"/>
          <w:szCs w:val="24"/>
        </w:rPr>
        <w:t xml:space="preserve">2014–2020 metų Europos Sąjungos fondų investicijų veiksmų programos </w:t>
      </w:r>
      <w:r w:rsidR="00C615E3">
        <w:rPr>
          <w:color w:val="auto"/>
          <w:sz w:val="24"/>
          <w:szCs w:val="24"/>
        </w:rPr>
        <w:br/>
      </w:r>
      <w:r w:rsidR="00C615E3" w:rsidRPr="00C615E3">
        <w:rPr>
          <w:color w:val="auto"/>
          <w:sz w:val="24"/>
          <w:szCs w:val="24"/>
        </w:rPr>
        <w:t xml:space="preserve">9 prioriteto „Visuomenės švietimas ir žmogiškųjų išteklių potencialo didinimas“ </w:t>
      </w:r>
      <w:r w:rsidR="00C615E3">
        <w:rPr>
          <w:color w:val="auto"/>
          <w:sz w:val="24"/>
          <w:szCs w:val="24"/>
        </w:rPr>
        <w:br/>
      </w:r>
      <w:r w:rsidR="00C615E3" w:rsidRPr="00C615E3">
        <w:rPr>
          <w:color w:val="auto"/>
          <w:sz w:val="24"/>
          <w:szCs w:val="24"/>
        </w:rPr>
        <w:t>priemonės Nr. 09.4.3-ESFA-T-846 „Mokymai užsienio investuotojų darbuotojams“ pr</w:t>
      </w:r>
      <w:r w:rsidR="00C615E3">
        <w:rPr>
          <w:color w:val="auto"/>
          <w:sz w:val="24"/>
          <w:szCs w:val="24"/>
        </w:rPr>
        <w:t>ojektų finansavimo sąlygų aprašą</w:t>
      </w:r>
      <w:r w:rsidR="00C615E3" w:rsidRPr="00C615E3">
        <w:rPr>
          <w:color w:val="auto"/>
          <w:sz w:val="24"/>
          <w:szCs w:val="24"/>
        </w:rPr>
        <w:t xml:space="preserve"> Nr. 2</w:t>
      </w:r>
      <w:r w:rsidR="00CA36F5">
        <w:rPr>
          <w:color w:val="auto"/>
          <w:sz w:val="24"/>
          <w:szCs w:val="24"/>
        </w:rPr>
        <w:t>,</w:t>
      </w:r>
      <w:r w:rsidR="00CF7DDC">
        <w:rPr>
          <w:color w:val="auto"/>
          <w:sz w:val="24"/>
          <w:szCs w:val="24"/>
        </w:rPr>
        <w:t xml:space="preserve"> patvirtintą Lietuvos Respublikos ekonomikos ir inovacijų ministro 201</w:t>
      </w:r>
      <w:r w:rsidR="00C615E3">
        <w:rPr>
          <w:color w:val="auto"/>
          <w:sz w:val="24"/>
          <w:szCs w:val="24"/>
        </w:rPr>
        <w:t>9</w:t>
      </w:r>
      <w:r w:rsidR="00CF7DDC">
        <w:rPr>
          <w:color w:val="auto"/>
          <w:sz w:val="24"/>
          <w:szCs w:val="24"/>
        </w:rPr>
        <w:t xml:space="preserve"> m. birželio </w:t>
      </w:r>
      <w:r w:rsidR="00C615E3">
        <w:rPr>
          <w:color w:val="auto"/>
          <w:sz w:val="24"/>
          <w:szCs w:val="24"/>
        </w:rPr>
        <w:t>5</w:t>
      </w:r>
      <w:r w:rsidR="00CF7DDC">
        <w:rPr>
          <w:color w:val="auto"/>
          <w:sz w:val="24"/>
          <w:szCs w:val="24"/>
        </w:rPr>
        <w:t xml:space="preserve"> d. įsakymu Nr. 4-</w:t>
      </w:r>
      <w:r w:rsidR="00C615E3">
        <w:rPr>
          <w:color w:val="auto"/>
          <w:sz w:val="24"/>
          <w:szCs w:val="24"/>
        </w:rPr>
        <w:t>356</w:t>
      </w:r>
      <w:r w:rsidR="00023FCA">
        <w:rPr>
          <w:color w:val="auto"/>
          <w:sz w:val="24"/>
          <w:szCs w:val="24"/>
        </w:rPr>
        <w:t xml:space="preserve"> </w:t>
      </w:r>
      <w:r w:rsidR="00023FCA" w:rsidRPr="003F541E">
        <w:rPr>
          <w:sz w:val="24"/>
          <w:szCs w:val="24"/>
        </w:rPr>
        <w:t>„</w:t>
      </w:r>
      <w:r w:rsidR="00023FCA" w:rsidRPr="00023FCA">
        <w:rPr>
          <w:bCs/>
          <w:sz w:val="24"/>
          <w:szCs w:val="24"/>
        </w:rPr>
        <w:t xml:space="preserve">Dėl </w:t>
      </w:r>
      <w:r w:rsidR="00C615E3" w:rsidRPr="00C615E3">
        <w:rPr>
          <w:color w:val="auto"/>
          <w:sz w:val="24"/>
          <w:szCs w:val="24"/>
        </w:rPr>
        <w:t xml:space="preserve">2014–2020 metų Europos Sąjungos fondų investicijų veiksmų programos 9 prioriteto „Visuomenės švietimas ir žmogiškųjų išteklių potencialo didinimas“ </w:t>
      </w:r>
      <w:r w:rsidR="00C615E3">
        <w:rPr>
          <w:color w:val="auto"/>
          <w:sz w:val="24"/>
          <w:szCs w:val="24"/>
        </w:rPr>
        <w:br/>
      </w:r>
      <w:r w:rsidR="00C615E3" w:rsidRPr="00C615E3">
        <w:rPr>
          <w:color w:val="auto"/>
          <w:sz w:val="24"/>
          <w:szCs w:val="24"/>
        </w:rPr>
        <w:t>priemonės Nr. 09.4.3-ESFA-T-846 „Mokymai užsienio investuotojų darbuotojams“ pr</w:t>
      </w:r>
      <w:r w:rsidR="00C615E3">
        <w:rPr>
          <w:color w:val="auto"/>
          <w:sz w:val="24"/>
          <w:szCs w:val="24"/>
        </w:rPr>
        <w:t>ojektų finansavimo sąlygų apraš</w:t>
      </w:r>
      <w:r w:rsidR="00F46CE1">
        <w:rPr>
          <w:color w:val="auto"/>
          <w:sz w:val="24"/>
          <w:szCs w:val="24"/>
        </w:rPr>
        <w:t>o</w:t>
      </w:r>
      <w:r w:rsidR="00C615E3" w:rsidRPr="00C615E3">
        <w:rPr>
          <w:color w:val="auto"/>
          <w:sz w:val="24"/>
          <w:szCs w:val="24"/>
        </w:rPr>
        <w:t xml:space="preserve"> Nr. 2</w:t>
      </w:r>
      <w:r w:rsidR="00F46CE1">
        <w:rPr>
          <w:color w:val="auto"/>
          <w:sz w:val="24"/>
          <w:szCs w:val="24"/>
        </w:rPr>
        <w:t xml:space="preserve"> </w:t>
      </w:r>
      <w:r w:rsidR="00023FCA" w:rsidRPr="003F541E">
        <w:rPr>
          <w:bCs/>
          <w:color w:val="auto"/>
          <w:sz w:val="24"/>
          <w:szCs w:val="24"/>
        </w:rPr>
        <w:t>patvirtinimo</w:t>
      </w:r>
      <w:r w:rsidR="00023FCA" w:rsidRPr="003F541E">
        <w:rPr>
          <w:color w:val="auto"/>
          <w:sz w:val="24"/>
          <w:szCs w:val="24"/>
        </w:rPr>
        <w:t>“</w:t>
      </w:r>
      <w:r>
        <w:rPr>
          <w:color w:val="auto"/>
          <w:sz w:val="24"/>
          <w:szCs w:val="24"/>
        </w:rPr>
        <w:t xml:space="preserve"> (toliau – Aprašas)</w:t>
      </w:r>
      <w:r w:rsidR="008A722D">
        <w:rPr>
          <w:color w:val="auto"/>
          <w:sz w:val="24"/>
          <w:szCs w:val="24"/>
        </w:rPr>
        <w:t>:</w:t>
      </w:r>
    </w:p>
    <w:p w14:paraId="3B4C6AC3" w14:textId="77777777" w:rsidR="00891293" w:rsidRDefault="00D40792" w:rsidP="00215635">
      <w:pPr>
        <w:pStyle w:val="Footer"/>
        <w:ind w:firstLine="709"/>
        <w:rPr>
          <w:rFonts w:ascii="Times New Roman" w:hAnsi="Times New Roman" w:cs="Times New Roman"/>
          <w:sz w:val="24"/>
        </w:rPr>
      </w:pPr>
      <w:r>
        <w:rPr>
          <w:rFonts w:ascii="Times New Roman" w:hAnsi="Times New Roman" w:cs="Times New Roman"/>
          <w:sz w:val="24"/>
        </w:rPr>
        <w:t>1.</w:t>
      </w:r>
      <w:r w:rsidR="00FB0C36">
        <w:rPr>
          <w:rFonts w:ascii="Times New Roman" w:hAnsi="Times New Roman" w:cs="Times New Roman"/>
          <w:sz w:val="24"/>
        </w:rPr>
        <w:t>1.</w:t>
      </w:r>
      <w:r>
        <w:rPr>
          <w:rFonts w:ascii="Times New Roman" w:hAnsi="Times New Roman" w:cs="Times New Roman"/>
          <w:sz w:val="24"/>
        </w:rPr>
        <w:t xml:space="preserve"> </w:t>
      </w:r>
      <w:r w:rsidR="00891293">
        <w:rPr>
          <w:rFonts w:ascii="Times New Roman" w:hAnsi="Times New Roman" w:cs="Times New Roman"/>
          <w:sz w:val="24"/>
        </w:rPr>
        <w:t xml:space="preserve">Pakeičiu </w:t>
      </w:r>
      <w:r w:rsidR="009951D2">
        <w:rPr>
          <w:rFonts w:ascii="Times New Roman" w:hAnsi="Times New Roman" w:cs="Times New Roman"/>
          <w:sz w:val="24"/>
        </w:rPr>
        <w:t>2.3</w:t>
      </w:r>
      <w:r w:rsidR="00891293">
        <w:rPr>
          <w:rFonts w:ascii="Times New Roman" w:hAnsi="Times New Roman" w:cs="Times New Roman"/>
          <w:sz w:val="24"/>
        </w:rPr>
        <w:t xml:space="preserve"> </w:t>
      </w:r>
      <w:r w:rsidR="00A6627C" w:rsidRPr="00A6627C">
        <w:rPr>
          <w:rFonts w:ascii="Times New Roman" w:hAnsi="Times New Roman" w:cs="Times New Roman"/>
          <w:sz w:val="24"/>
          <w:lang w:eastAsia="en-US"/>
        </w:rPr>
        <w:t>papunktį</w:t>
      </w:r>
      <w:r w:rsidR="00891293">
        <w:rPr>
          <w:rFonts w:ascii="Times New Roman" w:hAnsi="Times New Roman" w:cs="Times New Roman"/>
          <w:sz w:val="24"/>
        </w:rPr>
        <w:t xml:space="preserve"> ir jį išdėstau taip:</w:t>
      </w:r>
    </w:p>
    <w:p w14:paraId="7DA8A190" w14:textId="77777777" w:rsidR="00891293" w:rsidRPr="00215635" w:rsidRDefault="00891293" w:rsidP="00215635">
      <w:pPr>
        <w:ind w:firstLine="720"/>
        <w:jc w:val="both"/>
      </w:pPr>
      <w:r>
        <w:t>„</w:t>
      </w:r>
      <w:r w:rsidR="00215635">
        <w:rPr>
          <w:rFonts w:eastAsia="Calibri"/>
          <w:szCs w:val="24"/>
        </w:rPr>
        <w:t xml:space="preserve">2.3. 2014 m. birželio 17 d. Komisijos reglamentą (ES) Nr. 651/2014, kuriuo tam tikrų kategorijų pagalba skelbiama suderinama su vidaus rinka taikant Sutarties 107 ir 108 straipsnius, su paskutiniais pakeitimais, padarytais 2017 m. birželio 14 d. Komisijos reglamentu (ES) Nr. 2017/1084 </w:t>
      </w:r>
      <w:r w:rsidR="00215635" w:rsidRPr="00BF47AC">
        <w:rPr>
          <w:rFonts w:eastAsia="Calibri"/>
          <w:szCs w:val="24"/>
        </w:rPr>
        <w:t>(</w:t>
      </w:r>
      <w:r w:rsidR="00215635">
        <w:rPr>
          <w:rFonts w:eastAsia="Calibri"/>
          <w:szCs w:val="24"/>
        </w:rPr>
        <w:t>toliau – Bendrasis bendrosios išimties reglamentas);“.</w:t>
      </w:r>
    </w:p>
    <w:p w14:paraId="494B12A3" w14:textId="77777777" w:rsidR="001F7217" w:rsidRDefault="00FB0C36" w:rsidP="002866CF">
      <w:pPr>
        <w:ind w:firstLine="709"/>
        <w:jc w:val="both"/>
        <w:rPr>
          <w:szCs w:val="24"/>
        </w:rPr>
      </w:pPr>
      <w:r>
        <w:rPr>
          <w:szCs w:val="24"/>
        </w:rPr>
        <w:t>1.</w:t>
      </w:r>
      <w:r w:rsidR="00723807">
        <w:rPr>
          <w:szCs w:val="24"/>
          <w:lang w:val="en-US"/>
        </w:rPr>
        <w:t>2</w:t>
      </w:r>
      <w:r w:rsidR="00764EBA">
        <w:rPr>
          <w:szCs w:val="24"/>
        </w:rPr>
        <w:t>. Pakeičiu</w:t>
      </w:r>
      <w:r w:rsidR="001F7217">
        <w:rPr>
          <w:szCs w:val="24"/>
        </w:rPr>
        <w:t xml:space="preserve"> </w:t>
      </w:r>
      <w:r w:rsidR="001F7217">
        <w:rPr>
          <w:szCs w:val="24"/>
          <w:lang w:val="en-US"/>
        </w:rPr>
        <w:t xml:space="preserve">8 </w:t>
      </w:r>
      <w:r w:rsidR="001F7217" w:rsidRPr="001F7217">
        <w:rPr>
          <w:szCs w:val="24"/>
        </w:rPr>
        <w:t>punktą</w:t>
      </w:r>
      <w:r w:rsidR="001F7217">
        <w:rPr>
          <w:szCs w:val="24"/>
        </w:rPr>
        <w:t xml:space="preserve"> ir jį išdėstau taip:</w:t>
      </w:r>
      <w:r w:rsidR="00764EBA">
        <w:rPr>
          <w:szCs w:val="24"/>
        </w:rPr>
        <w:t xml:space="preserve"> </w:t>
      </w:r>
    </w:p>
    <w:p w14:paraId="6016E4D5" w14:textId="77777777" w:rsidR="001F7217" w:rsidRDefault="001F7217" w:rsidP="002866CF">
      <w:pPr>
        <w:ind w:firstLine="709"/>
        <w:jc w:val="both"/>
        <w:rPr>
          <w:szCs w:val="24"/>
        </w:rPr>
      </w:pPr>
      <w:r>
        <w:rPr>
          <w:rFonts w:eastAsia="Calibri"/>
          <w:bCs/>
          <w:szCs w:val="24"/>
        </w:rPr>
        <w:t xml:space="preserve">„8. Pagal Aprašą projektams įgyvendinti numatoma skirti </w:t>
      </w:r>
      <w:r w:rsidRPr="00B23847">
        <w:rPr>
          <w:rFonts w:eastAsia="Calibri"/>
          <w:bCs/>
          <w:szCs w:val="24"/>
        </w:rPr>
        <w:t xml:space="preserve">iki </w:t>
      </w:r>
      <w:r w:rsidRPr="00B23847">
        <w:rPr>
          <w:rFonts w:eastAsia="Calibri"/>
          <w:bCs/>
          <w:szCs w:val="24"/>
          <w:lang w:val="en-US"/>
        </w:rPr>
        <w:t>2 018 933</w:t>
      </w:r>
      <w:r w:rsidRPr="00B23847">
        <w:rPr>
          <w:rFonts w:eastAsia="Calibri"/>
          <w:bCs/>
          <w:szCs w:val="24"/>
        </w:rPr>
        <w:t xml:space="preserve"> Eur (dviejų milijonų aštuoniolikos tūkstančių devynių šimtų trisdešimt trijų</w:t>
      </w:r>
      <w:r>
        <w:rPr>
          <w:rFonts w:eastAsia="Calibri"/>
          <w:bCs/>
          <w:szCs w:val="24"/>
        </w:rPr>
        <w:t xml:space="preserve"> </w:t>
      </w:r>
      <w:r w:rsidRPr="00B23847">
        <w:rPr>
          <w:rFonts w:eastAsia="Calibri"/>
          <w:bCs/>
          <w:szCs w:val="24"/>
        </w:rPr>
        <w:t>eurų)</w:t>
      </w:r>
      <w:r>
        <w:rPr>
          <w:rFonts w:eastAsia="Calibri"/>
          <w:bCs/>
          <w:szCs w:val="24"/>
        </w:rPr>
        <w:t xml:space="preserve"> ES struktūrinių fondų (Europos socialinio fondo) lėšų.</w:t>
      </w:r>
      <w:r w:rsidR="004D2CE6" w:rsidRPr="004D2CE6">
        <w:rPr>
          <w:rFonts w:eastAsia="Calibri"/>
          <w:szCs w:val="24"/>
        </w:rPr>
        <w:t xml:space="preserve"> Ministerijai pritarus pagal kvietimą teikti paraiškas numatyta skirti lėšų suma gali būti padidinta, neviršijant Priemonių įgyvendinimo plane nurodytos Priemonei skirtos lėšų sumos ir nepažeidžiant teisėtų pareiškėjų lūkesčių</w:t>
      </w:r>
      <w:r w:rsidR="004D2CE6">
        <w:rPr>
          <w:rFonts w:eastAsia="Calibri"/>
          <w:szCs w:val="24"/>
        </w:rPr>
        <w:t>.</w:t>
      </w:r>
      <w:r>
        <w:rPr>
          <w:rFonts w:eastAsia="Calibri"/>
          <w:bCs/>
          <w:szCs w:val="24"/>
        </w:rPr>
        <w:t>“</w:t>
      </w:r>
    </w:p>
    <w:p w14:paraId="6955B59D" w14:textId="77777777" w:rsidR="00764EBA" w:rsidRDefault="001F7217" w:rsidP="002866CF">
      <w:pPr>
        <w:ind w:firstLine="709"/>
        <w:jc w:val="both"/>
        <w:rPr>
          <w:szCs w:val="24"/>
        </w:rPr>
      </w:pPr>
      <w:r>
        <w:rPr>
          <w:szCs w:val="24"/>
          <w:lang w:val="en-US"/>
        </w:rPr>
        <w:t xml:space="preserve">1.3. </w:t>
      </w:r>
      <w:r w:rsidRPr="001F7217">
        <w:rPr>
          <w:szCs w:val="24"/>
        </w:rPr>
        <w:t>Pakeičiu</w:t>
      </w:r>
      <w:r>
        <w:rPr>
          <w:szCs w:val="24"/>
          <w:lang w:val="en-US"/>
        </w:rPr>
        <w:t xml:space="preserve"> </w:t>
      </w:r>
      <w:r w:rsidR="006002A7">
        <w:rPr>
          <w:szCs w:val="24"/>
        </w:rPr>
        <w:t>35 punkto 2 lentelės 5.12 papunktį</w:t>
      </w:r>
      <w:r w:rsidR="00764EBA">
        <w:rPr>
          <w:szCs w:val="24"/>
        </w:rPr>
        <w:t xml:space="preserve">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3260"/>
        <w:gridCol w:w="5522"/>
      </w:tblGrid>
      <w:tr w:rsidR="00353B91" w:rsidRPr="000F4B94" w14:paraId="62FAC644" w14:textId="77777777" w:rsidTr="0093760C">
        <w:tc>
          <w:tcPr>
            <w:tcW w:w="846" w:type="dxa"/>
            <w:tcMar>
              <w:top w:w="0" w:type="dxa"/>
              <w:left w:w="108" w:type="dxa"/>
              <w:bottom w:w="0" w:type="dxa"/>
              <w:right w:w="108" w:type="dxa"/>
            </w:tcMar>
          </w:tcPr>
          <w:p w14:paraId="18253A01" w14:textId="77777777" w:rsidR="00353B91" w:rsidRPr="000F4B94" w:rsidRDefault="00353B91" w:rsidP="000F4B94">
            <w:pPr>
              <w:ind w:firstLine="709"/>
              <w:jc w:val="both"/>
              <w:rPr>
                <w:szCs w:val="24"/>
              </w:rPr>
            </w:pPr>
          </w:p>
        </w:tc>
        <w:tc>
          <w:tcPr>
            <w:tcW w:w="3260" w:type="dxa"/>
            <w:tcMar>
              <w:top w:w="0" w:type="dxa"/>
              <w:left w:w="108" w:type="dxa"/>
              <w:bottom w:w="0" w:type="dxa"/>
              <w:right w:w="108" w:type="dxa"/>
            </w:tcMar>
          </w:tcPr>
          <w:p w14:paraId="672EF667" w14:textId="77777777" w:rsidR="00353B91" w:rsidRPr="000F4B94" w:rsidRDefault="00353B91" w:rsidP="000F4B94">
            <w:pPr>
              <w:ind w:firstLine="709"/>
              <w:jc w:val="both"/>
              <w:rPr>
                <w:szCs w:val="24"/>
              </w:rPr>
            </w:pPr>
          </w:p>
        </w:tc>
        <w:tc>
          <w:tcPr>
            <w:tcW w:w="5522" w:type="dxa"/>
          </w:tcPr>
          <w:p w14:paraId="0FAFB68C" w14:textId="77777777" w:rsidR="00353B91" w:rsidRPr="000F4B94" w:rsidRDefault="00353B91" w:rsidP="0093760C">
            <w:pPr>
              <w:jc w:val="both"/>
              <w:rPr>
                <w:szCs w:val="24"/>
              </w:rPr>
            </w:pPr>
            <w:r>
              <w:rPr>
                <w:szCs w:val="24"/>
              </w:rPr>
              <w:t xml:space="preserve">„5.12. </w:t>
            </w:r>
            <w:r>
              <w:rPr>
                <w:rFonts w:eastAsia="Calibri"/>
                <w:color w:val="000000"/>
                <w:szCs w:val="24"/>
              </w:rPr>
              <w:t xml:space="preserve">išlaidos mokomiems asmenims </w:t>
            </w:r>
            <w:r>
              <w:rPr>
                <w:rFonts w:cs="Calibri"/>
                <w:color w:val="000000"/>
                <w:szCs w:val="24"/>
              </w:rPr>
              <w:t>už</w:t>
            </w:r>
            <w:r>
              <w:rPr>
                <w:rFonts w:eastAsia="Calibri"/>
                <w:color w:val="000000"/>
                <w:szCs w:val="24"/>
              </w:rPr>
              <w:t xml:space="preserve"> darbo laiko valandas, kurias mokomi asmenys dalyvauja mokyme (</w:t>
            </w:r>
            <w:r>
              <w:rPr>
                <w:rFonts w:eastAsia="Calibri"/>
                <w:szCs w:val="24"/>
              </w:rPr>
              <w:t>darbo užmokesčio išlaidos)</w:t>
            </w:r>
            <w:r>
              <w:rPr>
                <w:rFonts w:eastAsia="Calibri"/>
                <w:color w:val="000000"/>
                <w:szCs w:val="24"/>
              </w:rPr>
              <w:t xml:space="preserve">. </w:t>
            </w:r>
            <w:r w:rsidRPr="00C7109E">
              <w:rPr>
                <w:rFonts w:eastAsia="Calibri"/>
                <w:color w:val="000000"/>
                <w:szCs w:val="24"/>
              </w:rPr>
              <w:t>Šios išlaidos yra tinkamos finansuoti tik tais atvejais, jei mokymas vykdomas ne nuotoliniu būdu</w:t>
            </w:r>
            <w:r>
              <w:rPr>
                <w:rFonts w:eastAsia="Calibri"/>
                <w:color w:val="000000"/>
                <w:szCs w:val="24"/>
              </w:rPr>
              <w:t xml:space="preserve"> ir nuotoliniu būdu, kai jo negalima vykdyti ne nuotoliniu būdu dėl valstybės lygio ekstremaliajai situacijai valdyti nustatyto karantino </w:t>
            </w:r>
            <w:r>
              <w:rPr>
                <w:rFonts w:eastAsia="Calibri"/>
                <w:color w:val="000000"/>
                <w:szCs w:val="24"/>
              </w:rPr>
              <w:lastRenderedPageBreak/>
              <w:t>režimo ir panašių apribojimų</w:t>
            </w:r>
            <w:r w:rsidRPr="00C7109E">
              <w:rPr>
                <w:rFonts w:eastAsia="Calibri"/>
                <w:color w:val="000000"/>
                <w:szCs w:val="24"/>
              </w:rPr>
              <w:t>. Mokomų asmenų darbo užmokestis yra tinkamas kaip nuosavas pareiškėjo įnašas.</w:t>
            </w:r>
            <w:r>
              <w:rPr>
                <w:rFonts w:eastAsia="Calibri"/>
                <w:color w:val="000000"/>
                <w:szCs w:val="24"/>
              </w:rPr>
              <w:t>“</w:t>
            </w:r>
          </w:p>
        </w:tc>
      </w:tr>
    </w:tbl>
    <w:p w14:paraId="4994FB64" w14:textId="77777777" w:rsidR="003A521F" w:rsidRDefault="009E59C3" w:rsidP="0093760C">
      <w:pPr>
        <w:tabs>
          <w:tab w:val="left" w:pos="709"/>
        </w:tabs>
        <w:jc w:val="both"/>
        <w:rPr>
          <w:szCs w:val="24"/>
        </w:rPr>
      </w:pPr>
      <w:r>
        <w:rPr>
          <w:szCs w:val="24"/>
        </w:rPr>
        <w:lastRenderedPageBreak/>
        <w:tab/>
      </w:r>
      <w:r w:rsidR="006002A7">
        <w:rPr>
          <w:szCs w:val="24"/>
        </w:rPr>
        <w:t>1.</w:t>
      </w:r>
      <w:r w:rsidR="001F7217">
        <w:rPr>
          <w:szCs w:val="24"/>
          <w:lang w:val="en-US"/>
        </w:rPr>
        <w:t>4</w:t>
      </w:r>
      <w:r w:rsidR="00E9357D">
        <w:rPr>
          <w:szCs w:val="24"/>
        </w:rPr>
        <w:t xml:space="preserve">. </w:t>
      </w:r>
      <w:r w:rsidR="00016B96">
        <w:rPr>
          <w:szCs w:val="24"/>
        </w:rPr>
        <w:t xml:space="preserve">Pakeičiu </w:t>
      </w:r>
      <w:r w:rsidR="00016B96">
        <w:rPr>
          <w:szCs w:val="24"/>
          <w:lang w:val="en-US"/>
        </w:rPr>
        <w:t>42</w:t>
      </w:r>
      <w:r w:rsidR="00B005A8">
        <w:rPr>
          <w:szCs w:val="24"/>
          <w:lang w:val="en-US"/>
        </w:rPr>
        <w:t xml:space="preserve"> punkt</w:t>
      </w:r>
      <w:r w:rsidR="00B005A8">
        <w:rPr>
          <w:szCs w:val="24"/>
        </w:rPr>
        <w:t>ą</w:t>
      </w:r>
      <w:r w:rsidR="00016B96">
        <w:rPr>
          <w:szCs w:val="24"/>
        </w:rPr>
        <w:t xml:space="preserve"> ir jį išdėstau taip:</w:t>
      </w:r>
    </w:p>
    <w:p w14:paraId="737CF940" w14:textId="77777777" w:rsidR="00C7139E" w:rsidRDefault="00016B96" w:rsidP="00C7139E">
      <w:pPr>
        <w:suppressAutoHyphens/>
        <w:ind w:firstLine="709"/>
        <w:jc w:val="both"/>
        <w:textAlignment w:val="center"/>
        <w:rPr>
          <w:color w:val="000000"/>
          <w:szCs w:val="24"/>
        </w:rPr>
      </w:pPr>
      <w:r>
        <w:rPr>
          <w:szCs w:val="24"/>
        </w:rPr>
        <w:t>„</w:t>
      </w:r>
      <w:r w:rsidR="00C7139E">
        <w:rPr>
          <w:color w:val="000000"/>
          <w:szCs w:val="24"/>
        </w:rPr>
        <w:t>42. Nuotoliniam mokymuisi taikomi šie reikalavimai:</w:t>
      </w:r>
    </w:p>
    <w:p w14:paraId="1C7308DC" w14:textId="77777777" w:rsidR="00C7139E" w:rsidRDefault="00C7139E" w:rsidP="00C7139E">
      <w:pPr>
        <w:suppressAutoHyphens/>
        <w:ind w:firstLine="709"/>
        <w:jc w:val="both"/>
        <w:textAlignment w:val="center"/>
        <w:rPr>
          <w:color w:val="000000"/>
          <w:szCs w:val="24"/>
        </w:rPr>
      </w:pPr>
      <w:r>
        <w:rPr>
          <w:color w:val="000000"/>
          <w:szCs w:val="24"/>
        </w:rPr>
        <w:t>42.1. nuotolinio mokymosi kurso pabaigoje turi būti išlaikomas žinių patikrinimo testas ir užtikrinama, kad buvo susipažinta su visa kurso mokomąja medžiaga (įgyvendinančiajai institucijai pateikiami tai įrodantys dokumentai);</w:t>
      </w:r>
    </w:p>
    <w:p w14:paraId="04279619" w14:textId="77777777" w:rsidR="00C7139E" w:rsidRDefault="00C7139E" w:rsidP="00C7139E">
      <w:pPr>
        <w:suppressAutoHyphens/>
        <w:ind w:firstLine="709"/>
        <w:jc w:val="both"/>
        <w:textAlignment w:val="center"/>
        <w:rPr>
          <w:color w:val="000000"/>
          <w:szCs w:val="24"/>
        </w:rPr>
      </w:pPr>
      <w:r>
        <w:rPr>
          <w:color w:val="000000"/>
          <w:szCs w:val="24"/>
        </w:rPr>
        <w:t>42.2. veiklai ir išlaidoms pagrįsti papildomai teikiami šie dokumentai: mokymo trukmės laikas iš nuotolinio mokymosi archyvo arba asmens nuotolinio mokymosi ataskaita, patvirtinanti mokymuisi skirtą laiką (forma turi būti suderinta su įgyvendinančiąja institucija);</w:t>
      </w:r>
    </w:p>
    <w:p w14:paraId="7DB5FD11" w14:textId="77777777" w:rsidR="00CC0E82" w:rsidRPr="00771E91" w:rsidRDefault="00C7139E" w:rsidP="00771E91">
      <w:pPr>
        <w:suppressAutoHyphens/>
        <w:ind w:firstLine="709"/>
        <w:jc w:val="both"/>
        <w:textAlignment w:val="center"/>
        <w:rPr>
          <w:szCs w:val="24"/>
        </w:rPr>
      </w:pPr>
      <w:r>
        <w:rPr>
          <w:color w:val="000000"/>
          <w:szCs w:val="24"/>
        </w:rPr>
        <w:t>42.3</w:t>
      </w:r>
      <w:r w:rsidRPr="00BF47AC">
        <w:rPr>
          <w:color w:val="000000"/>
          <w:szCs w:val="24"/>
        </w:rPr>
        <w:t>. nuotolinio mokymosi atveju mokymo dalyvių darbo užmokesčio išlaidos yra netinkamos finansuoti.</w:t>
      </w:r>
      <w:r>
        <w:rPr>
          <w:color w:val="000000"/>
          <w:szCs w:val="24"/>
        </w:rPr>
        <w:t xml:space="preserve"> </w:t>
      </w:r>
      <w:r w:rsidR="007C1441">
        <w:rPr>
          <w:color w:val="000000"/>
          <w:szCs w:val="24"/>
        </w:rPr>
        <w:t xml:space="preserve">Šis reikalavimas netaikomas, kai </w:t>
      </w:r>
      <w:r w:rsidR="007C1441">
        <w:rPr>
          <w:rFonts w:eastAsia="Calibri"/>
          <w:color w:val="000000"/>
          <w:szCs w:val="24"/>
        </w:rPr>
        <w:t>dėl valstybės lygio ekstremaliajai situacijai valdyti nustatyto karantino režimo ir panašių apribojimų</w:t>
      </w:r>
      <w:r w:rsidR="007C1441">
        <w:rPr>
          <w:color w:val="000000"/>
          <w:szCs w:val="24"/>
        </w:rPr>
        <w:t xml:space="preserve"> </w:t>
      </w:r>
      <w:r w:rsidR="007C1441">
        <w:rPr>
          <w:rFonts w:eastAsia="Calibri"/>
          <w:color w:val="000000"/>
          <w:szCs w:val="24"/>
        </w:rPr>
        <w:t>ne nuotoliniu būdu mokymai negali būti vykdomi.“</w:t>
      </w:r>
    </w:p>
    <w:p w14:paraId="49BA7A06" w14:textId="77777777" w:rsidR="00391204" w:rsidRDefault="00CC0E82" w:rsidP="00CC0E82">
      <w:pPr>
        <w:suppressAutoHyphens/>
        <w:ind w:firstLine="709"/>
        <w:jc w:val="both"/>
        <w:textAlignment w:val="center"/>
        <w:rPr>
          <w:szCs w:val="24"/>
        </w:rPr>
      </w:pPr>
      <w:r>
        <w:rPr>
          <w:rFonts w:eastAsia="Calibri"/>
          <w:color w:val="000000"/>
          <w:szCs w:val="24"/>
          <w:lang w:val="en-US"/>
        </w:rPr>
        <w:t>1.</w:t>
      </w:r>
      <w:r w:rsidR="001F7217">
        <w:rPr>
          <w:rFonts w:eastAsia="Calibri"/>
          <w:color w:val="000000"/>
          <w:szCs w:val="24"/>
          <w:lang w:val="en-US"/>
        </w:rPr>
        <w:t>5</w:t>
      </w:r>
      <w:r>
        <w:rPr>
          <w:rFonts w:eastAsia="Calibri"/>
          <w:color w:val="000000"/>
          <w:szCs w:val="24"/>
          <w:lang w:val="en-US"/>
        </w:rPr>
        <w:t xml:space="preserve">. </w:t>
      </w:r>
      <w:r w:rsidR="00391204">
        <w:rPr>
          <w:szCs w:val="24"/>
        </w:rPr>
        <w:t xml:space="preserve">Pakeičiu </w:t>
      </w:r>
      <w:r w:rsidR="00391204">
        <w:rPr>
          <w:szCs w:val="24"/>
          <w:lang w:val="en-US"/>
        </w:rPr>
        <w:t>43.11 papunkt</w:t>
      </w:r>
      <w:r w:rsidR="00391204">
        <w:rPr>
          <w:szCs w:val="24"/>
        </w:rPr>
        <w:t>į ir jį išdėstau taip:</w:t>
      </w:r>
    </w:p>
    <w:p w14:paraId="11E813F8" w14:textId="77777777" w:rsidR="00391204" w:rsidRDefault="00391204" w:rsidP="00CC0E82">
      <w:pPr>
        <w:suppressAutoHyphens/>
        <w:ind w:firstLine="709"/>
        <w:jc w:val="both"/>
        <w:textAlignment w:val="center"/>
        <w:rPr>
          <w:rFonts w:eastAsia="Calibri"/>
          <w:color w:val="000000"/>
          <w:szCs w:val="24"/>
          <w:lang w:val="en-US"/>
        </w:rPr>
      </w:pPr>
      <w:r>
        <w:rPr>
          <w:szCs w:val="24"/>
        </w:rPr>
        <w:t>„</w:t>
      </w:r>
      <w:r>
        <w:rPr>
          <w:szCs w:val="24"/>
          <w:lang w:eastAsia="lt-LT"/>
        </w:rPr>
        <w:t>43.11. išvardytos</w:t>
      </w:r>
      <w:r>
        <w:rPr>
          <w:rFonts w:ascii="Calibri" w:eastAsia="Calibri" w:hAnsi="Calibri"/>
          <w:sz w:val="22"/>
          <w:szCs w:val="22"/>
        </w:rPr>
        <w:t xml:space="preserve"> </w:t>
      </w:r>
      <w:r>
        <w:rPr>
          <w:rFonts w:eastAsia="Calibri"/>
          <w:szCs w:val="24"/>
        </w:rPr>
        <w:t>2013 m. gruodžio 17 d.</w:t>
      </w:r>
      <w:r>
        <w:rPr>
          <w:rFonts w:ascii="Calibri" w:eastAsia="Calibri" w:hAnsi="Calibri"/>
          <w:sz w:val="22"/>
          <w:szCs w:val="22"/>
        </w:rPr>
        <w:t xml:space="preserve"> </w:t>
      </w:r>
      <w:r>
        <w:rPr>
          <w:rFonts w:eastAsia="Calibri"/>
          <w:szCs w:val="24"/>
        </w:rPr>
        <w:t>Europos Parlamento ir Tarybos reglamento (ES) Nr. 1304/2013 dėl Europos socialinio fondo, kuriuo panaikinamas Tarybos reglamentas (EB) Nr. 1081/2006, 13 straipsnio 4 dalyje;“.</w:t>
      </w:r>
    </w:p>
    <w:p w14:paraId="0F52D821" w14:textId="77777777" w:rsidR="00CC0E82" w:rsidRDefault="00391204" w:rsidP="00CC0E82">
      <w:pPr>
        <w:suppressAutoHyphens/>
        <w:ind w:firstLine="709"/>
        <w:jc w:val="both"/>
        <w:textAlignment w:val="center"/>
        <w:rPr>
          <w:rFonts w:eastAsia="Calibri"/>
          <w:color w:val="000000"/>
          <w:szCs w:val="24"/>
          <w:lang w:val="en-US"/>
        </w:rPr>
      </w:pPr>
      <w:r>
        <w:rPr>
          <w:rFonts w:eastAsia="Calibri"/>
          <w:color w:val="000000"/>
          <w:szCs w:val="24"/>
          <w:lang w:val="en-US"/>
        </w:rPr>
        <w:t>1.</w:t>
      </w:r>
      <w:r w:rsidR="001F7217">
        <w:rPr>
          <w:rFonts w:eastAsia="Calibri"/>
          <w:color w:val="000000"/>
          <w:szCs w:val="24"/>
          <w:lang w:val="en-US"/>
        </w:rPr>
        <w:t>6</w:t>
      </w:r>
      <w:r>
        <w:rPr>
          <w:rFonts w:eastAsia="Calibri"/>
          <w:color w:val="000000"/>
          <w:szCs w:val="24"/>
          <w:lang w:val="en-US"/>
        </w:rPr>
        <w:t xml:space="preserve">. </w:t>
      </w:r>
      <w:r w:rsidR="00CC0E82">
        <w:rPr>
          <w:szCs w:val="24"/>
        </w:rPr>
        <w:t xml:space="preserve">Pakeičiu </w:t>
      </w:r>
      <w:r w:rsidR="00CC0E82">
        <w:rPr>
          <w:szCs w:val="24"/>
          <w:lang w:val="en-US"/>
        </w:rPr>
        <w:t>43.14 papunkt</w:t>
      </w:r>
      <w:r w:rsidR="00CC0E82">
        <w:rPr>
          <w:szCs w:val="24"/>
        </w:rPr>
        <w:t>į ir jį išdėstau taip:</w:t>
      </w:r>
    </w:p>
    <w:p w14:paraId="783A24F4" w14:textId="77777777" w:rsidR="00CC0E82" w:rsidRDefault="00CC0E82" w:rsidP="00CC0E82">
      <w:pPr>
        <w:suppressAutoHyphens/>
        <w:ind w:firstLine="709"/>
        <w:jc w:val="both"/>
        <w:textAlignment w:val="center"/>
        <w:rPr>
          <w:szCs w:val="24"/>
          <w:lang w:eastAsia="lt-LT"/>
        </w:rPr>
      </w:pPr>
      <w:r>
        <w:rPr>
          <w:szCs w:val="24"/>
        </w:rPr>
        <w:t>„</w:t>
      </w:r>
      <w:r>
        <w:rPr>
          <w:szCs w:val="24"/>
          <w:lang w:eastAsia="lt-LT"/>
        </w:rPr>
        <w:t xml:space="preserve">43.14. </w:t>
      </w:r>
      <w:r w:rsidRPr="00BD6385">
        <w:rPr>
          <w:szCs w:val="24"/>
          <w:lang w:eastAsia="lt-LT"/>
        </w:rPr>
        <w:t>išlaidos mokomiems asmenims už darbo laiko valandas, kurias mokomi asmenys dalyvauja mokyme (darbo užmokesčio išlaidos), kai mokymasis vyksta nuotoliniu būdu</w:t>
      </w:r>
      <w:r>
        <w:rPr>
          <w:szCs w:val="24"/>
          <w:lang w:eastAsia="lt-LT"/>
        </w:rPr>
        <w:t xml:space="preserve">. </w:t>
      </w:r>
      <w:r w:rsidR="007C1441">
        <w:rPr>
          <w:color w:val="000000"/>
          <w:szCs w:val="24"/>
        </w:rPr>
        <w:t xml:space="preserve">Šis reikalavimas netaikomas, kai </w:t>
      </w:r>
      <w:r w:rsidR="007C1441">
        <w:rPr>
          <w:rFonts w:eastAsia="Calibri"/>
          <w:color w:val="000000"/>
          <w:szCs w:val="24"/>
        </w:rPr>
        <w:t>dėl valstybės lygio ekstremaliajai situacijai valdyti nustatyto karantino režimo ir panašių apribojimų</w:t>
      </w:r>
      <w:r w:rsidR="007C1441">
        <w:rPr>
          <w:color w:val="000000"/>
          <w:szCs w:val="24"/>
        </w:rPr>
        <w:t xml:space="preserve"> </w:t>
      </w:r>
      <w:r w:rsidR="007C1441">
        <w:rPr>
          <w:rFonts w:eastAsia="Calibri"/>
          <w:color w:val="000000"/>
          <w:szCs w:val="24"/>
        </w:rPr>
        <w:t>ne nuotoliniu būdu mokymai negali būti vykdomi;</w:t>
      </w:r>
      <w:r>
        <w:rPr>
          <w:szCs w:val="24"/>
          <w:lang w:eastAsia="lt-LT"/>
        </w:rPr>
        <w:t>“.</w:t>
      </w:r>
    </w:p>
    <w:p w14:paraId="69A8A2F8" w14:textId="77777777" w:rsidR="00DB0AFA" w:rsidRDefault="00DB0AFA" w:rsidP="00CC0E82">
      <w:pPr>
        <w:suppressAutoHyphens/>
        <w:ind w:firstLine="709"/>
        <w:jc w:val="both"/>
        <w:textAlignment w:val="center"/>
        <w:rPr>
          <w:szCs w:val="24"/>
          <w:lang w:eastAsia="lt-LT"/>
        </w:rPr>
      </w:pPr>
      <w:r>
        <w:rPr>
          <w:szCs w:val="24"/>
          <w:lang w:eastAsia="lt-LT"/>
        </w:rPr>
        <w:t>1.</w:t>
      </w:r>
      <w:r w:rsidR="001F7217">
        <w:rPr>
          <w:szCs w:val="24"/>
          <w:lang w:eastAsia="lt-LT"/>
        </w:rPr>
        <w:t>7</w:t>
      </w:r>
      <w:r>
        <w:rPr>
          <w:szCs w:val="24"/>
          <w:lang w:eastAsia="lt-LT"/>
        </w:rPr>
        <w:t xml:space="preserve">. Pakeičiu </w:t>
      </w:r>
      <w:r>
        <w:rPr>
          <w:szCs w:val="24"/>
          <w:lang w:val="en-US" w:eastAsia="lt-LT"/>
        </w:rPr>
        <w:t>54 punk</w:t>
      </w:r>
      <w:r>
        <w:rPr>
          <w:szCs w:val="24"/>
          <w:lang w:eastAsia="lt-LT"/>
        </w:rPr>
        <w:t>tą ir jį išdėstau taip:</w:t>
      </w:r>
    </w:p>
    <w:p w14:paraId="0580E787" w14:textId="2FEA265C" w:rsidR="00DB0AFA" w:rsidRDefault="00DB0AFA" w:rsidP="00CC0E82">
      <w:pPr>
        <w:suppressAutoHyphens/>
        <w:ind w:firstLine="709"/>
        <w:jc w:val="both"/>
        <w:textAlignment w:val="center"/>
        <w:rPr>
          <w:szCs w:val="24"/>
          <w:lang w:eastAsia="lt-LT"/>
        </w:rPr>
      </w:pPr>
      <w:r w:rsidRPr="00DB0AFA">
        <w:rPr>
          <w:szCs w:val="24"/>
          <w:lang w:eastAsia="lt-LT"/>
        </w:rPr>
        <w:t xml:space="preserve">„54. Paraiškos teikiamos nuolat iki kvietimo teikti paraiškas skelbime nustatyto termino. Tęstinė projektų atranka baigiama anksčiau, jeigu pagal priimtus sprendimus dėl projektų finansavimo ir pateiktas naujas paraiškas paskirstyta ir prašoma skirti finansavimo lėšų suma sudaro galimybę paskirstyti visą kvietimui teikti paraiškas skirtą lėšų sumą arba jeigu </w:t>
      </w:r>
      <w:r w:rsidRPr="00DB0AFA">
        <w:rPr>
          <w:rFonts w:eastAsia="Calibri"/>
          <w:color w:val="000000"/>
          <w:szCs w:val="24"/>
        </w:rPr>
        <w:t>dėl valstybės lygio ekstremalios</w:t>
      </w:r>
      <w:r w:rsidR="00F33C1A">
        <w:rPr>
          <w:rFonts w:eastAsia="Calibri"/>
          <w:color w:val="000000"/>
          <w:szCs w:val="24"/>
        </w:rPr>
        <w:t>ios</w:t>
      </w:r>
      <w:r w:rsidRPr="00DB0AFA">
        <w:rPr>
          <w:rFonts w:eastAsia="Calibri"/>
          <w:color w:val="000000"/>
          <w:szCs w:val="24"/>
        </w:rPr>
        <w:t xml:space="preserve"> situacijos </w:t>
      </w:r>
      <w:r w:rsidRPr="00DB0AFA">
        <w:rPr>
          <w:szCs w:val="24"/>
          <w:lang w:eastAsia="lt-LT"/>
        </w:rPr>
        <w:t xml:space="preserve">atsakingos institucijos </w:t>
      </w:r>
      <w:r w:rsidRPr="00DB0AFA">
        <w:rPr>
          <w:rFonts w:eastAsia="Calibri"/>
          <w:color w:val="000000"/>
          <w:szCs w:val="24"/>
        </w:rPr>
        <w:t xml:space="preserve">priima sprendimą perskirstyti kvietimui teikti paraiškas skirtą lėšų </w:t>
      </w:r>
      <w:r w:rsidRPr="001B4673">
        <w:rPr>
          <w:rFonts w:eastAsia="Calibri"/>
          <w:color w:val="000000"/>
          <w:szCs w:val="24"/>
        </w:rPr>
        <w:t xml:space="preserve">sumą, </w:t>
      </w:r>
      <w:r w:rsidR="00496835" w:rsidRPr="001B4673">
        <w:rPr>
          <w:rFonts w:eastAsia="Calibri"/>
          <w:color w:val="000000"/>
          <w:szCs w:val="24"/>
        </w:rPr>
        <w:t xml:space="preserve">dėl </w:t>
      </w:r>
      <w:r w:rsidRPr="001B4673">
        <w:rPr>
          <w:rFonts w:eastAsia="Calibri"/>
          <w:color w:val="000000"/>
          <w:szCs w:val="24"/>
        </w:rPr>
        <w:t>kuri</w:t>
      </w:r>
      <w:r w:rsidR="00496835" w:rsidRPr="001B4673">
        <w:rPr>
          <w:rFonts w:eastAsia="Calibri"/>
          <w:color w:val="000000"/>
          <w:szCs w:val="24"/>
        </w:rPr>
        <w:t>os</w:t>
      </w:r>
      <w:r w:rsidRPr="001B4673">
        <w:rPr>
          <w:rFonts w:eastAsia="Calibri"/>
          <w:color w:val="000000"/>
          <w:szCs w:val="24"/>
        </w:rPr>
        <w:t xml:space="preserve"> nėra priimti sprendimai dėl projektų finansavimo</w:t>
      </w:r>
      <w:r w:rsidR="00496835" w:rsidRPr="001B4673">
        <w:rPr>
          <w:rFonts w:eastAsia="Calibri"/>
          <w:color w:val="000000"/>
          <w:szCs w:val="24"/>
        </w:rPr>
        <w:t>,</w:t>
      </w:r>
      <w:r w:rsidRPr="001B4673">
        <w:rPr>
          <w:rFonts w:eastAsia="Calibri"/>
          <w:color w:val="000000"/>
          <w:szCs w:val="24"/>
        </w:rPr>
        <w:t xml:space="preserve"> ir (ar) nėra prašoma skirti finansavimą naujai pateiktoms paraiškoms</w:t>
      </w:r>
      <w:r w:rsidRPr="001B4673">
        <w:rPr>
          <w:szCs w:val="24"/>
          <w:lang w:eastAsia="lt-LT"/>
        </w:rPr>
        <w:t>.“</w:t>
      </w:r>
    </w:p>
    <w:p w14:paraId="3D3EDAF1" w14:textId="77777777" w:rsidR="0081797D" w:rsidRDefault="0081797D" w:rsidP="00CC0E82">
      <w:pPr>
        <w:suppressAutoHyphens/>
        <w:ind w:firstLine="709"/>
        <w:jc w:val="both"/>
        <w:textAlignment w:val="center"/>
        <w:rPr>
          <w:szCs w:val="24"/>
          <w:lang w:eastAsia="lt-LT"/>
        </w:rPr>
      </w:pPr>
      <w:r>
        <w:rPr>
          <w:szCs w:val="24"/>
          <w:lang w:eastAsia="lt-LT"/>
        </w:rPr>
        <w:t>1.</w:t>
      </w:r>
      <w:r w:rsidR="001F7217">
        <w:rPr>
          <w:szCs w:val="24"/>
          <w:lang w:eastAsia="lt-LT"/>
        </w:rPr>
        <w:t>8</w:t>
      </w:r>
      <w:r>
        <w:rPr>
          <w:szCs w:val="24"/>
          <w:lang w:eastAsia="lt-LT"/>
        </w:rPr>
        <w:t>. Pakeičiu 72 punktą ir jį išdėstau taip:</w:t>
      </w:r>
    </w:p>
    <w:p w14:paraId="2F623288" w14:textId="77777777" w:rsidR="0081797D" w:rsidRPr="00DB0AFA" w:rsidRDefault="0081797D" w:rsidP="00CC0E82">
      <w:pPr>
        <w:suppressAutoHyphens/>
        <w:ind w:firstLine="709"/>
        <w:jc w:val="both"/>
        <w:textAlignment w:val="center"/>
        <w:rPr>
          <w:szCs w:val="24"/>
          <w:lang w:eastAsia="lt-LT"/>
        </w:rPr>
      </w:pPr>
      <w:r>
        <w:rPr>
          <w:szCs w:val="24"/>
          <w:lang w:eastAsia="lt-LT"/>
        </w:rPr>
        <w:t>„72.</w:t>
      </w:r>
      <w:r w:rsidRPr="0081797D">
        <w:t xml:space="preserve"> </w:t>
      </w:r>
      <w:r w:rsidRPr="0081797D">
        <w:rPr>
          <w:szCs w:val="24"/>
          <w:lang w:eastAsia="lt-LT"/>
        </w:rPr>
        <w:t>Jei projekto veikla nepradėta įgyvendinti per 6 mėnesius nuo projekto sutarties pasirašymo dienos, įgyvendinančioji institucija, suderinusi su Ministerija, turi teisę vienašališkai nutraukti projekto sutartį.</w:t>
      </w:r>
      <w:r>
        <w:rPr>
          <w:szCs w:val="24"/>
          <w:lang w:eastAsia="lt-LT"/>
        </w:rPr>
        <w:t xml:space="preserve"> </w:t>
      </w:r>
      <w:r w:rsidRPr="0081797D">
        <w:rPr>
          <w:szCs w:val="24"/>
          <w:lang w:eastAsia="lt-LT"/>
        </w:rPr>
        <w:t>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r>
        <w:rPr>
          <w:szCs w:val="24"/>
          <w:lang w:eastAsia="lt-LT"/>
        </w:rPr>
        <w:t xml:space="preserve">.“ </w:t>
      </w:r>
    </w:p>
    <w:p w14:paraId="65396338" w14:textId="77777777" w:rsidR="00E44906" w:rsidRDefault="003806BA" w:rsidP="002866CF">
      <w:pPr>
        <w:ind w:firstLine="709"/>
        <w:jc w:val="both"/>
        <w:rPr>
          <w:szCs w:val="24"/>
        </w:rPr>
      </w:pPr>
      <w:r>
        <w:rPr>
          <w:szCs w:val="24"/>
          <w:lang w:eastAsia="lt-LT"/>
        </w:rPr>
        <w:t>1.</w:t>
      </w:r>
      <w:r w:rsidR="001F7217">
        <w:rPr>
          <w:szCs w:val="24"/>
          <w:lang w:eastAsia="lt-LT"/>
        </w:rPr>
        <w:t>9</w:t>
      </w:r>
      <w:r>
        <w:rPr>
          <w:szCs w:val="24"/>
          <w:lang w:eastAsia="lt-LT"/>
        </w:rPr>
        <w:t xml:space="preserve">. </w:t>
      </w:r>
      <w:r w:rsidR="003A521F">
        <w:rPr>
          <w:szCs w:val="24"/>
          <w:lang w:eastAsia="lt-LT"/>
        </w:rPr>
        <w:t xml:space="preserve">Pakeičiu </w:t>
      </w:r>
      <w:r w:rsidR="00E44906">
        <w:rPr>
          <w:szCs w:val="24"/>
        </w:rPr>
        <w:t xml:space="preserve">1 priedo </w:t>
      </w:r>
      <w:r w:rsidR="003A521F">
        <w:rPr>
          <w:szCs w:val="24"/>
          <w:lang w:val="en-US"/>
        </w:rPr>
        <w:t>4.</w:t>
      </w:r>
      <w:r w:rsidR="00E44906">
        <w:rPr>
          <w:szCs w:val="24"/>
        </w:rPr>
        <w:t>5.</w:t>
      </w:r>
      <w:r>
        <w:rPr>
          <w:szCs w:val="24"/>
        </w:rPr>
        <w:t>2</w:t>
      </w:r>
      <w:r w:rsidR="00E44906">
        <w:rPr>
          <w:szCs w:val="24"/>
        </w:rPr>
        <w:t xml:space="preserve">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4394"/>
        <w:gridCol w:w="851"/>
        <w:gridCol w:w="844"/>
      </w:tblGrid>
      <w:tr w:rsidR="003806BA" w:rsidRPr="00E222FF" w14:paraId="46AB5C82" w14:textId="77777777" w:rsidTr="00D11F27">
        <w:tc>
          <w:tcPr>
            <w:tcW w:w="3539" w:type="dxa"/>
            <w:tcMar>
              <w:top w:w="0" w:type="dxa"/>
              <w:left w:w="108" w:type="dxa"/>
              <w:bottom w:w="0" w:type="dxa"/>
              <w:right w:w="108" w:type="dxa"/>
            </w:tcMar>
          </w:tcPr>
          <w:p w14:paraId="65A0570C" w14:textId="3EF8A7B8" w:rsidR="003806BA" w:rsidRPr="00E222FF" w:rsidRDefault="003806BA" w:rsidP="005A521B">
            <w:pPr>
              <w:jc w:val="both"/>
              <w:rPr>
                <w:szCs w:val="24"/>
                <w:lang w:eastAsia="lt-LT"/>
              </w:rPr>
            </w:pPr>
            <w:r>
              <w:rPr>
                <w:szCs w:val="24"/>
                <w:lang w:eastAsia="lt-LT"/>
              </w:rPr>
              <w:t>„4.5.2. projektas finansuojamas pagal suderintą valstybės pagalbos schemą ar Europos Komisijos sprendimą arba pagal 2014 m. birželio 17 d. Komisijos reglamentą (ES)</w:t>
            </w:r>
            <w:r w:rsidR="00D11F27">
              <w:rPr>
                <w:szCs w:val="24"/>
                <w:lang w:eastAsia="lt-LT"/>
              </w:rPr>
              <w:t xml:space="preserve"> </w:t>
            </w:r>
            <w:r>
              <w:rPr>
                <w:szCs w:val="24"/>
                <w:lang w:eastAsia="lt-LT"/>
              </w:rPr>
              <w:t>Nr. 651/2014, kuriuo tam tikrų kategorijų pagalba skelbiama suderinama su vidaus rinka taikant Sutarties 107</w:t>
            </w:r>
            <w:r w:rsidR="005A521B">
              <w:rPr>
                <w:szCs w:val="24"/>
                <w:lang w:eastAsia="lt-LT"/>
              </w:rPr>
              <w:t> </w:t>
            </w:r>
            <w:r>
              <w:rPr>
                <w:szCs w:val="24"/>
                <w:lang w:eastAsia="lt-LT"/>
              </w:rPr>
              <w:t>ir 108 straipsnius</w:t>
            </w:r>
            <w:r>
              <w:rPr>
                <w:szCs w:val="24"/>
              </w:rPr>
              <w:t xml:space="preserve">, </w:t>
            </w:r>
            <w:r>
              <w:rPr>
                <w:szCs w:val="24"/>
                <w:lang w:eastAsia="lt-LT"/>
              </w:rPr>
              <w:t>laikantis ten nustatytų reikalavimų;</w:t>
            </w:r>
          </w:p>
        </w:tc>
        <w:tc>
          <w:tcPr>
            <w:tcW w:w="4394" w:type="dxa"/>
            <w:tcMar>
              <w:top w:w="0" w:type="dxa"/>
              <w:left w:w="108" w:type="dxa"/>
              <w:bottom w:w="0" w:type="dxa"/>
              <w:right w:w="108" w:type="dxa"/>
            </w:tcMar>
          </w:tcPr>
          <w:p w14:paraId="5338634A" w14:textId="77777777" w:rsidR="00D11F27" w:rsidRDefault="003806BA" w:rsidP="003806BA">
            <w:pPr>
              <w:jc w:val="both"/>
              <w:rPr>
                <w:szCs w:val="24"/>
                <w:lang w:eastAsia="lt-LT"/>
              </w:rPr>
            </w:pPr>
            <w:r>
              <w:rPr>
                <w:szCs w:val="24"/>
                <w:lang w:eastAsia="lt-LT"/>
              </w:rPr>
              <w:t>Projektas atitinka bendrąjį reikalavimą, jei jis atitinka 2014 m. birželio 17 d. Komisijos reglamento (ES) Nr. 651/2014, kuriuo tam tikrų kategorijų pagalba skelbiama suderinama s</w:t>
            </w:r>
            <w:r w:rsidR="008C4B7C">
              <w:rPr>
                <w:szCs w:val="24"/>
                <w:lang w:eastAsia="lt-LT"/>
              </w:rPr>
              <w:t xml:space="preserve">u vidaus rinka taikant Sutarties </w:t>
            </w:r>
            <w:r>
              <w:rPr>
                <w:szCs w:val="24"/>
                <w:lang w:eastAsia="lt-LT"/>
              </w:rPr>
              <w:t>107 ir 108 straipsnius,</w:t>
            </w:r>
            <w:r w:rsidR="008C4B7C">
              <w:rPr>
                <w:szCs w:val="24"/>
                <w:lang w:eastAsia="lt-LT"/>
              </w:rPr>
              <w:t xml:space="preserve"> </w:t>
            </w:r>
            <w:r>
              <w:rPr>
                <w:szCs w:val="24"/>
                <w:lang w:eastAsia="lt-LT"/>
              </w:rPr>
              <w:t>31 straipsnį.</w:t>
            </w:r>
            <w:r w:rsidR="00D11F27">
              <w:rPr>
                <w:szCs w:val="24"/>
                <w:lang w:eastAsia="lt-LT"/>
              </w:rPr>
              <w:t xml:space="preserve"> </w:t>
            </w:r>
          </w:p>
          <w:p w14:paraId="3545F85B" w14:textId="77777777" w:rsidR="003806BA" w:rsidRDefault="003806BA" w:rsidP="003806BA">
            <w:pPr>
              <w:jc w:val="both"/>
              <w:rPr>
                <w:szCs w:val="24"/>
                <w:lang w:eastAsia="lt-LT"/>
              </w:rPr>
            </w:pPr>
            <w:r>
              <w:rPr>
                <w:szCs w:val="24"/>
                <w:lang w:eastAsia="lt-LT"/>
              </w:rPr>
              <w:t>Vertinant atitiktį šiam vertinimo aspektui, pildomas Aprašo</w:t>
            </w:r>
            <w:r w:rsidR="00D11F27">
              <w:rPr>
                <w:szCs w:val="24"/>
                <w:lang w:eastAsia="lt-LT"/>
              </w:rPr>
              <w:t xml:space="preserve"> </w:t>
            </w:r>
            <w:r>
              <w:rPr>
                <w:szCs w:val="24"/>
                <w:lang w:eastAsia="lt-LT"/>
              </w:rPr>
              <w:t>2 priedas.</w:t>
            </w:r>
          </w:p>
          <w:p w14:paraId="5855992B" w14:textId="77777777" w:rsidR="003806BA" w:rsidRDefault="003806BA" w:rsidP="003806BA">
            <w:pPr>
              <w:jc w:val="both"/>
              <w:rPr>
                <w:szCs w:val="24"/>
                <w:lang w:eastAsia="lt-LT"/>
              </w:rPr>
            </w:pPr>
          </w:p>
          <w:p w14:paraId="66E1E5DA" w14:textId="64471462" w:rsidR="003806BA" w:rsidRPr="00E222FF" w:rsidRDefault="003806BA" w:rsidP="005A521B">
            <w:pPr>
              <w:jc w:val="both"/>
              <w:rPr>
                <w:szCs w:val="24"/>
                <w:lang w:eastAsia="lt-LT"/>
              </w:rPr>
            </w:pPr>
            <w:r>
              <w:rPr>
                <w:szCs w:val="24"/>
                <w:lang w:eastAsia="lt-LT"/>
              </w:rPr>
              <w:t>Informacijos šaltiniai: paraiška, Aprašo 2</w:t>
            </w:r>
            <w:r w:rsidR="005A521B">
              <w:rPr>
                <w:szCs w:val="24"/>
                <w:lang w:eastAsia="lt-LT"/>
              </w:rPr>
              <w:t> </w:t>
            </w:r>
            <w:r>
              <w:rPr>
                <w:szCs w:val="24"/>
                <w:lang w:eastAsia="lt-LT"/>
              </w:rPr>
              <w:t>priedas.“</w:t>
            </w:r>
          </w:p>
        </w:tc>
        <w:tc>
          <w:tcPr>
            <w:tcW w:w="851" w:type="dxa"/>
          </w:tcPr>
          <w:p w14:paraId="033BD73B" w14:textId="77777777" w:rsidR="003806BA" w:rsidRPr="00E222FF" w:rsidRDefault="003806BA" w:rsidP="003806BA">
            <w:pPr>
              <w:jc w:val="both"/>
              <w:rPr>
                <w:szCs w:val="24"/>
                <w:lang w:eastAsia="lt-LT"/>
              </w:rPr>
            </w:pPr>
          </w:p>
        </w:tc>
        <w:tc>
          <w:tcPr>
            <w:tcW w:w="844" w:type="dxa"/>
          </w:tcPr>
          <w:p w14:paraId="29BCAFA7" w14:textId="77777777" w:rsidR="003806BA" w:rsidRPr="00E222FF" w:rsidRDefault="003806BA" w:rsidP="003806BA">
            <w:pPr>
              <w:jc w:val="both"/>
              <w:rPr>
                <w:szCs w:val="24"/>
                <w:lang w:eastAsia="lt-LT"/>
              </w:rPr>
            </w:pPr>
          </w:p>
        </w:tc>
      </w:tr>
    </w:tbl>
    <w:p w14:paraId="3708B29B" w14:textId="77777777" w:rsidR="006958FD" w:rsidRDefault="00593023" w:rsidP="0093760C">
      <w:pPr>
        <w:tabs>
          <w:tab w:val="left" w:pos="709"/>
        </w:tabs>
        <w:ind w:firstLine="709"/>
        <w:jc w:val="both"/>
        <w:rPr>
          <w:szCs w:val="24"/>
        </w:rPr>
      </w:pPr>
      <w:r>
        <w:rPr>
          <w:szCs w:val="24"/>
        </w:rPr>
        <w:t>1</w:t>
      </w:r>
      <w:r w:rsidR="003423A2">
        <w:rPr>
          <w:szCs w:val="24"/>
        </w:rPr>
        <w:t>.</w:t>
      </w:r>
      <w:r w:rsidR="001F7217">
        <w:rPr>
          <w:szCs w:val="24"/>
        </w:rPr>
        <w:t>10</w:t>
      </w:r>
      <w:r w:rsidR="003423A2">
        <w:rPr>
          <w:szCs w:val="24"/>
        </w:rPr>
        <w:t xml:space="preserve">. Pakeičiu </w:t>
      </w:r>
      <w:r w:rsidR="000211D7">
        <w:rPr>
          <w:szCs w:val="24"/>
        </w:rPr>
        <w:t>2</w:t>
      </w:r>
      <w:r w:rsidR="006958FD">
        <w:rPr>
          <w:szCs w:val="24"/>
        </w:rPr>
        <w:t xml:space="preserve"> priedo </w:t>
      </w:r>
      <w:r w:rsidR="000211D7">
        <w:rPr>
          <w:szCs w:val="24"/>
        </w:rPr>
        <w:t xml:space="preserve">1 </w:t>
      </w:r>
      <w:r w:rsidR="008F3B3D">
        <w:rPr>
          <w:szCs w:val="24"/>
        </w:rPr>
        <w:t>punkt</w:t>
      </w:r>
      <w:r w:rsidR="000211D7">
        <w:rPr>
          <w:szCs w:val="24"/>
        </w:rPr>
        <w:t>ą</w:t>
      </w:r>
      <w:r w:rsidR="008F3B3D">
        <w:rPr>
          <w:szCs w:val="24"/>
        </w:rPr>
        <w:t xml:space="preserve"> ir jį išdėstau taip:</w:t>
      </w:r>
    </w:p>
    <w:tbl>
      <w:tblPr>
        <w:tblW w:w="0" w:type="auto"/>
        <w:tblLook w:val="04A0" w:firstRow="1" w:lastRow="0" w:firstColumn="1" w:lastColumn="0" w:noHBand="0" w:noVBand="1"/>
      </w:tblPr>
      <w:tblGrid>
        <w:gridCol w:w="9628"/>
      </w:tblGrid>
      <w:tr w:rsidR="003423A2" w14:paraId="3FD6DB53" w14:textId="77777777" w:rsidTr="001F7217">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63B8B3CE" w14:textId="77777777" w:rsidR="003423A2" w:rsidRPr="003423A2" w:rsidRDefault="003423A2" w:rsidP="00E777DC">
            <w:pPr>
              <w:jc w:val="both"/>
              <w:rPr>
                <w:bCs/>
                <w:color w:val="000000"/>
                <w:szCs w:val="24"/>
                <w:lang w:eastAsia="lt-LT"/>
              </w:rPr>
            </w:pPr>
            <w:r>
              <w:rPr>
                <w:bCs/>
                <w:color w:val="000000"/>
                <w:szCs w:val="24"/>
                <w:lang w:eastAsia="lt-LT"/>
              </w:rPr>
              <w:t>„</w:t>
            </w:r>
            <w:r w:rsidRPr="003423A2">
              <w:rPr>
                <w:b/>
                <w:bCs/>
                <w:color w:val="000000"/>
                <w:szCs w:val="24"/>
                <w:lang w:eastAsia="lt-LT"/>
              </w:rPr>
              <w:t>1. Priemonės teisinis pagrindas</w:t>
            </w:r>
          </w:p>
        </w:tc>
      </w:tr>
      <w:tr w:rsidR="003423A2" w14:paraId="5785665C" w14:textId="77777777" w:rsidTr="001F721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A8D1CD" w14:textId="77777777" w:rsidR="003423A2" w:rsidRPr="003423A2" w:rsidRDefault="003423A2" w:rsidP="003423A2">
            <w:pPr>
              <w:jc w:val="both"/>
              <w:rPr>
                <w:bCs/>
                <w:color w:val="000000"/>
                <w:szCs w:val="24"/>
                <w:lang w:eastAsia="lt-LT"/>
              </w:rPr>
            </w:pPr>
            <w:r w:rsidRPr="003423A2">
              <w:rPr>
                <w:bCs/>
                <w:color w:val="000000"/>
                <w:szCs w:val="24"/>
                <w:lang w:eastAsia="lt-LT"/>
              </w:rPr>
              <w:lastRenderedPageBreak/>
              <w:t>2014 m. birželio 17 d. Komisijos reglamentas (ES) Nr. 651/2014, kuriuo tam tikrų kategorijų pagalba skelbiama suderinama su vidaus rinka taikant Sutarties 107 ir 108 straipsnius (toliau – Bendrasis b</w:t>
            </w:r>
            <w:r>
              <w:rPr>
                <w:bCs/>
                <w:color w:val="000000"/>
                <w:szCs w:val="24"/>
                <w:lang w:eastAsia="lt-LT"/>
              </w:rPr>
              <w:t>endrosios išimties reglamentas)“</w:t>
            </w:r>
          </w:p>
        </w:tc>
      </w:tr>
    </w:tbl>
    <w:p w14:paraId="33B4BCCD" w14:textId="77777777" w:rsidR="00C4585D" w:rsidRDefault="003A2643" w:rsidP="003B0DC0">
      <w:pPr>
        <w:tabs>
          <w:tab w:val="left" w:pos="709"/>
        </w:tabs>
        <w:jc w:val="both"/>
        <w:rPr>
          <w:szCs w:val="24"/>
        </w:rPr>
      </w:pPr>
      <w:r>
        <w:rPr>
          <w:szCs w:val="24"/>
        </w:rPr>
        <w:tab/>
      </w:r>
      <w:r w:rsidR="00C4585D">
        <w:rPr>
          <w:szCs w:val="24"/>
        </w:rPr>
        <w:t>1</w:t>
      </w:r>
      <w:r w:rsidR="00822873">
        <w:rPr>
          <w:szCs w:val="24"/>
        </w:rPr>
        <w:t>.</w:t>
      </w:r>
      <w:r w:rsidR="003B0DC0">
        <w:rPr>
          <w:szCs w:val="24"/>
        </w:rPr>
        <w:t>1</w:t>
      </w:r>
      <w:r w:rsidR="001F7217">
        <w:rPr>
          <w:szCs w:val="24"/>
        </w:rPr>
        <w:t>1</w:t>
      </w:r>
      <w:r w:rsidR="00C4585D">
        <w:rPr>
          <w:szCs w:val="24"/>
        </w:rPr>
        <w:t xml:space="preserve">. Pakeičiu </w:t>
      </w:r>
      <w:r w:rsidR="00822873">
        <w:rPr>
          <w:szCs w:val="24"/>
          <w:lang w:val="en-US"/>
        </w:rPr>
        <w:t>3</w:t>
      </w:r>
      <w:r w:rsidR="00822873">
        <w:rPr>
          <w:szCs w:val="24"/>
        </w:rPr>
        <w:t xml:space="preserve"> priedo 4</w:t>
      </w:r>
      <w:r w:rsidR="00C4585D">
        <w:rPr>
          <w:szCs w:val="24"/>
        </w:rPr>
        <w:t>.1 papunktį ir jį išdėstau taip:</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8"/>
        <w:gridCol w:w="1134"/>
        <w:gridCol w:w="992"/>
        <w:gridCol w:w="992"/>
        <w:gridCol w:w="969"/>
      </w:tblGrid>
      <w:tr w:rsidR="00822873" w14:paraId="0EC95F94" w14:textId="77777777" w:rsidTr="0093760C">
        <w:trPr>
          <w:trHeight w:val="274"/>
        </w:trPr>
        <w:tc>
          <w:tcPr>
            <w:tcW w:w="555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7BBD519" w14:textId="77777777" w:rsidR="00822873" w:rsidRDefault="00822873" w:rsidP="00D11F27">
            <w:pPr>
              <w:widowControl w:val="0"/>
              <w:tabs>
                <w:tab w:val="left" w:pos="5529"/>
              </w:tabs>
              <w:jc w:val="both"/>
              <w:textAlignment w:val="baseline"/>
              <w:rPr>
                <w:szCs w:val="24"/>
                <w:lang w:eastAsia="lt-LT"/>
              </w:rPr>
            </w:pPr>
            <w:r>
              <w:rPr>
                <w:szCs w:val="24"/>
                <w:lang w:eastAsia="lt-LT"/>
              </w:rPr>
              <w:t xml:space="preserve">„4.1. Pagalba mokymams pagal </w:t>
            </w:r>
            <w:r>
              <w:rPr>
                <w:rFonts w:eastAsia="Calibri"/>
                <w:szCs w:val="24"/>
              </w:rPr>
              <w:t>2014 m. birželio 17 d. Komisijos reglamento (ES) Nr. 651/2014, kuriuo tam tikrų kategorijų pagalba skelbiama suderinama su vidaus rinka taikant Sutarties 107 ir</w:t>
            </w:r>
            <w:r w:rsidR="00D11F27">
              <w:rPr>
                <w:rFonts w:eastAsia="Calibri"/>
                <w:szCs w:val="24"/>
              </w:rPr>
              <w:t xml:space="preserve"> 1</w:t>
            </w:r>
            <w:r>
              <w:rPr>
                <w:rFonts w:eastAsia="Calibri"/>
                <w:szCs w:val="24"/>
              </w:rPr>
              <w:t>08 straipsnius</w:t>
            </w:r>
            <w:r w:rsidRPr="004A2F5F">
              <w:rPr>
                <w:rFonts w:eastAsia="Calibri"/>
                <w:szCs w:val="24"/>
              </w:rPr>
              <w:t>,</w:t>
            </w:r>
            <w:r>
              <w:rPr>
                <w:rFonts w:eastAsia="Calibri"/>
                <w:szCs w:val="24"/>
              </w:rPr>
              <w:t xml:space="preserve"> </w:t>
            </w:r>
            <w:r w:rsidR="00D11F27">
              <w:rPr>
                <w:rFonts w:eastAsia="Calibri"/>
                <w:szCs w:val="24"/>
              </w:rPr>
              <w:br/>
            </w:r>
            <w:r>
              <w:rPr>
                <w:rFonts w:eastAsia="Calibri"/>
                <w:szCs w:val="24"/>
              </w:rPr>
              <w:t>31 straipsnį“</w:t>
            </w:r>
          </w:p>
        </w:tc>
        <w:tc>
          <w:tcPr>
            <w:tcW w:w="1134" w:type="dxa"/>
            <w:tcBorders>
              <w:top w:val="single" w:sz="4" w:space="0" w:color="auto"/>
              <w:left w:val="single" w:sz="4" w:space="0" w:color="auto"/>
              <w:bottom w:val="single" w:sz="4" w:space="0" w:color="auto"/>
              <w:right w:val="single" w:sz="4" w:space="0" w:color="auto"/>
            </w:tcBorders>
            <w:vAlign w:val="center"/>
          </w:tcPr>
          <w:p w14:paraId="3BEAE4A4" w14:textId="77777777" w:rsidR="00822873" w:rsidRDefault="00822873" w:rsidP="00E777DC">
            <w:pPr>
              <w:widowControl w:val="0"/>
              <w:tabs>
                <w:tab w:val="left" w:pos="5529"/>
              </w:tabs>
              <w:jc w:val="both"/>
              <w:textAlignment w:val="baseline"/>
              <w:rPr>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3D524923" w14:textId="77777777" w:rsidR="00822873" w:rsidRDefault="00822873" w:rsidP="00E777DC">
            <w:pPr>
              <w:widowControl w:val="0"/>
              <w:tabs>
                <w:tab w:val="left" w:pos="5529"/>
              </w:tabs>
              <w:jc w:val="both"/>
              <w:textAlignment w:val="baseline"/>
              <w:rPr>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18CC8A3A" w14:textId="77777777" w:rsidR="00822873" w:rsidRDefault="00822873" w:rsidP="00E777DC">
            <w:pPr>
              <w:widowControl w:val="0"/>
              <w:tabs>
                <w:tab w:val="left" w:pos="5529"/>
              </w:tabs>
              <w:jc w:val="both"/>
              <w:textAlignment w:val="baseline"/>
              <w:rPr>
                <w:szCs w:val="24"/>
                <w:lang w:eastAsia="lt-LT"/>
              </w:rPr>
            </w:pPr>
          </w:p>
        </w:tc>
        <w:tc>
          <w:tcPr>
            <w:tcW w:w="969" w:type="dxa"/>
            <w:tcBorders>
              <w:top w:val="single" w:sz="4" w:space="0" w:color="auto"/>
              <w:left w:val="single" w:sz="4" w:space="0" w:color="auto"/>
              <w:bottom w:val="single" w:sz="4" w:space="0" w:color="auto"/>
              <w:right w:val="single" w:sz="4" w:space="0" w:color="auto"/>
            </w:tcBorders>
          </w:tcPr>
          <w:p w14:paraId="79DF839F" w14:textId="77777777" w:rsidR="00822873" w:rsidRDefault="00822873" w:rsidP="00E777DC">
            <w:pPr>
              <w:widowControl w:val="0"/>
              <w:tabs>
                <w:tab w:val="left" w:pos="5529"/>
              </w:tabs>
              <w:jc w:val="both"/>
              <w:textAlignment w:val="baseline"/>
              <w:rPr>
                <w:szCs w:val="24"/>
                <w:lang w:eastAsia="lt-LT"/>
              </w:rPr>
            </w:pPr>
          </w:p>
        </w:tc>
      </w:tr>
    </w:tbl>
    <w:p w14:paraId="5E646B22" w14:textId="77777777" w:rsidR="00822873" w:rsidRDefault="00822873" w:rsidP="003F541E">
      <w:pPr>
        <w:tabs>
          <w:tab w:val="left" w:pos="709"/>
        </w:tabs>
        <w:jc w:val="both"/>
        <w:rPr>
          <w:szCs w:val="24"/>
        </w:rPr>
      </w:pPr>
    </w:p>
    <w:p w14:paraId="4D6EE44C" w14:textId="77777777" w:rsidR="00B005A8" w:rsidRDefault="00B005A8" w:rsidP="00B005A8">
      <w:pPr>
        <w:tabs>
          <w:tab w:val="left" w:pos="1418"/>
        </w:tabs>
        <w:ind w:firstLine="709"/>
        <w:jc w:val="both"/>
        <w:rPr>
          <w:bCs/>
          <w:szCs w:val="24"/>
        </w:rPr>
      </w:pPr>
      <w:r>
        <w:rPr>
          <w:bCs/>
          <w:szCs w:val="24"/>
        </w:rPr>
        <w:t xml:space="preserve">2. N u s t a t a u, kad Aprašo </w:t>
      </w:r>
      <w:r w:rsidR="00771E91">
        <w:rPr>
          <w:szCs w:val="24"/>
        </w:rPr>
        <w:t>35 punkto 2 lentelės 5.12 papunk</w:t>
      </w:r>
      <w:r w:rsidR="003B0DC0">
        <w:rPr>
          <w:szCs w:val="24"/>
        </w:rPr>
        <w:t>tis</w:t>
      </w:r>
      <w:r w:rsidR="00771E91">
        <w:rPr>
          <w:szCs w:val="24"/>
        </w:rPr>
        <w:t xml:space="preserve">, </w:t>
      </w:r>
      <w:r>
        <w:rPr>
          <w:bCs/>
          <w:szCs w:val="24"/>
        </w:rPr>
        <w:t>4</w:t>
      </w:r>
      <w:r w:rsidR="00771E91">
        <w:rPr>
          <w:bCs/>
          <w:szCs w:val="24"/>
        </w:rPr>
        <w:t>2 punkt</w:t>
      </w:r>
      <w:r w:rsidR="003B0DC0">
        <w:rPr>
          <w:bCs/>
          <w:szCs w:val="24"/>
        </w:rPr>
        <w:t>as</w:t>
      </w:r>
      <w:r w:rsidR="00771E91">
        <w:rPr>
          <w:bCs/>
          <w:szCs w:val="24"/>
        </w:rPr>
        <w:t xml:space="preserve"> ir </w:t>
      </w:r>
      <w:r w:rsidR="00771E91">
        <w:rPr>
          <w:szCs w:val="24"/>
          <w:lang w:val="en-US"/>
        </w:rPr>
        <w:t>43.14 papunk</w:t>
      </w:r>
      <w:r w:rsidR="003B0DC0">
        <w:rPr>
          <w:szCs w:val="24"/>
          <w:lang w:val="en-US"/>
        </w:rPr>
        <w:t>tis</w:t>
      </w:r>
      <w:r w:rsidR="003B0DC0">
        <w:rPr>
          <w:szCs w:val="24"/>
        </w:rPr>
        <w:t xml:space="preserve"> </w:t>
      </w:r>
      <w:r w:rsidR="00771E91">
        <w:rPr>
          <w:bCs/>
          <w:szCs w:val="24"/>
        </w:rPr>
        <w:t>taikomi</w:t>
      </w:r>
      <w:r>
        <w:rPr>
          <w:bCs/>
          <w:szCs w:val="24"/>
        </w:rPr>
        <w:t xml:space="preserve"> </w:t>
      </w:r>
      <w:r w:rsidR="0093760C">
        <w:rPr>
          <w:bCs/>
          <w:szCs w:val="24"/>
        </w:rPr>
        <w:t xml:space="preserve">ir </w:t>
      </w:r>
      <w:r>
        <w:rPr>
          <w:bCs/>
          <w:szCs w:val="24"/>
        </w:rPr>
        <w:t>i</w:t>
      </w:r>
      <w:r w:rsidR="00637F5A">
        <w:rPr>
          <w:bCs/>
          <w:szCs w:val="24"/>
        </w:rPr>
        <w:t>š</w:t>
      </w:r>
      <w:r>
        <w:rPr>
          <w:bCs/>
          <w:szCs w:val="24"/>
        </w:rPr>
        <w:t xml:space="preserve"> </w:t>
      </w:r>
      <w:r w:rsidR="000142B3">
        <w:rPr>
          <w:rFonts w:eastAsia="Calibri"/>
          <w:szCs w:val="24"/>
        </w:rPr>
        <w:t>Europos Sąjungos struktūrinių fondų lėšų bendrai finansuojamų projektų sutartims,</w:t>
      </w:r>
      <w:r>
        <w:rPr>
          <w:bCs/>
          <w:szCs w:val="24"/>
        </w:rPr>
        <w:t xml:space="preserve"> sudarytoms iki šio įsakymo įsigaliojimo dienos.</w:t>
      </w:r>
      <w:r>
        <w:rPr>
          <w:color w:val="000000"/>
        </w:rPr>
        <w:t xml:space="preserve"> </w:t>
      </w:r>
    </w:p>
    <w:p w14:paraId="3239157F" w14:textId="77777777" w:rsidR="00C62EA7" w:rsidRDefault="00C62EA7" w:rsidP="003F541E">
      <w:pPr>
        <w:tabs>
          <w:tab w:val="left" w:pos="709"/>
        </w:tabs>
        <w:jc w:val="both"/>
        <w:rPr>
          <w:szCs w:val="24"/>
        </w:rPr>
      </w:pPr>
    </w:p>
    <w:p w14:paraId="52FA7377" w14:textId="77777777" w:rsidR="00C047A5" w:rsidRDefault="00C047A5" w:rsidP="002866CF">
      <w:pPr>
        <w:ind w:firstLine="709"/>
        <w:jc w:val="both"/>
      </w:pPr>
    </w:p>
    <w:p w14:paraId="6D2C7D43" w14:textId="77777777" w:rsidR="005C3FC3" w:rsidRDefault="005C3FC3" w:rsidP="00E50C93">
      <w:pPr>
        <w:pStyle w:val="Footer"/>
        <w:ind w:firstLine="0"/>
        <w:rPr>
          <w:rFonts w:ascii="Times New Roman" w:hAnsi="Times New Roman" w:cs="Times New Roman"/>
          <w:sz w:val="24"/>
        </w:rPr>
      </w:pPr>
    </w:p>
    <w:p w14:paraId="527B6459" w14:textId="77777777" w:rsidR="00E65469" w:rsidRPr="00CC147B" w:rsidRDefault="00E65469" w:rsidP="00E65469">
      <w:pPr>
        <w:jc w:val="both"/>
        <w:rPr>
          <w:rFonts w:eastAsia="Calibri"/>
          <w:szCs w:val="24"/>
        </w:rPr>
      </w:pPr>
      <w:r w:rsidRPr="00CC147B">
        <w:rPr>
          <w:rFonts w:eastAsia="Calibri"/>
          <w:szCs w:val="24"/>
        </w:rPr>
        <w:t xml:space="preserve">Energetikos ministras, laikinai einantis </w:t>
      </w:r>
    </w:p>
    <w:p w14:paraId="62C5884A" w14:textId="77777777" w:rsidR="00E65469" w:rsidRPr="00CC147B" w:rsidRDefault="00E65469" w:rsidP="00E65469">
      <w:pPr>
        <w:pStyle w:val="Footer"/>
        <w:ind w:firstLine="0"/>
        <w:rPr>
          <w:rFonts w:ascii="Times New Roman" w:eastAsia="Calibri" w:hAnsi="Times New Roman" w:cs="Times New Roman"/>
          <w:sz w:val="24"/>
          <w:lang w:eastAsia="en-US"/>
        </w:rPr>
      </w:pPr>
      <w:r w:rsidRPr="00CC147B">
        <w:rPr>
          <w:rFonts w:ascii="Times New Roman" w:eastAsia="Calibri" w:hAnsi="Times New Roman" w:cs="Times New Roman"/>
          <w:sz w:val="24"/>
          <w:lang w:eastAsia="en-US"/>
        </w:rPr>
        <w:t xml:space="preserve">ekonomikos ir inovacijų ministro pareigas                                    </w:t>
      </w:r>
      <w:r>
        <w:rPr>
          <w:rFonts w:ascii="Times New Roman" w:eastAsia="Calibri" w:hAnsi="Times New Roman" w:cs="Times New Roman"/>
          <w:sz w:val="24"/>
          <w:lang w:eastAsia="en-US"/>
        </w:rPr>
        <w:t xml:space="preserve">                    </w:t>
      </w:r>
      <w:r w:rsidRPr="00CC147B">
        <w:rPr>
          <w:rFonts w:ascii="Times New Roman" w:eastAsia="Calibri" w:hAnsi="Times New Roman" w:cs="Times New Roman"/>
          <w:sz w:val="24"/>
          <w:lang w:eastAsia="en-US"/>
        </w:rPr>
        <w:t xml:space="preserve"> Žygimantas Vaičiūnas</w:t>
      </w:r>
    </w:p>
    <w:p w14:paraId="19C36D29" w14:textId="77777777" w:rsidR="00DB0AFA" w:rsidRDefault="00DB0AFA" w:rsidP="001874DF">
      <w:pPr>
        <w:pStyle w:val="Footer"/>
        <w:ind w:firstLine="0"/>
        <w:rPr>
          <w:rFonts w:ascii="Times New Roman" w:hAnsi="Times New Roman" w:cs="Times New Roman"/>
          <w:sz w:val="24"/>
        </w:rPr>
      </w:pPr>
    </w:p>
    <w:p w14:paraId="793F8898" w14:textId="77777777" w:rsidR="00B9703B" w:rsidRPr="000A547B" w:rsidRDefault="006730E6" w:rsidP="001874DF">
      <w:pPr>
        <w:pStyle w:val="Footer"/>
        <w:ind w:firstLine="0"/>
        <w:rPr>
          <w:rFonts w:ascii="Times New Roman" w:hAnsi="Times New Roman" w:cs="Times New Roman"/>
          <w:sz w:val="24"/>
        </w:rPr>
      </w:pPr>
      <w:r>
        <w:rPr>
          <w:rFonts w:ascii="Times New Roman" w:hAnsi="Times New Roman" w:cs="Times New Roman"/>
          <w:sz w:val="24"/>
        </w:rPr>
        <w:tab/>
      </w:r>
    </w:p>
    <w:p w14:paraId="15683318" w14:textId="77777777" w:rsidR="00061DE6" w:rsidRDefault="00061DE6" w:rsidP="00E50C93">
      <w:pPr>
        <w:pStyle w:val="Footer"/>
        <w:ind w:firstLine="0"/>
        <w:rPr>
          <w:rFonts w:ascii="Times New Roman" w:hAnsi="Times New Roman" w:cs="Times New Roman"/>
          <w:szCs w:val="20"/>
        </w:rPr>
      </w:pPr>
    </w:p>
    <w:p w14:paraId="597CED91" w14:textId="77777777" w:rsidR="003B0DC0" w:rsidRDefault="003B0DC0" w:rsidP="00E50C93">
      <w:pPr>
        <w:pStyle w:val="Footer"/>
        <w:ind w:firstLine="0"/>
        <w:rPr>
          <w:rFonts w:ascii="Times New Roman" w:hAnsi="Times New Roman" w:cs="Times New Roman"/>
          <w:sz w:val="24"/>
        </w:rPr>
      </w:pPr>
    </w:p>
    <w:p w14:paraId="28B2C951" w14:textId="77777777" w:rsidR="003B0DC0" w:rsidRDefault="003B0DC0" w:rsidP="00E50C93">
      <w:pPr>
        <w:pStyle w:val="Footer"/>
        <w:ind w:firstLine="0"/>
        <w:rPr>
          <w:rFonts w:ascii="Times New Roman" w:hAnsi="Times New Roman" w:cs="Times New Roman"/>
          <w:sz w:val="24"/>
        </w:rPr>
      </w:pPr>
    </w:p>
    <w:p w14:paraId="6DE1E2A5" w14:textId="77777777" w:rsidR="003B0DC0" w:rsidRDefault="003B0DC0" w:rsidP="00E50C93">
      <w:pPr>
        <w:pStyle w:val="Footer"/>
        <w:ind w:firstLine="0"/>
        <w:rPr>
          <w:rFonts w:ascii="Times New Roman" w:hAnsi="Times New Roman" w:cs="Times New Roman"/>
          <w:sz w:val="24"/>
        </w:rPr>
      </w:pPr>
    </w:p>
    <w:p w14:paraId="0DC0B2F4" w14:textId="77777777" w:rsidR="003B0DC0" w:rsidRDefault="003B0DC0" w:rsidP="00E50C93">
      <w:pPr>
        <w:pStyle w:val="Footer"/>
        <w:ind w:firstLine="0"/>
        <w:rPr>
          <w:rFonts w:ascii="Times New Roman" w:hAnsi="Times New Roman" w:cs="Times New Roman"/>
          <w:sz w:val="24"/>
        </w:rPr>
      </w:pPr>
    </w:p>
    <w:p w14:paraId="349DFA68" w14:textId="77777777" w:rsidR="003B0DC0" w:rsidRDefault="003B0DC0" w:rsidP="00E50C93">
      <w:pPr>
        <w:pStyle w:val="Footer"/>
        <w:ind w:firstLine="0"/>
        <w:rPr>
          <w:rFonts w:ascii="Times New Roman" w:hAnsi="Times New Roman" w:cs="Times New Roman"/>
          <w:sz w:val="24"/>
        </w:rPr>
      </w:pPr>
    </w:p>
    <w:p w14:paraId="2B9C315D" w14:textId="77777777" w:rsidR="003B0DC0" w:rsidRDefault="003B0DC0" w:rsidP="00E50C93">
      <w:pPr>
        <w:pStyle w:val="Footer"/>
        <w:ind w:firstLine="0"/>
        <w:rPr>
          <w:rFonts w:ascii="Times New Roman" w:hAnsi="Times New Roman" w:cs="Times New Roman"/>
          <w:sz w:val="24"/>
        </w:rPr>
      </w:pPr>
    </w:p>
    <w:p w14:paraId="221E7E80" w14:textId="77777777" w:rsidR="003B0DC0" w:rsidRDefault="003B0DC0" w:rsidP="00E50C93">
      <w:pPr>
        <w:pStyle w:val="Footer"/>
        <w:ind w:firstLine="0"/>
        <w:rPr>
          <w:rFonts w:ascii="Times New Roman" w:hAnsi="Times New Roman" w:cs="Times New Roman"/>
          <w:sz w:val="24"/>
        </w:rPr>
      </w:pPr>
    </w:p>
    <w:p w14:paraId="06E7B372" w14:textId="77777777" w:rsidR="003B0DC0" w:rsidRDefault="003B0DC0" w:rsidP="00E50C93">
      <w:pPr>
        <w:pStyle w:val="Footer"/>
        <w:ind w:firstLine="0"/>
        <w:rPr>
          <w:rFonts w:ascii="Times New Roman" w:hAnsi="Times New Roman" w:cs="Times New Roman"/>
          <w:sz w:val="24"/>
        </w:rPr>
      </w:pPr>
    </w:p>
    <w:p w14:paraId="01DBBFB6" w14:textId="77777777" w:rsidR="003B0DC0" w:rsidRDefault="003B0DC0" w:rsidP="00E50C93">
      <w:pPr>
        <w:pStyle w:val="Footer"/>
        <w:ind w:firstLine="0"/>
        <w:rPr>
          <w:rFonts w:ascii="Times New Roman" w:hAnsi="Times New Roman" w:cs="Times New Roman"/>
          <w:sz w:val="24"/>
        </w:rPr>
      </w:pPr>
    </w:p>
    <w:p w14:paraId="66564B6F" w14:textId="77777777" w:rsidR="003B0DC0" w:rsidRDefault="003B0DC0" w:rsidP="00E50C93">
      <w:pPr>
        <w:pStyle w:val="Footer"/>
        <w:ind w:firstLine="0"/>
        <w:rPr>
          <w:rFonts w:ascii="Times New Roman" w:hAnsi="Times New Roman" w:cs="Times New Roman"/>
          <w:sz w:val="24"/>
        </w:rPr>
      </w:pPr>
    </w:p>
    <w:p w14:paraId="1798C283" w14:textId="77777777" w:rsidR="003B0DC0" w:rsidRDefault="003B0DC0" w:rsidP="00E50C93">
      <w:pPr>
        <w:pStyle w:val="Footer"/>
        <w:ind w:firstLine="0"/>
        <w:rPr>
          <w:rFonts w:ascii="Times New Roman" w:hAnsi="Times New Roman" w:cs="Times New Roman"/>
          <w:sz w:val="24"/>
        </w:rPr>
      </w:pPr>
    </w:p>
    <w:p w14:paraId="5A6AD642" w14:textId="77777777" w:rsidR="003B0DC0" w:rsidRDefault="003B0DC0" w:rsidP="00E50C93">
      <w:pPr>
        <w:pStyle w:val="Footer"/>
        <w:ind w:firstLine="0"/>
        <w:rPr>
          <w:rFonts w:ascii="Times New Roman" w:hAnsi="Times New Roman" w:cs="Times New Roman"/>
          <w:sz w:val="24"/>
        </w:rPr>
      </w:pPr>
    </w:p>
    <w:p w14:paraId="4FAA846F" w14:textId="77777777" w:rsidR="003B0DC0" w:rsidRDefault="003B0DC0" w:rsidP="00E50C93">
      <w:pPr>
        <w:pStyle w:val="Footer"/>
        <w:ind w:firstLine="0"/>
        <w:rPr>
          <w:rFonts w:ascii="Times New Roman" w:hAnsi="Times New Roman" w:cs="Times New Roman"/>
          <w:sz w:val="24"/>
        </w:rPr>
      </w:pPr>
    </w:p>
    <w:p w14:paraId="5BA763B9" w14:textId="77777777" w:rsidR="003B0DC0" w:rsidRDefault="003B0DC0" w:rsidP="00E50C93">
      <w:pPr>
        <w:pStyle w:val="Footer"/>
        <w:ind w:firstLine="0"/>
        <w:rPr>
          <w:rFonts w:ascii="Times New Roman" w:hAnsi="Times New Roman" w:cs="Times New Roman"/>
          <w:sz w:val="24"/>
        </w:rPr>
      </w:pPr>
    </w:p>
    <w:p w14:paraId="3FA9A266" w14:textId="77777777" w:rsidR="003B0DC0" w:rsidRDefault="003B0DC0" w:rsidP="00E50C93">
      <w:pPr>
        <w:pStyle w:val="Footer"/>
        <w:ind w:firstLine="0"/>
        <w:rPr>
          <w:rFonts w:ascii="Times New Roman" w:hAnsi="Times New Roman" w:cs="Times New Roman"/>
          <w:sz w:val="24"/>
        </w:rPr>
      </w:pPr>
    </w:p>
    <w:p w14:paraId="69C7F600" w14:textId="77777777" w:rsidR="003B0DC0" w:rsidRDefault="003B0DC0" w:rsidP="00E50C93">
      <w:pPr>
        <w:pStyle w:val="Footer"/>
        <w:ind w:firstLine="0"/>
        <w:rPr>
          <w:rFonts w:ascii="Times New Roman" w:hAnsi="Times New Roman" w:cs="Times New Roman"/>
          <w:sz w:val="24"/>
        </w:rPr>
      </w:pPr>
    </w:p>
    <w:p w14:paraId="37353AC3" w14:textId="77777777" w:rsidR="003B0DC0" w:rsidRDefault="003B0DC0" w:rsidP="00E50C93">
      <w:pPr>
        <w:pStyle w:val="Footer"/>
        <w:ind w:firstLine="0"/>
        <w:rPr>
          <w:rFonts w:ascii="Times New Roman" w:hAnsi="Times New Roman" w:cs="Times New Roman"/>
          <w:sz w:val="24"/>
        </w:rPr>
      </w:pPr>
    </w:p>
    <w:p w14:paraId="101C1FBD" w14:textId="77777777" w:rsidR="003B0DC0" w:rsidRDefault="003B0DC0" w:rsidP="00E50C93">
      <w:pPr>
        <w:pStyle w:val="Footer"/>
        <w:ind w:firstLine="0"/>
        <w:rPr>
          <w:rFonts w:ascii="Times New Roman" w:hAnsi="Times New Roman" w:cs="Times New Roman"/>
          <w:sz w:val="24"/>
        </w:rPr>
      </w:pPr>
    </w:p>
    <w:p w14:paraId="21FA416C" w14:textId="77777777" w:rsidR="003B0DC0" w:rsidRDefault="003B0DC0" w:rsidP="00E50C93">
      <w:pPr>
        <w:pStyle w:val="Footer"/>
        <w:ind w:firstLine="0"/>
        <w:rPr>
          <w:rFonts w:ascii="Times New Roman" w:hAnsi="Times New Roman" w:cs="Times New Roman"/>
          <w:sz w:val="24"/>
        </w:rPr>
      </w:pPr>
    </w:p>
    <w:p w14:paraId="18AC82B6" w14:textId="77777777" w:rsidR="003B0DC0" w:rsidRDefault="003B0DC0" w:rsidP="00E50C93">
      <w:pPr>
        <w:pStyle w:val="Footer"/>
        <w:ind w:firstLine="0"/>
        <w:rPr>
          <w:rFonts w:ascii="Times New Roman" w:hAnsi="Times New Roman" w:cs="Times New Roman"/>
          <w:sz w:val="24"/>
        </w:rPr>
      </w:pPr>
    </w:p>
    <w:p w14:paraId="2D1F359E" w14:textId="77777777" w:rsidR="003B0DC0" w:rsidRDefault="003B0DC0" w:rsidP="00E50C93">
      <w:pPr>
        <w:pStyle w:val="Footer"/>
        <w:ind w:firstLine="0"/>
        <w:rPr>
          <w:rFonts w:ascii="Times New Roman" w:hAnsi="Times New Roman" w:cs="Times New Roman"/>
          <w:sz w:val="24"/>
        </w:rPr>
      </w:pPr>
    </w:p>
    <w:p w14:paraId="2158BC67" w14:textId="77777777" w:rsidR="003B0DC0" w:rsidRDefault="003B0DC0" w:rsidP="00E50C93">
      <w:pPr>
        <w:pStyle w:val="Footer"/>
        <w:ind w:firstLine="0"/>
        <w:rPr>
          <w:rFonts w:ascii="Times New Roman" w:hAnsi="Times New Roman" w:cs="Times New Roman"/>
          <w:sz w:val="24"/>
        </w:rPr>
      </w:pPr>
    </w:p>
    <w:p w14:paraId="64407243" w14:textId="77777777" w:rsidR="003B0DC0" w:rsidRDefault="003B0DC0" w:rsidP="00E50C93">
      <w:pPr>
        <w:pStyle w:val="Footer"/>
        <w:ind w:firstLine="0"/>
        <w:rPr>
          <w:rFonts w:ascii="Times New Roman" w:hAnsi="Times New Roman" w:cs="Times New Roman"/>
          <w:sz w:val="24"/>
        </w:rPr>
      </w:pPr>
    </w:p>
    <w:p w14:paraId="176C730C" w14:textId="77777777" w:rsidR="003B0DC0" w:rsidRDefault="003B0DC0" w:rsidP="00E50C93">
      <w:pPr>
        <w:pStyle w:val="Footer"/>
        <w:ind w:firstLine="0"/>
        <w:rPr>
          <w:rFonts w:ascii="Times New Roman" w:hAnsi="Times New Roman" w:cs="Times New Roman"/>
          <w:sz w:val="24"/>
        </w:rPr>
      </w:pPr>
    </w:p>
    <w:p w14:paraId="36864CC1" w14:textId="77777777" w:rsidR="00B9703B" w:rsidRPr="0093760C" w:rsidRDefault="00061DE6" w:rsidP="00E50C93">
      <w:pPr>
        <w:pStyle w:val="Footer"/>
        <w:ind w:firstLine="0"/>
        <w:rPr>
          <w:rFonts w:ascii="Times New Roman" w:hAnsi="Times New Roman" w:cs="Times New Roman"/>
          <w:sz w:val="24"/>
        </w:rPr>
      </w:pPr>
      <w:r w:rsidRPr="0093760C">
        <w:rPr>
          <w:rFonts w:ascii="Times New Roman" w:hAnsi="Times New Roman" w:cs="Times New Roman"/>
          <w:sz w:val="24"/>
        </w:rPr>
        <w:t>P</w:t>
      </w:r>
      <w:r w:rsidR="00B9703B" w:rsidRPr="0093760C">
        <w:rPr>
          <w:rFonts w:ascii="Times New Roman" w:hAnsi="Times New Roman" w:cs="Times New Roman"/>
          <w:sz w:val="24"/>
        </w:rPr>
        <w:t xml:space="preserve">arengė </w:t>
      </w:r>
    </w:p>
    <w:p w14:paraId="593B6732" w14:textId="77777777" w:rsidR="00B9703B" w:rsidRPr="0093760C" w:rsidRDefault="00B56C62" w:rsidP="00E50C93">
      <w:pPr>
        <w:pStyle w:val="Footer"/>
        <w:ind w:firstLine="0"/>
        <w:rPr>
          <w:rFonts w:ascii="Times New Roman" w:hAnsi="Times New Roman" w:cs="Times New Roman"/>
          <w:sz w:val="24"/>
        </w:rPr>
      </w:pPr>
      <w:r w:rsidRPr="0093760C">
        <w:rPr>
          <w:rFonts w:ascii="Times New Roman" w:hAnsi="Times New Roman" w:cs="Times New Roman"/>
          <w:sz w:val="24"/>
        </w:rPr>
        <w:t>Ekonomikos ir inovacijų</w:t>
      </w:r>
      <w:r w:rsidR="00B9703B" w:rsidRPr="0093760C">
        <w:rPr>
          <w:rFonts w:ascii="Times New Roman" w:hAnsi="Times New Roman" w:cs="Times New Roman"/>
          <w:sz w:val="24"/>
        </w:rPr>
        <w:t xml:space="preserve"> ministerijos Europos Sąjungos </w:t>
      </w:r>
    </w:p>
    <w:p w14:paraId="56F2D642" w14:textId="77777777" w:rsidR="00B9703B" w:rsidRPr="0093760C" w:rsidRDefault="00B56C62" w:rsidP="00E50C93">
      <w:pPr>
        <w:pStyle w:val="Footer"/>
        <w:ind w:firstLine="0"/>
        <w:rPr>
          <w:rFonts w:ascii="Times New Roman" w:hAnsi="Times New Roman" w:cs="Times New Roman"/>
          <w:sz w:val="24"/>
        </w:rPr>
      </w:pPr>
      <w:r w:rsidRPr="0093760C">
        <w:rPr>
          <w:rFonts w:ascii="Times New Roman" w:hAnsi="Times New Roman" w:cs="Times New Roman"/>
          <w:sz w:val="24"/>
        </w:rPr>
        <w:t>investicijų</w:t>
      </w:r>
      <w:r w:rsidR="00B9703B" w:rsidRPr="0093760C">
        <w:rPr>
          <w:rFonts w:ascii="Times New Roman" w:hAnsi="Times New Roman" w:cs="Times New Roman"/>
          <w:sz w:val="24"/>
        </w:rPr>
        <w:t xml:space="preserve"> koordinavimo departamento</w:t>
      </w:r>
    </w:p>
    <w:p w14:paraId="3D128DCD" w14:textId="77777777" w:rsidR="00B9703B" w:rsidRPr="0093760C" w:rsidRDefault="00B56C62" w:rsidP="00E50C93">
      <w:pPr>
        <w:pStyle w:val="Footer"/>
        <w:ind w:firstLine="0"/>
        <w:rPr>
          <w:rFonts w:ascii="Times New Roman" w:hAnsi="Times New Roman" w:cs="Times New Roman"/>
          <w:sz w:val="24"/>
        </w:rPr>
      </w:pPr>
      <w:r w:rsidRPr="0093760C">
        <w:rPr>
          <w:rFonts w:ascii="Times New Roman" w:hAnsi="Times New Roman" w:cs="Times New Roman"/>
          <w:sz w:val="24"/>
        </w:rPr>
        <w:t>Europos Sąjungos investicijų planavimo</w:t>
      </w:r>
      <w:r w:rsidR="00B9703B" w:rsidRPr="0093760C">
        <w:rPr>
          <w:rFonts w:ascii="Times New Roman" w:hAnsi="Times New Roman" w:cs="Times New Roman"/>
          <w:sz w:val="24"/>
        </w:rPr>
        <w:t xml:space="preserve"> skyriaus </w:t>
      </w:r>
    </w:p>
    <w:p w14:paraId="0BD6B390" w14:textId="77777777" w:rsidR="00B9703B" w:rsidRPr="0093760C" w:rsidRDefault="00B9703B" w:rsidP="00E50C93">
      <w:pPr>
        <w:pStyle w:val="Footer"/>
        <w:ind w:firstLine="0"/>
        <w:rPr>
          <w:rFonts w:ascii="Times New Roman" w:hAnsi="Times New Roman" w:cs="Times New Roman"/>
          <w:sz w:val="24"/>
        </w:rPr>
      </w:pPr>
      <w:r w:rsidRPr="0093760C">
        <w:rPr>
          <w:rFonts w:ascii="Times New Roman" w:hAnsi="Times New Roman" w:cs="Times New Roman"/>
          <w:sz w:val="24"/>
        </w:rPr>
        <w:t>vyriausioji specialistė</w:t>
      </w:r>
    </w:p>
    <w:p w14:paraId="46B356BB" w14:textId="77777777" w:rsidR="00FA1957" w:rsidRPr="0093760C" w:rsidRDefault="00FA1957" w:rsidP="00E50C93">
      <w:pPr>
        <w:pStyle w:val="Footer"/>
        <w:ind w:firstLine="0"/>
        <w:rPr>
          <w:rFonts w:ascii="Times New Roman" w:hAnsi="Times New Roman" w:cs="Times New Roman"/>
          <w:sz w:val="24"/>
        </w:rPr>
      </w:pPr>
    </w:p>
    <w:p w14:paraId="69131F58" w14:textId="77777777" w:rsidR="001973B9" w:rsidRPr="0093760C" w:rsidRDefault="00FA1957" w:rsidP="00FA1957">
      <w:pPr>
        <w:pStyle w:val="Footer"/>
        <w:ind w:firstLine="0"/>
        <w:rPr>
          <w:sz w:val="24"/>
        </w:rPr>
      </w:pPr>
      <w:r w:rsidRPr="0093760C">
        <w:rPr>
          <w:rFonts w:ascii="Times New Roman" w:hAnsi="Times New Roman" w:cs="Times New Roman"/>
          <w:snapToGrid w:val="0"/>
          <w:sz w:val="24"/>
        </w:rPr>
        <w:t>Agnė Petrauskaitė</w:t>
      </w:r>
    </w:p>
    <w:sectPr w:rsidR="001973B9" w:rsidRPr="0093760C" w:rsidSect="000B7AF0">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5C83B" w14:textId="77777777" w:rsidR="00421ADA" w:rsidRDefault="00421ADA" w:rsidP="00F94EBF">
      <w:r>
        <w:separator/>
      </w:r>
    </w:p>
  </w:endnote>
  <w:endnote w:type="continuationSeparator" w:id="0">
    <w:p w14:paraId="17580AA5" w14:textId="77777777" w:rsidR="00421ADA" w:rsidRDefault="00421ADA"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B0F9C" w14:textId="77777777" w:rsidR="00421ADA" w:rsidRDefault="00421ADA" w:rsidP="00F94EBF">
      <w:r>
        <w:separator/>
      </w:r>
    </w:p>
  </w:footnote>
  <w:footnote w:type="continuationSeparator" w:id="0">
    <w:p w14:paraId="03DEECF8" w14:textId="77777777" w:rsidR="00421ADA" w:rsidRDefault="00421ADA"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14:paraId="463479C0" w14:textId="4DF07F15" w:rsidR="00F94EBF" w:rsidRDefault="00F94EBF">
        <w:pPr>
          <w:pStyle w:val="Header"/>
          <w:jc w:val="center"/>
        </w:pPr>
        <w:r>
          <w:fldChar w:fldCharType="begin"/>
        </w:r>
        <w:r>
          <w:instrText>PAGE   \* MERGEFORMAT</w:instrText>
        </w:r>
        <w:r>
          <w:fldChar w:fldCharType="separate"/>
        </w:r>
        <w:r w:rsidR="00B45C43">
          <w:rPr>
            <w:noProof/>
          </w:rPr>
          <w:t>3</w:t>
        </w:r>
        <w:r>
          <w:fldChar w:fldCharType="end"/>
        </w:r>
      </w:p>
    </w:sdtContent>
  </w:sdt>
  <w:p w14:paraId="662F8740"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530"/>
    <w:rsid w:val="00004623"/>
    <w:rsid w:val="000142B3"/>
    <w:rsid w:val="000155A5"/>
    <w:rsid w:val="00016B96"/>
    <w:rsid w:val="00017123"/>
    <w:rsid w:val="000211D7"/>
    <w:rsid w:val="00023FCA"/>
    <w:rsid w:val="0005054E"/>
    <w:rsid w:val="00055247"/>
    <w:rsid w:val="0005611D"/>
    <w:rsid w:val="00061DE6"/>
    <w:rsid w:val="00066237"/>
    <w:rsid w:val="00070DBA"/>
    <w:rsid w:val="00081118"/>
    <w:rsid w:val="00087D79"/>
    <w:rsid w:val="00091CD6"/>
    <w:rsid w:val="000A3C28"/>
    <w:rsid w:val="000B7AF0"/>
    <w:rsid w:val="000C240E"/>
    <w:rsid w:val="000C2A66"/>
    <w:rsid w:val="000C43E0"/>
    <w:rsid w:val="000D00A8"/>
    <w:rsid w:val="000E1050"/>
    <w:rsid w:val="000E3DF2"/>
    <w:rsid w:val="000F4417"/>
    <w:rsid w:val="000F4B94"/>
    <w:rsid w:val="00107667"/>
    <w:rsid w:val="00112318"/>
    <w:rsid w:val="00140913"/>
    <w:rsid w:val="00142DEA"/>
    <w:rsid w:val="001509E1"/>
    <w:rsid w:val="00151B1E"/>
    <w:rsid w:val="001618E2"/>
    <w:rsid w:val="00161B62"/>
    <w:rsid w:val="0016486F"/>
    <w:rsid w:val="00172EB2"/>
    <w:rsid w:val="001874DF"/>
    <w:rsid w:val="001973B9"/>
    <w:rsid w:val="001A0FD0"/>
    <w:rsid w:val="001A38E8"/>
    <w:rsid w:val="001A75EB"/>
    <w:rsid w:val="001A7728"/>
    <w:rsid w:val="001B4673"/>
    <w:rsid w:val="001B4984"/>
    <w:rsid w:val="001B7858"/>
    <w:rsid w:val="001C3596"/>
    <w:rsid w:val="001C4727"/>
    <w:rsid w:val="001D020E"/>
    <w:rsid w:val="001D0504"/>
    <w:rsid w:val="001D05DA"/>
    <w:rsid w:val="001D226F"/>
    <w:rsid w:val="001E770C"/>
    <w:rsid w:val="001F443A"/>
    <w:rsid w:val="001F46AB"/>
    <w:rsid w:val="001F511A"/>
    <w:rsid w:val="001F65B0"/>
    <w:rsid w:val="001F7217"/>
    <w:rsid w:val="00215635"/>
    <w:rsid w:val="00217AEB"/>
    <w:rsid w:val="00217BD1"/>
    <w:rsid w:val="00237665"/>
    <w:rsid w:val="00244C0C"/>
    <w:rsid w:val="00247D2A"/>
    <w:rsid w:val="002650BE"/>
    <w:rsid w:val="00267F0B"/>
    <w:rsid w:val="0027555A"/>
    <w:rsid w:val="0028225E"/>
    <w:rsid w:val="00283292"/>
    <w:rsid w:val="002866CF"/>
    <w:rsid w:val="002873AF"/>
    <w:rsid w:val="002A7E2D"/>
    <w:rsid w:val="002B1F51"/>
    <w:rsid w:val="002B610D"/>
    <w:rsid w:val="002B796A"/>
    <w:rsid w:val="002C12C1"/>
    <w:rsid w:val="002C4784"/>
    <w:rsid w:val="002C688B"/>
    <w:rsid w:val="0030448C"/>
    <w:rsid w:val="00304FF3"/>
    <w:rsid w:val="00311CAF"/>
    <w:rsid w:val="00320006"/>
    <w:rsid w:val="00322A10"/>
    <w:rsid w:val="0032749C"/>
    <w:rsid w:val="00335919"/>
    <w:rsid w:val="00341803"/>
    <w:rsid w:val="003423A2"/>
    <w:rsid w:val="00353B91"/>
    <w:rsid w:val="00366FEA"/>
    <w:rsid w:val="0037217F"/>
    <w:rsid w:val="003806BA"/>
    <w:rsid w:val="0038164A"/>
    <w:rsid w:val="00382770"/>
    <w:rsid w:val="00383328"/>
    <w:rsid w:val="00384C0C"/>
    <w:rsid w:val="00391204"/>
    <w:rsid w:val="00397364"/>
    <w:rsid w:val="003A1B96"/>
    <w:rsid w:val="003A2643"/>
    <w:rsid w:val="003A3901"/>
    <w:rsid w:val="003A521F"/>
    <w:rsid w:val="003B02E3"/>
    <w:rsid w:val="003B0DC0"/>
    <w:rsid w:val="003C394C"/>
    <w:rsid w:val="003D009F"/>
    <w:rsid w:val="003D390A"/>
    <w:rsid w:val="003E06E9"/>
    <w:rsid w:val="003F1680"/>
    <w:rsid w:val="003F541E"/>
    <w:rsid w:val="003F720C"/>
    <w:rsid w:val="0040118B"/>
    <w:rsid w:val="00402F30"/>
    <w:rsid w:val="00405207"/>
    <w:rsid w:val="00411B8D"/>
    <w:rsid w:val="0041537B"/>
    <w:rsid w:val="004219AC"/>
    <w:rsid w:val="00421ADA"/>
    <w:rsid w:val="00430EE6"/>
    <w:rsid w:val="00442B1D"/>
    <w:rsid w:val="0044730B"/>
    <w:rsid w:val="0044760B"/>
    <w:rsid w:val="00453BAD"/>
    <w:rsid w:val="00463026"/>
    <w:rsid w:val="004673BF"/>
    <w:rsid w:val="00470C86"/>
    <w:rsid w:val="00471ABA"/>
    <w:rsid w:val="00471E2A"/>
    <w:rsid w:val="00480F2F"/>
    <w:rsid w:val="00481DB1"/>
    <w:rsid w:val="0048748D"/>
    <w:rsid w:val="0048765A"/>
    <w:rsid w:val="00492D29"/>
    <w:rsid w:val="00496835"/>
    <w:rsid w:val="004A2BB8"/>
    <w:rsid w:val="004A30B5"/>
    <w:rsid w:val="004A4604"/>
    <w:rsid w:val="004A55FC"/>
    <w:rsid w:val="004C2F6C"/>
    <w:rsid w:val="004C641B"/>
    <w:rsid w:val="004C6B94"/>
    <w:rsid w:val="004D11E7"/>
    <w:rsid w:val="004D2CE6"/>
    <w:rsid w:val="004E671D"/>
    <w:rsid w:val="004F24BE"/>
    <w:rsid w:val="004F3F0F"/>
    <w:rsid w:val="004F4A0E"/>
    <w:rsid w:val="004F61EB"/>
    <w:rsid w:val="0050551C"/>
    <w:rsid w:val="00533BDA"/>
    <w:rsid w:val="00536CC2"/>
    <w:rsid w:val="005410D0"/>
    <w:rsid w:val="0054468B"/>
    <w:rsid w:val="005517E3"/>
    <w:rsid w:val="005520F8"/>
    <w:rsid w:val="00556E56"/>
    <w:rsid w:val="0056063D"/>
    <w:rsid w:val="00560854"/>
    <w:rsid w:val="00567443"/>
    <w:rsid w:val="00575687"/>
    <w:rsid w:val="00593023"/>
    <w:rsid w:val="00596E74"/>
    <w:rsid w:val="005A00CE"/>
    <w:rsid w:val="005A04DE"/>
    <w:rsid w:val="005A521B"/>
    <w:rsid w:val="005B1B32"/>
    <w:rsid w:val="005B768C"/>
    <w:rsid w:val="005C1DF8"/>
    <w:rsid w:val="005C3FC3"/>
    <w:rsid w:val="005C76FB"/>
    <w:rsid w:val="005D2E38"/>
    <w:rsid w:val="005E077C"/>
    <w:rsid w:val="005E1473"/>
    <w:rsid w:val="005E6582"/>
    <w:rsid w:val="005F233D"/>
    <w:rsid w:val="005F4356"/>
    <w:rsid w:val="005F4F7E"/>
    <w:rsid w:val="006002A7"/>
    <w:rsid w:val="00605E39"/>
    <w:rsid w:val="00606DED"/>
    <w:rsid w:val="006145D2"/>
    <w:rsid w:val="00622A14"/>
    <w:rsid w:val="00631348"/>
    <w:rsid w:val="00633F98"/>
    <w:rsid w:val="00634BCA"/>
    <w:rsid w:val="00635BEF"/>
    <w:rsid w:val="00637F5A"/>
    <w:rsid w:val="006453E0"/>
    <w:rsid w:val="00645976"/>
    <w:rsid w:val="0064662C"/>
    <w:rsid w:val="006522B7"/>
    <w:rsid w:val="0065294E"/>
    <w:rsid w:val="00654A80"/>
    <w:rsid w:val="00656799"/>
    <w:rsid w:val="00656BD4"/>
    <w:rsid w:val="006675E7"/>
    <w:rsid w:val="006702D9"/>
    <w:rsid w:val="006703B0"/>
    <w:rsid w:val="006730E6"/>
    <w:rsid w:val="00676B65"/>
    <w:rsid w:val="00681791"/>
    <w:rsid w:val="00684427"/>
    <w:rsid w:val="0069268A"/>
    <w:rsid w:val="006958FD"/>
    <w:rsid w:val="006A13AD"/>
    <w:rsid w:val="006C499A"/>
    <w:rsid w:val="006C4D23"/>
    <w:rsid w:val="006D0B1B"/>
    <w:rsid w:val="006D50BF"/>
    <w:rsid w:val="006D56BC"/>
    <w:rsid w:val="006E376C"/>
    <w:rsid w:val="006E3892"/>
    <w:rsid w:val="00701C1B"/>
    <w:rsid w:val="007052AF"/>
    <w:rsid w:val="007168D9"/>
    <w:rsid w:val="0072331D"/>
    <w:rsid w:val="00723807"/>
    <w:rsid w:val="00726940"/>
    <w:rsid w:val="00731239"/>
    <w:rsid w:val="007321F2"/>
    <w:rsid w:val="007455DD"/>
    <w:rsid w:val="00746299"/>
    <w:rsid w:val="00750995"/>
    <w:rsid w:val="00751261"/>
    <w:rsid w:val="00754DF5"/>
    <w:rsid w:val="00757DA2"/>
    <w:rsid w:val="00764345"/>
    <w:rsid w:val="00764EBA"/>
    <w:rsid w:val="00771E91"/>
    <w:rsid w:val="0077240F"/>
    <w:rsid w:val="00776B74"/>
    <w:rsid w:val="007823A2"/>
    <w:rsid w:val="00794127"/>
    <w:rsid w:val="007A00CD"/>
    <w:rsid w:val="007A4D42"/>
    <w:rsid w:val="007A73B4"/>
    <w:rsid w:val="007B247D"/>
    <w:rsid w:val="007B5AEC"/>
    <w:rsid w:val="007C1441"/>
    <w:rsid w:val="007E1853"/>
    <w:rsid w:val="007E2A01"/>
    <w:rsid w:val="007E3EFC"/>
    <w:rsid w:val="007E4586"/>
    <w:rsid w:val="00800336"/>
    <w:rsid w:val="00807895"/>
    <w:rsid w:val="00812D41"/>
    <w:rsid w:val="008134C5"/>
    <w:rsid w:val="00817669"/>
    <w:rsid w:val="0081797D"/>
    <w:rsid w:val="00821AB0"/>
    <w:rsid w:val="00822873"/>
    <w:rsid w:val="008239FB"/>
    <w:rsid w:val="00832F78"/>
    <w:rsid w:val="00834076"/>
    <w:rsid w:val="00837637"/>
    <w:rsid w:val="00843282"/>
    <w:rsid w:val="00846CBF"/>
    <w:rsid w:val="00854046"/>
    <w:rsid w:val="008647C9"/>
    <w:rsid w:val="00864963"/>
    <w:rsid w:val="00873E04"/>
    <w:rsid w:val="00874481"/>
    <w:rsid w:val="00875F91"/>
    <w:rsid w:val="0088126D"/>
    <w:rsid w:val="008814D7"/>
    <w:rsid w:val="00891293"/>
    <w:rsid w:val="00892C83"/>
    <w:rsid w:val="00893048"/>
    <w:rsid w:val="00893B42"/>
    <w:rsid w:val="008A2926"/>
    <w:rsid w:val="008A722D"/>
    <w:rsid w:val="008B181C"/>
    <w:rsid w:val="008B381E"/>
    <w:rsid w:val="008B3A90"/>
    <w:rsid w:val="008C4B7C"/>
    <w:rsid w:val="008C5A6F"/>
    <w:rsid w:val="008E3EA0"/>
    <w:rsid w:val="008F3B3D"/>
    <w:rsid w:val="00900238"/>
    <w:rsid w:val="00900DF6"/>
    <w:rsid w:val="00911A52"/>
    <w:rsid w:val="009239DC"/>
    <w:rsid w:val="009300DB"/>
    <w:rsid w:val="00933A64"/>
    <w:rsid w:val="00933D4B"/>
    <w:rsid w:val="0093760C"/>
    <w:rsid w:val="00941229"/>
    <w:rsid w:val="00945977"/>
    <w:rsid w:val="0094737C"/>
    <w:rsid w:val="00953486"/>
    <w:rsid w:val="0095632B"/>
    <w:rsid w:val="00957354"/>
    <w:rsid w:val="00963A68"/>
    <w:rsid w:val="009646DA"/>
    <w:rsid w:val="009718ED"/>
    <w:rsid w:val="00973F0B"/>
    <w:rsid w:val="009802AC"/>
    <w:rsid w:val="00982A68"/>
    <w:rsid w:val="00984B73"/>
    <w:rsid w:val="009951D2"/>
    <w:rsid w:val="009962CF"/>
    <w:rsid w:val="009A04CC"/>
    <w:rsid w:val="009A073E"/>
    <w:rsid w:val="009A1293"/>
    <w:rsid w:val="009A6029"/>
    <w:rsid w:val="009B79F2"/>
    <w:rsid w:val="009C26C5"/>
    <w:rsid w:val="009C440B"/>
    <w:rsid w:val="009C7C01"/>
    <w:rsid w:val="009E59C3"/>
    <w:rsid w:val="009F3042"/>
    <w:rsid w:val="009F7117"/>
    <w:rsid w:val="009F7530"/>
    <w:rsid w:val="00A0125D"/>
    <w:rsid w:val="00A0242B"/>
    <w:rsid w:val="00A03F43"/>
    <w:rsid w:val="00A13C2F"/>
    <w:rsid w:val="00A159EA"/>
    <w:rsid w:val="00A27A4D"/>
    <w:rsid w:val="00A4737A"/>
    <w:rsid w:val="00A546DF"/>
    <w:rsid w:val="00A55CC1"/>
    <w:rsid w:val="00A653BA"/>
    <w:rsid w:val="00A6627C"/>
    <w:rsid w:val="00A70905"/>
    <w:rsid w:val="00A71C9D"/>
    <w:rsid w:val="00A744F6"/>
    <w:rsid w:val="00A81ED7"/>
    <w:rsid w:val="00A84DCE"/>
    <w:rsid w:val="00A86C0D"/>
    <w:rsid w:val="00A9058B"/>
    <w:rsid w:val="00A92DF8"/>
    <w:rsid w:val="00AA015E"/>
    <w:rsid w:val="00AA0772"/>
    <w:rsid w:val="00AA3428"/>
    <w:rsid w:val="00AA65D2"/>
    <w:rsid w:val="00AD6AFE"/>
    <w:rsid w:val="00AD7E17"/>
    <w:rsid w:val="00AE54BC"/>
    <w:rsid w:val="00AF57F8"/>
    <w:rsid w:val="00B005A8"/>
    <w:rsid w:val="00B01794"/>
    <w:rsid w:val="00B25BAA"/>
    <w:rsid w:val="00B312AC"/>
    <w:rsid w:val="00B40212"/>
    <w:rsid w:val="00B41266"/>
    <w:rsid w:val="00B45C43"/>
    <w:rsid w:val="00B56C62"/>
    <w:rsid w:val="00B72B13"/>
    <w:rsid w:val="00B759AB"/>
    <w:rsid w:val="00B7685A"/>
    <w:rsid w:val="00B8074A"/>
    <w:rsid w:val="00B90557"/>
    <w:rsid w:val="00B92D8C"/>
    <w:rsid w:val="00B94522"/>
    <w:rsid w:val="00B9703B"/>
    <w:rsid w:val="00BA25A8"/>
    <w:rsid w:val="00BA4EC4"/>
    <w:rsid w:val="00BB165B"/>
    <w:rsid w:val="00BC0377"/>
    <w:rsid w:val="00BC15B4"/>
    <w:rsid w:val="00BC760F"/>
    <w:rsid w:val="00BE04B5"/>
    <w:rsid w:val="00BE27C0"/>
    <w:rsid w:val="00BE4524"/>
    <w:rsid w:val="00BF05C2"/>
    <w:rsid w:val="00BF2399"/>
    <w:rsid w:val="00BF7217"/>
    <w:rsid w:val="00BF7DA8"/>
    <w:rsid w:val="00C035C8"/>
    <w:rsid w:val="00C047A5"/>
    <w:rsid w:val="00C04B21"/>
    <w:rsid w:val="00C1178B"/>
    <w:rsid w:val="00C25029"/>
    <w:rsid w:val="00C42AEB"/>
    <w:rsid w:val="00C45118"/>
    <w:rsid w:val="00C4585D"/>
    <w:rsid w:val="00C46521"/>
    <w:rsid w:val="00C615E3"/>
    <w:rsid w:val="00C62EA7"/>
    <w:rsid w:val="00C67D0B"/>
    <w:rsid w:val="00C7139E"/>
    <w:rsid w:val="00C72190"/>
    <w:rsid w:val="00C73EC4"/>
    <w:rsid w:val="00C769E1"/>
    <w:rsid w:val="00C77B3B"/>
    <w:rsid w:val="00C84DE8"/>
    <w:rsid w:val="00C85E2F"/>
    <w:rsid w:val="00C8771F"/>
    <w:rsid w:val="00C95430"/>
    <w:rsid w:val="00CA16D4"/>
    <w:rsid w:val="00CA36F5"/>
    <w:rsid w:val="00CA38F1"/>
    <w:rsid w:val="00CB2C92"/>
    <w:rsid w:val="00CB3D57"/>
    <w:rsid w:val="00CB497B"/>
    <w:rsid w:val="00CB4B74"/>
    <w:rsid w:val="00CB6FF5"/>
    <w:rsid w:val="00CC0E82"/>
    <w:rsid w:val="00CC59AF"/>
    <w:rsid w:val="00CD20B2"/>
    <w:rsid w:val="00CE36CF"/>
    <w:rsid w:val="00CF77C7"/>
    <w:rsid w:val="00CF7DDC"/>
    <w:rsid w:val="00D00929"/>
    <w:rsid w:val="00D01C50"/>
    <w:rsid w:val="00D11F27"/>
    <w:rsid w:val="00D33818"/>
    <w:rsid w:val="00D36D93"/>
    <w:rsid w:val="00D40792"/>
    <w:rsid w:val="00D42C6C"/>
    <w:rsid w:val="00D4365D"/>
    <w:rsid w:val="00D441A4"/>
    <w:rsid w:val="00D56C5E"/>
    <w:rsid w:val="00D94B32"/>
    <w:rsid w:val="00DA41A6"/>
    <w:rsid w:val="00DA528E"/>
    <w:rsid w:val="00DA5A17"/>
    <w:rsid w:val="00DB0AFA"/>
    <w:rsid w:val="00DB372A"/>
    <w:rsid w:val="00DB5A9F"/>
    <w:rsid w:val="00DC58B5"/>
    <w:rsid w:val="00DC6740"/>
    <w:rsid w:val="00DC6E81"/>
    <w:rsid w:val="00DD53E3"/>
    <w:rsid w:val="00DD7188"/>
    <w:rsid w:val="00E01490"/>
    <w:rsid w:val="00E0319C"/>
    <w:rsid w:val="00E032E9"/>
    <w:rsid w:val="00E0480D"/>
    <w:rsid w:val="00E0647C"/>
    <w:rsid w:val="00E2217F"/>
    <w:rsid w:val="00E26762"/>
    <w:rsid w:val="00E40101"/>
    <w:rsid w:val="00E4149D"/>
    <w:rsid w:val="00E44906"/>
    <w:rsid w:val="00E50AC8"/>
    <w:rsid w:val="00E50C93"/>
    <w:rsid w:val="00E51B06"/>
    <w:rsid w:val="00E51E0B"/>
    <w:rsid w:val="00E53ECC"/>
    <w:rsid w:val="00E64A50"/>
    <w:rsid w:val="00E65469"/>
    <w:rsid w:val="00E65E13"/>
    <w:rsid w:val="00E719B1"/>
    <w:rsid w:val="00E74D99"/>
    <w:rsid w:val="00E9357D"/>
    <w:rsid w:val="00E9760F"/>
    <w:rsid w:val="00ED32CC"/>
    <w:rsid w:val="00EE2118"/>
    <w:rsid w:val="00EE5C51"/>
    <w:rsid w:val="00EE6356"/>
    <w:rsid w:val="00EF4218"/>
    <w:rsid w:val="00EF6EFF"/>
    <w:rsid w:val="00F019D0"/>
    <w:rsid w:val="00F03A29"/>
    <w:rsid w:val="00F13F0E"/>
    <w:rsid w:val="00F15357"/>
    <w:rsid w:val="00F33C1A"/>
    <w:rsid w:val="00F373D3"/>
    <w:rsid w:val="00F373F9"/>
    <w:rsid w:val="00F37D1E"/>
    <w:rsid w:val="00F44A02"/>
    <w:rsid w:val="00F45387"/>
    <w:rsid w:val="00F46455"/>
    <w:rsid w:val="00F46CE1"/>
    <w:rsid w:val="00F63D28"/>
    <w:rsid w:val="00F66EB8"/>
    <w:rsid w:val="00F67C20"/>
    <w:rsid w:val="00F800C9"/>
    <w:rsid w:val="00F82F4E"/>
    <w:rsid w:val="00F909AD"/>
    <w:rsid w:val="00F9273F"/>
    <w:rsid w:val="00F92B19"/>
    <w:rsid w:val="00F9357B"/>
    <w:rsid w:val="00F94EBF"/>
    <w:rsid w:val="00FA1957"/>
    <w:rsid w:val="00FA3CB6"/>
    <w:rsid w:val="00FB0C36"/>
    <w:rsid w:val="00FD1F5F"/>
    <w:rsid w:val="00FE0A1D"/>
    <w:rsid w:val="00FE41C5"/>
    <w:rsid w:val="00FF0301"/>
    <w:rsid w:val="00FF07CB"/>
    <w:rsid w:val="00FF339D"/>
    <w:rsid w:val="00FF4174"/>
    <w:rsid w:val="00FF4227"/>
    <w:rsid w:val="00FF74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9F4C"/>
  <w15:chartTrackingRefBased/>
  <w15:docId w15:val="{06D34647-0922-4968-BC4F-7582AADB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33210">
      <w:bodyDiv w:val="1"/>
      <w:marLeft w:val="0"/>
      <w:marRight w:val="0"/>
      <w:marTop w:val="0"/>
      <w:marBottom w:val="0"/>
      <w:divBdr>
        <w:top w:val="none" w:sz="0" w:space="0" w:color="auto"/>
        <w:left w:val="none" w:sz="0" w:space="0" w:color="auto"/>
        <w:bottom w:val="none" w:sz="0" w:space="0" w:color="auto"/>
        <w:right w:val="none" w:sz="0" w:space="0" w:color="auto"/>
      </w:divBdr>
      <w:divsChild>
        <w:div w:id="674500523">
          <w:marLeft w:val="0"/>
          <w:marRight w:val="0"/>
          <w:marTop w:val="0"/>
          <w:marBottom w:val="0"/>
          <w:divBdr>
            <w:top w:val="none" w:sz="0" w:space="0" w:color="auto"/>
            <w:left w:val="none" w:sz="0" w:space="0" w:color="auto"/>
            <w:bottom w:val="none" w:sz="0" w:space="0" w:color="auto"/>
            <w:right w:val="none" w:sz="0" w:space="0" w:color="auto"/>
          </w:divBdr>
          <w:divsChild>
            <w:div w:id="1994403491">
              <w:marLeft w:val="0"/>
              <w:marRight w:val="0"/>
              <w:marTop w:val="0"/>
              <w:marBottom w:val="0"/>
              <w:divBdr>
                <w:top w:val="none" w:sz="0" w:space="0" w:color="auto"/>
                <w:left w:val="none" w:sz="0" w:space="0" w:color="auto"/>
                <w:bottom w:val="none" w:sz="0" w:space="0" w:color="auto"/>
                <w:right w:val="none" w:sz="0" w:space="0" w:color="auto"/>
              </w:divBdr>
              <w:divsChild>
                <w:div w:id="1492335083">
                  <w:marLeft w:val="0"/>
                  <w:marRight w:val="0"/>
                  <w:marTop w:val="0"/>
                  <w:marBottom w:val="0"/>
                  <w:divBdr>
                    <w:top w:val="none" w:sz="0" w:space="0" w:color="auto"/>
                    <w:left w:val="none" w:sz="0" w:space="0" w:color="auto"/>
                    <w:bottom w:val="none" w:sz="0" w:space="0" w:color="auto"/>
                    <w:right w:val="none" w:sz="0" w:space="0" w:color="auto"/>
                  </w:divBdr>
                  <w:divsChild>
                    <w:div w:id="1181506212">
                      <w:marLeft w:val="0"/>
                      <w:marRight w:val="0"/>
                      <w:marTop w:val="0"/>
                      <w:marBottom w:val="0"/>
                      <w:divBdr>
                        <w:top w:val="none" w:sz="0" w:space="0" w:color="auto"/>
                        <w:left w:val="none" w:sz="0" w:space="0" w:color="auto"/>
                        <w:bottom w:val="none" w:sz="0" w:space="0" w:color="auto"/>
                        <w:right w:val="none" w:sz="0" w:space="0" w:color="auto"/>
                      </w:divBdr>
                      <w:divsChild>
                        <w:div w:id="1428767564">
                          <w:marLeft w:val="0"/>
                          <w:marRight w:val="0"/>
                          <w:marTop w:val="0"/>
                          <w:marBottom w:val="0"/>
                          <w:divBdr>
                            <w:top w:val="none" w:sz="0" w:space="0" w:color="auto"/>
                            <w:left w:val="none" w:sz="0" w:space="0" w:color="auto"/>
                            <w:bottom w:val="none" w:sz="0" w:space="0" w:color="auto"/>
                            <w:right w:val="none" w:sz="0" w:space="0" w:color="auto"/>
                          </w:divBdr>
                          <w:divsChild>
                            <w:div w:id="1643920153">
                              <w:marLeft w:val="0"/>
                              <w:marRight w:val="0"/>
                              <w:marTop w:val="0"/>
                              <w:marBottom w:val="0"/>
                              <w:divBdr>
                                <w:top w:val="none" w:sz="0" w:space="0" w:color="auto"/>
                                <w:left w:val="none" w:sz="0" w:space="0" w:color="auto"/>
                                <w:bottom w:val="none" w:sz="0" w:space="0" w:color="auto"/>
                                <w:right w:val="none" w:sz="0" w:space="0" w:color="auto"/>
                              </w:divBdr>
                              <w:divsChild>
                                <w:div w:id="68308473">
                                  <w:marLeft w:val="0"/>
                                  <w:marRight w:val="0"/>
                                  <w:marTop w:val="0"/>
                                  <w:marBottom w:val="0"/>
                                  <w:divBdr>
                                    <w:top w:val="none" w:sz="0" w:space="0" w:color="auto"/>
                                    <w:left w:val="none" w:sz="0" w:space="0" w:color="auto"/>
                                    <w:bottom w:val="none" w:sz="0" w:space="0" w:color="auto"/>
                                    <w:right w:val="none" w:sz="0" w:space="0" w:color="auto"/>
                                  </w:divBdr>
                                  <w:divsChild>
                                    <w:div w:id="751857055">
                                      <w:marLeft w:val="0"/>
                                      <w:marRight w:val="0"/>
                                      <w:marTop w:val="0"/>
                                      <w:marBottom w:val="0"/>
                                      <w:divBdr>
                                        <w:top w:val="none" w:sz="0" w:space="0" w:color="auto"/>
                                        <w:left w:val="none" w:sz="0" w:space="0" w:color="auto"/>
                                        <w:bottom w:val="none" w:sz="0" w:space="0" w:color="auto"/>
                                        <w:right w:val="none" w:sz="0" w:space="0" w:color="auto"/>
                                      </w:divBdr>
                                      <w:divsChild>
                                        <w:div w:id="140926413">
                                          <w:marLeft w:val="0"/>
                                          <w:marRight w:val="0"/>
                                          <w:marTop w:val="0"/>
                                          <w:marBottom w:val="0"/>
                                          <w:divBdr>
                                            <w:top w:val="none" w:sz="0" w:space="0" w:color="auto"/>
                                            <w:left w:val="none" w:sz="0" w:space="0" w:color="auto"/>
                                            <w:bottom w:val="none" w:sz="0" w:space="0" w:color="auto"/>
                                            <w:right w:val="none" w:sz="0" w:space="0" w:color="auto"/>
                                          </w:divBdr>
                                          <w:divsChild>
                                            <w:div w:id="941885758">
                                              <w:marLeft w:val="0"/>
                                              <w:marRight w:val="0"/>
                                              <w:marTop w:val="0"/>
                                              <w:marBottom w:val="0"/>
                                              <w:divBdr>
                                                <w:top w:val="none" w:sz="0" w:space="0" w:color="auto"/>
                                                <w:left w:val="none" w:sz="0" w:space="0" w:color="auto"/>
                                                <w:bottom w:val="none" w:sz="0" w:space="0" w:color="auto"/>
                                                <w:right w:val="none" w:sz="0" w:space="0" w:color="auto"/>
                                              </w:divBdr>
                                              <w:divsChild>
                                                <w:div w:id="844593168">
                                                  <w:marLeft w:val="0"/>
                                                  <w:marRight w:val="0"/>
                                                  <w:marTop w:val="0"/>
                                                  <w:marBottom w:val="0"/>
                                                  <w:divBdr>
                                                    <w:top w:val="none" w:sz="0" w:space="0" w:color="auto"/>
                                                    <w:left w:val="none" w:sz="0" w:space="0" w:color="auto"/>
                                                    <w:bottom w:val="none" w:sz="0" w:space="0" w:color="auto"/>
                                                    <w:right w:val="none" w:sz="0" w:space="0" w:color="auto"/>
                                                  </w:divBdr>
                                                  <w:divsChild>
                                                    <w:div w:id="1215968077">
                                                      <w:marLeft w:val="0"/>
                                                      <w:marRight w:val="0"/>
                                                      <w:marTop w:val="0"/>
                                                      <w:marBottom w:val="0"/>
                                                      <w:divBdr>
                                                        <w:top w:val="none" w:sz="0" w:space="0" w:color="auto"/>
                                                        <w:left w:val="none" w:sz="0" w:space="0" w:color="auto"/>
                                                        <w:bottom w:val="none" w:sz="0" w:space="0" w:color="auto"/>
                                                        <w:right w:val="none" w:sz="0" w:space="0" w:color="auto"/>
                                                      </w:divBdr>
                                                      <w:divsChild>
                                                        <w:div w:id="557934050">
                                                          <w:marLeft w:val="0"/>
                                                          <w:marRight w:val="0"/>
                                                          <w:marTop w:val="0"/>
                                                          <w:marBottom w:val="0"/>
                                                          <w:divBdr>
                                                            <w:top w:val="none" w:sz="0" w:space="0" w:color="auto"/>
                                                            <w:left w:val="none" w:sz="0" w:space="0" w:color="auto"/>
                                                            <w:bottom w:val="none" w:sz="0" w:space="0" w:color="auto"/>
                                                            <w:right w:val="none" w:sz="0" w:space="0" w:color="auto"/>
                                                          </w:divBdr>
                                                          <w:divsChild>
                                                            <w:div w:id="1484077544">
                                                              <w:marLeft w:val="0"/>
                                                              <w:marRight w:val="0"/>
                                                              <w:marTop w:val="0"/>
                                                              <w:marBottom w:val="0"/>
                                                              <w:divBdr>
                                                                <w:top w:val="none" w:sz="0" w:space="0" w:color="auto"/>
                                                                <w:left w:val="none" w:sz="0" w:space="0" w:color="auto"/>
                                                                <w:bottom w:val="none" w:sz="0" w:space="0" w:color="auto"/>
                                                                <w:right w:val="none" w:sz="0" w:space="0" w:color="auto"/>
                                                              </w:divBdr>
                                                              <w:divsChild>
                                                                <w:div w:id="981887012">
                                                                  <w:marLeft w:val="0"/>
                                                                  <w:marRight w:val="0"/>
                                                                  <w:marTop w:val="0"/>
                                                                  <w:marBottom w:val="0"/>
                                                                  <w:divBdr>
                                                                    <w:top w:val="none" w:sz="0" w:space="0" w:color="auto"/>
                                                                    <w:left w:val="none" w:sz="0" w:space="0" w:color="auto"/>
                                                                    <w:bottom w:val="none" w:sz="0" w:space="0" w:color="auto"/>
                                                                    <w:right w:val="none" w:sz="0" w:space="0" w:color="auto"/>
                                                                  </w:divBdr>
                                                                  <w:divsChild>
                                                                    <w:div w:id="2069182586">
                                                                      <w:marLeft w:val="0"/>
                                                                      <w:marRight w:val="0"/>
                                                                      <w:marTop w:val="0"/>
                                                                      <w:marBottom w:val="0"/>
                                                                      <w:divBdr>
                                                                        <w:top w:val="none" w:sz="0" w:space="0" w:color="auto"/>
                                                                        <w:left w:val="none" w:sz="0" w:space="0" w:color="auto"/>
                                                                        <w:bottom w:val="none" w:sz="0" w:space="0" w:color="auto"/>
                                                                        <w:right w:val="none" w:sz="0" w:space="0" w:color="auto"/>
                                                                      </w:divBdr>
                                                                      <w:divsChild>
                                                                        <w:div w:id="1994799551">
                                                                          <w:marLeft w:val="0"/>
                                                                          <w:marRight w:val="0"/>
                                                                          <w:marTop w:val="0"/>
                                                                          <w:marBottom w:val="0"/>
                                                                          <w:divBdr>
                                                                            <w:top w:val="none" w:sz="0" w:space="0" w:color="auto"/>
                                                                            <w:left w:val="none" w:sz="0" w:space="0" w:color="auto"/>
                                                                            <w:bottom w:val="none" w:sz="0" w:space="0" w:color="auto"/>
                                                                            <w:right w:val="none" w:sz="0" w:space="0" w:color="auto"/>
                                                                          </w:divBdr>
                                                                          <w:divsChild>
                                                                            <w:div w:id="1310403240">
                                                                              <w:marLeft w:val="0"/>
                                                                              <w:marRight w:val="0"/>
                                                                              <w:marTop w:val="0"/>
                                                                              <w:marBottom w:val="0"/>
                                                                              <w:divBdr>
                                                                                <w:top w:val="none" w:sz="0" w:space="0" w:color="auto"/>
                                                                                <w:left w:val="none" w:sz="0" w:space="0" w:color="auto"/>
                                                                                <w:bottom w:val="none" w:sz="0" w:space="0" w:color="auto"/>
                                                                                <w:right w:val="none" w:sz="0" w:space="0" w:color="auto"/>
                                                                              </w:divBdr>
                                                                              <w:divsChild>
                                                                                <w:div w:id="1241595967">
                                                                                  <w:marLeft w:val="0"/>
                                                                                  <w:marRight w:val="0"/>
                                                                                  <w:marTop w:val="0"/>
                                                                                  <w:marBottom w:val="0"/>
                                                                                  <w:divBdr>
                                                                                    <w:top w:val="none" w:sz="0" w:space="0" w:color="auto"/>
                                                                                    <w:left w:val="none" w:sz="0" w:space="0" w:color="auto"/>
                                                                                    <w:bottom w:val="none" w:sz="0" w:space="0" w:color="auto"/>
                                                                                    <w:right w:val="none" w:sz="0" w:space="0" w:color="auto"/>
                                                                                  </w:divBdr>
                                                                                  <w:divsChild>
                                                                                    <w:div w:id="823281230">
                                                                                      <w:marLeft w:val="0"/>
                                                                                      <w:marRight w:val="0"/>
                                                                                      <w:marTop w:val="0"/>
                                                                                      <w:marBottom w:val="0"/>
                                                                                      <w:divBdr>
                                                                                        <w:top w:val="none" w:sz="0" w:space="0" w:color="auto"/>
                                                                                        <w:left w:val="none" w:sz="0" w:space="0" w:color="auto"/>
                                                                                        <w:bottom w:val="none" w:sz="0" w:space="0" w:color="auto"/>
                                                                                        <w:right w:val="none" w:sz="0" w:space="0" w:color="auto"/>
                                                                                      </w:divBdr>
                                                                                      <w:divsChild>
                                                                                        <w:div w:id="1199734417">
                                                                                          <w:marLeft w:val="0"/>
                                                                                          <w:marRight w:val="0"/>
                                                                                          <w:marTop w:val="0"/>
                                                                                          <w:marBottom w:val="0"/>
                                                                                          <w:divBdr>
                                                                                            <w:top w:val="none" w:sz="0" w:space="0" w:color="auto"/>
                                                                                            <w:left w:val="none" w:sz="0" w:space="0" w:color="auto"/>
                                                                                            <w:bottom w:val="none" w:sz="0" w:space="0" w:color="auto"/>
                                                                                            <w:right w:val="none" w:sz="0" w:space="0" w:color="auto"/>
                                                                                          </w:divBdr>
                                                                                          <w:divsChild>
                                                                                            <w:div w:id="836069468">
                                                                                              <w:marLeft w:val="0"/>
                                                                                              <w:marRight w:val="0"/>
                                                                                              <w:marTop w:val="0"/>
                                                                                              <w:marBottom w:val="0"/>
                                                                                              <w:divBdr>
                                                                                                <w:top w:val="none" w:sz="0" w:space="0" w:color="auto"/>
                                                                                                <w:left w:val="none" w:sz="0" w:space="0" w:color="auto"/>
                                                                                                <w:bottom w:val="none" w:sz="0" w:space="0" w:color="auto"/>
                                                                                                <w:right w:val="none" w:sz="0" w:space="0" w:color="auto"/>
                                                                                              </w:divBdr>
                                                                                              <w:divsChild>
                                                                                                <w:div w:id="909654959">
                                                                                                  <w:marLeft w:val="0"/>
                                                                                                  <w:marRight w:val="0"/>
                                                                                                  <w:marTop w:val="0"/>
                                                                                                  <w:marBottom w:val="0"/>
                                                                                                  <w:divBdr>
                                                                                                    <w:top w:val="none" w:sz="0" w:space="0" w:color="auto"/>
                                                                                                    <w:left w:val="none" w:sz="0" w:space="0" w:color="auto"/>
                                                                                                    <w:bottom w:val="none" w:sz="0" w:space="0" w:color="auto"/>
                                                                                                    <w:right w:val="none" w:sz="0" w:space="0" w:color="auto"/>
                                                                                                  </w:divBdr>
                                                                                                  <w:divsChild>
                                                                                                    <w:div w:id="1170174875">
                                                                                                      <w:marLeft w:val="0"/>
                                                                                                      <w:marRight w:val="0"/>
                                                                                                      <w:marTop w:val="0"/>
                                                                                                      <w:marBottom w:val="0"/>
                                                                                                      <w:divBdr>
                                                                                                        <w:top w:val="none" w:sz="0" w:space="0" w:color="auto"/>
                                                                                                        <w:left w:val="none" w:sz="0" w:space="0" w:color="auto"/>
                                                                                                        <w:bottom w:val="none" w:sz="0" w:space="0" w:color="auto"/>
                                                                                                        <w:right w:val="none" w:sz="0" w:space="0" w:color="auto"/>
                                                                                                      </w:divBdr>
                                                                                                      <w:divsChild>
                                                                                                        <w:div w:id="110637782">
                                                                                                          <w:marLeft w:val="0"/>
                                                                                                          <w:marRight w:val="0"/>
                                                                                                          <w:marTop w:val="0"/>
                                                                                                          <w:marBottom w:val="0"/>
                                                                                                          <w:divBdr>
                                                                                                            <w:top w:val="none" w:sz="0" w:space="0" w:color="auto"/>
                                                                                                            <w:left w:val="none" w:sz="0" w:space="0" w:color="auto"/>
                                                                                                            <w:bottom w:val="none" w:sz="0" w:space="0" w:color="auto"/>
                                                                                                            <w:right w:val="none" w:sz="0" w:space="0" w:color="auto"/>
                                                                                                          </w:divBdr>
                                                                                                          <w:divsChild>
                                                                                                            <w:div w:id="1462335206">
                                                                                                              <w:marLeft w:val="0"/>
                                                                                                              <w:marRight w:val="0"/>
                                                                                                              <w:marTop w:val="0"/>
                                                                                                              <w:marBottom w:val="0"/>
                                                                                                              <w:divBdr>
                                                                                                                <w:top w:val="none" w:sz="0" w:space="0" w:color="auto"/>
                                                                                                                <w:left w:val="none" w:sz="0" w:space="0" w:color="auto"/>
                                                                                                                <w:bottom w:val="none" w:sz="0" w:space="0" w:color="auto"/>
                                                                                                                <w:right w:val="none" w:sz="0" w:space="0" w:color="auto"/>
                                                                                                              </w:divBdr>
                                                                                                              <w:divsChild>
                                                                                                                <w:div w:id="12040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248351">
      <w:bodyDiv w:val="1"/>
      <w:marLeft w:val="0"/>
      <w:marRight w:val="0"/>
      <w:marTop w:val="0"/>
      <w:marBottom w:val="0"/>
      <w:divBdr>
        <w:top w:val="none" w:sz="0" w:space="0" w:color="auto"/>
        <w:left w:val="none" w:sz="0" w:space="0" w:color="auto"/>
        <w:bottom w:val="none" w:sz="0" w:space="0" w:color="auto"/>
        <w:right w:val="none" w:sz="0" w:space="0" w:color="auto"/>
      </w:divBdr>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8C985-5BA2-481D-8AA0-97D71175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5135</Words>
  <Characters>2928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Petrauskaite Agne</cp:lastModifiedBy>
  <cp:revision>3</cp:revision>
  <cp:lastPrinted>2019-01-07T08:36:00Z</cp:lastPrinted>
  <dcterms:created xsi:type="dcterms:W3CDTF">2020-04-08T03:51:00Z</dcterms:created>
  <dcterms:modified xsi:type="dcterms:W3CDTF">2020-04-09T05:52:00Z</dcterms:modified>
</cp:coreProperties>
</file>