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11" w:rsidRPr="00044611" w:rsidRDefault="00044611" w:rsidP="00044611">
      <w:pPr>
        <w:tabs>
          <w:tab w:val="left" w:pos="993"/>
        </w:tabs>
        <w:spacing w:after="0" w:line="240" w:lineRule="auto"/>
        <w:ind w:left="5245"/>
        <w:rPr>
          <w:rFonts w:ascii="Times New Roman" w:hAnsi="Times New Roman"/>
          <w:caps/>
        </w:rPr>
      </w:pPr>
      <w:r w:rsidRPr="00044611">
        <w:rPr>
          <w:rFonts w:ascii="Times New Roman" w:hAnsi="Times New Roman"/>
          <w:caps/>
        </w:rPr>
        <w:t xml:space="preserve">PATVIRTINTA </w:t>
      </w:r>
    </w:p>
    <w:p w:rsidR="00044611" w:rsidRPr="00044611" w:rsidRDefault="00044611" w:rsidP="00044611">
      <w:pPr>
        <w:pStyle w:val="Antrats"/>
        <w:tabs>
          <w:tab w:val="center" w:pos="6096"/>
        </w:tabs>
        <w:ind w:left="5245" w:hanging="709"/>
        <w:rPr>
          <w:iCs/>
          <w:sz w:val="20"/>
        </w:rPr>
      </w:pPr>
      <w:r w:rsidRPr="00044611">
        <w:rPr>
          <w:rFonts w:ascii="Cambria" w:hAnsi="Cambria"/>
          <w:iCs/>
        </w:rPr>
        <w:t xml:space="preserve">              </w:t>
      </w:r>
      <w:r w:rsidRPr="00044611">
        <w:rPr>
          <w:iCs/>
          <w:sz w:val="20"/>
        </w:rPr>
        <w:t xml:space="preserve">Veiksmų programos valdymo komiteto 2016 m. birželio 29 d. </w:t>
      </w:r>
      <w:r w:rsidRPr="00044611">
        <w:rPr>
          <w:color w:val="000000"/>
          <w:sz w:val="20"/>
        </w:rPr>
        <w:t xml:space="preserve">posėdžio sprendimu protokolu Nr. 38 </w:t>
      </w:r>
    </w:p>
    <w:p w:rsidR="00044611" w:rsidRPr="00044611" w:rsidRDefault="00044611" w:rsidP="00044611">
      <w:pPr>
        <w:pStyle w:val="Antrats"/>
        <w:tabs>
          <w:tab w:val="center" w:pos="6096"/>
        </w:tabs>
        <w:ind w:left="5245" w:hanging="709"/>
        <w:rPr>
          <w:iCs/>
          <w:sz w:val="20"/>
        </w:rPr>
      </w:pPr>
    </w:p>
    <w:p w:rsidR="00044611" w:rsidRPr="00CF7D08" w:rsidRDefault="00044611" w:rsidP="00044611">
      <w:pPr>
        <w:tabs>
          <w:tab w:val="center" w:pos="4819"/>
          <w:tab w:val="right" w:pos="9638"/>
        </w:tabs>
        <w:spacing w:after="0" w:line="240" w:lineRule="auto"/>
        <w:rPr>
          <w:rFonts w:ascii="Times New Roman" w:hAnsi="Times New Roman"/>
          <w:iCs/>
          <w:sz w:val="20"/>
          <w:szCs w:val="20"/>
        </w:rPr>
      </w:pPr>
      <w:r w:rsidRPr="00044611">
        <w:rPr>
          <w:rFonts w:ascii="Times New Roman" w:hAnsi="Times New Roman"/>
          <w:iCs/>
          <w:sz w:val="20"/>
          <w:szCs w:val="20"/>
        </w:rPr>
        <w:t xml:space="preserve">                                                                                                          Aktuali redakcija nuo 20</w:t>
      </w:r>
      <w:r w:rsidR="00C1244A">
        <w:rPr>
          <w:rFonts w:ascii="Times New Roman" w:hAnsi="Times New Roman"/>
          <w:iCs/>
          <w:sz w:val="20"/>
          <w:szCs w:val="20"/>
        </w:rPr>
        <w:t xml:space="preserve">20 </w:t>
      </w:r>
      <w:r w:rsidRPr="00044611">
        <w:rPr>
          <w:rFonts w:ascii="Times New Roman" w:hAnsi="Times New Roman"/>
          <w:iCs/>
          <w:sz w:val="20"/>
          <w:szCs w:val="20"/>
        </w:rPr>
        <w:t xml:space="preserve">m. </w:t>
      </w:r>
      <w:r w:rsidR="00FC18B2" w:rsidRPr="00FC18B2">
        <w:rPr>
          <w:rFonts w:ascii="Times New Roman" w:hAnsi="Times New Roman"/>
          <w:iCs/>
          <w:sz w:val="20"/>
          <w:szCs w:val="20"/>
        </w:rPr>
        <w:t>balandžio 9</w:t>
      </w:r>
      <w:r w:rsidRPr="00FC18B2">
        <w:rPr>
          <w:rFonts w:ascii="Times New Roman" w:hAnsi="Times New Roman"/>
          <w:iCs/>
          <w:sz w:val="20"/>
          <w:szCs w:val="20"/>
        </w:rPr>
        <w:t xml:space="preserve"> d.</w:t>
      </w:r>
    </w:p>
    <w:p w:rsidR="00044611" w:rsidRDefault="00044611" w:rsidP="00B3009B">
      <w:pPr>
        <w:spacing w:after="0" w:line="240" w:lineRule="auto"/>
        <w:ind w:firstLine="851"/>
        <w:jc w:val="center"/>
        <w:rPr>
          <w:rFonts w:ascii="Times New Roman" w:hAnsi="Times New Roman" w:cs="Times New Roman"/>
          <w:b/>
          <w:sz w:val="24"/>
          <w:szCs w:val="24"/>
        </w:rPr>
      </w:pPr>
    </w:p>
    <w:p w:rsidR="00EA3509" w:rsidRPr="0068597E" w:rsidRDefault="001B7776" w:rsidP="00B3009B">
      <w:pPr>
        <w:spacing w:after="0" w:line="240" w:lineRule="auto"/>
        <w:ind w:firstLine="851"/>
        <w:jc w:val="center"/>
        <w:rPr>
          <w:rFonts w:ascii="Times New Roman" w:hAnsi="Times New Roman" w:cs="Times New Roman"/>
          <w:b/>
          <w:sz w:val="24"/>
          <w:szCs w:val="24"/>
        </w:rPr>
      </w:pPr>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lastRenderedPageBreak/>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41 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stebėseną atsakingi projektų vykdytojai. Už šiame punkte nurodytų </w:t>
      </w:r>
      <w:r w:rsidRPr="0068597E">
        <w:rPr>
          <w:rFonts w:ascii="Times New Roman" w:hAnsi="Times New Roman" w:cs="Times New Roman"/>
          <w:b/>
          <w:i/>
          <w:sz w:val="24"/>
          <w:szCs w:val="24"/>
        </w:rPr>
        <w:lastRenderedPageBreak/>
        <w:t>reikalavimų įgyvendinimą ir stebėseną,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 xml:space="preserve">arba kurios nors finansavimo formos taikymas gali būti išankstinė kitos finansavimo formos taikymo sąlyga, nepažeidžiant Taisyklių 50 punkte nustatytų reikalavimų, kai ministerija nustato tam tikrus skirtingų finansavimo formų </w:t>
      </w:r>
      <w:r w:rsidRPr="0068597E">
        <w:rPr>
          <w:rFonts w:ascii="Times New Roman" w:hAnsi="Times New Roman" w:cs="Times New Roman"/>
          <w:b/>
          <w:i/>
          <w:sz w:val="24"/>
          <w:szCs w:val="24"/>
        </w:rPr>
        <w:lastRenderedPageBreak/>
        <w:t>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w:t>
      </w:r>
      <w:r w:rsidRPr="003023C3">
        <w:rPr>
          <w:rFonts w:ascii="Times New Roman" w:hAnsi="Times New Roman" w:cs="Times New Roman"/>
          <w:b/>
          <w:i/>
          <w:sz w:val="24"/>
          <w:szCs w:val="24"/>
        </w:rPr>
        <w:t xml:space="preserve">, įskaitant </w:t>
      </w:r>
      <w:r w:rsidR="00331754" w:rsidRPr="003023C3">
        <w:rPr>
          <w:rFonts w:ascii="Times New Roman" w:hAnsi="Times New Roman" w:cs="Times New Roman"/>
          <w:b/>
          <w:i/>
          <w:sz w:val="24"/>
          <w:szCs w:val="24"/>
        </w:rPr>
        <w:t>smulkiojo a</w:t>
      </w:r>
      <w:r w:rsidR="002A1093" w:rsidRPr="003023C3">
        <w:rPr>
          <w:rFonts w:ascii="Times New Roman" w:hAnsi="Times New Roman" w:cs="Times New Roman"/>
          <w:b/>
          <w:i/>
          <w:sz w:val="24"/>
          <w:szCs w:val="24"/>
        </w:rPr>
        <w:t xml:space="preserve">r vidutinio verslo </w:t>
      </w:r>
      <w:r w:rsidRPr="003023C3">
        <w:rPr>
          <w:rFonts w:ascii="Times New Roman" w:hAnsi="Times New Roman" w:cs="Times New Roman"/>
          <w:b/>
          <w:i/>
          <w:sz w:val="24"/>
          <w:szCs w:val="24"/>
        </w:rPr>
        <w:t>s</w:t>
      </w:r>
      <w:r w:rsidR="002A1093" w:rsidRPr="003023C3">
        <w:rPr>
          <w:rFonts w:ascii="Times New Roman" w:hAnsi="Times New Roman" w:cs="Times New Roman"/>
          <w:b/>
          <w:i/>
          <w:sz w:val="24"/>
          <w:szCs w:val="24"/>
        </w:rPr>
        <w:t>ubjektus</w:t>
      </w:r>
      <w:r w:rsidRPr="003023C3">
        <w:rPr>
          <w:rFonts w:ascii="Times New Roman" w:hAnsi="Times New Roman" w:cs="Times New Roman"/>
          <w:b/>
          <w:i/>
          <w:sz w:val="24"/>
          <w:szCs w:val="24"/>
        </w:rPr>
        <w:t>, kaip j</w:t>
      </w:r>
      <w:r w:rsidR="002A1093" w:rsidRPr="003023C3">
        <w:rPr>
          <w:rFonts w:ascii="Times New Roman" w:hAnsi="Times New Roman" w:cs="Times New Roman"/>
          <w:b/>
          <w:i/>
          <w:sz w:val="24"/>
          <w:szCs w:val="24"/>
        </w:rPr>
        <w:t>ie apibrėžti</w:t>
      </w:r>
      <w:r w:rsidRPr="003023C3">
        <w:rPr>
          <w:rFonts w:ascii="Times New Roman" w:hAnsi="Times New Roman" w:cs="Times New Roman"/>
          <w:b/>
          <w:i/>
          <w:sz w:val="24"/>
          <w:szCs w:val="24"/>
        </w:rPr>
        <w:t xml:space="preserve"> Lietuvos Respublikos smulkiojo ir vidutinio verslo plėtros įstatyme, finansavimas turi būti skiriamas, kaip nurodyta Reglamento (ES) Nr. 1303/2013 37 straipsnio 4 dalyje, t. y. naujoms įmonėms steigti, ankstyvosios stadijos kapitalui </w:t>
      </w:r>
      <w:proofErr w:type="gramStart"/>
      <w:r w:rsidRPr="003023C3">
        <w:rPr>
          <w:rFonts w:ascii="Times New Roman" w:hAnsi="Times New Roman" w:cs="Times New Roman"/>
          <w:b/>
          <w:i/>
          <w:sz w:val="24"/>
          <w:szCs w:val="24"/>
        </w:rPr>
        <w:t>(</w:t>
      </w:r>
      <w:proofErr w:type="gramEnd"/>
      <w:r w:rsidRPr="003023C3">
        <w:rPr>
          <w:rFonts w:ascii="Times New Roman" w:hAnsi="Times New Roman" w:cs="Times New Roman"/>
          <w:b/>
          <w:i/>
          <w:sz w:val="24"/>
          <w:szCs w:val="24"/>
        </w:rPr>
        <w:t xml:space="preserve">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w:t>
      </w:r>
      <w:r w:rsidR="002A1093" w:rsidRPr="003023C3">
        <w:rPr>
          <w:rFonts w:ascii="Times New Roman" w:hAnsi="Times New Roman" w:cs="Times New Roman"/>
          <w:b/>
          <w:bCs/>
          <w:i/>
          <w:sz w:val="24"/>
          <w:szCs w:val="24"/>
        </w:rPr>
        <w:t xml:space="preserve">Finansinėmis priemonėmis taip pat gali būti teikiamas finansavimas  smulkiojo ar vidutinio verslo subjektams apyvartinio kapitalo forma kaip laikina priemonė </w:t>
      </w:r>
      <w:r w:rsidR="00331754" w:rsidRPr="003023C3">
        <w:rPr>
          <w:rFonts w:ascii="Times New Roman" w:hAnsi="Times New Roman" w:cs="Times New Roman"/>
          <w:b/>
          <w:bCs/>
          <w:i/>
          <w:sz w:val="24"/>
          <w:szCs w:val="24"/>
        </w:rPr>
        <w:t>krizės, keliančios grėsmę visuomenės sveikatai (socialiniam saugumui), priežastims ir jos padariniams šalinti</w:t>
      </w:r>
      <w:r w:rsidR="002A1093" w:rsidRPr="003023C3">
        <w:rPr>
          <w:rFonts w:ascii="Times New Roman" w:hAnsi="Times New Roman" w:cs="Times New Roman"/>
          <w:b/>
          <w:bCs/>
          <w:i/>
          <w:sz w:val="24"/>
          <w:szCs w:val="24"/>
        </w:rPr>
        <w:t>.</w:t>
      </w:r>
      <w:r w:rsidR="002A1093" w:rsidRPr="003023C3">
        <w:rPr>
          <w:szCs w:val="24"/>
        </w:rPr>
        <w:t xml:space="preserve"> </w:t>
      </w:r>
      <w:r w:rsidRPr="003023C3">
        <w:rPr>
          <w:rFonts w:ascii="Times New Roman" w:hAnsi="Times New Roman" w:cs="Times New Roman"/>
          <w:b/>
          <w:i/>
          <w:sz w:val="24"/>
          <w:szCs w:val="24"/>
        </w:rPr>
        <w:t xml:space="preserve">Vadovaujantis Reglamento (ES) Nr. 1303/2013 37 straipsnio 5 dalimi, investicijos, kurioms turi būti </w:t>
      </w:r>
      <w:r w:rsidRPr="0068597E">
        <w:rPr>
          <w:rFonts w:ascii="Times New Roman" w:hAnsi="Times New Roman" w:cs="Times New Roman"/>
          <w:b/>
          <w:i/>
          <w:sz w:val="24"/>
          <w:szCs w:val="24"/>
        </w:rPr>
        <w:t>skiriamas finansinių priemonių finansavimas, sprendimo 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rsidR="00790D82" w:rsidRPr="003023C3" w:rsidRDefault="00790D82" w:rsidP="00B3009B">
      <w:pPr>
        <w:tabs>
          <w:tab w:val="left" w:pos="1276"/>
          <w:tab w:val="left" w:pos="1560"/>
        </w:tabs>
        <w:spacing w:after="0" w:line="240" w:lineRule="auto"/>
        <w:ind w:firstLine="851"/>
        <w:jc w:val="both"/>
        <w:rPr>
          <w:rFonts w:ascii="Times New Roman" w:hAnsi="Times New Roman" w:cs="Times New Roman"/>
          <w:sz w:val="24"/>
          <w:szCs w:val="24"/>
        </w:rPr>
      </w:pPr>
      <w:r w:rsidRPr="003023C3">
        <w:rPr>
          <w:rFonts w:ascii="Times New Roman" w:hAnsi="Times New Roman" w:cs="Times New Roman"/>
          <w:sz w:val="24"/>
          <w:szCs w:val="24"/>
        </w:rPr>
        <w:t xml:space="preserve">7. </w:t>
      </w:r>
      <w:r w:rsidR="00C7276C" w:rsidRPr="003023C3">
        <w:rPr>
          <w:rFonts w:ascii="Times New Roman" w:hAnsi="Times New Roman" w:cs="Times New Roman"/>
          <w:sz w:val="24"/>
          <w:szCs w:val="24"/>
        </w:rPr>
        <w:t>Finansavimas įmonėms, kurios 2019 m. gruodžio 31 d. nebuvo sunkumų patiriančios, kaip nurodyta Europos Komisijos komunikato „Gairės dėl valstybės pagalbos sunkumų patiriančioms ne finansų įmonėms sanuoti ir r</w:t>
      </w:r>
      <w:r w:rsidR="002A1093" w:rsidRPr="003023C3">
        <w:rPr>
          <w:rFonts w:ascii="Times New Roman" w:hAnsi="Times New Roman" w:cs="Times New Roman"/>
          <w:sz w:val="24"/>
          <w:szCs w:val="24"/>
        </w:rPr>
        <w:t>estruktūrizuoti“ 2.2 skirsnyje,</w:t>
      </w:r>
      <w:r w:rsidR="00C7276C" w:rsidRPr="003023C3">
        <w:rPr>
          <w:rFonts w:ascii="Times New Roman" w:hAnsi="Times New Roman" w:cs="Times New Roman"/>
          <w:sz w:val="24"/>
          <w:szCs w:val="24"/>
        </w:rPr>
        <w:t>  Europos Komisijos 2020 m. kovo 19 d. patvirtinto komunikat</w:t>
      </w:r>
      <w:r w:rsidR="002A1093" w:rsidRPr="003023C3">
        <w:rPr>
          <w:rFonts w:ascii="Times New Roman" w:hAnsi="Times New Roman" w:cs="Times New Roman"/>
          <w:sz w:val="24"/>
          <w:szCs w:val="24"/>
        </w:rPr>
        <w:t>o</w:t>
      </w:r>
      <w:r w:rsidR="00C7276C" w:rsidRPr="003023C3">
        <w:rPr>
          <w:rFonts w:ascii="Times New Roman" w:hAnsi="Times New Roman" w:cs="Times New Roman"/>
          <w:sz w:val="24"/>
          <w:szCs w:val="24"/>
        </w:rPr>
        <w:t xml:space="preserve"> „Laikinoji valstybės pagalbos priemonių, skirtų ekonomikai remti reaguojant į dabartinį COVID-19 protrūkį, sistema“ taikymo laikotarpiu, gali būti skiriamas paskoloms, skirtoms įmonių veiklos palaikymui, įskaitant  paskolas, teikia</w:t>
      </w:r>
      <w:r w:rsidR="002A1093" w:rsidRPr="003023C3">
        <w:rPr>
          <w:rFonts w:ascii="Times New Roman" w:hAnsi="Times New Roman" w:cs="Times New Roman"/>
          <w:sz w:val="24"/>
          <w:szCs w:val="24"/>
        </w:rPr>
        <w:t>mas įmonių likvidumui palaikyti</w:t>
      </w:r>
      <w:r w:rsidR="00C7276C" w:rsidRPr="003023C3">
        <w:rPr>
          <w:rFonts w:ascii="Times New Roman" w:hAnsi="Times New Roman" w:cs="Times New Roman"/>
          <w:sz w:val="24"/>
          <w:szCs w:val="24"/>
        </w:rPr>
        <w:t>,</w:t>
      </w:r>
      <w:r w:rsidR="002A1093" w:rsidRPr="003023C3">
        <w:rPr>
          <w:rFonts w:ascii="Times New Roman" w:hAnsi="Times New Roman" w:cs="Times New Roman"/>
          <w:sz w:val="24"/>
          <w:szCs w:val="24"/>
        </w:rPr>
        <w:t xml:space="preserve"> </w:t>
      </w:r>
      <w:r w:rsidR="00C7276C" w:rsidRPr="003023C3">
        <w:rPr>
          <w:rFonts w:ascii="Times New Roman" w:hAnsi="Times New Roman" w:cs="Times New Roman"/>
          <w:sz w:val="24"/>
          <w:szCs w:val="24"/>
        </w:rPr>
        <w:t>kai įmonė nesugeba įvykdyti savo trumpalaikių įsipareigojimų.</w:t>
      </w:r>
    </w:p>
    <w:p w:rsidR="0081523D" w:rsidRPr="0068597E"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0A6B1C">
        <w:tc>
          <w:tcPr>
            <w:tcW w:w="9889" w:type="dxa"/>
          </w:tcPr>
          <w:p w:rsidR="00470ECE" w:rsidRPr="0068597E" w:rsidRDefault="00470ECE" w:rsidP="00A114D4">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planuojama suteikti 100.000 EUR paskolą, kur </w:t>
            </w:r>
            <w:r w:rsidR="00A114D4">
              <w:rPr>
                <w:rFonts w:ascii="Times New Roman" w:hAnsi="Times New Roman" w:cs="Times New Roman"/>
                <w:sz w:val="24"/>
                <w:szCs w:val="24"/>
              </w:rPr>
              <w:t>51</w:t>
            </w:r>
            <w:r w:rsidRPr="0068597E">
              <w:rPr>
                <w:rFonts w:ascii="Times New Roman" w:hAnsi="Times New Roman" w:cs="Times New Roman"/>
                <w:sz w:val="24"/>
                <w:szCs w:val="24"/>
              </w:rPr>
              <w:t xml:space="preserve">.000 EUR paskolos lėšų yra </w:t>
            </w:r>
            <w:r w:rsidRPr="0068597E">
              <w:rPr>
                <w:rFonts w:ascii="Times New Roman" w:hAnsi="Times New Roman" w:cs="Times New Roman"/>
                <w:sz w:val="24"/>
                <w:szCs w:val="24"/>
              </w:rPr>
              <w:lastRenderedPageBreak/>
              <w:t xml:space="preserve">planuojama skirti įrangai pirkti, o likusi, </w:t>
            </w:r>
            <w:r w:rsidR="00A114D4">
              <w:rPr>
                <w:rFonts w:ascii="Times New Roman" w:hAnsi="Times New Roman" w:cs="Times New Roman"/>
                <w:sz w:val="24"/>
                <w:szCs w:val="24"/>
              </w:rPr>
              <w:t>49</w:t>
            </w:r>
            <w:r w:rsidRPr="0068597E">
              <w:rPr>
                <w:rFonts w:ascii="Times New Roman" w:hAnsi="Times New Roman" w:cs="Times New Roman"/>
                <w:sz w:val="24"/>
                <w:szCs w:val="24"/>
              </w:rPr>
              <w:t xml:space="preserve">.000 EUR paskolos dalis, planuojama skirti apyvartiniam kapitalui papildyti, tokia paskola </w:t>
            </w:r>
            <w:proofErr w:type="gramStart"/>
            <w:r w:rsidRPr="0068597E">
              <w:rPr>
                <w:rFonts w:ascii="Times New Roman" w:hAnsi="Times New Roman" w:cs="Times New Roman"/>
                <w:sz w:val="24"/>
                <w:szCs w:val="24"/>
              </w:rPr>
              <w:t>bus laikoma investicine paskola</w:t>
            </w:r>
            <w:proofErr w:type="gramEnd"/>
            <w:r w:rsidRPr="0068597E">
              <w:rPr>
                <w:rFonts w:ascii="Times New Roman" w:hAnsi="Times New Roman" w:cs="Times New Roman"/>
                <w:sz w:val="24"/>
                <w:szCs w:val="24"/>
              </w:rPr>
              <w:t>. Kitu atveju, jeigu 5</w:t>
            </w:r>
            <w:r w:rsidR="00A114D4">
              <w:rPr>
                <w:rFonts w:ascii="Times New Roman" w:hAnsi="Times New Roman" w:cs="Times New Roman"/>
                <w:sz w:val="24"/>
                <w:szCs w:val="24"/>
              </w:rPr>
              <w:t>0</w:t>
            </w:r>
            <w:r w:rsidRPr="0068597E">
              <w:rPr>
                <w:rFonts w:ascii="Times New Roman" w:hAnsi="Times New Roman" w:cs="Times New Roman"/>
                <w:sz w:val="24"/>
                <w:szCs w:val="24"/>
              </w:rPr>
              <w:t>.000 EUR paskolos lėšų bus planuojama skirti įrangai pirkti, o likusi, 5</w:t>
            </w:r>
            <w:r w:rsidR="00A114D4">
              <w:rPr>
                <w:rFonts w:ascii="Times New Roman" w:hAnsi="Times New Roman" w:cs="Times New Roman"/>
                <w:sz w:val="24"/>
                <w:szCs w:val="24"/>
              </w:rPr>
              <w:t>0</w:t>
            </w:r>
            <w:r w:rsidRPr="0068597E">
              <w:rPr>
                <w:rFonts w:ascii="Times New Roman" w:hAnsi="Times New Roman" w:cs="Times New Roman"/>
                <w:sz w:val="24"/>
                <w:szCs w:val="24"/>
              </w:rPr>
              <w:t xml:space="preserve">.000 EUR paskolos dalis apyvartiniam kapitalui papildyti, tokia paskola </w:t>
            </w:r>
            <w:proofErr w:type="gramStart"/>
            <w:r w:rsidRPr="0068597E">
              <w:rPr>
                <w:rFonts w:ascii="Times New Roman" w:hAnsi="Times New Roman" w:cs="Times New Roman"/>
                <w:sz w:val="24"/>
                <w:szCs w:val="24"/>
              </w:rPr>
              <w:t>bus laikoma apyvartine paskola</w:t>
            </w:r>
            <w:proofErr w:type="gramEnd"/>
            <w:r w:rsidRPr="0068597E">
              <w:rPr>
                <w:rFonts w:ascii="Times New Roman" w:hAnsi="Times New Roman" w:cs="Times New Roman"/>
                <w:sz w:val="24"/>
                <w:szCs w:val="24"/>
              </w:rPr>
              <w:t>.</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w:t>
      </w:r>
      <w:r w:rsidR="001342A6">
        <w:rPr>
          <w:rFonts w:ascii="Times New Roman" w:hAnsi="Times New Roman" w:cs="Times New Roman"/>
          <w:sz w:val="24"/>
          <w:szCs w:val="24"/>
        </w:rPr>
        <w:lastRenderedPageBreak/>
        <w:t xml:space="preserve">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Kredito linijų atveju, dokumentai, įrodantys kredito linijos išmokėjimą ir tinkamą kredito linijos panaudojimą, kaupiami tik iki 100 proc. kredito linijos sumos (kredito linijos sutartyje nurodytos sumos), skaičiuojant visus pirmus išmokėjimus pagal kredito liniją, neįvertinant tarpinių grąžinimų pagal kredito liniją.</w:t>
      </w:r>
    </w:p>
    <w:p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5E0CFA" w:rsidRPr="00D54CFF" w:rsidRDefault="005E0CFA" w:rsidP="005E0CFA">
      <w:pPr>
        <w:tabs>
          <w:tab w:val="left" w:pos="1276"/>
          <w:tab w:val="left" w:pos="1560"/>
        </w:tabs>
        <w:spacing w:after="0" w:line="240" w:lineRule="auto"/>
        <w:ind w:firstLine="851"/>
        <w:jc w:val="both"/>
        <w:rPr>
          <w:rFonts w:ascii="Times New Roman" w:hAnsi="Times New Roman" w:cs="Times New Roman"/>
          <w:sz w:val="24"/>
          <w:szCs w:val="24"/>
        </w:rPr>
      </w:pPr>
      <w:r w:rsidRPr="00D54CFF">
        <w:rPr>
          <w:rFonts w:ascii="Times New Roman" w:hAnsi="Times New Roman" w:cs="Times New Roman"/>
          <w:b/>
          <w:sz w:val="24"/>
          <w:szCs w:val="24"/>
        </w:rPr>
        <w:t>Pavyzdys Nr. 5.</w:t>
      </w:r>
      <w:r w:rsidRPr="00D54CFF">
        <w:rPr>
          <w:rFonts w:ascii="Times New Roman" w:hAnsi="Times New Roman" w:cs="Times New Roman"/>
          <w:sz w:val="24"/>
          <w:szCs w:val="24"/>
        </w:rPr>
        <w:t xml:space="preserve"> Tinkamos finansuoti išlaidos</w:t>
      </w:r>
    </w:p>
    <w:p w:rsidR="005E0CFA" w:rsidRPr="00D54CFF" w:rsidRDefault="005E0CFA" w:rsidP="005E0CFA">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D54CFF">
        <w:rPr>
          <w:rFonts w:ascii="Times New Roman" w:hAnsi="Times New Roman" w:cs="Times New Roman"/>
          <w:sz w:val="24"/>
          <w:szCs w:val="24"/>
        </w:rPr>
        <w:t>Įmonė D teikia paraišką vienam iš finansinės priemonės valdytojų dėl paskolos investicijai (įrangos įsigijimui). Paraiškos pateikimo metu įmonė yra pasirašiusi sutartį dėl įrangos pirkimo ir sumokėjusi avansą. Jei per laikotarpį iki sprendimo finansuoti projektą, kuris negali būti ilgesnis nei 3 mėnesiai nuo sutarties dėl įrangos įsigijimo pasirašymo, situacija nesikeičia, tinkamomis finansuoti išlaidomis būtų pripažįstama paskolos lėšomis finansuota investicijos (įrangos įsigijimo) suma, išskyrus įmonės D jau sumokėtą avansą.</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 xml:space="preserve">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w:t>
      </w:r>
      <w:r w:rsidR="00BC1565" w:rsidRPr="0068597E">
        <w:rPr>
          <w:rFonts w:ascii="Times New Roman" w:hAnsi="Times New Roman" w:cs="Times New Roman"/>
          <w:b/>
          <w:i/>
          <w:sz w:val="24"/>
          <w:szCs w:val="24"/>
        </w:rPr>
        <w:lastRenderedPageBreak/>
        <w:t>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lastRenderedPageBreak/>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(kompensacinę) dalį Valdytojas perveda kiekvienam naudos gavėjui mėnesio pabaigoje. Po 2023 m. gruodžio 31 d. Valdytojas dar turi kompensuoti garantijos mokestį už banko išduotas garantijas, kurių galiojimo laikotarpis yra 2028 m. pab.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lastRenderedPageBreak/>
        <w:drawing>
          <wp:inline distT="0" distB="0" distL="0" distR="0" wp14:anchorId="447E8D69" wp14:editId="4603D4D4">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fondą įgyvendinantis subjektas arba finansines priemones įgyvendinantys subjektai, kaip numatyta 38 straipsnio 4 dalies a ir b punktuose, gali reikalauti atlyginti šio straipsnio 1 dalies </w:t>
            </w:r>
            <w:r w:rsidRPr="0068597E">
              <w:rPr>
                <w:rFonts w:ascii="Times New Roman" w:hAnsi="Times New Roman" w:cs="Times New Roman"/>
                <w:bCs/>
                <w:i/>
                <w:sz w:val="24"/>
                <w:szCs w:val="24"/>
              </w:rPr>
              <w:lastRenderedPageBreak/>
              <w:t>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rodiklis kiekvienai priemonei bus skaičiuojamas naudojant šiuos įverčius: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 xml:space="preserve">Nepasiekus rodiklio, proporcingai </w:t>
            </w:r>
            <w:r w:rsidRPr="0068597E">
              <w:rPr>
                <w:rFonts w:ascii="Times New Roman" w:hAnsi="Times New Roman" w:cs="Times New Roman"/>
                <w:b/>
                <w:iCs/>
                <w:sz w:val="24"/>
                <w:szCs w:val="24"/>
              </w:rPr>
              <w:lastRenderedPageBreak/>
              <w:t>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Pvz. fondų fondo valdytojas ataskaitinio laikotarpio pabaigai pasiekė abu rodiklius 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w:t>
            </w:r>
            <w:r w:rsidRPr="0068597E">
              <w:rPr>
                <w:rFonts w:ascii="Times New Roman" w:hAnsi="Times New Roman" w:cs="Times New Roman"/>
                <w:bCs/>
                <w:sz w:val="24"/>
                <w:szCs w:val="24"/>
              </w:rPr>
              <w:lastRenderedPageBreak/>
              <w:t xml:space="preserve">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xml:space="preserve">) priemonių valdymu, jeigu bus tenkinamas investicijų kokybės kriterijus. Sutartyje numatyta, kad investicijų kokybę papildančios priemonės bus vertinamos </w:t>
      </w:r>
      <w:r w:rsidRPr="0068597E">
        <w:rPr>
          <w:rFonts w:ascii="Times New Roman" w:hAnsi="Times New Roman" w:cs="Times New Roman"/>
          <w:bCs/>
          <w:sz w:val="24"/>
          <w:szCs w:val="24"/>
        </w:rPr>
        <w:lastRenderedPageBreak/>
        <w:t>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Abiem stebėsenos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Ribinis dydis skaičiuojamas kaip bazinio atlygio (a dalis) ir veiklos rezultatais grįsto atlygio (b dalis) suma. 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w:t>
            </w:r>
            <w:r w:rsidRPr="0068597E">
              <w:rPr>
                <w:rFonts w:ascii="Times New Roman" w:hAnsi="Times New Roman" w:cs="Times New Roman"/>
              </w:rPr>
              <w:lastRenderedPageBreak/>
              <w:t xml:space="preserve">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lastRenderedPageBreak/>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w:t>
      </w:r>
      <w:r w:rsidR="005B4777" w:rsidRPr="0068597E">
        <w:rPr>
          <w:rFonts w:ascii="Times New Roman" w:hAnsi="Times New Roman" w:cs="Times New Roman"/>
          <w:sz w:val="24"/>
          <w:szCs w:val="24"/>
        </w:rPr>
        <w:lastRenderedPageBreak/>
        <w:t xml:space="preserve">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lastRenderedPageBreak/>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w:t>
            </w:r>
            <w:r w:rsidRPr="0068597E">
              <w:rPr>
                <w:rFonts w:ascii="Times New Roman" w:hAnsi="Times New Roman" w:cs="Times New Roman"/>
                <w:i/>
                <w:sz w:val="24"/>
                <w:szCs w:val="24"/>
              </w:rPr>
              <w:lastRenderedPageBreak/>
              <w:t xml:space="preserve">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lastRenderedPageBreak/>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Default="005B4777" w:rsidP="00B3009B">
      <w:pPr>
        <w:pStyle w:val="Default"/>
        <w:ind w:firstLine="851"/>
        <w:jc w:val="both"/>
        <w:rPr>
          <w:rFonts w:ascii="Times New Roman" w:hAnsi="Times New Roman" w:cs="Times New Roman"/>
          <w:b/>
          <w:bCs/>
          <w:color w:val="auto"/>
        </w:rPr>
      </w:pPr>
    </w:p>
    <w:p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lastRenderedPageBreak/>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lastRenderedPageBreak/>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ekonomiškai naudojant išteklius) po 2023 m. gruodžio 31 d., ir tik už kainą, kuri atitinka rinkos sąlygas. Pvz., įvertinant (ir pagrindžiant), kiek ir kokio lygio darbuotojų prižiūrės priemonę (dalyvaus jos valdyme) po 2023 m. </w:t>
      </w:r>
      <w:r w:rsidRPr="0068597E">
        <w:rPr>
          <w:rFonts w:ascii="Times New Roman" w:hAnsi="Times New Roman" w:cs="Times New Roman"/>
          <w:bCs/>
          <w:sz w:val="24"/>
          <w:szCs w:val="24"/>
        </w:rPr>
        <w:lastRenderedPageBreak/>
        <w:t>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Ribota investicijoms į galutinius naudos gavėjus skirtų mokėjimų, kurie, suėjus 2023-12-31 datai, turi būti mokami ne ilgesnį nei ketverių metų laikotarpį, suma gali būti laikoma tinkamomis 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w:t>
      </w:r>
      <w:r w:rsidRPr="0068597E">
        <w:rPr>
          <w:rFonts w:ascii="Times New Roman" w:hAnsi="Times New Roman" w:cs="Times New Roman"/>
          <w:sz w:val="24"/>
          <w:szCs w:val="24"/>
        </w:rPr>
        <w:lastRenderedPageBreak/>
        <w:t xml:space="preserve">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2A1093"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w:t>
      </w:r>
    </w:p>
    <w:p w:rsidR="002A1093" w:rsidRPr="003023C3" w:rsidRDefault="002A1093" w:rsidP="002A1093">
      <w:pPr>
        <w:pStyle w:val="Pagrindinistekstas"/>
        <w:spacing w:after="0"/>
        <w:ind w:firstLine="851"/>
        <w:jc w:val="both"/>
        <w:rPr>
          <w:lang w:val="lt-LT"/>
        </w:rPr>
      </w:pPr>
      <w:r w:rsidRPr="003023C3">
        <w:rPr>
          <w:lang w:val="lt-LT"/>
        </w:rPr>
        <w:t xml:space="preserve">Rizikos kapitalo finansinių priemonių atveju laikoma, kad visa rizikos kapitalo finansinės priemonės investicijų nauda atitenka Lietuvai, kai rizikos kapitalo fondo investicijų dalis, proporcinga ES struktūrinių fondų lėšų daliai rizikos kapitalo fonde, investuojama Lietuvos Respublikoje arba ne Lietuvos Respublikoje, jei vykdant investicijas nauda atitenka Lietuvai. </w:t>
      </w:r>
    </w:p>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1</w:t>
      </w:r>
    </w:p>
    <w:tbl>
      <w:tblPr>
        <w:tblStyle w:val="Lentelstinklelis"/>
        <w:tblW w:w="0" w:type="auto"/>
        <w:tblLayout w:type="fixed"/>
        <w:tblLook w:val="04A0" w:firstRow="1" w:lastRow="0" w:firstColumn="1" w:lastColumn="0" w:noHBand="0" w:noVBand="1"/>
      </w:tblPr>
      <w:tblGrid>
        <w:gridCol w:w="9889"/>
      </w:tblGrid>
      <w:tr w:rsidR="002A1093" w:rsidRPr="003023C3" w:rsidTr="00CE300D">
        <w:tc>
          <w:tcPr>
            <w:tcW w:w="9889" w:type="dxa"/>
          </w:tcPr>
          <w:p w:rsidR="002A1093" w:rsidRPr="003023C3" w:rsidRDefault="002A1093" w:rsidP="00CE300D">
            <w:pPr>
              <w:pStyle w:val="Pagrindinistekstas"/>
              <w:spacing w:after="0"/>
              <w:ind w:firstLine="851"/>
              <w:jc w:val="both"/>
              <w:rPr>
                <w:b/>
              </w:rPr>
            </w:pPr>
            <w:r w:rsidRPr="003023C3">
              <w:rPr>
                <w:lang w:val="lt-LT"/>
              </w:rPr>
              <w:t>Rizikos kapitalo fondas yra 100 proc. finansuojamas ES struktūrinių fondų lėšomis. Visos rizikos kapitalo fondo investicijos turi būti atliekamos Lietuvos Respublikoje arba ne Lietuvos Respublikoje, jei vykdant investicijas nauda atitenka Lietuvai.</w:t>
            </w:r>
          </w:p>
        </w:tc>
      </w:tr>
    </w:tbl>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2</w:t>
      </w:r>
    </w:p>
    <w:tbl>
      <w:tblPr>
        <w:tblStyle w:val="Lentelstinklelis"/>
        <w:tblW w:w="0" w:type="auto"/>
        <w:tblLayout w:type="fixed"/>
        <w:tblLook w:val="04A0" w:firstRow="1" w:lastRow="0" w:firstColumn="1" w:lastColumn="0" w:noHBand="0" w:noVBand="1"/>
      </w:tblPr>
      <w:tblGrid>
        <w:gridCol w:w="9889"/>
      </w:tblGrid>
      <w:tr w:rsidR="003023C3" w:rsidRPr="003023C3" w:rsidTr="00CE300D">
        <w:tc>
          <w:tcPr>
            <w:tcW w:w="9889" w:type="dxa"/>
          </w:tcPr>
          <w:p w:rsidR="002A1093" w:rsidRPr="003023C3" w:rsidRDefault="002A1093" w:rsidP="00CE300D">
            <w:pPr>
              <w:pStyle w:val="Default"/>
              <w:ind w:firstLine="873"/>
              <w:jc w:val="both"/>
              <w:rPr>
                <w:rFonts w:ascii="Times New Roman" w:hAnsi="Times New Roman" w:cs="Times New Roman"/>
                <w:b/>
                <w:color w:val="auto"/>
              </w:rPr>
            </w:pPr>
            <w:r w:rsidRPr="003023C3">
              <w:rPr>
                <w:rFonts w:ascii="Times New Roman" w:hAnsi="Times New Roman" w:cs="Times New Roman"/>
                <w:color w:val="auto"/>
              </w:rPr>
              <w:t>Rizikos kapitalo fondas yra dalinai finansuojamas ES struktūrinių fondų lėšomis – 60 proc. rizikos kapitalo fondo dydžio yra finansuojama ES struktūrinių fondų lėšomis, o 40 proc. privačiomis lėšomis. Tokiu atveju, kai rizikos kapitalo fondo investicijų Lietuvos Respublikoje arba ne Lietuvos Respublikoje, jei vykdant investicijas nauda atitenka Lietuvai, suma yra ne mažesnė nei 60 proc. visos rizikos kapitalo fondo investicijų sumos, laikoma, kad visų rizikos kapitalo finansinės priemonės investicijų nauda atitenka Lietuvai.</w:t>
            </w:r>
          </w:p>
        </w:tc>
      </w:tr>
    </w:tbl>
    <w:p w:rsidR="002A1093" w:rsidRPr="002A1093" w:rsidRDefault="002A1093" w:rsidP="002A1093">
      <w:pPr>
        <w:pStyle w:val="Pagrindinistekstas"/>
        <w:spacing w:after="0"/>
        <w:ind w:firstLine="851"/>
        <w:jc w:val="both"/>
        <w:rPr>
          <w:color w:val="FF0000"/>
          <w:lang w:val="lt-LT"/>
        </w:rPr>
      </w:pPr>
    </w:p>
    <w:p w:rsidR="0081648D" w:rsidRPr="0068597E" w:rsidRDefault="0081648D" w:rsidP="00B3009B">
      <w:pPr>
        <w:pStyle w:val="Pagrindinistekstas"/>
        <w:spacing w:after="0"/>
        <w:ind w:firstLine="851"/>
        <w:jc w:val="both"/>
        <w:rPr>
          <w:lang w:val="lt-LT"/>
        </w:rPr>
      </w:pPr>
      <w:r w:rsidRPr="0068597E">
        <w:rPr>
          <w:lang w:val="lt-LT"/>
        </w:rPr>
        <w:t xml:space="preserv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t>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rsidR="006F4992" w:rsidRDefault="006F4992" w:rsidP="00B3009B">
      <w:pPr>
        <w:pStyle w:val="Default"/>
        <w:ind w:firstLine="851"/>
        <w:jc w:val="both"/>
        <w:rPr>
          <w:rFonts w:ascii="Times New Roman" w:hAnsi="Times New Roman" w:cs="Times New Roman"/>
          <w:color w:val="auto"/>
        </w:rPr>
      </w:pP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lastRenderedPageBreak/>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w:t>
      </w:r>
      <w:r w:rsidRPr="0068597E">
        <w:rPr>
          <w:rFonts w:ascii="Times New Roman" w:hAnsi="Times New Roman" w:cs="Times New Roman"/>
          <w:sz w:val="24"/>
          <w:szCs w:val="24"/>
        </w:rPr>
        <w:lastRenderedPageBreak/>
        <w:t>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naudojant kodavimą ar kitą patikimą atskyrimo principą, kuris užtikrintų panaudojimo atsekamumą.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(ES) Nr. 1303/2013 43 straipsnio 2 dalyje. Projekto vykdytojas turi užtikrinti duomenų apie palūkanų ir kitų pajamų ar pelno panaudojimą atsekamumą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atsekamumą.</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xml:space="preserve">, kaip nurodyta Reglamento (ES) Nr. 1303/2013 140 straipsnio 1 dalies antroje pastraipoje. Kai skiriama valstybės pagalba, atsižvelgiant į Europos </w:t>
      </w:r>
      <w:r w:rsidRPr="0068597E">
        <w:rPr>
          <w:rFonts w:ascii="Times New Roman" w:hAnsi="Times New Roman" w:cs="Times New Roman"/>
          <w:b/>
          <w:i/>
          <w:sz w:val="24"/>
          <w:szCs w:val="24"/>
        </w:rPr>
        <w:lastRenderedPageBreak/>
        <w:t>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bookmarkStart w:id="0" w:name="_GoBack"/>
      <w:bookmarkEnd w:id="0"/>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23" w:rsidRDefault="005E2D23" w:rsidP="00F7073F">
      <w:pPr>
        <w:spacing w:after="0" w:line="240" w:lineRule="auto"/>
      </w:pPr>
      <w:r>
        <w:separator/>
      </w:r>
    </w:p>
  </w:endnote>
  <w:endnote w:type="continuationSeparator" w:id="0">
    <w:p w:rsidR="005E2D23" w:rsidRDefault="005E2D23"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5E2D23" w:rsidRPr="003B722A" w:rsidRDefault="005E2D23">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3023C3">
          <w:rPr>
            <w:rFonts w:ascii="Times New Roman" w:hAnsi="Times New Roman" w:cs="Times New Roman"/>
            <w:noProof/>
          </w:rPr>
          <w:t>44</w:t>
        </w:r>
        <w:r w:rsidRPr="003B722A">
          <w:rPr>
            <w:rFonts w:ascii="Times New Roman" w:hAnsi="Times New Roman" w:cs="Times New Roman"/>
          </w:rPr>
          <w:fldChar w:fldCharType="end"/>
        </w:r>
      </w:p>
    </w:sdtContent>
  </w:sdt>
  <w:p w:rsidR="005E2D23" w:rsidRDefault="005E2D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23" w:rsidRDefault="005E2D23" w:rsidP="00F7073F">
      <w:pPr>
        <w:spacing w:after="0" w:line="240" w:lineRule="auto"/>
      </w:pPr>
      <w:r>
        <w:separator/>
      </w:r>
    </w:p>
  </w:footnote>
  <w:footnote w:type="continuationSeparator" w:id="0">
    <w:p w:rsidR="005E2D23" w:rsidRDefault="005E2D23" w:rsidP="00F7073F">
      <w:pPr>
        <w:spacing w:after="0" w:line="240" w:lineRule="auto"/>
      </w:pPr>
      <w:r>
        <w:continuationSeparator/>
      </w:r>
    </w:p>
  </w:footnote>
  <w:footnote w:id="1">
    <w:p w:rsidR="005E2D23" w:rsidRDefault="005E2D23">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kripskienė">
    <w15:presenceInfo w15:providerId="AD" w15:userId="S-1-5-21-3707713039-1627090544-3043063182-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01C74"/>
    <w:rsid w:val="000130FC"/>
    <w:rsid w:val="00015153"/>
    <w:rsid w:val="00015B06"/>
    <w:rsid w:val="0003000F"/>
    <w:rsid w:val="00035193"/>
    <w:rsid w:val="00044611"/>
    <w:rsid w:val="00063F14"/>
    <w:rsid w:val="00065753"/>
    <w:rsid w:val="000701C1"/>
    <w:rsid w:val="00071292"/>
    <w:rsid w:val="00074A30"/>
    <w:rsid w:val="000818F9"/>
    <w:rsid w:val="000A6B1C"/>
    <w:rsid w:val="000C6B23"/>
    <w:rsid w:val="001049FD"/>
    <w:rsid w:val="0010778B"/>
    <w:rsid w:val="0011525B"/>
    <w:rsid w:val="00116235"/>
    <w:rsid w:val="00125EA9"/>
    <w:rsid w:val="001342A6"/>
    <w:rsid w:val="00151E97"/>
    <w:rsid w:val="0015556A"/>
    <w:rsid w:val="0015683E"/>
    <w:rsid w:val="00162CC6"/>
    <w:rsid w:val="00164E1B"/>
    <w:rsid w:val="001774A5"/>
    <w:rsid w:val="00191774"/>
    <w:rsid w:val="0019520A"/>
    <w:rsid w:val="001A00E3"/>
    <w:rsid w:val="001B7776"/>
    <w:rsid w:val="001C21C9"/>
    <w:rsid w:val="001C721F"/>
    <w:rsid w:val="001D3B5B"/>
    <w:rsid w:val="001E0366"/>
    <w:rsid w:val="001E5757"/>
    <w:rsid w:val="001E6B33"/>
    <w:rsid w:val="001F35D2"/>
    <w:rsid w:val="001F5CF1"/>
    <w:rsid w:val="001F7FB2"/>
    <w:rsid w:val="002254E6"/>
    <w:rsid w:val="002306D2"/>
    <w:rsid w:val="00232706"/>
    <w:rsid w:val="00243C63"/>
    <w:rsid w:val="002455A9"/>
    <w:rsid w:val="002500A2"/>
    <w:rsid w:val="00253F4F"/>
    <w:rsid w:val="002628A0"/>
    <w:rsid w:val="002665BC"/>
    <w:rsid w:val="00273A5B"/>
    <w:rsid w:val="0028587A"/>
    <w:rsid w:val="00287A84"/>
    <w:rsid w:val="002A1093"/>
    <w:rsid w:val="002A1A6A"/>
    <w:rsid w:val="002A45C8"/>
    <w:rsid w:val="002B0ADD"/>
    <w:rsid w:val="002B1682"/>
    <w:rsid w:val="002B5185"/>
    <w:rsid w:val="002C2392"/>
    <w:rsid w:val="002C343C"/>
    <w:rsid w:val="002E46B0"/>
    <w:rsid w:val="002F4C98"/>
    <w:rsid w:val="003023C3"/>
    <w:rsid w:val="00313C2B"/>
    <w:rsid w:val="00331754"/>
    <w:rsid w:val="003624C3"/>
    <w:rsid w:val="00371901"/>
    <w:rsid w:val="00383B56"/>
    <w:rsid w:val="003846C2"/>
    <w:rsid w:val="003924D8"/>
    <w:rsid w:val="003A15CD"/>
    <w:rsid w:val="003A3CB0"/>
    <w:rsid w:val="003A4EC5"/>
    <w:rsid w:val="003B6938"/>
    <w:rsid w:val="003B722A"/>
    <w:rsid w:val="003C0F1A"/>
    <w:rsid w:val="003C6F38"/>
    <w:rsid w:val="003D0BC0"/>
    <w:rsid w:val="003D62BE"/>
    <w:rsid w:val="003E4910"/>
    <w:rsid w:val="003F4A20"/>
    <w:rsid w:val="003F7371"/>
    <w:rsid w:val="00405436"/>
    <w:rsid w:val="00410731"/>
    <w:rsid w:val="0042192A"/>
    <w:rsid w:val="00426BEC"/>
    <w:rsid w:val="004314E4"/>
    <w:rsid w:val="004322AD"/>
    <w:rsid w:val="00440800"/>
    <w:rsid w:val="00440B1D"/>
    <w:rsid w:val="004449C8"/>
    <w:rsid w:val="004519DF"/>
    <w:rsid w:val="00463F9D"/>
    <w:rsid w:val="00465F82"/>
    <w:rsid w:val="00470ECE"/>
    <w:rsid w:val="004846D4"/>
    <w:rsid w:val="0049222A"/>
    <w:rsid w:val="004A19F8"/>
    <w:rsid w:val="004C01AF"/>
    <w:rsid w:val="004D0344"/>
    <w:rsid w:val="004D34A8"/>
    <w:rsid w:val="004D4281"/>
    <w:rsid w:val="004D6BA3"/>
    <w:rsid w:val="00503B9E"/>
    <w:rsid w:val="00511053"/>
    <w:rsid w:val="00514370"/>
    <w:rsid w:val="0051440F"/>
    <w:rsid w:val="005218F9"/>
    <w:rsid w:val="005268CF"/>
    <w:rsid w:val="00536999"/>
    <w:rsid w:val="0053715A"/>
    <w:rsid w:val="005534C7"/>
    <w:rsid w:val="0056704A"/>
    <w:rsid w:val="0058107B"/>
    <w:rsid w:val="0058569C"/>
    <w:rsid w:val="005930EA"/>
    <w:rsid w:val="0059463F"/>
    <w:rsid w:val="005A6154"/>
    <w:rsid w:val="005B4777"/>
    <w:rsid w:val="005C2FEC"/>
    <w:rsid w:val="005C5D8B"/>
    <w:rsid w:val="005C6A9A"/>
    <w:rsid w:val="005E0CFA"/>
    <w:rsid w:val="005E11AD"/>
    <w:rsid w:val="005E2D23"/>
    <w:rsid w:val="005E5866"/>
    <w:rsid w:val="005F16E3"/>
    <w:rsid w:val="005F2B77"/>
    <w:rsid w:val="00616869"/>
    <w:rsid w:val="006171B1"/>
    <w:rsid w:val="006208A1"/>
    <w:rsid w:val="006267E3"/>
    <w:rsid w:val="006278D6"/>
    <w:rsid w:val="00634073"/>
    <w:rsid w:val="006372B3"/>
    <w:rsid w:val="006375FC"/>
    <w:rsid w:val="00641852"/>
    <w:rsid w:val="00663EE4"/>
    <w:rsid w:val="00672E9F"/>
    <w:rsid w:val="00674F00"/>
    <w:rsid w:val="0068174A"/>
    <w:rsid w:val="006825EE"/>
    <w:rsid w:val="0068597E"/>
    <w:rsid w:val="00687E6F"/>
    <w:rsid w:val="006A3932"/>
    <w:rsid w:val="006D4171"/>
    <w:rsid w:val="006E4F0C"/>
    <w:rsid w:val="006F4992"/>
    <w:rsid w:val="006F5AC3"/>
    <w:rsid w:val="006F69C4"/>
    <w:rsid w:val="00712F90"/>
    <w:rsid w:val="00716B73"/>
    <w:rsid w:val="007201D6"/>
    <w:rsid w:val="007263D5"/>
    <w:rsid w:val="00726F90"/>
    <w:rsid w:val="00735642"/>
    <w:rsid w:val="00756D5D"/>
    <w:rsid w:val="00780A8D"/>
    <w:rsid w:val="0078373B"/>
    <w:rsid w:val="00783D7F"/>
    <w:rsid w:val="00790D82"/>
    <w:rsid w:val="007A3EB4"/>
    <w:rsid w:val="007B6A9D"/>
    <w:rsid w:val="007C2302"/>
    <w:rsid w:val="007F1490"/>
    <w:rsid w:val="008018BD"/>
    <w:rsid w:val="00810C8C"/>
    <w:rsid w:val="00811183"/>
    <w:rsid w:val="0081523D"/>
    <w:rsid w:val="0081648D"/>
    <w:rsid w:val="00817292"/>
    <w:rsid w:val="0083190C"/>
    <w:rsid w:val="008348E7"/>
    <w:rsid w:val="008606EA"/>
    <w:rsid w:val="00860971"/>
    <w:rsid w:val="008718AE"/>
    <w:rsid w:val="00886B13"/>
    <w:rsid w:val="00892FFB"/>
    <w:rsid w:val="00893F2F"/>
    <w:rsid w:val="008B3760"/>
    <w:rsid w:val="008C6684"/>
    <w:rsid w:val="008C6847"/>
    <w:rsid w:val="008D2446"/>
    <w:rsid w:val="008D2714"/>
    <w:rsid w:val="008D45FA"/>
    <w:rsid w:val="00900888"/>
    <w:rsid w:val="009233D2"/>
    <w:rsid w:val="00926F14"/>
    <w:rsid w:val="0094283B"/>
    <w:rsid w:val="0094737A"/>
    <w:rsid w:val="00953CCF"/>
    <w:rsid w:val="009579A7"/>
    <w:rsid w:val="009613F3"/>
    <w:rsid w:val="00977283"/>
    <w:rsid w:val="00982B69"/>
    <w:rsid w:val="009849C6"/>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523D2"/>
    <w:rsid w:val="00A561A3"/>
    <w:rsid w:val="00A62586"/>
    <w:rsid w:val="00A7021C"/>
    <w:rsid w:val="00A901B6"/>
    <w:rsid w:val="00A9436C"/>
    <w:rsid w:val="00A96E12"/>
    <w:rsid w:val="00A96E78"/>
    <w:rsid w:val="00AB3C8D"/>
    <w:rsid w:val="00AB7A29"/>
    <w:rsid w:val="00AC2D29"/>
    <w:rsid w:val="00AC426D"/>
    <w:rsid w:val="00AC514A"/>
    <w:rsid w:val="00AE0F7B"/>
    <w:rsid w:val="00AE2AAB"/>
    <w:rsid w:val="00AE54C4"/>
    <w:rsid w:val="00AF1230"/>
    <w:rsid w:val="00B02CBD"/>
    <w:rsid w:val="00B03A57"/>
    <w:rsid w:val="00B0634A"/>
    <w:rsid w:val="00B17286"/>
    <w:rsid w:val="00B226BD"/>
    <w:rsid w:val="00B3009B"/>
    <w:rsid w:val="00B30E9D"/>
    <w:rsid w:val="00B40E7E"/>
    <w:rsid w:val="00B430C8"/>
    <w:rsid w:val="00B60348"/>
    <w:rsid w:val="00B61AD6"/>
    <w:rsid w:val="00B65BD3"/>
    <w:rsid w:val="00B770BA"/>
    <w:rsid w:val="00B778B3"/>
    <w:rsid w:val="00B8726E"/>
    <w:rsid w:val="00B939E5"/>
    <w:rsid w:val="00B94C95"/>
    <w:rsid w:val="00B970DB"/>
    <w:rsid w:val="00BB154D"/>
    <w:rsid w:val="00BB564B"/>
    <w:rsid w:val="00BC1565"/>
    <w:rsid w:val="00BD37E7"/>
    <w:rsid w:val="00BE4520"/>
    <w:rsid w:val="00BF184A"/>
    <w:rsid w:val="00BF199B"/>
    <w:rsid w:val="00C03586"/>
    <w:rsid w:val="00C0446D"/>
    <w:rsid w:val="00C04BE0"/>
    <w:rsid w:val="00C07665"/>
    <w:rsid w:val="00C1244A"/>
    <w:rsid w:val="00C3038C"/>
    <w:rsid w:val="00C306DB"/>
    <w:rsid w:val="00C429F4"/>
    <w:rsid w:val="00C53E7C"/>
    <w:rsid w:val="00C60913"/>
    <w:rsid w:val="00C63888"/>
    <w:rsid w:val="00C70C5C"/>
    <w:rsid w:val="00C7276C"/>
    <w:rsid w:val="00C72CFD"/>
    <w:rsid w:val="00C9658E"/>
    <w:rsid w:val="00CA1652"/>
    <w:rsid w:val="00CA72B2"/>
    <w:rsid w:val="00CB24CA"/>
    <w:rsid w:val="00CD439C"/>
    <w:rsid w:val="00CD4E96"/>
    <w:rsid w:val="00CE2682"/>
    <w:rsid w:val="00D01ACB"/>
    <w:rsid w:val="00D06E68"/>
    <w:rsid w:val="00D2451F"/>
    <w:rsid w:val="00D26907"/>
    <w:rsid w:val="00D42BFF"/>
    <w:rsid w:val="00D439DF"/>
    <w:rsid w:val="00D54CFF"/>
    <w:rsid w:val="00D55952"/>
    <w:rsid w:val="00D62F8A"/>
    <w:rsid w:val="00D6643F"/>
    <w:rsid w:val="00D91851"/>
    <w:rsid w:val="00D97072"/>
    <w:rsid w:val="00DA2494"/>
    <w:rsid w:val="00DA4F19"/>
    <w:rsid w:val="00DB0AD9"/>
    <w:rsid w:val="00DB4DB9"/>
    <w:rsid w:val="00DB6B46"/>
    <w:rsid w:val="00DB7920"/>
    <w:rsid w:val="00DC2CB4"/>
    <w:rsid w:val="00DD0FB5"/>
    <w:rsid w:val="00DD3104"/>
    <w:rsid w:val="00DD3733"/>
    <w:rsid w:val="00DE05C1"/>
    <w:rsid w:val="00E20055"/>
    <w:rsid w:val="00E319D2"/>
    <w:rsid w:val="00E43ADF"/>
    <w:rsid w:val="00E44CE6"/>
    <w:rsid w:val="00E605CC"/>
    <w:rsid w:val="00E70D02"/>
    <w:rsid w:val="00E731B2"/>
    <w:rsid w:val="00E90FDF"/>
    <w:rsid w:val="00E95896"/>
    <w:rsid w:val="00EA3509"/>
    <w:rsid w:val="00EB4893"/>
    <w:rsid w:val="00ED40D4"/>
    <w:rsid w:val="00ED7805"/>
    <w:rsid w:val="00EE2E7E"/>
    <w:rsid w:val="00EF0895"/>
    <w:rsid w:val="00EF4D00"/>
    <w:rsid w:val="00F00826"/>
    <w:rsid w:val="00F00BFF"/>
    <w:rsid w:val="00F034E1"/>
    <w:rsid w:val="00F227AB"/>
    <w:rsid w:val="00F44CD9"/>
    <w:rsid w:val="00F60ADB"/>
    <w:rsid w:val="00F60C42"/>
    <w:rsid w:val="00F7073F"/>
    <w:rsid w:val="00FA0259"/>
    <w:rsid w:val="00FA4F56"/>
    <w:rsid w:val="00FB2D41"/>
    <w:rsid w:val="00FB451C"/>
    <w:rsid w:val="00FC18B2"/>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60BF-F0A3-46DA-B2C2-6C41DC0F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101487</Words>
  <Characters>57849</Characters>
  <Application>Microsoft Office Word</Application>
  <DocSecurity>0</DocSecurity>
  <Lines>482</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Viktorija Senavaitytė Gaudiešienė</cp:lastModifiedBy>
  <cp:revision>3</cp:revision>
  <cp:lastPrinted>2017-05-18T14:05:00Z</cp:lastPrinted>
  <dcterms:created xsi:type="dcterms:W3CDTF">2020-04-14T05:02:00Z</dcterms:created>
  <dcterms:modified xsi:type="dcterms:W3CDTF">2020-04-14T05:04:00Z</dcterms:modified>
</cp:coreProperties>
</file>