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1AAF8" w14:textId="02B76626" w:rsidR="0036662A" w:rsidRDefault="002E693A" w:rsidP="0036662A">
      <w:pPr>
        <w:jc w:val="center"/>
        <w:rPr>
          <w:b/>
          <w:bCs/>
        </w:rPr>
      </w:pPr>
      <w:r>
        <w:rPr>
          <w:b/>
          <w:bCs/>
        </w:rPr>
        <w:t>LIETUVOS RESPUBLIKOS APLINKOS</w:t>
      </w:r>
      <w:r w:rsidR="0036662A"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37E0407D" w14:textId="77777777" w:rsidR="00350E98" w:rsidRDefault="0036662A" w:rsidP="00350E98">
      <w:pPr>
        <w:tabs>
          <w:tab w:val="left" w:pos="0"/>
        </w:tabs>
        <w:ind w:right="-2" w:firstLine="426"/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PRIORITETO </w:t>
      </w:r>
      <w:r w:rsidR="00350E98">
        <w:rPr>
          <w:b/>
          <w:bCs/>
        </w:rPr>
        <w:t>ĮGYVENDINIMO PRIEMONĖS</w:t>
      </w:r>
    </w:p>
    <w:p w14:paraId="43B478E9" w14:textId="390230EB" w:rsidR="00E81799" w:rsidRDefault="00E81799" w:rsidP="00E81799">
      <w:pPr>
        <w:tabs>
          <w:tab w:val="left" w:pos="0"/>
        </w:tabs>
        <w:ind w:right="-2" w:firstLine="426"/>
        <w:jc w:val="center"/>
        <w:rPr>
          <w:szCs w:val="24"/>
        </w:rPr>
      </w:pPr>
      <w:r>
        <w:rPr>
          <w:b/>
        </w:rPr>
        <w:t xml:space="preserve">NR. </w:t>
      </w:r>
      <w:r>
        <w:rPr>
          <w:b/>
          <w:caps/>
        </w:rPr>
        <w:t>05.3.2-APVA-V-013 „GERIAMOJO Vandens tiekimo ir nuotekų tvarkymo ūkio gerinimas“</w:t>
      </w:r>
      <w:r w:rsidRPr="00E81799">
        <w:rPr>
          <w:b/>
          <w:bCs/>
        </w:rPr>
        <w:t xml:space="preserve"> </w:t>
      </w:r>
      <w:r>
        <w:rPr>
          <w:b/>
          <w:bCs/>
        </w:rPr>
        <w:t>DERINIMAS</w:t>
      </w:r>
    </w:p>
    <w:p w14:paraId="286E95B8" w14:textId="77777777" w:rsidR="00350E98" w:rsidRDefault="00350E98" w:rsidP="0036662A">
      <w:pPr>
        <w:jc w:val="center"/>
        <w:rPr>
          <w:b/>
          <w:bCs/>
        </w:rPr>
      </w:pP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4C6CDAFB" w:rsidR="0036662A" w:rsidRDefault="00350E98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>
              <w:rPr>
                <w:szCs w:val="24"/>
                <w:lang w:val="en-GB"/>
              </w:rPr>
              <w:t>4</w:t>
            </w:r>
            <w:r w:rsidR="00E81799">
              <w:rPr>
                <w:szCs w:val="24"/>
              </w:rPr>
              <w:t>-01 (1); 2020-04-17</w:t>
            </w:r>
            <w:bookmarkStart w:id="0" w:name="_GoBack"/>
            <w:bookmarkEnd w:id="0"/>
            <w:r>
              <w:rPr>
                <w:szCs w:val="24"/>
              </w:rPr>
              <w:t xml:space="preserve"> (2)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191F76D3" w:rsidR="0036662A" w:rsidRPr="007070FE" w:rsidRDefault="00E81799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>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E81799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2E693A"/>
    <w:rsid w:val="00330EC9"/>
    <w:rsid w:val="00350E98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81799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Dalia</cp:lastModifiedBy>
  <cp:revision>2</cp:revision>
  <dcterms:created xsi:type="dcterms:W3CDTF">2020-04-29T06:24:00Z</dcterms:created>
  <dcterms:modified xsi:type="dcterms:W3CDTF">2020-04-29T06:24:00Z</dcterms:modified>
</cp:coreProperties>
</file>