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EFED4" w14:textId="77777777" w:rsidR="000D2C1B" w:rsidRDefault="000D2C1B">
      <w:pPr>
        <w:ind w:left="6803" w:hanging="1619"/>
        <w:jc w:val="center"/>
        <w:textAlignment w:val="center"/>
        <w:rPr>
          <w:b/>
          <w:color w:val="000000"/>
          <w:szCs w:val="24"/>
        </w:rPr>
      </w:pPr>
    </w:p>
    <w:p w14:paraId="5002CAEE" w14:textId="77777777" w:rsidR="000D2C1B" w:rsidRDefault="000D2C1B">
      <w:pPr>
        <w:ind w:left="6803" w:hanging="1619"/>
        <w:jc w:val="center"/>
        <w:textAlignment w:val="center"/>
        <w:rPr>
          <w:caps/>
          <w:szCs w:val="24"/>
          <w:lang w:eastAsia="lt-LT"/>
        </w:rPr>
      </w:pPr>
    </w:p>
    <w:p w14:paraId="162FE3FB" w14:textId="77777777" w:rsidR="000D2C1B" w:rsidRDefault="00DD2705">
      <w:pPr>
        <w:tabs>
          <w:tab w:val="left" w:pos="1560"/>
          <w:tab w:val="left" w:pos="1843"/>
        </w:tabs>
        <w:jc w:val="center"/>
        <w:rPr>
          <w:caps/>
          <w:szCs w:val="24"/>
          <w:lang w:eastAsia="lt-LT"/>
        </w:rPr>
      </w:pPr>
      <w:r>
        <w:rPr>
          <w:b/>
          <w:caps/>
          <w:szCs w:val="24"/>
          <w:lang w:eastAsia="lt-LT"/>
        </w:rPr>
        <w:t>LIETUVOS RESPUBLIKOS energetikos MINISTRAS</w:t>
      </w:r>
    </w:p>
    <w:p w14:paraId="4649CDA7" w14:textId="77777777" w:rsidR="000D2C1B" w:rsidRDefault="000D2C1B">
      <w:pPr>
        <w:tabs>
          <w:tab w:val="left" w:pos="851"/>
          <w:tab w:val="left" w:pos="1560"/>
          <w:tab w:val="left" w:pos="1843"/>
        </w:tabs>
        <w:overflowPunct w:val="0"/>
        <w:spacing w:line="276" w:lineRule="auto"/>
        <w:jc w:val="center"/>
        <w:textAlignment w:val="baseline"/>
        <w:rPr>
          <w:b/>
          <w:bCs/>
          <w:szCs w:val="24"/>
          <w:lang w:eastAsia="lt-LT"/>
        </w:rPr>
      </w:pPr>
    </w:p>
    <w:p w14:paraId="186365B9" w14:textId="77777777" w:rsidR="000D2C1B" w:rsidRDefault="000D2C1B">
      <w:pPr>
        <w:tabs>
          <w:tab w:val="left" w:pos="851"/>
          <w:tab w:val="left" w:pos="1560"/>
          <w:tab w:val="left" w:pos="1843"/>
        </w:tabs>
        <w:overflowPunct w:val="0"/>
        <w:spacing w:line="276" w:lineRule="auto"/>
        <w:jc w:val="center"/>
        <w:textAlignment w:val="baseline"/>
        <w:rPr>
          <w:b/>
          <w:bCs/>
          <w:szCs w:val="24"/>
          <w:lang w:eastAsia="lt-LT"/>
        </w:rPr>
      </w:pPr>
    </w:p>
    <w:p w14:paraId="38422CD2" w14:textId="77777777" w:rsidR="000D2C1B" w:rsidRDefault="00DD2705">
      <w:pPr>
        <w:tabs>
          <w:tab w:val="left" w:pos="851"/>
          <w:tab w:val="left" w:pos="1560"/>
          <w:tab w:val="left" w:pos="1843"/>
        </w:tabs>
        <w:overflowPunct w:val="0"/>
        <w:spacing w:line="276" w:lineRule="auto"/>
        <w:jc w:val="center"/>
        <w:textAlignment w:val="baseline"/>
        <w:rPr>
          <w:szCs w:val="24"/>
          <w:lang w:eastAsia="lt-LT"/>
        </w:rPr>
      </w:pPr>
      <w:r>
        <w:rPr>
          <w:b/>
          <w:bCs/>
          <w:szCs w:val="24"/>
          <w:lang w:eastAsia="lt-LT"/>
        </w:rPr>
        <w:t>ĮSAKYMAS</w:t>
      </w:r>
    </w:p>
    <w:p w14:paraId="5DBE3A1F" w14:textId="288B9C16" w:rsidR="000D2C1B" w:rsidRDefault="00DD2705">
      <w:pPr>
        <w:keepNext/>
        <w:tabs>
          <w:tab w:val="left" w:pos="851"/>
          <w:tab w:val="left" w:pos="1560"/>
          <w:tab w:val="left" w:pos="1843"/>
        </w:tabs>
        <w:overflowPunct w:val="0"/>
        <w:spacing w:line="276" w:lineRule="auto"/>
        <w:jc w:val="center"/>
        <w:textAlignment w:val="baseline"/>
        <w:rPr>
          <w:szCs w:val="24"/>
          <w:lang w:eastAsia="lt-LT"/>
        </w:rPr>
      </w:pPr>
      <w:r>
        <w:rPr>
          <w:b/>
          <w:bCs/>
          <w:szCs w:val="24"/>
          <w:lang w:eastAsia="lt-LT"/>
        </w:rPr>
        <w:t>DĖL LIETUVOS RESPUBLIKOS ENERGETIKOS MINISTRO 2016 M. VASARIO 12 D. ĮSAKYMO NR. 1–33 „DĖL 2014–2020 METŲ EUROPOS SĄJUNGOS FONDŲ INVESTICIJŲ VEIKSMŲ PROGRAMOS 4 PRIORITETO „ENERGIJOS EFEKTYVUMO IR ATSINAUJINANČIŲ IŠTEKLIŲ E</w:t>
      </w:r>
      <w:bookmarkStart w:id="0" w:name="_GoBack"/>
      <w:bookmarkEnd w:id="0"/>
      <w:r>
        <w:rPr>
          <w:b/>
          <w:bCs/>
          <w:szCs w:val="24"/>
          <w:lang w:eastAsia="lt-LT"/>
        </w:rPr>
        <w:t xml:space="preserve">NERGIJOS GAMYBOS IR NAUDOJIMO SKATINIMAS“ 04.4.1-LVPA-K-106 PRIEMONĖS „ELEKTROS SKIRSTOMŲJŲ TINKLŲ MODERNIZAVIMAS IR PLĖTRA“ PROJEKTŲ FINANSAVIMO SĄLYGŲ APRAŠO </w:t>
      </w:r>
      <w:r w:rsidR="00B42B6A">
        <w:rPr>
          <w:b/>
          <w:bCs/>
          <w:szCs w:val="24"/>
          <w:lang w:eastAsia="lt-LT"/>
        </w:rPr>
        <w:br/>
      </w:r>
      <w:r>
        <w:rPr>
          <w:b/>
          <w:bCs/>
          <w:szCs w:val="24"/>
          <w:lang w:eastAsia="lt-LT"/>
        </w:rPr>
        <w:t>NR. 1 PATVIRTINIMO“ PAKEITIMO</w:t>
      </w:r>
    </w:p>
    <w:p w14:paraId="65C89C30" w14:textId="77777777" w:rsidR="000D2C1B" w:rsidRDefault="000D2C1B">
      <w:pPr>
        <w:keepNext/>
        <w:tabs>
          <w:tab w:val="left" w:pos="851"/>
          <w:tab w:val="left" w:pos="1560"/>
          <w:tab w:val="left" w:pos="1843"/>
        </w:tabs>
        <w:overflowPunct w:val="0"/>
        <w:spacing w:line="276" w:lineRule="auto"/>
        <w:jc w:val="center"/>
        <w:textAlignment w:val="baseline"/>
        <w:rPr>
          <w:szCs w:val="24"/>
          <w:lang w:eastAsia="lt-LT"/>
        </w:rPr>
      </w:pPr>
    </w:p>
    <w:p w14:paraId="5C1CD0FA" w14:textId="77777777" w:rsidR="000D2C1B" w:rsidRDefault="000D2C1B">
      <w:pPr>
        <w:keepNext/>
        <w:tabs>
          <w:tab w:val="left" w:pos="851"/>
          <w:tab w:val="left" w:pos="1560"/>
          <w:tab w:val="left" w:pos="1843"/>
        </w:tabs>
        <w:overflowPunct w:val="0"/>
        <w:spacing w:line="276" w:lineRule="auto"/>
        <w:jc w:val="center"/>
        <w:textAlignment w:val="baseline"/>
        <w:rPr>
          <w:szCs w:val="24"/>
          <w:lang w:eastAsia="lt-LT"/>
        </w:rPr>
      </w:pPr>
    </w:p>
    <w:p w14:paraId="5889E41B" w14:textId="77777777" w:rsidR="000D2C1B" w:rsidRDefault="00DD2705">
      <w:pPr>
        <w:keepNext/>
        <w:tabs>
          <w:tab w:val="left" w:pos="851"/>
          <w:tab w:val="left" w:pos="1560"/>
          <w:tab w:val="left" w:pos="1843"/>
        </w:tabs>
        <w:overflowPunct w:val="0"/>
        <w:spacing w:line="276" w:lineRule="auto"/>
        <w:jc w:val="center"/>
        <w:textAlignment w:val="baseline"/>
        <w:rPr>
          <w:szCs w:val="24"/>
          <w:lang w:eastAsia="lt-LT"/>
        </w:rPr>
      </w:pPr>
      <w:r>
        <w:rPr>
          <w:szCs w:val="24"/>
          <w:lang w:eastAsia="lt-LT"/>
        </w:rPr>
        <w:t>2020 m.                  d. Nr. 1-</w:t>
      </w:r>
    </w:p>
    <w:p w14:paraId="3D00BF1E" w14:textId="77777777" w:rsidR="000D2C1B" w:rsidRDefault="00DD2705">
      <w:pPr>
        <w:tabs>
          <w:tab w:val="left" w:pos="851"/>
          <w:tab w:val="left" w:pos="1560"/>
          <w:tab w:val="left" w:pos="1843"/>
        </w:tabs>
        <w:overflowPunct w:val="0"/>
        <w:spacing w:line="276" w:lineRule="auto"/>
        <w:jc w:val="center"/>
        <w:textAlignment w:val="baseline"/>
        <w:rPr>
          <w:szCs w:val="24"/>
          <w:lang w:eastAsia="lt-LT"/>
        </w:rPr>
      </w:pPr>
      <w:r>
        <w:rPr>
          <w:szCs w:val="24"/>
          <w:lang w:eastAsia="lt-LT"/>
        </w:rPr>
        <w:t>Vilnius</w:t>
      </w:r>
    </w:p>
    <w:p w14:paraId="60B0BD89" w14:textId="77777777" w:rsidR="000D2C1B" w:rsidRDefault="000D2C1B">
      <w:pPr>
        <w:tabs>
          <w:tab w:val="left" w:pos="851"/>
          <w:tab w:val="left" w:pos="1560"/>
          <w:tab w:val="left" w:pos="1843"/>
        </w:tabs>
        <w:overflowPunct w:val="0"/>
        <w:spacing w:line="276" w:lineRule="auto"/>
        <w:jc w:val="center"/>
        <w:textAlignment w:val="baseline"/>
        <w:rPr>
          <w:color w:val="000000"/>
          <w:szCs w:val="24"/>
          <w:lang w:eastAsia="lt-LT"/>
        </w:rPr>
      </w:pPr>
    </w:p>
    <w:p w14:paraId="7764103A" w14:textId="77777777" w:rsidR="000D2C1B" w:rsidRDefault="000D2C1B">
      <w:pPr>
        <w:tabs>
          <w:tab w:val="left" w:pos="1134"/>
        </w:tabs>
        <w:overflowPunct w:val="0"/>
        <w:ind w:firstLine="1134"/>
        <w:jc w:val="both"/>
        <w:textAlignment w:val="baseline"/>
        <w:rPr>
          <w:color w:val="000000"/>
          <w:szCs w:val="24"/>
          <w:lang w:eastAsia="lt-LT"/>
        </w:rPr>
      </w:pPr>
    </w:p>
    <w:p w14:paraId="54CF6AA5" w14:textId="325957D7" w:rsidR="000D2C1B" w:rsidRDefault="00DD2705">
      <w:pPr>
        <w:tabs>
          <w:tab w:val="left" w:pos="1134"/>
        </w:tabs>
        <w:overflowPunct w:val="0"/>
        <w:ind w:firstLine="851"/>
        <w:jc w:val="both"/>
        <w:textAlignment w:val="baseline"/>
        <w:rPr>
          <w:color w:val="000000"/>
          <w:szCs w:val="24"/>
          <w:lang w:eastAsia="lt-LT"/>
        </w:rPr>
      </w:pPr>
      <w:r>
        <w:rPr>
          <w:color w:val="000000"/>
          <w:szCs w:val="24"/>
          <w:lang w:eastAsia="lt-LT"/>
        </w:rPr>
        <w:t xml:space="preserve">P a k e i č i u 2014–2020 metų Europos Sąjungos fondų investicijų veiksmų programos </w:t>
      </w:r>
      <w:r w:rsidR="00B42B6A">
        <w:rPr>
          <w:color w:val="000000"/>
          <w:szCs w:val="24"/>
          <w:lang w:eastAsia="lt-LT"/>
        </w:rPr>
        <w:br/>
      </w:r>
      <w:r>
        <w:rPr>
          <w:color w:val="000000"/>
          <w:szCs w:val="24"/>
          <w:lang w:eastAsia="lt-LT"/>
        </w:rPr>
        <w:t xml:space="preserve">4 prioriteto „Energijos efektyvumo ir atsinaujinančių išteklių energijos gamybos ir naudojimo skatinimas“ 04.4.1-LVPA-K-106 priemonės „Elektros skirstomųjų tinklų modernizavimas ir plėtra“  projektų finansavimo sąlygų aprašą Nr. 1, </w:t>
      </w:r>
      <w:r>
        <w:rPr>
          <w:szCs w:val="24"/>
        </w:rPr>
        <w:t>patvirtintą</w:t>
      </w:r>
      <w:r>
        <w:rPr>
          <w:color w:val="000000"/>
          <w:szCs w:val="24"/>
          <w:lang w:eastAsia="lt-LT"/>
        </w:rPr>
        <w:t xml:space="preserve"> Lietuvos Respublikos energetikos ministro 2016 m. </w:t>
      </w:r>
      <w:r>
        <w:rPr>
          <w:bCs/>
          <w:szCs w:val="24"/>
          <w:lang w:eastAsia="lt-LT"/>
        </w:rPr>
        <w:t>vasario 12</w:t>
      </w:r>
      <w:r>
        <w:rPr>
          <w:b/>
          <w:bCs/>
          <w:szCs w:val="24"/>
          <w:lang w:eastAsia="lt-LT"/>
        </w:rPr>
        <w:t xml:space="preserve"> </w:t>
      </w:r>
      <w:r>
        <w:rPr>
          <w:color w:val="000000"/>
          <w:szCs w:val="24"/>
          <w:lang w:eastAsia="lt-LT"/>
        </w:rPr>
        <w:t>d. įsakymu Nr. 1-33 „Dėl 2014–2020 metų Europos Sąjungos fondų investicijų veiksmų programos 4 prioriteto „Energijos efektyvumo ir atsinaujinančių išteklių energijos gamybos ir naudojimo skatinimas“ 04.4.1-LVPA-K-106 priemonės „Elektros skirstomųjų tinklų modernizavimas ir plėtra“ projektų finansavimo sąlygų aprašo Nr. 1 patvirtinimo:</w:t>
      </w:r>
    </w:p>
    <w:p w14:paraId="7A2B3E9F" w14:textId="11218A10" w:rsidR="000D2C1B" w:rsidRDefault="009903EA">
      <w:pPr>
        <w:tabs>
          <w:tab w:val="left" w:pos="1418"/>
        </w:tabs>
        <w:overflowPunct w:val="0"/>
        <w:ind w:left="1211" w:hanging="360"/>
        <w:jc w:val="both"/>
        <w:textAlignment w:val="baseline"/>
        <w:rPr>
          <w:szCs w:val="24"/>
        </w:rPr>
      </w:pPr>
      <w:r>
        <w:rPr>
          <w:szCs w:val="24"/>
        </w:rPr>
        <w:t>1</w:t>
      </w:r>
      <w:r w:rsidR="00DD2705">
        <w:rPr>
          <w:szCs w:val="24"/>
        </w:rPr>
        <w:t>.</w:t>
      </w:r>
      <w:r w:rsidR="00DD2705">
        <w:rPr>
          <w:szCs w:val="24"/>
        </w:rPr>
        <w:tab/>
        <w:t>Pakeičiu 8 punktą ir jį išdėstau taip:</w:t>
      </w:r>
    </w:p>
    <w:p w14:paraId="680E419C" w14:textId="77777777" w:rsidR="000D2C1B" w:rsidRDefault="00DD2705">
      <w:pPr>
        <w:ind w:firstLine="709"/>
        <w:jc w:val="both"/>
        <w:textAlignment w:val="baseline"/>
        <w:rPr>
          <w:color w:val="000000"/>
          <w:szCs w:val="24"/>
          <w:lang w:eastAsia="lt-LT"/>
        </w:rPr>
      </w:pPr>
      <w:r>
        <w:rPr>
          <w:color w:val="000000"/>
          <w:szCs w:val="24"/>
          <w:lang w:eastAsia="lt-LT"/>
        </w:rPr>
        <w:t xml:space="preserve">„8. </w:t>
      </w:r>
      <w:r>
        <w:rPr>
          <w:color w:val="000000"/>
        </w:rPr>
        <w:t xml:space="preserve">Pagal Aprašą projektams įgyvendinti numatoma skirti iki </w:t>
      </w:r>
      <w:r>
        <w:rPr>
          <w:szCs w:val="24"/>
        </w:rPr>
        <w:t>40 039 892</w:t>
      </w:r>
      <w:r>
        <w:rPr>
          <w:color w:val="000000"/>
        </w:rPr>
        <w:t xml:space="preserve"> (keturiasdešimt milijonų trisdešimt devynių tūkstančių aštuonių šimtų devyniasdešimt dviejų) eurų, iš kurių iki </w:t>
      </w:r>
      <w:r>
        <w:rPr>
          <w:szCs w:val="24"/>
        </w:rPr>
        <w:t>40 039 892</w:t>
      </w:r>
      <w:r>
        <w:rPr>
          <w:color w:val="000000"/>
        </w:rPr>
        <w:t xml:space="preserve"> (keturiasdešimt milijonų trisdešimt devynių tūkstančių aštuonių šimtų devyniasdešimt dviejų) eurų Sanglaudos fondo lėšų</w:t>
      </w:r>
      <w:r>
        <w:rPr>
          <w:color w:val="000000"/>
          <w:szCs w:val="24"/>
          <w:lang w:eastAsia="lt-LT"/>
        </w:rPr>
        <w:t>.“</w:t>
      </w:r>
    </w:p>
    <w:p w14:paraId="05F7F496" w14:textId="4EBA3B70" w:rsidR="000D2C1B" w:rsidRDefault="009903EA">
      <w:pPr>
        <w:tabs>
          <w:tab w:val="left" w:pos="1418"/>
        </w:tabs>
        <w:overflowPunct w:val="0"/>
        <w:ind w:left="1211" w:hanging="360"/>
        <w:jc w:val="both"/>
        <w:textAlignment w:val="baseline"/>
        <w:rPr>
          <w:szCs w:val="24"/>
        </w:rPr>
      </w:pPr>
      <w:r>
        <w:rPr>
          <w:szCs w:val="24"/>
        </w:rPr>
        <w:t>2</w:t>
      </w:r>
      <w:r w:rsidR="00DD2705">
        <w:rPr>
          <w:szCs w:val="24"/>
        </w:rPr>
        <w:t>.</w:t>
      </w:r>
      <w:r w:rsidR="00DD2705">
        <w:rPr>
          <w:szCs w:val="24"/>
        </w:rPr>
        <w:tab/>
        <w:t>Pakeičiu 12 punktą ir jį išdėstau taip:</w:t>
      </w:r>
    </w:p>
    <w:p w14:paraId="146EDC16" w14:textId="77777777" w:rsidR="000D2C1B" w:rsidRDefault="00DD2705">
      <w:pPr>
        <w:tabs>
          <w:tab w:val="left" w:pos="1418"/>
        </w:tabs>
        <w:overflowPunct w:val="0"/>
        <w:ind w:firstLine="709"/>
        <w:jc w:val="both"/>
        <w:textAlignment w:val="baseline"/>
        <w:rPr>
          <w:szCs w:val="24"/>
        </w:rPr>
      </w:pPr>
      <w:r>
        <w:rPr>
          <w:szCs w:val="24"/>
        </w:rPr>
        <w:t>„</w:t>
      </w:r>
      <w:r>
        <w:t>12. Pagal Apraše nurodytas remiamas veiklas kvietimą teikti paraiškas numatoma paskelbti 2016 m. I ketvirtį</w:t>
      </w:r>
      <w:r>
        <w:rPr>
          <w:b/>
          <w:bCs/>
        </w:rPr>
        <w:t>,</w:t>
      </w:r>
      <w:r>
        <w:t xml:space="preserve"> 2018 m. I ketvirtį ir 2020 m. II ketvirtį. Informacija apie planuojamus skelbti kvietimus ir taip pat pateikiama Kvietimų teikti paraiškas skelbimo, projektų sąrašų ir finansavimo sutarčių plane, kuris skelbiamas Ministerijos ir http://www.esinvesticijos.lt svetainėse.</w:t>
      </w:r>
      <w:r>
        <w:rPr>
          <w:szCs w:val="24"/>
        </w:rPr>
        <w:t>“</w:t>
      </w:r>
    </w:p>
    <w:p w14:paraId="7BFDF74E" w14:textId="5987174B" w:rsidR="000D2C1B" w:rsidRDefault="009903EA">
      <w:pPr>
        <w:ind w:left="1211" w:hanging="360"/>
        <w:jc w:val="both"/>
        <w:rPr>
          <w:szCs w:val="24"/>
        </w:rPr>
      </w:pPr>
      <w:r>
        <w:rPr>
          <w:szCs w:val="24"/>
        </w:rPr>
        <w:t>3</w:t>
      </w:r>
      <w:r w:rsidR="00DD2705">
        <w:rPr>
          <w:szCs w:val="24"/>
        </w:rPr>
        <w:t>.</w:t>
      </w:r>
      <w:r w:rsidR="00DD2705">
        <w:rPr>
          <w:szCs w:val="24"/>
        </w:rPr>
        <w:tab/>
        <w:t>Pakeičiu 17 punktą ir jį išdėstau taip:</w:t>
      </w:r>
    </w:p>
    <w:p w14:paraId="590557D5" w14:textId="6C48414B" w:rsidR="000D2C1B" w:rsidRDefault="00DD2705">
      <w:pPr>
        <w:ind w:firstLine="851"/>
        <w:jc w:val="both"/>
        <w:rPr>
          <w:szCs w:val="24"/>
        </w:rPr>
      </w:pPr>
      <w:r>
        <w:rPr>
          <w:szCs w:val="24"/>
        </w:rPr>
        <w:t xml:space="preserve">„17. Projektas turi atitikti šiuos specialiuosius projektų atrankos kriterijus, patvirtintus </w:t>
      </w:r>
      <w:r w:rsidRPr="00BB66C8">
        <w:rPr>
          <w:szCs w:val="24"/>
        </w:rPr>
        <w:t>Veiksmų programos stebėsenos komiteto 2015 m. spalio 28 d. posėdžio nutarimu Nr. 44P-9.1 (11</w:t>
      </w:r>
      <w:r w:rsidRPr="00B42B6A">
        <w:rPr>
          <w:szCs w:val="24"/>
        </w:rPr>
        <w:t>)</w:t>
      </w:r>
      <w:r w:rsidRPr="00E67647">
        <w:rPr>
          <w:szCs w:val="24"/>
        </w:rPr>
        <w:t>,</w:t>
      </w:r>
      <w:r w:rsidRPr="00B42B6A">
        <w:rPr>
          <w:szCs w:val="24"/>
        </w:rPr>
        <w:t xml:space="preserve"> </w:t>
      </w:r>
      <w:r w:rsidRPr="00EC015E">
        <w:rPr>
          <w:szCs w:val="24"/>
        </w:rPr>
        <w:t xml:space="preserve">2018 m. rugsėjo 20 d. posėdžio protokoliniu sprendimu Nr. 44P–4 (34) ir 2020 m. balandžio </w:t>
      </w:r>
      <w:r w:rsidR="00BB66C8" w:rsidRPr="00EC015E">
        <w:rPr>
          <w:szCs w:val="24"/>
        </w:rPr>
        <w:t xml:space="preserve">10 </w:t>
      </w:r>
      <w:r w:rsidRPr="00EC015E">
        <w:rPr>
          <w:szCs w:val="24"/>
        </w:rPr>
        <w:t xml:space="preserve">d. posėdžio protokoliniu sprendimu Nr. </w:t>
      </w:r>
      <w:r w:rsidR="00BB66C8" w:rsidRPr="00BB66C8">
        <w:rPr>
          <w:bCs/>
        </w:rPr>
        <w:t>44P-6</w:t>
      </w:r>
      <w:r w:rsidR="00BB66C8" w:rsidRPr="00EC015E">
        <w:rPr>
          <w:bCs/>
        </w:rPr>
        <w:t xml:space="preserve"> (54)</w:t>
      </w:r>
      <w:r w:rsidRPr="00EC015E">
        <w:rPr>
          <w:szCs w:val="24"/>
        </w:rPr>
        <w:t>:</w:t>
      </w:r>
    </w:p>
    <w:p w14:paraId="3D0760D1" w14:textId="77777777" w:rsidR="000D2C1B" w:rsidRDefault="00DD2705">
      <w:pPr>
        <w:ind w:firstLine="851"/>
        <w:jc w:val="both"/>
        <w:rPr>
          <w:szCs w:val="24"/>
        </w:rPr>
      </w:pPr>
      <w:r>
        <w:rPr>
          <w:szCs w:val="24"/>
        </w:rPr>
        <w:t>17.1. Projektas turi prisidėti prie Nacionalinės energetinės nepriklausomybės strategijos 42.5.1 ir  42.5.2 papunkčių įgyvendinimo;</w:t>
      </w:r>
    </w:p>
    <w:p w14:paraId="5F1A14FB" w14:textId="77777777" w:rsidR="000D2C1B" w:rsidRDefault="00DD2705">
      <w:pPr>
        <w:ind w:firstLine="851"/>
        <w:jc w:val="both"/>
        <w:rPr>
          <w:szCs w:val="24"/>
        </w:rPr>
      </w:pPr>
      <w:r>
        <w:rPr>
          <w:szCs w:val="24"/>
        </w:rPr>
        <w:t xml:space="preserve">17.2. turi atitikti įmonės investicijų (plėtros) planus, suderintus su </w:t>
      </w:r>
      <w:r>
        <w:rPr>
          <w:bCs/>
          <w:iCs/>
          <w:lang w:eastAsia="lt-LT"/>
        </w:rPr>
        <w:t>Valstybine energetikos reguliavimo taryba (toliau – VERT)</w:t>
      </w:r>
      <w:r>
        <w:rPr>
          <w:bCs/>
          <w:szCs w:val="24"/>
        </w:rPr>
        <w:t>.</w:t>
      </w:r>
      <w:r>
        <w:rPr>
          <w:szCs w:val="24"/>
        </w:rPr>
        <w:t xml:space="preserve"> Pareiškėjai, užsiimantys energetikos veikla, ir kurių kainos yra reguliuojamos, turi suderinti projektui numatytas investicijas su VERT jos nustatyta tvarka.”</w:t>
      </w:r>
    </w:p>
    <w:p w14:paraId="06A3BFF9" w14:textId="56A4498F" w:rsidR="000D2C1B" w:rsidRDefault="007D16A4">
      <w:pPr>
        <w:ind w:left="1211" w:hanging="360"/>
        <w:jc w:val="both"/>
        <w:rPr>
          <w:szCs w:val="24"/>
        </w:rPr>
      </w:pPr>
      <w:r>
        <w:rPr>
          <w:szCs w:val="24"/>
        </w:rPr>
        <w:t>4</w:t>
      </w:r>
      <w:r w:rsidR="00DD2705">
        <w:rPr>
          <w:szCs w:val="24"/>
        </w:rPr>
        <w:t>.</w:t>
      </w:r>
      <w:r w:rsidR="00DD2705">
        <w:rPr>
          <w:szCs w:val="24"/>
        </w:rPr>
        <w:tab/>
        <w:t>Pakeičiu 24 punktą ir jį išdėstau taip:</w:t>
      </w:r>
    </w:p>
    <w:p w14:paraId="2A556A1B" w14:textId="77777777" w:rsidR="00C95CA1" w:rsidRDefault="00DD2705" w:rsidP="00C75620">
      <w:pPr>
        <w:tabs>
          <w:tab w:val="left" w:pos="284"/>
          <w:tab w:val="left" w:pos="851"/>
        </w:tabs>
        <w:ind w:firstLine="709"/>
        <w:jc w:val="both"/>
        <w:rPr>
          <w:szCs w:val="24"/>
        </w:rPr>
      </w:pPr>
      <w:r>
        <w:rPr>
          <w:color w:val="000000"/>
          <w:szCs w:val="24"/>
        </w:rPr>
        <w:lastRenderedPageBreak/>
        <w:t>„</w:t>
      </w:r>
      <w:r>
        <w:rPr>
          <w:szCs w:val="24"/>
        </w:rPr>
        <w:t xml:space="preserve">15. </w:t>
      </w:r>
      <w:r w:rsidR="00C75620" w:rsidRPr="00C6517B">
        <w:rPr>
          <w:szCs w:val="24"/>
        </w:rPr>
        <w:t xml:space="preserve">Pagal Aprašą finansavimas nėra teikiamas </w:t>
      </w:r>
      <w:r w:rsidR="00C75620" w:rsidRPr="00C95CA1">
        <w:rPr>
          <w:bCs/>
          <w:szCs w:val="24"/>
        </w:rPr>
        <w:t>pareiškėjui,</w:t>
      </w:r>
      <w:r w:rsidR="00C75620" w:rsidRPr="00C6517B">
        <w:rPr>
          <w:szCs w:val="24"/>
        </w:rPr>
        <w:t xml:space="preserve"> jei jis yra priskiriamas sunkumų patiriančios įmonės kategorijai. Pagal Aprašą finansavimas neteikiamas, jeigu</w:t>
      </w:r>
      <w:r w:rsidR="00C75620" w:rsidRPr="00C95CA1">
        <w:rPr>
          <w:bCs/>
          <w:szCs w:val="24"/>
        </w:rPr>
        <w:t xml:space="preserve"> pareiškėjas</w:t>
      </w:r>
      <w:r w:rsidR="00C75620" w:rsidRPr="00C6517B">
        <w:rPr>
          <w:szCs w:val="24"/>
        </w:rPr>
        <w:t xml:space="preserve"> nėra sugrąžinęs anksčiau gautos valstybės pagalbos, kuri EK sprendimu pripažinta neteisėta </w:t>
      </w:r>
      <w:r w:rsidR="00C75620">
        <w:rPr>
          <w:szCs w:val="24"/>
        </w:rPr>
        <w:t>ir nesuderinama su vidaus rinka.“</w:t>
      </w:r>
    </w:p>
    <w:p w14:paraId="03171F5F" w14:textId="29D451D8" w:rsidR="000D2C1B" w:rsidRDefault="007D16A4" w:rsidP="00C75620">
      <w:pPr>
        <w:tabs>
          <w:tab w:val="left" w:pos="284"/>
          <w:tab w:val="left" w:pos="851"/>
        </w:tabs>
        <w:ind w:firstLine="709"/>
        <w:jc w:val="both"/>
        <w:rPr>
          <w:szCs w:val="24"/>
        </w:rPr>
      </w:pPr>
      <w:r>
        <w:rPr>
          <w:szCs w:val="24"/>
        </w:rPr>
        <w:t>5</w:t>
      </w:r>
      <w:r w:rsidR="00DD2705">
        <w:rPr>
          <w:szCs w:val="24"/>
        </w:rPr>
        <w:t>.</w:t>
      </w:r>
      <w:r w:rsidR="00DD2705">
        <w:rPr>
          <w:szCs w:val="24"/>
        </w:rPr>
        <w:tab/>
        <w:t>Pakeičiu 24 punktą ir jį išdėstau taip:</w:t>
      </w:r>
    </w:p>
    <w:p w14:paraId="291B401A" w14:textId="77777777" w:rsidR="000D2C1B" w:rsidRDefault="00DD2705">
      <w:pPr>
        <w:ind w:firstLine="851"/>
        <w:jc w:val="both"/>
        <w:rPr>
          <w:szCs w:val="24"/>
        </w:rPr>
      </w:pPr>
      <w:r>
        <w:rPr>
          <w:color w:val="000000"/>
          <w:szCs w:val="24"/>
        </w:rPr>
        <w:t xml:space="preserve">„24. </w:t>
      </w:r>
      <w:r>
        <w:rPr>
          <w:szCs w:val="24"/>
        </w:rPr>
        <w:t xml:space="preserve">Teikiamų pagal Aprašą projektų veiklų įgyvendinimo trukmė turi būti ne ilgesnė kaip   32 mėnesiai nuo iš Europos Sąjungos struktūrinių fondų lėšų bendrai finansuojamo projekto sutarties (toliau – projekto sutartis) pasirašymo dienos.“ </w:t>
      </w:r>
    </w:p>
    <w:p w14:paraId="1576EEF5" w14:textId="5154A29C" w:rsidR="000D2C1B" w:rsidRDefault="007D16A4">
      <w:pPr>
        <w:ind w:left="1211" w:hanging="360"/>
        <w:rPr>
          <w:szCs w:val="24"/>
        </w:rPr>
      </w:pPr>
      <w:r>
        <w:rPr>
          <w:szCs w:val="24"/>
        </w:rPr>
        <w:t>6</w:t>
      </w:r>
      <w:r w:rsidR="00DD2705">
        <w:rPr>
          <w:szCs w:val="24"/>
        </w:rPr>
        <w:t>.</w:t>
      </w:r>
      <w:r w:rsidR="00DD2705">
        <w:rPr>
          <w:szCs w:val="24"/>
        </w:rPr>
        <w:tab/>
        <w:t>Pakeičiu 25 punktą ir jį išdėstau taip:</w:t>
      </w:r>
    </w:p>
    <w:p w14:paraId="0EB9D864" w14:textId="20D8EF7C" w:rsidR="000D2C1B" w:rsidRDefault="00DD2705">
      <w:pPr>
        <w:overflowPunct w:val="0"/>
        <w:ind w:firstLine="851"/>
        <w:jc w:val="both"/>
        <w:textAlignment w:val="baseline"/>
        <w:rPr>
          <w:szCs w:val="24"/>
        </w:rPr>
      </w:pPr>
      <w:r>
        <w:rPr>
          <w:szCs w:val="24"/>
        </w:rPr>
        <w:t xml:space="preserve">„25.  Tam tikrais atvejais, dėl objektyvių priežasčių, kurių projekto vykdytojas negalėjo numatyti paraiškos pateikimo ir vertinimo metu, projekto veiklų įgyvendinimo laikotarpis gali būti pratęstas Projektų administravimo ir finansavimo taisyklių nustatyta tvarka </w:t>
      </w:r>
      <w:r>
        <w:t xml:space="preserve">ne vėliau kaip iki </w:t>
      </w:r>
      <w:r w:rsidR="00B42B6A">
        <w:br/>
      </w:r>
      <w:r>
        <w:t xml:space="preserve">2023 m. rugsėjo 1 d. ir nepažeidžiant Projektų </w:t>
      </w:r>
      <w:r>
        <w:rPr>
          <w:szCs w:val="24"/>
        </w:rPr>
        <w:t xml:space="preserve">administravimo ir finansavimo </w:t>
      </w:r>
      <w:r>
        <w:t xml:space="preserve">taisyklių 213.1 ir </w:t>
      </w:r>
      <w:r w:rsidR="00B42B6A">
        <w:br/>
      </w:r>
      <w:r>
        <w:t>213.5 papunkčiuose nustatytų terminų. Prireikus pratęsti projekto veiklų įgyvendinimo laikotarpį ilgiau, nei nurodyta šiame punkte, projekto sutarties keitimas turi būti derinamas su ministerija.“</w:t>
      </w:r>
      <w:r>
        <w:rPr>
          <w:szCs w:val="24"/>
        </w:rPr>
        <w:t xml:space="preserve"> </w:t>
      </w:r>
    </w:p>
    <w:p w14:paraId="0AAF2E54" w14:textId="36EF1E07" w:rsidR="000D2C1B" w:rsidRDefault="007D16A4">
      <w:pPr>
        <w:tabs>
          <w:tab w:val="left" w:pos="1418"/>
        </w:tabs>
        <w:overflowPunct w:val="0"/>
        <w:ind w:left="1211" w:hanging="360"/>
        <w:jc w:val="both"/>
        <w:textAlignment w:val="baseline"/>
        <w:rPr>
          <w:szCs w:val="24"/>
        </w:rPr>
      </w:pPr>
      <w:r>
        <w:rPr>
          <w:szCs w:val="24"/>
        </w:rPr>
        <w:t>7</w:t>
      </w:r>
      <w:r w:rsidR="00DD2705">
        <w:rPr>
          <w:szCs w:val="24"/>
        </w:rPr>
        <w:t>.</w:t>
      </w:r>
      <w:r w:rsidR="00DD2705">
        <w:rPr>
          <w:szCs w:val="24"/>
        </w:rPr>
        <w:tab/>
        <w:t>Pakeičiu 27 punkto pirmąją pastraipą ir ją išdėstau taip:</w:t>
      </w:r>
    </w:p>
    <w:p w14:paraId="7D90F041" w14:textId="77777777" w:rsidR="000D2C1B" w:rsidRDefault="00DD2705">
      <w:pPr>
        <w:ind w:firstLine="851"/>
        <w:jc w:val="both"/>
      </w:pPr>
      <w:r>
        <w:rPr>
          <w:szCs w:val="24"/>
        </w:rPr>
        <w:t>„</w:t>
      </w:r>
      <w:r>
        <w:rPr>
          <w:color w:val="000000"/>
        </w:rPr>
        <w:t xml:space="preserve">27. </w:t>
      </w:r>
      <w:r>
        <w:t>Projektu turi būti siekiama 27.1 papunktyje ir bent vieno 27.2 ar 27.3 papunktyje išvardytų priemonės įgyvendinimo stebėsenos rodiklių:“.</w:t>
      </w:r>
    </w:p>
    <w:p w14:paraId="3C5DE01B" w14:textId="0E5FC6D7" w:rsidR="000D2C1B" w:rsidRDefault="007D16A4">
      <w:pPr>
        <w:tabs>
          <w:tab w:val="left" w:pos="1418"/>
        </w:tabs>
        <w:overflowPunct w:val="0"/>
        <w:ind w:left="1211" w:hanging="360"/>
        <w:jc w:val="both"/>
        <w:textAlignment w:val="baseline"/>
        <w:rPr>
          <w:szCs w:val="24"/>
        </w:rPr>
      </w:pPr>
      <w:r>
        <w:rPr>
          <w:szCs w:val="24"/>
        </w:rPr>
        <w:t>8</w:t>
      </w:r>
      <w:r w:rsidR="00DD2705">
        <w:rPr>
          <w:szCs w:val="24"/>
        </w:rPr>
        <w:t>.</w:t>
      </w:r>
      <w:r w:rsidR="00DD2705">
        <w:rPr>
          <w:szCs w:val="24"/>
        </w:rPr>
        <w:tab/>
        <w:t>Papildau 27.3 papunkčiu:</w:t>
      </w:r>
    </w:p>
    <w:p w14:paraId="786B3443" w14:textId="77777777" w:rsidR="000D2C1B" w:rsidRDefault="00DD2705">
      <w:pPr>
        <w:tabs>
          <w:tab w:val="left" w:pos="1418"/>
        </w:tabs>
        <w:overflowPunct w:val="0"/>
        <w:ind w:firstLine="851"/>
        <w:jc w:val="both"/>
        <w:textAlignment w:val="baseline"/>
      </w:pPr>
      <w:r>
        <w:rPr>
          <w:szCs w:val="24"/>
        </w:rPr>
        <w:t>„</w:t>
      </w:r>
      <w:r>
        <w:t xml:space="preserve">27.3. nacionalinio produkto rodiklio „Įrengtos naujos ir (arba) atnaujintos 10/0,4 </w:t>
      </w:r>
      <w:proofErr w:type="spellStart"/>
      <w:r>
        <w:t>kV</w:t>
      </w:r>
      <w:proofErr w:type="spellEnd"/>
      <w:r>
        <w:t xml:space="preserve"> transformatorinės su priklausiniais (10 </w:t>
      </w:r>
      <w:proofErr w:type="spellStart"/>
      <w:r>
        <w:t>kV</w:t>
      </w:r>
      <w:proofErr w:type="spellEnd"/>
      <w:r>
        <w:t xml:space="preserve"> ir 0,4 </w:t>
      </w:r>
      <w:proofErr w:type="spellStart"/>
      <w:r>
        <w:t>kV</w:t>
      </w:r>
      <w:proofErr w:type="spellEnd"/>
      <w:r>
        <w:t xml:space="preserve"> elektros linijos), sukuriant bent 3 naujas pažangiojo elektros tinklo technines-funkcines savybes“, kodas P.N.112.“</w:t>
      </w:r>
    </w:p>
    <w:p w14:paraId="43C0E0FB" w14:textId="0B5BE6D9" w:rsidR="000D2C1B" w:rsidRDefault="007D16A4">
      <w:pPr>
        <w:tabs>
          <w:tab w:val="left" w:pos="1418"/>
        </w:tabs>
        <w:overflowPunct w:val="0"/>
        <w:ind w:left="1211" w:hanging="360"/>
        <w:jc w:val="both"/>
        <w:textAlignment w:val="baseline"/>
        <w:rPr>
          <w:szCs w:val="24"/>
        </w:rPr>
      </w:pPr>
      <w:r>
        <w:rPr>
          <w:szCs w:val="24"/>
        </w:rPr>
        <w:t>9</w:t>
      </w:r>
      <w:r w:rsidR="00DD2705">
        <w:rPr>
          <w:szCs w:val="24"/>
        </w:rPr>
        <w:t>.</w:t>
      </w:r>
      <w:r w:rsidR="00DD2705">
        <w:rPr>
          <w:szCs w:val="24"/>
        </w:rPr>
        <w:tab/>
        <w:t>Pakeičiu 28 punktą ir jį išdėstau taip:</w:t>
      </w:r>
    </w:p>
    <w:p w14:paraId="5983D3B9" w14:textId="77777777" w:rsidR="000D2C1B" w:rsidRDefault="00DD2705">
      <w:pPr>
        <w:tabs>
          <w:tab w:val="left" w:pos="1418"/>
        </w:tabs>
        <w:overflowPunct w:val="0"/>
        <w:ind w:firstLine="851"/>
        <w:jc w:val="both"/>
        <w:textAlignment w:val="baseline"/>
        <w:rPr>
          <w:szCs w:val="24"/>
        </w:rPr>
      </w:pPr>
      <w:r>
        <w:rPr>
          <w:color w:val="000000"/>
        </w:rPr>
        <w:t xml:space="preserve">„28. </w:t>
      </w:r>
      <w:r>
        <w:t>Nustatant stebėsenos rodiklius, skaičiuojant pasiektas jų reikšmes ir atsiskaitant už juos turi būti vadovaujamasi stebėsenos rodiklių skaičiavimo aprašais, kurie skelbiami Europos Sąjungos struktūrinių fondų svetainėje (toliau – ES struktūrinių fondų svetainė) http://www.esinvesticijos.lt skiltyje „Dokumentai“, dokumentų kategorijoje „Stebėsenos rodiklių skaičiavimo aprašai“.  Aprašo 27.1 ir 27.2 papunkčiuose nurodytų stebėsenos rodiklių skaičiavimo aprašas nustatytas Rodiklių skaičiavimo apraše. Aprašo 27.3 papunktyje nurodyto priemonės įgyvendinimo stebėsenos rodiklio skaičiavimui taikomas Nacionalinių stebėsenos rodiklių skaičiavimo aprašas.“</w:t>
      </w:r>
    </w:p>
    <w:p w14:paraId="315E588B" w14:textId="5FB3C3E9" w:rsidR="000D2C1B" w:rsidRDefault="00DD2705">
      <w:pPr>
        <w:tabs>
          <w:tab w:val="left" w:pos="1418"/>
        </w:tabs>
        <w:overflowPunct w:val="0"/>
        <w:ind w:left="1211" w:hanging="360"/>
        <w:jc w:val="both"/>
        <w:textAlignment w:val="baseline"/>
        <w:rPr>
          <w:szCs w:val="24"/>
        </w:rPr>
      </w:pPr>
      <w:r>
        <w:rPr>
          <w:szCs w:val="24"/>
        </w:rPr>
        <w:t>1</w:t>
      </w:r>
      <w:r w:rsidR="007D16A4">
        <w:rPr>
          <w:szCs w:val="24"/>
        </w:rPr>
        <w:t>0</w:t>
      </w:r>
      <w:r>
        <w:rPr>
          <w:szCs w:val="24"/>
        </w:rPr>
        <w:t>.</w:t>
      </w:r>
      <w:r>
        <w:rPr>
          <w:szCs w:val="24"/>
        </w:rPr>
        <w:tab/>
        <w:t>Pakeičiu 63.7 papunktį ir jį išdėstau taip:</w:t>
      </w:r>
    </w:p>
    <w:p w14:paraId="0B779B66" w14:textId="3D682EB4" w:rsidR="000D2C1B" w:rsidRPr="00C95CA1" w:rsidRDefault="00DD2705">
      <w:pPr>
        <w:tabs>
          <w:tab w:val="left" w:pos="1418"/>
        </w:tabs>
        <w:overflowPunct w:val="0"/>
        <w:ind w:firstLine="851"/>
        <w:jc w:val="both"/>
        <w:textAlignment w:val="baseline"/>
        <w:rPr>
          <w:szCs w:val="24"/>
        </w:rPr>
      </w:pPr>
      <w:r>
        <w:t>„63.7. VERT nutarimą dėl investicijų sąrašo</w:t>
      </w:r>
      <w:r>
        <w:rPr>
          <w:b/>
          <w:bCs/>
        </w:rPr>
        <w:t xml:space="preserve"> </w:t>
      </w:r>
      <w:r>
        <w:t>derinimo arba nutarimą dėl investicijų projekto derinimo, apimantį projekte numatytas investicijas</w:t>
      </w:r>
      <w:r w:rsidRPr="00F30B6A">
        <w:t xml:space="preserve">. </w:t>
      </w:r>
      <w:r w:rsidR="00277A43" w:rsidRPr="00F30B6A">
        <w:t xml:space="preserve">Teikiamas su paraiška arba ne vėliau kaip per </w:t>
      </w:r>
      <w:r w:rsidR="00B42B6A">
        <w:br/>
      </w:r>
      <w:r w:rsidR="00277A43" w:rsidRPr="00F30B6A">
        <w:t>1 mėn. nuo paraiškos pateikimo</w:t>
      </w:r>
      <w:r w:rsidRPr="00F30B6A">
        <w:t>;“.</w:t>
      </w:r>
    </w:p>
    <w:p w14:paraId="069155CD" w14:textId="6530CCA7" w:rsidR="000D2C1B" w:rsidRDefault="00DD2705">
      <w:pPr>
        <w:tabs>
          <w:tab w:val="left" w:pos="1418"/>
        </w:tabs>
        <w:overflowPunct w:val="0"/>
        <w:ind w:left="1211" w:hanging="360"/>
        <w:jc w:val="both"/>
        <w:textAlignment w:val="baseline"/>
        <w:rPr>
          <w:szCs w:val="24"/>
        </w:rPr>
      </w:pPr>
      <w:r>
        <w:rPr>
          <w:szCs w:val="24"/>
        </w:rPr>
        <w:t>1</w:t>
      </w:r>
      <w:r w:rsidR="007D16A4">
        <w:rPr>
          <w:szCs w:val="24"/>
        </w:rPr>
        <w:t>1</w:t>
      </w:r>
      <w:r>
        <w:rPr>
          <w:szCs w:val="24"/>
        </w:rPr>
        <w:t>.</w:t>
      </w:r>
      <w:r>
        <w:rPr>
          <w:szCs w:val="24"/>
        </w:rPr>
        <w:tab/>
        <w:t>Pakeičiu 63.11 papunktį ir jį išdėstau taip:</w:t>
      </w:r>
    </w:p>
    <w:p w14:paraId="1095405D" w14:textId="77777777" w:rsidR="000D2C1B" w:rsidRDefault="00DD2705">
      <w:pPr>
        <w:tabs>
          <w:tab w:val="left" w:pos="1418"/>
        </w:tabs>
        <w:overflowPunct w:val="0"/>
        <w:ind w:firstLine="851"/>
        <w:jc w:val="both"/>
        <w:textAlignment w:val="baseline"/>
        <w:rPr>
          <w:szCs w:val="24"/>
        </w:rPr>
      </w:pPr>
      <w:r>
        <w:rPr>
          <w:color w:val="000000"/>
        </w:rPr>
        <w:t xml:space="preserve">„63.11. pareiškėjo paskutinių finansinių metų patvirtintą finansinių ataskaitų rinkinį </w:t>
      </w:r>
      <w:r>
        <w:t>ir įmonių grupės metinių konsoliduotųjų finansinių ataskaitų rinkinį, jei jį pareiškėjas privalo rengti pagal Lietuvos Respublikos įmonių grupių konsoliduotosios finansinės atskaitomybės įstatymo nuostatas</w:t>
      </w:r>
      <w:r>
        <w:rPr>
          <w:color w:val="000000"/>
        </w:rPr>
        <w:t xml:space="preserve"> (netaikoma, jeigu pareiškėjas yra pateikęs finansinių ataskaitų rinkinius Juridinių asmenų registrui);“.</w:t>
      </w:r>
    </w:p>
    <w:p w14:paraId="48D2EDAD" w14:textId="48563323" w:rsidR="000D2C1B" w:rsidRDefault="00DD2705">
      <w:pPr>
        <w:ind w:left="1211" w:hanging="360"/>
        <w:rPr>
          <w:color w:val="000000"/>
          <w:szCs w:val="24"/>
          <w:lang w:eastAsia="lt-LT"/>
        </w:rPr>
      </w:pPr>
      <w:r>
        <w:rPr>
          <w:color w:val="000000"/>
          <w:szCs w:val="24"/>
          <w:lang w:eastAsia="lt-LT"/>
        </w:rPr>
        <w:t>1</w:t>
      </w:r>
      <w:r w:rsidR="007D16A4">
        <w:rPr>
          <w:color w:val="000000"/>
          <w:szCs w:val="24"/>
          <w:lang w:eastAsia="lt-LT"/>
        </w:rPr>
        <w:t>2</w:t>
      </w:r>
      <w:r>
        <w:rPr>
          <w:color w:val="000000"/>
          <w:szCs w:val="24"/>
          <w:lang w:eastAsia="lt-LT"/>
        </w:rPr>
        <w:t>.</w:t>
      </w:r>
      <w:r>
        <w:rPr>
          <w:color w:val="000000"/>
          <w:szCs w:val="24"/>
          <w:lang w:eastAsia="lt-LT"/>
        </w:rPr>
        <w:tab/>
        <w:t>Pakeičiu 1 priedo 5.1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1418"/>
        <w:gridCol w:w="1269"/>
      </w:tblGrid>
      <w:tr w:rsidR="000D2C1B" w14:paraId="7190C1E5" w14:textId="77777777">
        <w:tc>
          <w:tcPr>
            <w:tcW w:w="4390" w:type="dxa"/>
            <w:tcBorders>
              <w:top w:val="single" w:sz="4" w:space="0" w:color="auto"/>
              <w:left w:val="single" w:sz="4" w:space="0" w:color="auto"/>
              <w:bottom w:val="single" w:sz="4" w:space="0" w:color="auto"/>
              <w:right w:val="single" w:sz="4" w:space="0" w:color="auto"/>
            </w:tcBorders>
            <w:hideMark/>
          </w:tcPr>
          <w:p w14:paraId="5EF4E109" w14:textId="77777777" w:rsidR="000D2C1B" w:rsidRDefault="00DD2705">
            <w:pPr>
              <w:tabs>
                <w:tab w:val="left" w:pos="851"/>
                <w:tab w:val="left" w:pos="1276"/>
              </w:tabs>
              <w:jc w:val="both"/>
              <w:rPr>
                <w:color w:val="000000"/>
                <w:szCs w:val="24"/>
                <w:lang w:eastAsia="lt-LT"/>
              </w:rPr>
            </w:pPr>
            <w:r>
              <w:rPr>
                <w:rFonts w:eastAsia="Calibri"/>
                <w:szCs w:val="24"/>
              </w:rPr>
              <w:t>„</w:t>
            </w: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w:t>
            </w:r>
            <w:r>
              <w:rPr>
                <w:szCs w:val="24"/>
                <w:lang w:eastAsia="lt-LT"/>
              </w:rPr>
              <w:t>kaip nustatyta projektų finansavimo sąlygų apraše.</w:t>
            </w:r>
          </w:p>
        </w:tc>
        <w:tc>
          <w:tcPr>
            <w:tcW w:w="2551" w:type="dxa"/>
            <w:tcBorders>
              <w:top w:val="single" w:sz="4" w:space="0" w:color="auto"/>
              <w:left w:val="single" w:sz="4" w:space="0" w:color="auto"/>
              <w:bottom w:val="single" w:sz="4" w:space="0" w:color="auto"/>
              <w:right w:val="single" w:sz="4" w:space="0" w:color="auto"/>
            </w:tcBorders>
          </w:tcPr>
          <w:p w14:paraId="7369F247" w14:textId="77777777" w:rsidR="000D2C1B" w:rsidRDefault="00DD2705">
            <w:pPr>
              <w:tabs>
                <w:tab w:val="left" w:pos="0"/>
                <w:tab w:val="left" w:pos="567"/>
                <w:tab w:val="left" w:pos="851"/>
              </w:tabs>
              <w:jc w:val="both"/>
              <w:rPr>
                <w:i/>
                <w:iCs/>
                <w:color w:val="000000"/>
                <w:szCs w:val="24"/>
                <w:lang w:eastAsia="lt-LT"/>
              </w:rPr>
            </w:pPr>
            <w:r>
              <w:rPr>
                <w:i/>
                <w:iCs/>
                <w:color w:val="000000"/>
                <w:szCs w:val="24"/>
                <w:lang w:eastAsia="lt-LT"/>
              </w:rPr>
              <w:t>Informacijos šaltinis: paraiška ir VĮ Registrų centro Juridinių asmenų registro duomenys.“</w:t>
            </w:r>
          </w:p>
        </w:tc>
        <w:tc>
          <w:tcPr>
            <w:tcW w:w="1418" w:type="dxa"/>
            <w:tcBorders>
              <w:top w:val="single" w:sz="4" w:space="0" w:color="auto"/>
              <w:left w:val="single" w:sz="4" w:space="0" w:color="auto"/>
              <w:bottom w:val="single" w:sz="4" w:space="0" w:color="auto"/>
              <w:right w:val="single" w:sz="4" w:space="0" w:color="auto"/>
            </w:tcBorders>
          </w:tcPr>
          <w:p w14:paraId="42809018" w14:textId="77777777" w:rsidR="000D2C1B" w:rsidRDefault="000D2C1B">
            <w:pPr>
              <w:tabs>
                <w:tab w:val="left" w:pos="0"/>
                <w:tab w:val="left" w:pos="567"/>
                <w:tab w:val="left" w:pos="851"/>
              </w:tabs>
              <w:jc w:val="both"/>
              <w:rPr>
                <w:color w:val="000000"/>
                <w:szCs w:val="24"/>
                <w:lang w:eastAsia="lt-LT"/>
              </w:rPr>
            </w:pPr>
          </w:p>
        </w:tc>
        <w:tc>
          <w:tcPr>
            <w:tcW w:w="1269" w:type="dxa"/>
            <w:tcBorders>
              <w:top w:val="single" w:sz="4" w:space="0" w:color="auto"/>
              <w:left w:val="single" w:sz="4" w:space="0" w:color="auto"/>
              <w:bottom w:val="single" w:sz="4" w:space="0" w:color="auto"/>
              <w:right w:val="single" w:sz="4" w:space="0" w:color="auto"/>
            </w:tcBorders>
          </w:tcPr>
          <w:p w14:paraId="5924BDC3" w14:textId="77777777" w:rsidR="000D2C1B" w:rsidRDefault="000D2C1B">
            <w:pPr>
              <w:tabs>
                <w:tab w:val="left" w:pos="0"/>
                <w:tab w:val="left" w:pos="567"/>
                <w:tab w:val="left" w:pos="851"/>
              </w:tabs>
              <w:jc w:val="both"/>
              <w:rPr>
                <w:color w:val="000000"/>
                <w:szCs w:val="24"/>
                <w:lang w:eastAsia="lt-LT"/>
              </w:rPr>
            </w:pPr>
          </w:p>
        </w:tc>
      </w:tr>
    </w:tbl>
    <w:p w14:paraId="596B6926" w14:textId="77777777" w:rsidR="000D2C1B" w:rsidRDefault="000D2C1B"/>
    <w:p w14:paraId="08ADB37F" w14:textId="2DF49105" w:rsidR="000D2C1B" w:rsidRDefault="00DD2705">
      <w:pPr>
        <w:tabs>
          <w:tab w:val="left" w:pos="709"/>
        </w:tabs>
        <w:ind w:left="1211" w:hanging="360"/>
        <w:jc w:val="both"/>
        <w:rPr>
          <w:color w:val="000000"/>
          <w:szCs w:val="24"/>
          <w:lang w:eastAsia="lt-LT"/>
        </w:rPr>
      </w:pPr>
      <w:r>
        <w:rPr>
          <w:color w:val="000000"/>
          <w:szCs w:val="24"/>
          <w:lang w:eastAsia="lt-LT"/>
        </w:rPr>
        <w:t>1</w:t>
      </w:r>
      <w:r w:rsidR="007D16A4">
        <w:rPr>
          <w:color w:val="000000"/>
          <w:szCs w:val="24"/>
          <w:lang w:eastAsia="lt-LT"/>
        </w:rPr>
        <w:t>3</w:t>
      </w:r>
      <w:r>
        <w:rPr>
          <w:color w:val="000000"/>
          <w:szCs w:val="24"/>
          <w:lang w:eastAsia="lt-LT"/>
        </w:rPr>
        <w:t>.</w:t>
      </w:r>
      <w:r>
        <w:rPr>
          <w:color w:val="000000"/>
          <w:szCs w:val="24"/>
          <w:lang w:eastAsia="lt-LT"/>
        </w:rPr>
        <w:tab/>
        <w:t xml:space="preserve">Pakeičiu </w:t>
      </w:r>
      <w:r>
        <w:rPr>
          <w:szCs w:val="24"/>
        </w:rPr>
        <w:t xml:space="preserve">1 priedo 5.4 papunktį </w:t>
      </w:r>
      <w:r>
        <w:rPr>
          <w:color w:val="000000"/>
          <w:szCs w:val="24"/>
          <w:lang w:eastAsia="lt-LT"/>
        </w:rPr>
        <w:t>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2551"/>
        <w:gridCol w:w="1418"/>
        <w:gridCol w:w="1275"/>
      </w:tblGrid>
      <w:tr w:rsidR="000D2C1B" w14:paraId="0B4125C5" w14:textId="77777777">
        <w:trPr>
          <w:trHeight w:val="20"/>
        </w:trPr>
        <w:tc>
          <w:tcPr>
            <w:tcW w:w="4395" w:type="dxa"/>
            <w:tcBorders>
              <w:top w:val="single" w:sz="4" w:space="0" w:color="000000"/>
              <w:left w:val="single" w:sz="4" w:space="0" w:color="000000"/>
              <w:bottom w:val="single" w:sz="4" w:space="0" w:color="000000"/>
              <w:right w:val="single" w:sz="4" w:space="0" w:color="000000"/>
            </w:tcBorders>
            <w:hideMark/>
          </w:tcPr>
          <w:p w14:paraId="0ACBB6B4" w14:textId="77777777" w:rsidR="000D2C1B" w:rsidRDefault="00DD2705">
            <w:pPr>
              <w:tabs>
                <w:tab w:val="left" w:pos="851"/>
                <w:tab w:val="left" w:pos="1701"/>
              </w:tabs>
              <w:rPr>
                <w:szCs w:val="24"/>
                <w:lang w:eastAsia="lt-LT"/>
              </w:rPr>
            </w:pPr>
            <w:r>
              <w:rPr>
                <w:szCs w:val="24"/>
                <w:lang w:eastAsia="lt-LT"/>
              </w:rPr>
              <w:t>„5.4.</w:t>
            </w:r>
            <w:r>
              <w:rPr>
                <w:sz w:val="20"/>
                <w:lang w:eastAsia="lt-LT"/>
              </w:rPr>
              <w:t xml:space="preserve"> </w:t>
            </w:r>
            <w:r>
              <w:rPr>
                <w:szCs w:val="24"/>
                <w:lang w:eastAsia="lt-LT"/>
              </w:rPr>
              <w:t>Pareiškėjui ir partneriui (-</w:t>
            </w:r>
            <w:proofErr w:type="spellStart"/>
            <w:r>
              <w:rPr>
                <w:szCs w:val="24"/>
                <w:lang w:eastAsia="lt-LT"/>
              </w:rPr>
              <w:t>iams</w:t>
            </w:r>
            <w:proofErr w:type="spellEnd"/>
            <w:r>
              <w:rPr>
                <w:szCs w:val="24"/>
                <w:lang w:eastAsia="lt-LT"/>
              </w:rPr>
              <w:t>) nėra apribojimų gauti finansavimą:</w:t>
            </w:r>
          </w:p>
          <w:p w14:paraId="442CC745" w14:textId="77777777" w:rsidR="000D2C1B" w:rsidRDefault="00DD2705">
            <w:pPr>
              <w:tabs>
                <w:tab w:val="left" w:pos="851"/>
                <w:tab w:val="left" w:pos="1701"/>
              </w:tabs>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w:t>
            </w:r>
            <w:r>
              <w:rPr>
                <w:bCs/>
                <w:szCs w:val="24"/>
                <w:lang w:eastAsia="lt-LT"/>
              </w:rPr>
              <w:t xml:space="preserve">ir (arba) ekonominės </w:t>
            </w:r>
            <w:r>
              <w:rPr>
                <w:szCs w:val="24"/>
                <w:lang w:eastAsia="lt-LT"/>
              </w:rPr>
              <w:t xml:space="preserve">veiklos arba jis (jie) nėra likviduojamas (-i), nėra priimtas kreditorių susirinkimo nutarimas bankroto procedūras vykdyti ne teismo tvarka </w:t>
            </w:r>
            <w:r>
              <w:rPr>
                <w:i/>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xml:space="preserve">), kurie yra fiziniai asmenys, nėra iškelta byla dėl bankroto, nėra pradėtas ikiteisminis tyrimas dėl ūkinės </w:t>
            </w:r>
            <w:r>
              <w:rPr>
                <w:bCs/>
                <w:szCs w:val="24"/>
                <w:lang w:eastAsia="lt-LT"/>
              </w:rPr>
              <w:t xml:space="preserve">ir (arba) ekonominės </w:t>
            </w:r>
            <w:r>
              <w:rPr>
                <w:szCs w:val="24"/>
                <w:lang w:eastAsia="lt-LT"/>
              </w:rPr>
              <w:t>veiklos;</w:t>
            </w:r>
          </w:p>
          <w:p w14:paraId="04E57E88" w14:textId="77777777" w:rsidR="000D2C1B" w:rsidRDefault="00DD2705">
            <w:pPr>
              <w:tabs>
                <w:tab w:val="left" w:pos="851"/>
                <w:tab w:val="left" w:pos="1701"/>
              </w:tabs>
              <w:jc w:val="both"/>
              <w:rPr>
                <w:i/>
                <w:iCs/>
                <w:szCs w:val="24"/>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w:t>
            </w:r>
            <w:r>
              <w:rPr>
                <w:szCs w:val="24"/>
              </w:rPr>
              <w:t xml:space="preserve">užsienyje gyvenantys </w:t>
            </w:r>
            <w:r>
              <w:rPr>
                <w:szCs w:val="24"/>
                <w:lang w:eastAsia="lt-LT"/>
              </w:rPr>
              <w:t xml:space="preserve">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7333E06D" w14:textId="77777777" w:rsidR="000D2C1B" w:rsidRDefault="00DD2705">
            <w:pPr>
              <w:tabs>
                <w:tab w:val="left" w:pos="851"/>
                <w:tab w:val="left" w:pos="1701"/>
              </w:tabs>
              <w:jc w:val="both"/>
              <w:rPr>
                <w:rFonts w:cs="Calibri"/>
                <w:i/>
                <w:szCs w:val="24"/>
              </w:rPr>
            </w:pPr>
            <w:r>
              <w:rPr>
                <w:szCs w:val="24"/>
                <w:lang w:eastAsia="lt-LT"/>
              </w:rPr>
              <w:t xml:space="preserve">5.4.3. </w:t>
            </w:r>
            <w:r>
              <w:rPr>
                <w:szCs w:val="24"/>
              </w:rPr>
              <w:t>paraiškos vertinimo metu pareiškėjas ir partneris (-</w:t>
            </w:r>
            <w:proofErr w:type="spellStart"/>
            <w:r>
              <w:rPr>
                <w:szCs w:val="24"/>
              </w:rPr>
              <w:t>iai</w:t>
            </w:r>
            <w:proofErr w:type="spellEnd"/>
            <w:r>
              <w:rPr>
                <w:szCs w:val="24"/>
              </w:rPr>
              <w:t xml:space="preserve">), kurie yra fiziniai asmenys, arba </w:t>
            </w:r>
            <w:r>
              <w:rPr>
                <w:color w:val="000000"/>
                <w:szCs w:val="24"/>
              </w:rPr>
              <w:t>pareiškėjo ir partnerio (-</w:t>
            </w:r>
            <w:proofErr w:type="spellStart"/>
            <w:r>
              <w:rPr>
                <w:color w:val="000000"/>
                <w:szCs w:val="24"/>
              </w:rPr>
              <w:t>ių</w:t>
            </w:r>
            <w:proofErr w:type="spellEnd"/>
            <w:r>
              <w:rPr>
                <w:color w:val="000000"/>
                <w:szCs w:val="24"/>
              </w:rPr>
              <w:t xml:space="preserve">), kurie yra juridiniai asmenys, vadovas, </w:t>
            </w:r>
            <w:r>
              <w:rPr>
                <w:rFonts w:cs="Calibri"/>
                <w:szCs w:val="24"/>
                <w:lang w:eastAsia="lt-LT"/>
              </w:rPr>
              <w:t>pagrindinis akcininkas (turintis daugiau nei 50 proc. akcijų) ar savininkas,</w:t>
            </w:r>
            <w:r>
              <w:rPr>
                <w:color w:val="000000"/>
                <w:szCs w:val="24"/>
              </w:rPr>
              <w:t xml:space="preserve"> ūkinės bendrijos tikrasis narys (-</w:t>
            </w:r>
            <w:proofErr w:type="spellStart"/>
            <w:r>
              <w:rPr>
                <w:color w:val="000000"/>
                <w:szCs w:val="24"/>
              </w:rPr>
              <w:t>iai</w:t>
            </w:r>
            <w:proofErr w:type="spellEnd"/>
            <w:r>
              <w:rPr>
                <w:color w:val="000000"/>
                <w:szCs w:val="24"/>
              </w:rPr>
              <w:t>) ar mažosios bendrijos atstovas (-ai), turintis (-</w:t>
            </w:r>
            <w:proofErr w:type="spellStart"/>
            <w:r>
              <w:rPr>
                <w:color w:val="000000"/>
                <w:szCs w:val="24"/>
              </w:rPr>
              <w:t>ys</w:t>
            </w:r>
            <w:proofErr w:type="spellEnd"/>
            <w:r>
              <w:rPr>
                <w:color w:val="000000"/>
                <w:szCs w:val="24"/>
              </w:rPr>
              <w:t>) teisę juridinio asmens vardu sudaryti sandorį, ar buhalteris (-</w:t>
            </w:r>
            <w:proofErr w:type="spellStart"/>
            <w:r>
              <w:rPr>
                <w:color w:val="000000"/>
                <w:szCs w:val="24"/>
              </w:rPr>
              <w:t>iai</w:t>
            </w:r>
            <w:proofErr w:type="spellEnd"/>
            <w:r>
              <w:rPr>
                <w:color w:val="000000"/>
                <w:szCs w:val="24"/>
              </w:rPr>
              <w:t>), ar kitas (kiti) asmuo (asmenys), turintis (-</w:t>
            </w:r>
            <w:proofErr w:type="spellStart"/>
            <w:r>
              <w:rPr>
                <w:color w:val="000000"/>
                <w:szCs w:val="24"/>
              </w:rPr>
              <w:t>ys</w:t>
            </w:r>
            <w:proofErr w:type="spellEnd"/>
            <w:r>
              <w:rPr>
                <w:color w:val="000000"/>
                <w:szCs w:val="24"/>
              </w:rPr>
              <w:t>) teisę surašyti ir pasirašyti pareiškėjo apskaitos dokumentus, neturi neišnykusio arba nepanaikinto teistumo arba dėl pareiškėjo ir partnerio (-</w:t>
            </w:r>
            <w:proofErr w:type="spellStart"/>
            <w:r>
              <w:rPr>
                <w:color w:val="000000"/>
                <w:szCs w:val="24"/>
              </w:rPr>
              <w:t>ių</w:t>
            </w:r>
            <w:proofErr w:type="spellEnd"/>
            <w:r>
              <w:rPr>
                <w:color w:val="000000"/>
                <w:szCs w:val="24"/>
              </w:rPr>
              <w:t xml:space="preserve">) per paskutinius 5 metus nebuvo priimtas ir įsiteisėjęs apkaltinamasis teismo nuosprendis </w:t>
            </w:r>
            <w:r>
              <w:rPr>
                <w:rFonts w:cs="Calibri"/>
                <w:szCs w:val="24"/>
              </w:rPr>
              <w:t>už dalyvavimą bendrininkų grupėje, organizuotoje grupėje, nusikalstamame susivienijime, jų organizavimą ar vadovavimą jiems,</w:t>
            </w:r>
            <w:r>
              <w:rPr>
                <w:color w:val="000000"/>
                <w:szCs w:val="24"/>
              </w:rPr>
              <w:t xml:space="preserve"> teroristinius ir su teroristine veikla susijusius nusikaltimus</w:t>
            </w:r>
            <w:r>
              <w:rPr>
                <w:szCs w:val="24"/>
              </w:rPr>
              <w:t xml:space="preserve"> ar teroristų finansavimą, vaikų darbo ar kitų su prekyba žmonėmis susijusių nusikalstamų veikų,</w:t>
            </w:r>
            <w:r>
              <w:rPr>
                <w:rFonts w:cs="Calibri"/>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rFonts w:cs="Calibri"/>
                <w:szCs w:val="24"/>
                <w:lang w:eastAsia="lt-LT"/>
              </w:rPr>
              <w:t xml:space="preserve"> </w:t>
            </w:r>
            <w:r>
              <w:rPr>
                <w:i/>
                <w:iCs/>
                <w:color w:val="000000"/>
                <w:szCs w:val="24"/>
              </w:rPr>
              <w:t>(</w:t>
            </w:r>
            <w:r>
              <w:rPr>
                <w:rFonts w:cs="Calibri"/>
                <w:i/>
                <w:szCs w:val="24"/>
              </w:rPr>
              <w:t xml:space="preserve">šis apribojimas netaikomas, </w:t>
            </w:r>
            <w:r>
              <w:rPr>
                <w:i/>
                <w:iCs/>
                <w:color w:val="000000"/>
                <w:szCs w:val="24"/>
              </w:rPr>
              <w:t>jei pareiškėjo veikla yra finansuojama iš Lietuvos Respublikos valstybės ir (arba) savivaldybių biudžetų ir (arba) valstybės pinigų fondų,</w:t>
            </w:r>
            <w:r>
              <w:rPr>
                <w:rFonts w:cs="Calibri"/>
                <w:i/>
                <w:szCs w:val="24"/>
                <w:lang w:eastAsia="lt-LT"/>
              </w:rPr>
              <w:t xml:space="preserve"> taip pat </w:t>
            </w:r>
            <w:r>
              <w:rPr>
                <w:rFonts w:cs="Calibri"/>
                <w:i/>
                <w:szCs w:val="24"/>
              </w:rPr>
              <w:t>Europos investicijų fondui ir Europos investicijų bankui;</w:t>
            </w:r>
          </w:p>
          <w:p w14:paraId="28359834" w14:textId="77777777" w:rsidR="000D2C1B" w:rsidRDefault="00DD2705">
            <w:pPr>
              <w:tabs>
                <w:tab w:val="left" w:pos="851"/>
                <w:tab w:val="left" w:pos="1701"/>
              </w:tabs>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2B1CDE3B" w14:textId="77777777" w:rsidR="000D2C1B" w:rsidRDefault="00DD2705">
            <w:pPr>
              <w:tabs>
                <w:tab w:val="left" w:pos="851"/>
                <w:tab w:val="left" w:pos="1701"/>
              </w:tabs>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D864106" w14:textId="77777777" w:rsidR="000D2C1B" w:rsidRDefault="00DD2705">
            <w:pPr>
              <w:tabs>
                <w:tab w:val="left" w:pos="851"/>
                <w:tab w:val="left" w:pos="1701"/>
              </w:tabs>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72793082" w14:textId="77777777" w:rsidR="000D2C1B" w:rsidRDefault="00DD2705">
            <w:pPr>
              <w:tabs>
                <w:tab w:val="left" w:pos="851"/>
                <w:tab w:val="left" w:pos="1701"/>
              </w:tabs>
              <w:jc w:val="both"/>
              <w:rPr>
                <w:i/>
                <w:sz w:val="22"/>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(ši nuostata taikoma tik tais atvejais, kai finansines ataskaitas būtina rengti pagal įstatymus, taikomus juridiniam asmeniui, užsienio juridiniam asmeniui ar kitai organizacijai arba jų filialui).</w:t>
            </w:r>
          </w:p>
        </w:tc>
        <w:tc>
          <w:tcPr>
            <w:tcW w:w="2551" w:type="dxa"/>
            <w:tcBorders>
              <w:top w:val="single" w:sz="4" w:space="0" w:color="000000"/>
              <w:left w:val="single" w:sz="4" w:space="0" w:color="000000"/>
              <w:bottom w:val="single" w:sz="4" w:space="0" w:color="000000"/>
              <w:right w:val="single" w:sz="4" w:space="0" w:color="000000"/>
            </w:tcBorders>
          </w:tcPr>
          <w:p w14:paraId="2E46E74F" w14:textId="77777777" w:rsidR="000D2C1B" w:rsidRDefault="000D2C1B">
            <w:pPr>
              <w:rPr>
                <w:i/>
                <w:lang w:eastAsia="lt-LT"/>
              </w:rPr>
            </w:pPr>
          </w:p>
          <w:p w14:paraId="712493BE" w14:textId="77777777" w:rsidR="000D2C1B" w:rsidRDefault="00DD2705">
            <w:pPr>
              <w:tabs>
                <w:tab w:val="left" w:pos="1134"/>
              </w:tabs>
              <w:jc w:val="both"/>
              <w:rPr>
                <w:i/>
                <w:szCs w:val="24"/>
                <w:lang w:eastAsia="lt-LT"/>
              </w:rPr>
            </w:pPr>
            <w:r>
              <w:rPr>
                <w:i/>
                <w:szCs w:val="24"/>
                <w:lang w:eastAsia="lt-LT"/>
              </w:rPr>
              <w:t xml:space="preserve">Atsakant į 5.4 klausimą vadovaujamasi pareiškėjo (partnerio) pateikta deklaracija. </w:t>
            </w:r>
          </w:p>
          <w:p w14:paraId="2344DC42" w14:textId="77777777" w:rsidR="000D2C1B" w:rsidRDefault="00DD2705">
            <w:pPr>
              <w:rPr>
                <w:i/>
                <w:sz w:val="22"/>
                <w:szCs w:val="22"/>
                <w:lang w:eastAsia="lt-LT"/>
              </w:rPr>
            </w:pPr>
            <w:r>
              <w:rPr>
                <w:i/>
                <w:szCs w:val="24"/>
                <w:lang w:eastAsia="lt-LT"/>
              </w:rPr>
              <w:t>Pareiškėjo (partnerio) deklaracijoje pateiktų teiginių dėl 5.4 papunktyje nurodytų apribojimų tikrumas tikrinamas atrankiniu būdu vidaus procedūrų apraše nustatyta tvarka“.</w:t>
            </w:r>
          </w:p>
        </w:tc>
        <w:tc>
          <w:tcPr>
            <w:tcW w:w="1418" w:type="dxa"/>
            <w:tcBorders>
              <w:top w:val="single" w:sz="4" w:space="0" w:color="000000"/>
              <w:left w:val="single" w:sz="4" w:space="0" w:color="000000"/>
              <w:bottom w:val="single" w:sz="4" w:space="0" w:color="000000"/>
              <w:right w:val="single" w:sz="4" w:space="0" w:color="000000"/>
            </w:tcBorders>
          </w:tcPr>
          <w:p w14:paraId="23C289C0" w14:textId="77777777" w:rsidR="000D2C1B" w:rsidRDefault="000D2C1B">
            <w:pPr>
              <w:jc w:val="center"/>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Pr>
          <w:p w14:paraId="792B3FF2" w14:textId="77777777" w:rsidR="000D2C1B" w:rsidRDefault="000D2C1B">
            <w:pPr>
              <w:rPr>
                <w:sz w:val="22"/>
                <w:szCs w:val="22"/>
                <w:lang w:eastAsia="lt-LT"/>
              </w:rPr>
            </w:pPr>
          </w:p>
        </w:tc>
      </w:tr>
    </w:tbl>
    <w:p w14:paraId="5D52BDF9" w14:textId="77777777" w:rsidR="000D2C1B" w:rsidRDefault="000D2C1B">
      <w:pPr>
        <w:tabs>
          <w:tab w:val="left" w:pos="709"/>
        </w:tabs>
        <w:jc w:val="both"/>
        <w:rPr>
          <w:color w:val="000000"/>
          <w:szCs w:val="24"/>
          <w:lang w:eastAsia="lt-LT"/>
        </w:rPr>
      </w:pPr>
    </w:p>
    <w:p w14:paraId="4A4ED744" w14:textId="1A6C355A" w:rsidR="000D2C1B" w:rsidRDefault="00DD2705">
      <w:pPr>
        <w:ind w:left="1211" w:hanging="360"/>
        <w:rPr>
          <w:szCs w:val="24"/>
        </w:rPr>
      </w:pPr>
      <w:r>
        <w:rPr>
          <w:szCs w:val="24"/>
        </w:rPr>
        <w:t>1</w:t>
      </w:r>
      <w:r w:rsidR="007D16A4">
        <w:rPr>
          <w:szCs w:val="24"/>
        </w:rPr>
        <w:t>4</w:t>
      </w:r>
      <w:r>
        <w:rPr>
          <w:szCs w:val="24"/>
        </w:rPr>
        <w:t>.</w:t>
      </w:r>
      <w:r>
        <w:rPr>
          <w:szCs w:val="24"/>
        </w:rPr>
        <w:tab/>
        <w:t>Pakeičiu 1 priedo 7 punktą ir jį išdėstau taip:</w:t>
      </w:r>
    </w:p>
    <w:tbl>
      <w:tblPr>
        <w:tblW w:w="9379"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5"/>
        <w:gridCol w:w="2551"/>
        <w:gridCol w:w="1418"/>
        <w:gridCol w:w="1275"/>
      </w:tblGrid>
      <w:tr w:rsidR="000D2C1B" w14:paraId="55FF7BC0" w14:textId="77777777">
        <w:trPr>
          <w:trHeight w:val="20"/>
        </w:trPr>
        <w:tc>
          <w:tcPr>
            <w:tcW w:w="9379" w:type="dxa"/>
            <w:gridSpan w:val="4"/>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A5356D" w14:textId="77777777" w:rsidR="000D2C1B" w:rsidRDefault="00DD2705">
            <w:r>
              <w:rPr>
                <w:b/>
                <w:bCs/>
              </w:rPr>
              <w:t>„7. Užtikrintas efektyvus projektui įgyvendinti reikalingų lėšų panaudojimas.</w:t>
            </w:r>
          </w:p>
        </w:tc>
      </w:tr>
      <w:tr w:rsidR="000D2C1B" w14:paraId="16E326BE"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B56D5" w14:textId="77777777" w:rsidR="000D2C1B" w:rsidRDefault="00DD2705">
            <w:r>
              <w:t xml:space="preserve">7.1. </w:t>
            </w:r>
            <w:r>
              <w:rPr>
                <w:color w:val="000000"/>
              </w:rPr>
              <w:t xml:space="preserve">Projekto įgyvendinimo alternatyvos pasirinkimas pagrįstas sąnaudų ir naudos analizės rezultatais </w:t>
            </w:r>
            <w:r>
              <w:t xml:space="preserve">(toliau – SNA): </w:t>
            </w:r>
          </w:p>
          <w:p w14:paraId="107EFA4E" w14:textId="77777777" w:rsidR="000D2C1B" w:rsidRDefault="00DD2705">
            <w:pPr>
              <w:rPr>
                <w:i/>
                <w:iCs/>
              </w:rPr>
            </w:pPr>
            <w:r>
              <w:rPr>
                <w:i/>
                <w:iCs/>
              </w:rPr>
              <w:t>(Šis vertinimo aspektas taikomas projektams, kuriems teikiamas investicijų projektas (pagal Projektų administravimo ir finansavimo taisyklių 67</w:t>
            </w:r>
            <w:r>
              <w:rPr>
                <w:i/>
                <w:iCs/>
                <w:vertAlign w:val="superscript"/>
              </w:rPr>
              <w:t>1</w:t>
            </w:r>
            <w:r>
              <w:rPr>
                <w:i/>
                <w:iCs/>
              </w:rPr>
              <w:t xml:space="preserve"> punktą) ir investicijų projekto skaičiuoklė, ir kurių įgyvendinimo alternatyvų analizė ir palyginimas atlikti taikant SNA metodą. 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www.esinvesticijos.lt. Jei Investicijų projektų rengimo metodiką numatoma taikyti su išimtimis, tokios išimtys turi būti suderintos su vadovaujančiąja institucija ir numatytos projektų finansavimo sąlygų apraše.</w:t>
            </w:r>
          </w:p>
          <w:p w14:paraId="72553C67" w14:textId="77777777" w:rsidR="000D2C1B" w:rsidRDefault="000D2C1B">
            <w:pPr>
              <w:rPr>
                <w:i/>
                <w:iCs/>
              </w:rPr>
            </w:pPr>
          </w:p>
          <w:p w14:paraId="4AFB32DA" w14:textId="77777777" w:rsidR="000D2C1B" w:rsidRDefault="00DD2705">
            <w:r>
              <w:rPr>
                <w:i/>
                <w:iCs/>
              </w:rPr>
              <w:t>Šis vertinimo aspektas netaikomas techninės paramos projektams ir projekto įgyvendinimo metu, išskyrus atvejus, kai taikomi Projektų</w:t>
            </w:r>
            <w:r>
              <w:t xml:space="preserve"> </w:t>
            </w:r>
            <w:r>
              <w:rPr>
                <w:i/>
                <w:iCs/>
              </w:rPr>
              <w:t>administravimo ir finansavimo taisyklių 196.1 arba 196.5 papunkčio reikalavimai.)</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1DAC3B7" w14:textId="77777777" w:rsidR="000D2C1B" w:rsidRDefault="000D2C1B">
            <w:pPr>
              <w:ind w:firstLine="57"/>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0931A3F"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662C9C4" w14:textId="77777777" w:rsidR="000D2C1B" w:rsidRDefault="000D2C1B">
            <w:pPr>
              <w:ind w:firstLine="57"/>
            </w:pPr>
          </w:p>
        </w:tc>
      </w:tr>
      <w:tr w:rsidR="000D2C1B" w14:paraId="718B3148"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205E4" w14:textId="77777777" w:rsidR="000D2C1B" w:rsidRDefault="00DD2705">
            <w:r>
              <w:t>7.1.1. projekto įgyvendinimo alternatyvai (-</w:t>
            </w:r>
            <w:proofErr w:type="spellStart"/>
            <w:r>
              <w:t>oms</w:t>
            </w:r>
            <w:proofErr w:type="spellEnd"/>
            <w:r>
              <w:t>) įvertinti naudojamos pajamų, sąnaudų, finansavimo šaltinių, sukuriamos naudos ir kitos prielaidos yra pagrįstos;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CB8BE84" w14:textId="77777777" w:rsidR="000D2C1B" w:rsidRDefault="00DD2705">
            <w:r>
              <w:rPr>
                <w:i/>
                <w:iCs/>
              </w:rPr>
              <w:t>Informacijos šaltinis: Paraiška ir investicijų projektas.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6719AC0"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F4ABEEB" w14:textId="77777777" w:rsidR="000D2C1B" w:rsidRDefault="000D2C1B">
            <w:pPr>
              <w:ind w:firstLine="57"/>
            </w:pPr>
          </w:p>
        </w:tc>
      </w:tr>
      <w:tr w:rsidR="000D2C1B" w14:paraId="11D5F4C1"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E975D" w14:textId="77777777" w:rsidR="000D2C1B" w:rsidRDefault="00DD2705">
            <w:r>
              <w:t>7.1.2. projekto įgyvendinimo alternatyvai (-</w:t>
            </w:r>
            <w:proofErr w:type="spellStart"/>
            <w:r>
              <w:t>oms</w:t>
            </w:r>
            <w:proofErr w:type="spellEnd"/>
            <w:r>
              <w:t>) įvertinti naudojamas vienodas pagrįstos trukmės analizės laikotarpis;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331762A" w14:textId="77777777" w:rsidR="000D2C1B" w:rsidRDefault="00DD2705">
            <w:r>
              <w:rPr>
                <w:i/>
                <w:iCs/>
              </w:rPr>
              <w:t>Informacijos šaltinis: Paraiška ir investicijų projektas.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B8F2FFA"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F307A70" w14:textId="77777777" w:rsidR="000D2C1B" w:rsidRDefault="000D2C1B">
            <w:pPr>
              <w:ind w:firstLine="57"/>
            </w:pPr>
          </w:p>
        </w:tc>
      </w:tr>
      <w:tr w:rsidR="000D2C1B" w14:paraId="53F742B4"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B5053" w14:textId="77777777" w:rsidR="000D2C1B" w:rsidRDefault="00DD2705">
            <w:r>
              <w:t>7.1.3. projekto įgyvendinimo alternatyvai (-</w:t>
            </w:r>
            <w:proofErr w:type="spellStart"/>
            <w:r>
              <w:t>oms</w:t>
            </w:r>
            <w:proofErr w:type="spellEnd"/>
            <w:r>
              <w:t>) įvertinti naudojama vienoda pagrįsto dydžio diskonto norma;</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AE5738B" w14:textId="77777777" w:rsidR="000D2C1B" w:rsidRDefault="00DD2705">
            <w:r>
              <w:rPr>
                <w:i/>
                <w:iCs/>
              </w:rPr>
              <w:t>Informacijos šaltinis: Paraiška ir investicijų projektas.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F8E6AD8"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5A5C805" w14:textId="77777777" w:rsidR="000D2C1B" w:rsidRDefault="000D2C1B">
            <w:pPr>
              <w:ind w:firstLine="57"/>
            </w:pPr>
          </w:p>
        </w:tc>
      </w:tr>
      <w:tr w:rsidR="000D2C1B" w14:paraId="6B42C639"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6D9E4" w14:textId="77777777" w:rsidR="000D2C1B" w:rsidRDefault="00DD2705">
            <w:pPr>
              <w:rPr>
                <w:strike/>
              </w:rPr>
            </w:pPr>
            <w:r>
              <w:t>7.1.4. optimali projekto įgyvendinimo alternatyva pasirinkta pagal projekto įgyvendinimo alternatyvų finansinių ir (arba) ekonominių rodiklių (grynosios dabartinės vertės, vidinės grąžos normos, sąnaudų ir naudos santykio) reikšmes;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A1EC41" w14:textId="77777777" w:rsidR="000D2C1B" w:rsidRDefault="00DD2705">
            <w:r>
              <w:rPr>
                <w:i/>
                <w:iCs/>
              </w:rPr>
              <w:t>Informacijos šaltinis: Paraiška ir investicijų projektas.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0F126B8"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E674805" w14:textId="77777777" w:rsidR="000D2C1B" w:rsidRDefault="000D2C1B">
            <w:pPr>
              <w:ind w:firstLine="57"/>
            </w:pPr>
          </w:p>
        </w:tc>
      </w:tr>
      <w:tr w:rsidR="000D2C1B" w14:paraId="2A8148ED"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B73D0" w14:textId="77777777" w:rsidR="000D2C1B" w:rsidRDefault="00DD2705">
            <w:r>
              <w:t>7.1.5. pasirinktai projekto įgyvendinimo alternatyvai realizuoti nėra žinomų teisinių, techninių ir socialinių apribojimų.</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156DD2F" w14:textId="77777777" w:rsidR="000D2C1B" w:rsidRDefault="00DD2705">
            <w:r>
              <w:rPr>
                <w:i/>
                <w:iCs/>
              </w:rPr>
              <w:t>Informacijos šaltinis: Paraiška ir investicijų projektas.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C704032"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95B9C1F" w14:textId="77777777" w:rsidR="000D2C1B" w:rsidRDefault="000D2C1B">
            <w:pPr>
              <w:ind w:firstLine="57"/>
            </w:pPr>
          </w:p>
        </w:tc>
      </w:tr>
      <w:tr w:rsidR="000D2C1B" w14:paraId="19AECD68"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762A5" w14:textId="77777777" w:rsidR="000D2C1B" w:rsidRDefault="00DD2705">
            <w:pPr>
              <w:rPr>
                <w:szCs w:val="24"/>
              </w:rPr>
            </w:pPr>
            <w:r>
              <w:t xml:space="preserve">7.2. Projekto įgyvendinimo alternatyvos pasirinkimas pagrįstas sąnaudų </w:t>
            </w:r>
            <w:r>
              <w:rPr>
                <w:szCs w:val="24"/>
              </w:rPr>
              <w:t xml:space="preserve">veiksmingumo analizės (toliau – SVA) rodikliu. </w:t>
            </w:r>
          </w:p>
          <w:p w14:paraId="2DF036C6" w14:textId="77777777" w:rsidR="000D2C1B" w:rsidRDefault="00DD2705">
            <w:pPr>
              <w:jc w:val="both"/>
              <w:rPr>
                <w:szCs w:val="24"/>
              </w:rPr>
            </w:pPr>
            <w:r>
              <w:rPr>
                <w:i/>
                <w:iCs/>
                <w:szCs w:val="24"/>
              </w:rPr>
              <w:t>(Šis vertinimo aspektas taikomas projektams, kuriems įgyvendinti teikiamas investicijų projektas (pagal Projektų administravimo ir finansavimo taisyklių 67</w:t>
            </w:r>
            <w:r>
              <w:rPr>
                <w:i/>
                <w:iCs/>
                <w:szCs w:val="24"/>
                <w:vertAlign w:val="superscript"/>
              </w:rPr>
              <w:t>1</w:t>
            </w:r>
            <w:r>
              <w:rPr>
                <w:i/>
                <w:iCs/>
                <w:szCs w:val="24"/>
              </w:rPr>
              <w:t xml:space="preserve"> punktą) ir investicijų projektų skaičiuoklė, kuriuose alternatyvų analizė ir palyginimas atlikti taikant SVA metodą. </w:t>
            </w:r>
          </w:p>
          <w:p w14:paraId="737213CE" w14:textId="77777777" w:rsidR="000D2C1B" w:rsidRDefault="00DD2705">
            <w:pPr>
              <w:jc w:val="both"/>
              <w:rPr>
                <w:szCs w:val="24"/>
              </w:rPr>
            </w:pPr>
            <w:r>
              <w:rPr>
                <w:i/>
                <w:iCs/>
                <w:szCs w:val="24"/>
              </w:rPr>
              <w:t>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w:t>
            </w:r>
            <w:r>
              <w:rPr>
                <w:szCs w:val="24"/>
              </w:rPr>
              <w:t xml:space="preserve"> </w:t>
            </w:r>
            <w:r>
              <w:rPr>
                <w:i/>
                <w:iCs/>
                <w:szCs w:val="24"/>
              </w:rPr>
              <w:t xml:space="preserve">pateiktą vertinimo išvadą dėl partnerystės ar koncesijos projekto socialinės ir ekonominės naudos. Visais atvejais vertinama vadovaujantis Investicijų projektų rengimo metodika ir Kokybės metodika. </w:t>
            </w:r>
          </w:p>
          <w:p w14:paraId="7A6EC9C8" w14:textId="77777777" w:rsidR="000D2C1B" w:rsidRDefault="00DD2705">
            <w:r>
              <w:rPr>
                <w:i/>
                <w:iCs/>
                <w:szCs w:val="24"/>
              </w:rPr>
              <w:t>Šis vertinimo aspektas netaikomas techninės paramos projektams ir projekto įgyvendinimo metu, išskyrus atvejus, kai taikomi Projektų administravimo ir finansavimo taisyklių 196.1 arba 196.5 papunkčio reikalavimai.)</w:t>
            </w:r>
            <w:r>
              <w:t xml:space="preserv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73FF8EB" w14:textId="77777777" w:rsidR="000D2C1B" w:rsidRDefault="00DD2705">
            <w:pPr>
              <w:rPr>
                <w:i/>
                <w:iCs/>
              </w:rPr>
            </w:pPr>
            <w:r>
              <w:rPr>
                <w:i/>
                <w:iCs/>
              </w:rPr>
              <w:t>Informacijos šaltinis: Paraiška ir investicijų projektas.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C3CFB34" w14:textId="77777777" w:rsidR="000D2C1B" w:rsidRDefault="000D2C1B">
            <w:pPr>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A7DDDB3" w14:textId="77777777" w:rsidR="000D2C1B" w:rsidRDefault="000D2C1B">
            <w:pPr>
              <w:ind w:firstLine="57"/>
            </w:pPr>
          </w:p>
        </w:tc>
      </w:tr>
      <w:tr w:rsidR="000D2C1B" w14:paraId="64137A0C"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ADD28" w14:textId="77777777" w:rsidR="000D2C1B" w:rsidRDefault="00DD2705">
            <w:r>
              <w:t>7.3. Įvertintos pagrindinės projekto rizikos ir suplanuotos rizikų valdymo priemonės bei joms įgyvendinti reikalingi ištekliai.</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5D32138" w14:textId="77777777" w:rsidR="000D2C1B" w:rsidRDefault="00DD2705">
            <w:r>
              <w:rPr>
                <w:i/>
                <w:iCs/>
              </w:rPr>
              <w:t>Informacijos šaltinis: paraiška ir kartu su paraiška pateikti dokumentai.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FAE4B72"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C910FAE" w14:textId="77777777" w:rsidR="000D2C1B" w:rsidRDefault="000D2C1B">
            <w:pPr>
              <w:ind w:firstLine="57"/>
            </w:pPr>
          </w:p>
        </w:tc>
      </w:tr>
      <w:tr w:rsidR="000D2C1B" w14:paraId="0389CC51"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E17AB" w14:textId="77777777" w:rsidR="000D2C1B" w:rsidRDefault="00DD2705">
            <w: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t>ių</w:t>
            </w:r>
            <w:proofErr w:type="spellEnd"/>
            <w:r>
              <w:t>) įgyvendintus ir (arba) įgyvendinamus projektus toms pačioms veikloms ir išlaidoms finansavimas nėra skiriamas pakartotinai.</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B1ED7E3" w14:textId="77777777" w:rsidR="000D2C1B" w:rsidRDefault="00DD2705">
            <w:r>
              <w:rPr>
                <w:i/>
                <w:iCs/>
              </w:rPr>
              <w:t>Informacijos šaltinis: paraiška ir kartu su paraiška pateikti dokumentai.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94CCE00"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28781C2" w14:textId="77777777" w:rsidR="000D2C1B" w:rsidRDefault="000D2C1B">
            <w:pPr>
              <w:ind w:firstLine="57"/>
            </w:pPr>
          </w:p>
        </w:tc>
      </w:tr>
      <w:tr w:rsidR="000D2C1B" w14:paraId="0550B4FA" w14:textId="77777777">
        <w:trPr>
          <w:trHeight w:val="1104"/>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FF4EC" w14:textId="77777777" w:rsidR="000D2C1B" w:rsidRDefault="00DD2705">
            <w:r>
              <w:t xml:space="preserve">7.5. </w:t>
            </w:r>
            <w:r>
              <w:rPr>
                <w:spacing w:val="-4"/>
              </w:rPr>
              <w:t>Pareiškėjas gali įgyvendinti projekto tikslus, veiklas, uždavinius bei pasiekti rezultatus per projekto įgyvendinimo laikotarpį; projekto įgyvendinimo trukmė atitinka projektų finansavimo sąlygų apraše nustatytus reikalavimus.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A13F619" w14:textId="77777777" w:rsidR="000D2C1B" w:rsidRDefault="00DD2705">
            <w:r>
              <w:t>Projekto įgyvendinimo trukmė / terminas turi atitikti šio Aprašo 24 punkte nustatytus reikalavimus.</w:t>
            </w:r>
          </w:p>
          <w:p w14:paraId="4AD4FA4B" w14:textId="77777777" w:rsidR="000D2C1B" w:rsidRDefault="000D2C1B">
            <w:pPr>
              <w:ind w:firstLine="62"/>
            </w:pPr>
          </w:p>
          <w:p w14:paraId="6792E796" w14:textId="77777777" w:rsidR="000D2C1B" w:rsidRDefault="00DD2705">
            <w:r>
              <w:rPr>
                <w:i/>
                <w:iCs/>
              </w:rPr>
              <w:t>Informacijos šaltinis: paraiška ir investicijų projektas.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9CB4541"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62C8755" w14:textId="77777777" w:rsidR="000D2C1B" w:rsidRDefault="000D2C1B">
            <w:pPr>
              <w:ind w:firstLine="57"/>
            </w:pPr>
          </w:p>
        </w:tc>
      </w:tr>
      <w:tr w:rsidR="000D2C1B" w14:paraId="5180D72C"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BA048" w14:textId="77777777" w:rsidR="000D2C1B" w:rsidRDefault="00DD2705">
            <w:r>
              <w:t>7.6. Projektas atitinka kryžminio finansavimo reikalavimus.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E80AC3D" w14:textId="77777777" w:rsidR="000D2C1B" w:rsidRDefault="00DD2705">
            <w:r>
              <w:t>Netaikoma.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95CA84E"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2B193D2" w14:textId="77777777" w:rsidR="000D2C1B" w:rsidRDefault="000D2C1B">
            <w:pPr>
              <w:ind w:firstLine="57"/>
            </w:pPr>
          </w:p>
        </w:tc>
      </w:tr>
      <w:tr w:rsidR="000D2C1B" w14:paraId="77186209"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BA4CD" w14:textId="77777777" w:rsidR="000D2C1B" w:rsidRDefault="00DD2705">
            <w:r>
              <w:t xml:space="preserve">7.7. Teisingai pritaikyti fiksuotoji projekto išlaidų norma, fiksuotieji projekto išlaidų vieneto įkainiai, fiksuotosios projekto išlaidų sumos ir (ar) apdovanojimai.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D7E22F0" w14:textId="77777777" w:rsidR="000D2C1B" w:rsidRDefault="00DD2705">
            <w:r>
              <w:t>Netaikoma.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B0F428E"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379149C" w14:textId="77777777" w:rsidR="000D2C1B" w:rsidRDefault="000D2C1B">
            <w:pPr>
              <w:ind w:firstLine="57"/>
            </w:pPr>
          </w:p>
        </w:tc>
      </w:tr>
      <w:tr w:rsidR="000D2C1B" w14:paraId="340377FD" w14:textId="77777777">
        <w:trPr>
          <w:trHeight w:val="2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5EA67" w14:textId="77777777" w:rsidR="000D2C1B" w:rsidRDefault="00DD2705">
            <w: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FAE6A6E" w14:textId="77777777" w:rsidR="000D2C1B" w:rsidRDefault="00DD2705">
            <w:r>
              <w:t>– negaunama pajamų;</w:t>
            </w:r>
          </w:p>
          <w:p w14:paraId="5135BEEC" w14:textId="77777777" w:rsidR="000D2C1B" w:rsidRDefault="00DD2705">
            <w:r>
              <w:t>– gaunama pajamų ir jos yra įvertintos iš anksto;</w:t>
            </w:r>
          </w:p>
          <w:p w14:paraId="15EA5015" w14:textId="77777777" w:rsidR="000D2C1B" w:rsidRDefault="00DD2705">
            <w:r>
              <w:t xml:space="preserve">– gaunama pajamų, bet jų iš anksto neįmanoma apskaičiuoti. </w:t>
            </w:r>
          </w:p>
          <w:p w14:paraId="590F0221" w14:textId="77777777" w:rsidR="000D2C1B" w:rsidRDefault="00DD2705">
            <w:r>
              <w:rPr>
                <w:i/>
                <w:iCs/>
              </w:rPr>
              <w:t xml:space="preserve">(Šis vertinimo aspektas netaikomas, kai iš Europos regioninės plėtros fondo ar Sanglaudos fondo bendrai finansuojamo projekto tinkamų finansuoti išlaidų suma neviršija 1 000 000 eurų, kai iš ESF bendrai finansuojamo projekto tinkamų finansuoti 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arba </w:t>
            </w:r>
            <w:proofErr w:type="spellStart"/>
            <w:r>
              <w:rPr>
                <w:i/>
                <w:iCs/>
              </w:rPr>
              <w:t>aa</w:t>
            </w:r>
            <w:proofErr w:type="spellEnd"/>
            <w:r>
              <w:t xml:space="preserve"> </w:t>
            </w:r>
            <w:r>
              <w:rPr>
                <w:i/>
                <w:iCs/>
              </w:rPr>
              <w:t>punktą ūkio sektoriui taikoma grynųjų pajamų fiksuotoji norma, išreikšta pajamų procentais.)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FD19749" w14:textId="77777777" w:rsidR="000D2C1B" w:rsidRDefault="00DD2705">
            <w:r>
              <w:t>Netaikoma“.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6A5A98F" w14:textId="77777777" w:rsidR="000D2C1B" w:rsidRDefault="000D2C1B">
            <w:pPr>
              <w:ind w:firstLine="57"/>
              <w:jc w:val="cente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C6684D9" w14:textId="77777777" w:rsidR="000D2C1B" w:rsidRDefault="000D2C1B">
            <w:pPr>
              <w:ind w:firstLine="57"/>
            </w:pPr>
          </w:p>
        </w:tc>
      </w:tr>
    </w:tbl>
    <w:p w14:paraId="041EE1D5" w14:textId="77777777" w:rsidR="000D2C1B" w:rsidRDefault="000D2C1B"/>
    <w:p w14:paraId="2FCA4F58" w14:textId="44476A94" w:rsidR="000D2C1B" w:rsidRDefault="00DD2705">
      <w:pPr>
        <w:ind w:left="1211" w:hanging="360"/>
        <w:rPr>
          <w:szCs w:val="24"/>
        </w:rPr>
      </w:pPr>
      <w:r>
        <w:rPr>
          <w:szCs w:val="24"/>
        </w:rPr>
        <w:t>1</w:t>
      </w:r>
      <w:r w:rsidR="007D16A4">
        <w:rPr>
          <w:szCs w:val="24"/>
        </w:rPr>
        <w:t>5</w:t>
      </w:r>
      <w:r>
        <w:rPr>
          <w:szCs w:val="24"/>
        </w:rPr>
        <w:t>.</w:t>
      </w:r>
      <w:r>
        <w:rPr>
          <w:szCs w:val="24"/>
        </w:rPr>
        <w:tab/>
        <w:t>Pakeičiu 1 priedo 8.1 papunktį ir jį išdėstau taip:</w:t>
      </w:r>
    </w:p>
    <w:p w14:paraId="7F52A7D3" w14:textId="77777777" w:rsidR="000D2C1B" w:rsidRDefault="000D2C1B">
      <w:pPr>
        <w:ind w:left="1211"/>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1418"/>
        <w:gridCol w:w="1269"/>
      </w:tblGrid>
      <w:tr w:rsidR="000D2C1B" w14:paraId="3A9AC248" w14:textId="77777777">
        <w:tc>
          <w:tcPr>
            <w:tcW w:w="4390" w:type="dxa"/>
            <w:hideMark/>
          </w:tcPr>
          <w:p w14:paraId="20FD4716" w14:textId="77777777" w:rsidR="000D2C1B" w:rsidRDefault="00DD2705">
            <w:pPr>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2F9CCD2B" w14:textId="77777777" w:rsidR="000D2C1B" w:rsidRDefault="00DD2705">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2D77AA9C" w14:textId="77777777" w:rsidR="000D2C1B" w:rsidRDefault="00DD2705">
            <w:pPr>
              <w:rPr>
                <w:szCs w:val="24"/>
                <w:lang w:eastAsia="lt-LT"/>
              </w:rPr>
            </w:pPr>
            <w:r>
              <w:rPr>
                <w:szCs w:val="24"/>
                <w:lang w:eastAsia="lt-LT"/>
              </w:rPr>
              <w:t xml:space="preserve">8.1.2. iš ESF bendrai finansuojamo projekto veiklos vykdomos: </w:t>
            </w:r>
          </w:p>
          <w:p w14:paraId="62D90128" w14:textId="77777777" w:rsidR="000D2C1B" w:rsidRDefault="00DD2705">
            <w:pPr>
              <w:tabs>
                <w:tab w:val="left" w:pos="402"/>
              </w:tabs>
              <w:ind w:left="720" w:hanging="360"/>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3A0E373F" w14:textId="77777777" w:rsidR="000D2C1B" w:rsidRDefault="00DD2705">
            <w:pPr>
              <w:tabs>
                <w:tab w:val="left" w:pos="402"/>
                <w:tab w:val="left" w:pos="743"/>
              </w:tabs>
              <w:ind w:left="34" w:firstLine="326"/>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14:paraId="4E6A2BF3" w14:textId="77777777" w:rsidR="000D2C1B" w:rsidRDefault="00DD2705">
            <w:pPr>
              <w:tabs>
                <w:tab w:val="left" w:pos="851"/>
                <w:tab w:val="left" w:pos="1276"/>
              </w:tabs>
              <w:jc w:val="both"/>
              <w:rPr>
                <w:color w:val="000000"/>
                <w:szCs w:val="24"/>
                <w:lang w:eastAsia="lt-LT"/>
              </w:rPr>
            </w:pPr>
            <w:r>
              <w:rPr>
                <w:szCs w:val="24"/>
                <w:lang w:eastAsia="lt-LT"/>
              </w:rPr>
              <w:t xml:space="preserve">8.1.3. vykdomos techninės paramos projektų veiklos.  </w:t>
            </w:r>
          </w:p>
        </w:tc>
        <w:tc>
          <w:tcPr>
            <w:tcW w:w="2551" w:type="dxa"/>
          </w:tcPr>
          <w:p w14:paraId="5A24EEBB" w14:textId="77777777" w:rsidR="000D2C1B" w:rsidRDefault="00DD2705">
            <w:pPr>
              <w:rPr>
                <w:szCs w:val="24"/>
              </w:rPr>
            </w:pPr>
            <w:r>
              <w:rPr>
                <w:szCs w:val="24"/>
              </w:rPr>
              <w:t xml:space="preserve">Projekto veiklų vykdymo teritorija turi atitikti šio Aprašo 26 punkte nustatytus reikalavimus. </w:t>
            </w:r>
          </w:p>
          <w:p w14:paraId="55E75386" w14:textId="77777777" w:rsidR="000D2C1B" w:rsidRDefault="000D2C1B">
            <w:pPr>
              <w:rPr>
                <w:szCs w:val="24"/>
              </w:rPr>
            </w:pPr>
          </w:p>
          <w:p w14:paraId="267C227C" w14:textId="77777777" w:rsidR="000D2C1B" w:rsidRDefault="00DD2705">
            <w:pPr>
              <w:tabs>
                <w:tab w:val="left" w:pos="0"/>
                <w:tab w:val="left" w:pos="567"/>
                <w:tab w:val="left" w:pos="851"/>
              </w:tabs>
              <w:jc w:val="both"/>
              <w:rPr>
                <w:i/>
                <w:iCs/>
                <w:color w:val="000000"/>
                <w:szCs w:val="24"/>
                <w:lang w:eastAsia="lt-LT"/>
              </w:rPr>
            </w:pPr>
            <w:r>
              <w:rPr>
                <w:i/>
                <w:szCs w:val="24"/>
              </w:rPr>
              <w:t>Informacijos šaltinis: paraiška.</w:t>
            </w:r>
            <w:r>
              <w:rPr>
                <w:iCs/>
                <w:szCs w:val="24"/>
              </w:rPr>
              <w:t>“</w:t>
            </w:r>
          </w:p>
        </w:tc>
        <w:tc>
          <w:tcPr>
            <w:tcW w:w="1418" w:type="dxa"/>
          </w:tcPr>
          <w:p w14:paraId="0343AA9E" w14:textId="77777777" w:rsidR="000D2C1B" w:rsidRDefault="000D2C1B">
            <w:pPr>
              <w:tabs>
                <w:tab w:val="left" w:pos="0"/>
                <w:tab w:val="left" w:pos="567"/>
                <w:tab w:val="left" w:pos="851"/>
              </w:tabs>
              <w:jc w:val="both"/>
              <w:rPr>
                <w:color w:val="000000"/>
                <w:szCs w:val="24"/>
                <w:lang w:eastAsia="lt-LT"/>
              </w:rPr>
            </w:pPr>
          </w:p>
        </w:tc>
        <w:tc>
          <w:tcPr>
            <w:tcW w:w="1269" w:type="dxa"/>
          </w:tcPr>
          <w:p w14:paraId="55F53262" w14:textId="77777777" w:rsidR="000D2C1B" w:rsidRDefault="000D2C1B">
            <w:pPr>
              <w:tabs>
                <w:tab w:val="left" w:pos="0"/>
                <w:tab w:val="left" w:pos="567"/>
                <w:tab w:val="left" w:pos="851"/>
              </w:tabs>
              <w:jc w:val="both"/>
              <w:rPr>
                <w:color w:val="000000"/>
                <w:szCs w:val="24"/>
                <w:lang w:eastAsia="lt-LT"/>
              </w:rPr>
            </w:pPr>
          </w:p>
        </w:tc>
      </w:tr>
    </w:tbl>
    <w:p w14:paraId="5E1C051E" w14:textId="77777777" w:rsidR="000D2C1B" w:rsidRDefault="000D2C1B">
      <w:pPr>
        <w:tabs>
          <w:tab w:val="left" w:pos="1418"/>
        </w:tabs>
        <w:overflowPunct w:val="0"/>
        <w:ind w:firstLine="709"/>
        <w:jc w:val="both"/>
        <w:textAlignment w:val="baseline"/>
        <w:rPr>
          <w:szCs w:val="24"/>
        </w:rPr>
      </w:pPr>
    </w:p>
    <w:p w14:paraId="73FD3C3E" w14:textId="77777777" w:rsidR="000D2C1B" w:rsidRDefault="000D2C1B">
      <w:pPr>
        <w:ind w:firstLine="709"/>
        <w:jc w:val="both"/>
        <w:rPr>
          <w:b/>
          <w:bCs/>
          <w:szCs w:val="24"/>
          <w:lang w:val="en-US"/>
        </w:rPr>
      </w:pPr>
    </w:p>
    <w:tbl>
      <w:tblPr>
        <w:tblW w:w="0" w:type="auto"/>
        <w:tblLook w:val="04A0" w:firstRow="1" w:lastRow="0" w:firstColumn="1" w:lastColumn="0" w:noHBand="0" w:noVBand="1"/>
      </w:tblPr>
      <w:tblGrid>
        <w:gridCol w:w="4833"/>
        <w:gridCol w:w="4805"/>
      </w:tblGrid>
      <w:tr w:rsidR="000D2C1B" w14:paraId="46B0735D" w14:textId="77777777" w:rsidTr="00DE34BD">
        <w:tc>
          <w:tcPr>
            <w:tcW w:w="4833" w:type="dxa"/>
            <w:hideMark/>
          </w:tcPr>
          <w:p w14:paraId="54FD0963" w14:textId="77777777" w:rsidR="000D2C1B" w:rsidRDefault="000D2C1B">
            <w:pPr>
              <w:overflowPunct w:val="0"/>
              <w:jc w:val="both"/>
              <w:textAlignment w:val="baseline"/>
              <w:rPr>
                <w:color w:val="000000"/>
                <w:szCs w:val="24"/>
                <w:lang w:eastAsia="lt-LT"/>
              </w:rPr>
            </w:pPr>
          </w:p>
          <w:p w14:paraId="0A5E0657" w14:textId="77777777" w:rsidR="000D2C1B" w:rsidRDefault="000D2C1B">
            <w:pPr>
              <w:overflowPunct w:val="0"/>
              <w:jc w:val="both"/>
              <w:textAlignment w:val="baseline"/>
              <w:rPr>
                <w:color w:val="000000"/>
                <w:szCs w:val="24"/>
                <w:lang w:eastAsia="lt-LT"/>
              </w:rPr>
            </w:pPr>
          </w:p>
          <w:p w14:paraId="5425F63F" w14:textId="77777777" w:rsidR="000D2C1B" w:rsidRDefault="000D2C1B">
            <w:pPr>
              <w:overflowPunct w:val="0"/>
              <w:jc w:val="both"/>
              <w:textAlignment w:val="baseline"/>
              <w:rPr>
                <w:color w:val="000000"/>
                <w:szCs w:val="24"/>
                <w:lang w:eastAsia="lt-LT"/>
              </w:rPr>
            </w:pPr>
          </w:p>
          <w:p w14:paraId="4F64A308" w14:textId="7A5FBD70" w:rsidR="000D2C1B" w:rsidRDefault="00E272E6">
            <w:pPr>
              <w:overflowPunct w:val="0"/>
              <w:jc w:val="both"/>
              <w:textAlignment w:val="baseline"/>
              <w:rPr>
                <w:color w:val="000000"/>
                <w:szCs w:val="24"/>
                <w:lang w:eastAsia="lt-LT"/>
              </w:rPr>
            </w:pPr>
            <w:r>
              <w:rPr>
                <w:color w:val="000000"/>
                <w:szCs w:val="24"/>
                <w:lang w:eastAsia="lt-LT"/>
              </w:rPr>
              <w:t>Energetikos ministras</w:t>
            </w:r>
          </w:p>
          <w:p w14:paraId="62CF4312" w14:textId="77777777" w:rsidR="000D2C1B" w:rsidRDefault="000D2C1B">
            <w:pPr>
              <w:overflowPunct w:val="0"/>
              <w:jc w:val="both"/>
              <w:textAlignment w:val="baseline"/>
              <w:rPr>
                <w:color w:val="000000"/>
                <w:szCs w:val="24"/>
                <w:lang w:eastAsia="lt-LT"/>
              </w:rPr>
            </w:pPr>
          </w:p>
          <w:p w14:paraId="444CE939" w14:textId="77777777" w:rsidR="000D2C1B" w:rsidRDefault="000D2C1B">
            <w:pPr>
              <w:overflowPunct w:val="0"/>
              <w:jc w:val="both"/>
              <w:textAlignment w:val="baseline"/>
              <w:rPr>
                <w:color w:val="000000"/>
                <w:szCs w:val="24"/>
                <w:lang w:eastAsia="lt-LT"/>
              </w:rPr>
            </w:pPr>
          </w:p>
          <w:p w14:paraId="559C07D2" w14:textId="77777777" w:rsidR="000D2C1B" w:rsidRDefault="000D2C1B">
            <w:pPr>
              <w:overflowPunct w:val="0"/>
              <w:jc w:val="both"/>
              <w:textAlignment w:val="baseline"/>
              <w:rPr>
                <w:color w:val="000000"/>
                <w:szCs w:val="24"/>
                <w:lang w:eastAsia="lt-LT"/>
              </w:rPr>
            </w:pPr>
          </w:p>
          <w:p w14:paraId="5DE4F481" w14:textId="2256E36E" w:rsidR="000D2C1B" w:rsidRDefault="00DD2705">
            <w:pPr>
              <w:overflowPunct w:val="0"/>
              <w:jc w:val="both"/>
              <w:textAlignment w:val="baseline"/>
              <w:rPr>
                <w:color w:val="000000"/>
                <w:szCs w:val="24"/>
                <w:lang w:eastAsia="lt-LT"/>
              </w:rPr>
            </w:pPr>
            <w:r>
              <w:rPr>
                <w:color w:val="000000"/>
                <w:szCs w:val="24"/>
                <w:lang w:eastAsia="lt-LT"/>
              </w:rPr>
              <w:tab/>
            </w:r>
          </w:p>
        </w:tc>
        <w:tc>
          <w:tcPr>
            <w:tcW w:w="4805" w:type="dxa"/>
          </w:tcPr>
          <w:p w14:paraId="3384E450" w14:textId="77777777" w:rsidR="000D2C1B" w:rsidRDefault="000D2C1B">
            <w:pPr>
              <w:overflowPunct w:val="0"/>
              <w:ind w:firstLine="62"/>
              <w:jc w:val="right"/>
              <w:textAlignment w:val="baseline"/>
              <w:rPr>
                <w:color w:val="000000"/>
                <w:szCs w:val="24"/>
                <w:lang w:eastAsia="lt-LT"/>
              </w:rPr>
            </w:pPr>
          </w:p>
          <w:p w14:paraId="0C3796AD" w14:textId="77777777" w:rsidR="000D2C1B" w:rsidRDefault="000D2C1B">
            <w:pPr>
              <w:overflowPunct w:val="0"/>
              <w:jc w:val="right"/>
              <w:textAlignment w:val="baseline"/>
              <w:rPr>
                <w:color w:val="000000"/>
                <w:szCs w:val="24"/>
                <w:lang w:eastAsia="lt-LT"/>
              </w:rPr>
            </w:pPr>
          </w:p>
          <w:p w14:paraId="4B9C1482" w14:textId="77777777" w:rsidR="000D2C1B" w:rsidRDefault="000D2C1B">
            <w:pPr>
              <w:overflowPunct w:val="0"/>
              <w:jc w:val="right"/>
              <w:textAlignment w:val="baseline"/>
              <w:rPr>
                <w:color w:val="000000"/>
                <w:szCs w:val="24"/>
                <w:lang w:eastAsia="lt-LT"/>
              </w:rPr>
            </w:pPr>
          </w:p>
          <w:p w14:paraId="3DCB98C4" w14:textId="10C17943" w:rsidR="000D2C1B" w:rsidRDefault="00DE34BD" w:rsidP="00DE34BD">
            <w:pPr>
              <w:tabs>
                <w:tab w:val="left" w:pos="345"/>
              </w:tabs>
              <w:overflowPunct w:val="0"/>
              <w:jc w:val="right"/>
              <w:textAlignment w:val="baseline"/>
              <w:rPr>
                <w:color w:val="000000"/>
                <w:szCs w:val="24"/>
                <w:lang w:eastAsia="lt-LT"/>
              </w:rPr>
            </w:pPr>
            <w:r>
              <w:rPr>
                <w:color w:val="000000"/>
                <w:szCs w:val="24"/>
                <w:lang w:eastAsia="lt-LT"/>
              </w:rPr>
              <w:tab/>
              <w:t>Žygimantas Vaičiūnas</w:t>
            </w:r>
          </w:p>
        </w:tc>
      </w:tr>
      <w:tr w:rsidR="00E272E6" w14:paraId="4C31D72C" w14:textId="77777777" w:rsidTr="00DE34BD">
        <w:tc>
          <w:tcPr>
            <w:tcW w:w="4833" w:type="dxa"/>
          </w:tcPr>
          <w:p w14:paraId="56EA09E8" w14:textId="77777777" w:rsidR="00E272E6" w:rsidRDefault="00E272E6">
            <w:pPr>
              <w:overflowPunct w:val="0"/>
              <w:jc w:val="both"/>
              <w:textAlignment w:val="baseline"/>
              <w:rPr>
                <w:color w:val="000000"/>
                <w:szCs w:val="24"/>
                <w:lang w:eastAsia="lt-LT"/>
              </w:rPr>
            </w:pPr>
          </w:p>
        </w:tc>
        <w:tc>
          <w:tcPr>
            <w:tcW w:w="4805" w:type="dxa"/>
          </w:tcPr>
          <w:p w14:paraId="6B8AF04E" w14:textId="77777777" w:rsidR="00E272E6" w:rsidRDefault="00E272E6">
            <w:pPr>
              <w:overflowPunct w:val="0"/>
              <w:ind w:firstLine="62"/>
              <w:jc w:val="right"/>
              <w:textAlignment w:val="baseline"/>
              <w:rPr>
                <w:color w:val="000000"/>
                <w:szCs w:val="24"/>
                <w:lang w:eastAsia="lt-LT"/>
              </w:rPr>
            </w:pPr>
          </w:p>
        </w:tc>
      </w:tr>
      <w:tr w:rsidR="00E272E6" w14:paraId="638D3032" w14:textId="77777777">
        <w:tc>
          <w:tcPr>
            <w:tcW w:w="4833" w:type="dxa"/>
          </w:tcPr>
          <w:p w14:paraId="149A18BC" w14:textId="77777777" w:rsidR="00E272E6" w:rsidRDefault="00E272E6">
            <w:pPr>
              <w:overflowPunct w:val="0"/>
              <w:jc w:val="both"/>
              <w:textAlignment w:val="baseline"/>
              <w:rPr>
                <w:color w:val="000000"/>
                <w:szCs w:val="24"/>
                <w:lang w:eastAsia="lt-LT"/>
              </w:rPr>
            </w:pPr>
          </w:p>
        </w:tc>
        <w:tc>
          <w:tcPr>
            <w:tcW w:w="4805" w:type="dxa"/>
          </w:tcPr>
          <w:p w14:paraId="76B39CA4" w14:textId="77777777" w:rsidR="00E272E6" w:rsidRDefault="00E272E6">
            <w:pPr>
              <w:overflowPunct w:val="0"/>
              <w:ind w:firstLine="62"/>
              <w:jc w:val="right"/>
              <w:textAlignment w:val="baseline"/>
              <w:rPr>
                <w:color w:val="000000"/>
                <w:szCs w:val="24"/>
                <w:lang w:eastAsia="lt-LT"/>
              </w:rPr>
            </w:pPr>
          </w:p>
        </w:tc>
      </w:tr>
    </w:tbl>
    <w:p w14:paraId="7A46A0A8" w14:textId="77777777" w:rsidR="000D2C1B" w:rsidRDefault="000D2C1B">
      <w:pPr>
        <w:rPr>
          <w:szCs w:val="24"/>
        </w:rPr>
      </w:pPr>
    </w:p>
    <w:p w14:paraId="028E4020" w14:textId="77777777" w:rsidR="000D2C1B" w:rsidRDefault="000D2C1B">
      <w:pPr>
        <w:rPr>
          <w:szCs w:val="24"/>
        </w:rPr>
      </w:pPr>
    </w:p>
    <w:p w14:paraId="263EBF1A" w14:textId="77777777" w:rsidR="000D2C1B" w:rsidRDefault="000D2C1B">
      <w:pPr>
        <w:rPr>
          <w:szCs w:val="24"/>
        </w:rPr>
      </w:pPr>
    </w:p>
    <w:p w14:paraId="50361A1E" w14:textId="77777777" w:rsidR="000D2C1B" w:rsidRDefault="000D2C1B">
      <w:pPr>
        <w:rPr>
          <w:szCs w:val="24"/>
        </w:rPr>
      </w:pPr>
    </w:p>
    <w:p w14:paraId="4694E14A" w14:textId="77777777" w:rsidR="000D2C1B" w:rsidRDefault="000D2C1B">
      <w:pPr>
        <w:rPr>
          <w:szCs w:val="24"/>
        </w:rPr>
      </w:pPr>
    </w:p>
    <w:p w14:paraId="5893BF67" w14:textId="77777777" w:rsidR="000D2C1B" w:rsidRDefault="000D2C1B">
      <w:pPr>
        <w:rPr>
          <w:szCs w:val="24"/>
        </w:rPr>
      </w:pPr>
    </w:p>
    <w:p w14:paraId="3722C55C" w14:textId="77777777" w:rsidR="000D2C1B" w:rsidRDefault="000D2C1B">
      <w:pPr>
        <w:rPr>
          <w:szCs w:val="24"/>
        </w:rPr>
      </w:pPr>
    </w:p>
    <w:p w14:paraId="4BFA2653" w14:textId="77777777" w:rsidR="000D2C1B" w:rsidRDefault="000D2C1B">
      <w:pPr>
        <w:rPr>
          <w:szCs w:val="24"/>
        </w:rPr>
      </w:pPr>
    </w:p>
    <w:p w14:paraId="569D1811" w14:textId="77777777" w:rsidR="000D2C1B" w:rsidRPr="004B7D3C" w:rsidRDefault="00DD2705">
      <w:pPr>
        <w:rPr>
          <w:szCs w:val="24"/>
        </w:rPr>
      </w:pPr>
      <w:r w:rsidRPr="004B7D3C">
        <w:rPr>
          <w:szCs w:val="24"/>
        </w:rPr>
        <w:t>SUDERINTA</w:t>
      </w:r>
    </w:p>
    <w:p w14:paraId="63B11CD0" w14:textId="77777777" w:rsidR="000D2C1B" w:rsidRPr="004B7D3C" w:rsidRDefault="00DD2705">
      <w:pPr>
        <w:rPr>
          <w:szCs w:val="24"/>
        </w:rPr>
      </w:pPr>
      <w:r w:rsidRPr="004B7D3C">
        <w:rPr>
          <w:szCs w:val="24"/>
        </w:rPr>
        <w:t>Viešosios įstaigos Lietuvos verslo paramos agentūros</w:t>
      </w:r>
    </w:p>
    <w:p w14:paraId="1CAB5332" w14:textId="79252101" w:rsidR="000D2C1B" w:rsidRDefault="00DD2705">
      <w:pPr>
        <w:rPr>
          <w:b/>
          <w:szCs w:val="24"/>
          <w:lang w:val="en-US" w:eastAsia="lt-LT"/>
        </w:rPr>
      </w:pPr>
      <w:r w:rsidRPr="004B7D3C">
        <w:rPr>
          <w:szCs w:val="24"/>
        </w:rPr>
        <w:t>2020 m</w:t>
      </w:r>
      <w:r w:rsidR="00FF60A9" w:rsidRPr="004B7D3C">
        <w:rPr>
          <w:szCs w:val="24"/>
        </w:rPr>
        <w:t>. baland</w:t>
      </w:r>
      <w:r w:rsidR="004B7D3C" w:rsidRPr="004B7D3C">
        <w:rPr>
          <w:szCs w:val="24"/>
        </w:rPr>
        <w:t xml:space="preserve">žio </w:t>
      </w:r>
      <w:r w:rsidR="004B7D3C" w:rsidRPr="00A91E55">
        <w:rPr>
          <w:szCs w:val="24"/>
          <w:lang w:val="fr-FR"/>
        </w:rPr>
        <w:t>27 d.</w:t>
      </w:r>
      <w:r w:rsidRPr="004B7D3C">
        <w:rPr>
          <w:szCs w:val="24"/>
        </w:rPr>
        <w:t xml:space="preserve">raštu Nr. </w:t>
      </w:r>
      <w:r w:rsidR="00FF60A9" w:rsidRPr="004B7D3C">
        <w:rPr>
          <w:rStyle w:val="mdialogpagemmetadatatree01"/>
          <w:szCs w:val="24"/>
        </w:rPr>
        <w:t>R4-2104</w:t>
      </w:r>
    </w:p>
    <w:sectPr w:rsidR="000D2C1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B103" w14:textId="77777777" w:rsidR="004A6AB7" w:rsidRDefault="004A6AB7">
      <w:pPr>
        <w:rPr>
          <w:sz w:val="22"/>
          <w:szCs w:val="22"/>
        </w:rPr>
      </w:pPr>
      <w:r>
        <w:rPr>
          <w:sz w:val="22"/>
          <w:szCs w:val="22"/>
        </w:rPr>
        <w:separator/>
      </w:r>
    </w:p>
  </w:endnote>
  <w:endnote w:type="continuationSeparator" w:id="0">
    <w:p w14:paraId="0CE8D301" w14:textId="77777777" w:rsidR="004A6AB7" w:rsidRDefault="004A6AB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070B8" w14:textId="77777777" w:rsidR="000D2C1B" w:rsidRDefault="000D2C1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967FB" w14:textId="77777777" w:rsidR="000D2C1B" w:rsidRDefault="000D2C1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F4804" w14:textId="77777777" w:rsidR="000D2C1B" w:rsidRDefault="000D2C1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5B5B6" w14:textId="77777777" w:rsidR="004A6AB7" w:rsidRDefault="004A6AB7">
      <w:pPr>
        <w:rPr>
          <w:sz w:val="22"/>
          <w:szCs w:val="22"/>
        </w:rPr>
      </w:pPr>
      <w:r>
        <w:rPr>
          <w:sz w:val="22"/>
          <w:szCs w:val="22"/>
        </w:rPr>
        <w:separator/>
      </w:r>
    </w:p>
  </w:footnote>
  <w:footnote w:type="continuationSeparator" w:id="0">
    <w:p w14:paraId="7F59CECF" w14:textId="77777777" w:rsidR="004A6AB7" w:rsidRDefault="004A6AB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A6BE" w14:textId="77777777" w:rsidR="000D2C1B" w:rsidRDefault="000D2C1B">
    <w:pPr>
      <w:tabs>
        <w:tab w:val="center" w:pos="4819"/>
        <w:tab w:val="right" w:pos="9638"/>
      </w:tabs>
      <w:spacing w:after="200" w:line="276"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CFA4" w14:textId="77777777" w:rsidR="000D2C1B" w:rsidRDefault="00DD2705">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10</w:t>
    </w:r>
    <w:r>
      <w:rPr>
        <w:sz w:val="22"/>
        <w:szCs w:val="22"/>
        <w:lang w:eastAsia="lt-LT"/>
      </w:rPr>
      <w:fldChar w:fldCharType="end"/>
    </w:r>
  </w:p>
  <w:p w14:paraId="2B73AC2F" w14:textId="77777777" w:rsidR="000D2C1B" w:rsidRDefault="000D2C1B">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7B04" w14:textId="528BEC65" w:rsidR="000D2C1B" w:rsidRDefault="000D2C1B" w:rsidP="00E175DE">
    <w:pPr>
      <w:tabs>
        <w:tab w:val="center" w:pos="4986"/>
        <w:tab w:val="right" w:pos="9972"/>
      </w:tabs>
      <w:jc w:val="center"/>
    </w:pPr>
  </w:p>
  <w:p w14:paraId="01C5351C" w14:textId="71F72E8C" w:rsidR="00F50D6F" w:rsidRDefault="00F50D6F" w:rsidP="00F50D6F">
    <w:pPr>
      <w:tabs>
        <w:tab w:val="center" w:pos="4986"/>
        <w:tab w:val="right" w:pos="9972"/>
      </w:tabs>
      <w:jc w:val="center"/>
    </w:pPr>
    <w:r>
      <w:rPr>
        <w:noProof/>
      </w:rPr>
      <w:drawing>
        <wp:inline distT="0" distB="0" distL="0" distR="0" wp14:anchorId="32C1B5DC" wp14:editId="4C6A7C48">
          <wp:extent cx="54229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38E8"/>
    <w:rsid w:val="000950AE"/>
    <w:rsid w:val="000A6805"/>
    <w:rsid w:val="000D2C1B"/>
    <w:rsid w:val="00152BD5"/>
    <w:rsid w:val="00277A43"/>
    <w:rsid w:val="002C3ED8"/>
    <w:rsid w:val="003549E1"/>
    <w:rsid w:val="00404AB8"/>
    <w:rsid w:val="0049796F"/>
    <w:rsid w:val="004A6AB7"/>
    <w:rsid w:val="004B7D3C"/>
    <w:rsid w:val="004F215F"/>
    <w:rsid w:val="00566D8A"/>
    <w:rsid w:val="00624036"/>
    <w:rsid w:val="006801CA"/>
    <w:rsid w:val="006B49B6"/>
    <w:rsid w:val="0073324C"/>
    <w:rsid w:val="007572FD"/>
    <w:rsid w:val="007D16A4"/>
    <w:rsid w:val="0084087B"/>
    <w:rsid w:val="009903EA"/>
    <w:rsid w:val="00A20D8D"/>
    <w:rsid w:val="00A91E55"/>
    <w:rsid w:val="00B07D2B"/>
    <w:rsid w:val="00B42B6A"/>
    <w:rsid w:val="00BA2A67"/>
    <w:rsid w:val="00BB66C8"/>
    <w:rsid w:val="00BC401C"/>
    <w:rsid w:val="00C61CEE"/>
    <w:rsid w:val="00C75620"/>
    <w:rsid w:val="00C80E99"/>
    <w:rsid w:val="00C95CA1"/>
    <w:rsid w:val="00D91093"/>
    <w:rsid w:val="00DD2705"/>
    <w:rsid w:val="00DE33DA"/>
    <w:rsid w:val="00DE34BD"/>
    <w:rsid w:val="00E175DE"/>
    <w:rsid w:val="00E17D69"/>
    <w:rsid w:val="00E272E6"/>
    <w:rsid w:val="00E4033A"/>
    <w:rsid w:val="00E67647"/>
    <w:rsid w:val="00EC015E"/>
    <w:rsid w:val="00ED1F77"/>
    <w:rsid w:val="00F30B6A"/>
    <w:rsid w:val="00F50D6F"/>
    <w:rsid w:val="00FA5013"/>
    <w:rsid w:val="00FD7085"/>
    <w:rsid w:val="00FF6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293D52"/>
  <w15:docId w15:val="{911737B6-87DF-47AA-BB77-308741A2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1CEE"/>
    <w:rPr>
      <w:rFonts w:ascii="Segoe UI" w:hAnsi="Segoe UI" w:cs="Segoe UI"/>
      <w:sz w:val="18"/>
      <w:szCs w:val="18"/>
    </w:rPr>
  </w:style>
  <w:style w:type="character" w:customStyle="1" w:styleId="BalloonTextChar">
    <w:name w:val="Balloon Text Char"/>
    <w:basedOn w:val="DefaultParagraphFont"/>
    <w:link w:val="BalloonText"/>
    <w:rsid w:val="00C61CEE"/>
    <w:rPr>
      <w:rFonts w:ascii="Segoe UI" w:hAnsi="Segoe UI" w:cs="Segoe UI"/>
      <w:sz w:val="18"/>
      <w:szCs w:val="18"/>
    </w:rPr>
  </w:style>
  <w:style w:type="character" w:customStyle="1" w:styleId="mdialogpagemmetadatatree01">
    <w:name w:val="m_dialogpage_m_metadatatree_01"/>
    <w:basedOn w:val="DefaultParagraphFont"/>
    <w:rsid w:val="00FF60A9"/>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121773205">
      <w:bodyDiv w:val="1"/>
      <w:marLeft w:val="0"/>
      <w:marRight w:val="0"/>
      <w:marTop w:val="0"/>
      <w:marBottom w:val="0"/>
      <w:divBdr>
        <w:top w:val="none" w:sz="0" w:space="0" w:color="auto"/>
        <w:left w:val="none" w:sz="0" w:space="0" w:color="auto"/>
        <w:bottom w:val="none" w:sz="0" w:space="0" w:color="auto"/>
        <w:right w:val="none" w:sz="0" w:space="0" w:color="auto"/>
      </w:divBdr>
    </w:div>
    <w:div w:id="138621682">
      <w:bodyDiv w:val="1"/>
      <w:marLeft w:val="0"/>
      <w:marRight w:val="0"/>
      <w:marTop w:val="0"/>
      <w:marBottom w:val="0"/>
      <w:divBdr>
        <w:top w:val="none" w:sz="0" w:space="0" w:color="auto"/>
        <w:left w:val="none" w:sz="0" w:space="0" w:color="auto"/>
        <w:bottom w:val="none" w:sz="0" w:space="0" w:color="auto"/>
        <w:right w:val="none" w:sz="0" w:space="0" w:color="auto"/>
      </w:divBdr>
      <w:divsChild>
        <w:div w:id="876695985">
          <w:marLeft w:val="0"/>
          <w:marRight w:val="0"/>
          <w:marTop w:val="0"/>
          <w:marBottom w:val="0"/>
          <w:divBdr>
            <w:top w:val="none" w:sz="0" w:space="0" w:color="auto"/>
            <w:left w:val="none" w:sz="0" w:space="0" w:color="auto"/>
            <w:bottom w:val="none" w:sz="0" w:space="0" w:color="auto"/>
            <w:right w:val="none" w:sz="0" w:space="0" w:color="auto"/>
          </w:divBdr>
        </w:div>
      </w:divsChild>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8655676">
      <w:bodyDiv w:val="1"/>
      <w:marLeft w:val="0"/>
      <w:marRight w:val="0"/>
      <w:marTop w:val="0"/>
      <w:marBottom w:val="0"/>
      <w:divBdr>
        <w:top w:val="none" w:sz="0" w:space="0" w:color="auto"/>
        <w:left w:val="none" w:sz="0" w:space="0" w:color="auto"/>
        <w:bottom w:val="none" w:sz="0" w:space="0" w:color="auto"/>
        <w:right w:val="none" w:sz="0" w:space="0" w:color="auto"/>
      </w:divBdr>
      <w:divsChild>
        <w:div w:id="15032312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21617046">
      <w:bodyDiv w:val="1"/>
      <w:marLeft w:val="0"/>
      <w:marRight w:val="0"/>
      <w:marTop w:val="0"/>
      <w:marBottom w:val="0"/>
      <w:divBdr>
        <w:top w:val="none" w:sz="0" w:space="0" w:color="auto"/>
        <w:left w:val="none" w:sz="0" w:space="0" w:color="auto"/>
        <w:bottom w:val="none" w:sz="0" w:space="0" w:color="auto"/>
        <w:right w:val="none" w:sz="0" w:space="0" w:color="auto"/>
      </w:divBdr>
      <w:divsChild>
        <w:div w:id="195043974">
          <w:marLeft w:val="0"/>
          <w:marRight w:val="0"/>
          <w:marTop w:val="0"/>
          <w:marBottom w:val="0"/>
          <w:divBdr>
            <w:top w:val="none" w:sz="0" w:space="0" w:color="auto"/>
            <w:left w:val="none" w:sz="0" w:space="0" w:color="auto"/>
            <w:bottom w:val="none" w:sz="0" w:space="0" w:color="auto"/>
            <w:right w:val="none" w:sz="0" w:space="0" w:color="auto"/>
          </w:divBdr>
          <w:divsChild>
            <w:div w:id="1042635909">
              <w:marLeft w:val="0"/>
              <w:marRight w:val="0"/>
              <w:marTop w:val="0"/>
              <w:marBottom w:val="0"/>
              <w:divBdr>
                <w:top w:val="none" w:sz="0" w:space="0" w:color="auto"/>
                <w:left w:val="none" w:sz="0" w:space="0" w:color="auto"/>
                <w:bottom w:val="none" w:sz="0" w:space="0" w:color="auto"/>
                <w:right w:val="none" w:sz="0" w:space="0" w:color="auto"/>
              </w:divBdr>
              <w:divsChild>
                <w:div w:id="1714959602">
                  <w:marLeft w:val="0"/>
                  <w:marRight w:val="0"/>
                  <w:marTop w:val="0"/>
                  <w:marBottom w:val="0"/>
                  <w:divBdr>
                    <w:top w:val="none" w:sz="0" w:space="0" w:color="auto"/>
                    <w:left w:val="none" w:sz="0" w:space="0" w:color="auto"/>
                    <w:bottom w:val="none" w:sz="0" w:space="0" w:color="auto"/>
                    <w:right w:val="none" w:sz="0" w:space="0" w:color="auto"/>
                  </w:divBdr>
                  <w:divsChild>
                    <w:div w:id="1160776776">
                      <w:marLeft w:val="0"/>
                      <w:marRight w:val="0"/>
                      <w:marTop w:val="0"/>
                      <w:marBottom w:val="0"/>
                      <w:divBdr>
                        <w:top w:val="none" w:sz="0" w:space="0" w:color="auto"/>
                        <w:left w:val="none" w:sz="0" w:space="0" w:color="auto"/>
                        <w:bottom w:val="none" w:sz="0" w:space="0" w:color="auto"/>
                        <w:right w:val="none" w:sz="0" w:space="0" w:color="auto"/>
                      </w:divBdr>
                    </w:div>
                    <w:div w:id="9473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443041262">
      <w:bodyDiv w:val="1"/>
      <w:marLeft w:val="0"/>
      <w:marRight w:val="0"/>
      <w:marTop w:val="0"/>
      <w:marBottom w:val="0"/>
      <w:divBdr>
        <w:top w:val="none" w:sz="0" w:space="0" w:color="auto"/>
        <w:left w:val="none" w:sz="0" w:space="0" w:color="auto"/>
        <w:bottom w:val="none" w:sz="0" w:space="0" w:color="auto"/>
        <w:right w:val="none" w:sz="0" w:space="0" w:color="auto"/>
      </w:divBdr>
      <w:divsChild>
        <w:div w:id="945236372">
          <w:marLeft w:val="0"/>
          <w:marRight w:val="0"/>
          <w:marTop w:val="0"/>
          <w:marBottom w:val="0"/>
          <w:divBdr>
            <w:top w:val="none" w:sz="0" w:space="0" w:color="auto"/>
            <w:left w:val="none" w:sz="0" w:space="0" w:color="auto"/>
            <w:bottom w:val="none" w:sz="0" w:space="0" w:color="auto"/>
            <w:right w:val="none" w:sz="0" w:space="0" w:color="auto"/>
          </w:divBdr>
          <w:divsChild>
            <w:div w:id="828980016">
              <w:marLeft w:val="0"/>
              <w:marRight w:val="0"/>
              <w:marTop w:val="0"/>
              <w:marBottom w:val="0"/>
              <w:divBdr>
                <w:top w:val="none" w:sz="0" w:space="0" w:color="auto"/>
                <w:left w:val="none" w:sz="0" w:space="0" w:color="auto"/>
                <w:bottom w:val="none" w:sz="0" w:space="0" w:color="auto"/>
                <w:right w:val="none" w:sz="0" w:space="0" w:color="auto"/>
              </w:divBdr>
              <w:divsChild>
                <w:div w:id="2054308502">
                  <w:marLeft w:val="0"/>
                  <w:marRight w:val="0"/>
                  <w:marTop w:val="0"/>
                  <w:marBottom w:val="0"/>
                  <w:divBdr>
                    <w:top w:val="none" w:sz="0" w:space="0" w:color="auto"/>
                    <w:left w:val="none" w:sz="0" w:space="0" w:color="auto"/>
                    <w:bottom w:val="none" w:sz="0" w:space="0" w:color="auto"/>
                    <w:right w:val="none" w:sz="0" w:space="0" w:color="auto"/>
                  </w:divBdr>
                  <w:divsChild>
                    <w:div w:id="1519924938">
                      <w:marLeft w:val="0"/>
                      <w:marRight w:val="0"/>
                      <w:marTop w:val="0"/>
                      <w:marBottom w:val="0"/>
                      <w:divBdr>
                        <w:top w:val="none" w:sz="0" w:space="0" w:color="auto"/>
                        <w:left w:val="none" w:sz="0" w:space="0" w:color="auto"/>
                        <w:bottom w:val="none" w:sz="0" w:space="0" w:color="auto"/>
                        <w:right w:val="none" w:sz="0" w:space="0" w:color="auto"/>
                      </w:divBdr>
                      <w:divsChild>
                        <w:div w:id="4130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0281">
                  <w:marLeft w:val="0"/>
                  <w:marRight w:val="0"/>
                  <w:marTop w:val="0"/>
                  <w:marBottom w:val="0"/>
                  <w:divBdr>
                    <w:top w:val="none" w:sz="0" w:space="0" w:color="auto"/>
                    <w:left w:val="none" w:sz="0" w:space="0" w:color="auto"/>
                    <w:bottom w:val="none" w:sz="0" w:space="0" w:color="auto"/>
                    <w:right w:val="none" w:sz="0" w:space="0" w:color="auto"/>
                  </w:divBdr>
                  <w:divsChild>
                    <w:div w:id="1263025836">
                      <w:marLeft w:val="0"/>
                      <w:marRight w:val="0"/>
                      <w:marTop w:val="0"/>
                      <w:marBottom w:val="0"/>
                      <w:divBdr>
                        <w:top w:val="none" w:sz="0" w:space="0" w:color="auto"/>
                        <w:left w:val="none" w:sz="0" w:space="0" w:color="auto"/>
                        <w:bottom w:val="none" w:sz="0" w:space="0" w:color="auto"/>
                        <w:right w:val="none" w:sz="0" w:space="0" w:color="auto"/>
                      </w:divBdr>
                      <w:divsChild>
                        <w:div w:id="3213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84615">
      <w:bodyDiv w:val="1"/>
      <w:marLeft w:val="0"/>
      <w:marRight w:val="0"/>
      <w:marTop w:val="0"/>
      <w:marBottom w:val="0"/>
      <w:divBdr>
        <w:top w:val="none" w:sz="0" w:space="0" w:color="auto"/>
        <w:left w:val="none" w:sz="0" w:space="0" w:color="auto"/>
        <w:bottom w:val="none" w:sz="0" w:space="0" w:color="auto"/>
        <w:right w:val="none" w:sz="0" w:space="0" w:color="auto"/>
      </w:divBdr>
      <w:divsChild>
        <w:div w:id="1982539035">
          <w:marLeft w:val="0"/>
          <w:marRight w:val="0"/>
          <w:marTop w:val="0"/>
          <w:marBottom w:val="0"/>
          <w:divBdr>
            <w:top w:val="none" w:sz="0" w:space="0" w:color="auto"/>
            <w:left w:val="none" w:sz="0" w:space="0" w:color="auto"/>
            <w:bottom w:val="none" w:sz="0" w:space="0" w:color="auto"/>
            <w:right w:val="none" w:sz="0" w:space="0" w:color="auto"/>
          </w:divBdr>
          <w:divsChild>
            <w:div w:id="1388260612">
              <w:marLeft w:val="0"/>
              <w:marRight w:val="0"/>
              <w:marTop w:val="0"/>
              <w:marBottom w:val="0"/>
              <w:divBdr>
                <w:top w:val="none" w:sz="0" w:space="0" w:color="auto"/>
                <w:left w:val="none" w:sz="0" w:space="0" w:color="auto"/>
                <w:bottom w:val="none" w:sz="0" w:space="0" w:color="auto"/>
                <w:right w:val="none" w:sz="0" w:space="0" w:color="auto"/>
              </w:divBdr>
              <w:divsChild>
                <w:div w:id="17268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34812819">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68106320">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sChild>
    </w:div>
    <w:div w:id="673067202">
      <w:bodyDiv w:val="1"/>
      <w:marLeft w:val="0"/>
      <w:marRight w:val="0"/>
      <w:marTop w:val="0"/>
      <w:marBottom w:val="0"/>
      <w:divBdr>
        <w:top w:val="none" w:sz="0" w:space="0" w:color="auto"/>
        <w:left w:val="none" w:sz="0" w:space="0" w:color="auto"/>
        <w:bottom w:val="none" w:sz="0" w:space="0" w:color="auto"/>
        <w:right w:val="none" w:sz="0" w:space="0" w:color="auto"/>
      </w:divBdr>
      <w:divsChild>
        <w:div w:id="1564871752">
          <w:marLeft w:val="0"/>
          <w:marRight w:val="0"/>
          <w:marTop w:val="0"/>
          <w:marBottom w:val="0"/>
          <w:divBdr>
            <w:top w:val="none" w:sz="0" w:space="0" w:color="auto"/>
            <w:left w:val="none" w:sz="0" w:space="0" w:color="auto"/>
            <w:bottom w:val="none" w:sz="0" w:space="0" w:color="auto"/>
            <w:right w:val="none" w:sz="0" w:space="0" w:color="auto"/>
          </w:divBdr>
          <w:divsChild>
            <w:div w:id="1258558331">
              <w:marLeft w:val="0"/>
              <w:marRight w:val="0"/>
              <w:marTop w:val="0"/>
              <w:marBottom w:val="0"/>
              <w:divBdr>
                <w:top w:val="none" w:sz="0" w:space="0" w:color="auto"/>
                <w:left w:val="none" w:sz="0" w:space="0" w:color="auto"/>
                <w:bottom w:val="none" w:sz="0" w:space="0" w:color="auto"/>
                <w:right w:val="none" w:sz="0" w:space="0" w:color="auto"/>
              </w:divBdr>
              <w:divsChild>
                <w:div w:id="1815486405">
                  <w:marLeft w:val="0"/>
                  <w:marRight w:val="0"/>
                  <w:marTop w:val="0"/>
                  <w:marBottom w:val="0"/>
                  <w:divBdr>
                    <w:top w:val="none" w:sz="0" w:space="0" w:color="auto"/>
                    <w:left w:val="none" w:sz="0" w:space="0" w:color="auto"/>
                    <w:bottom w:val="none" w:sz="0" w:space="0" w:color="auto"/>
                    <w:right w:val="none" w:sz="0" w:space="0" w:color="auto"/>
                  </w:divBdr>
                  <w:divsChild>
                    <w:div w:id="903947688">
                      <w:marLeft w:val="0"/>
                      <w:marRight w:val="0"/>
                      <w:marTop w:val="0"/>
                      <w:marBottom w:val="0"/>
                      <w:divBdr>
                        <w:top w:val="none" w:sz="0" w:space="0" w:color="auto"/>
                        <w:left w:val="none" w:sz="0" w:space="0" w:color="auto"/>
                        <w:bottom w:val="none" w:sz="0" w:space="0" w:color="auto"/>
                        <w:right w:val="none" w:sz="0" w:space="0" w:color="auto"/>
                      </w:divBdr>
                    </w:div>
                    <w:div w:id="10898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97449">
      <w:bodyDiv w:val="1"/>
      <w:marLeft w:val="0"/>
      <w:marRight w:val="0"/>
      <w:marTop w:val="0"/>
      <w:marBottom w:val="0"/>
      <w:divBdr>
        <w:top w:val="none" w:sz="0" w:space="0" w:color="auto"/>
        <w:left w:val="none" w:sz="0" w:space="0" w:color="auto"/>
        <w:bottom w:val="none" w:sz="0" w:space="0" w:color="auto"/>
        <w:right w:val="none" w:sz="0" w:space="0" w:color="auto"/>
      </w:divBdr>
    </w:div>
    <w:div w:id="77879575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9901370">
      <w:bodyDiv w:val="1"/>
      <w:marLeft w:val="0"/>
      <w:marRight w:val="0"/>
      <w:marTop w:val="0"/>
      <w:marBottom w:val="0"/>
      <w:divBdr>
        <w:top w:val="none" w:sz="0" w:space="0" w:color="auto"/>
        <w:left w:val="none" w:sz="0" w:space="0" w:color="auto"/>
        <w:bottom w:val="none" w:sz="0" w:space="0" w:color="auto"/>
        <w:right w:val="none" w:sz="0" w:space="0" w:color="auto"/>
      </w:divBdr>
      <w:divsChild>
        <w:div w:id="1684668704">
          <w:marLeft w:val="0"/>
          <w:marRight w:val="0"/>
          <w:marTop w:val="0"/>
          <w:marBottom w:val="0"/>
          <w:divBdr>
            <w:top w:val="none" w:sz="0" w:space="0" w:color="auto"/>
            <w:left w:val="none" w:sz="0" w:space="0" w:color="auto"/>
            <w:bottom w:val="none" w:sz="0" w:space="0" w:color="auto"/>
            <w:right w:val="none" w:sz="0" w:space="0" w:color="auto"/>
          </w:divBdr>
          <w:divsChild>
            <w:div w:id="314139794">
              <w:marLeft w:val="0"/>
              <w:marRight w:val="0"/>
              <w:marTop w:val="0"/>
              <w:marBottom w:val="0"/>
              <w:divBdr>
                <w:top w:val="none" w:sz="0" w:space="0" w:color="auto"/>
                <w:left w:val="none" w:sz="0" w:space="0" w:color="auto"/>
                <w:bottom w:val="none" w:sz="0" w:space="0" w:color="auto"/>
                <w:right w:val="none" w:sz="0" w:space="0" w:color="auto"/>
              </w:divBdr>
              <w:divsChild>
                <w:div w:id="1612318802">
                  <w:marLeft w:val="0"/>
                  <w:marRight w:val="0"/>
                  <w:marTop w:val="0"/>
                  <w:marBottom w:val="0"/>
                  <w:divBdr>
                    <w:top w:val="none" w:sz="0" w:space="0" w:color="auto"/>
                    <w:left w:val="none" w:sz="0" w:space="0" w:color="auto"/>
                    <w:bottom w:val="none" w:sz="0" w:space="0" w:color="auto"/>
                    <w:right w:val="none" w:sz="0" w:space="0" w:color="auto"/>
                  </w:divBdr>
                </w:div>
                <w:div w:id="8927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501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11586195">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6396">
      <w:bodyDiv w:val="1"/>
      <w:marLeft w:val="0"/>
      <w:marRight w:val="0"/>
      <w:marTop w:val="0"/>
      <w:marBottom w:val="0"/>
      <w:divBdr>
        <w:top w:val="none" w:sz="0" w:space="0" w:color="auto"/>
        <w:left w:val="none" w:sz="0" w:space="0" w:color="auto"/>
        <w:bottom w:val="none" w:sz="0" w:space="0" w:color="auto"/>
        <w:right w:val="none" w:sz="0" w:space="0" w:color="auto"/>
      </w:divBdr>
      <w:divsChild>
        <w:div w:id="12312324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282884008">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6592931">
      <w:bodyDiv w:val="1"/>
      <w:marLeft w:val="0"/>
      <w:marRight w:val="0"/>
      <w:marTop w:val="0"/>
      <w:marBottom w:val="0"/>
      <w:divBdr>
        <w:top w:val="none" w:sz="0" w:space="0" w:color="auto"/>
        <w:left w:val="none" w:sz="0" w:space="0" w:color="auto"/>
        <w:bottom w:val="none" w:sz="0" w:space="0" w:color="auto"/>
        <w:right w:val="none" w:sz="0" w:space="0" w:color="auto"/>
      </w:divBdr>
    </w:div>
    <w:div w:id="1793397931">
      <w:bodyDiv w:val="1"/>
      <w:marLeft w:val="0"/>
      <w:marRight w:val="0"/>
      <w:marTop w:val="0"/>
      <w:marBottom w:val="0"/>
      <w:divBdr>
        <w:top w:val="none" w:sz="0" w:space="0" w:color="auto"/>
        <w:left w:val="none" w:sz="0" w:space="0" w:color="auto"/>
        <w:bottom w:val="none" w:sz="0" w:space="0" w:color="auto"/>
        <w:right w:val="none" w:sz="0" w:space="0" w:color="auto"/>
      </w:divBdr>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1881478871">
      <w:bodyDiv w:val="1"/>
      <w:marLeft w:val="0"/>
      <w:marRight w:val="0"/>
      <w:marTop w:val="0"/>
      <w:marBottom w:val="0"/>
      <w:divBdr>
        <w:top w:val="none" w:sz="0" w:space="0" w:color="auto"/>
        <w:left w:val="none" w:sz="0" w:space="0" w:color="auto"/>
        <w:bottom w:val="none" w:sz="0" w:space="0" w:color="auto"/>
        <w:right w:val="none" w:sz="0" w:space="0" w:color="auto"/>
      </w:divBdr>
    </w:div>
    <w:div w:id="2004896334">
      <w:bodyDiv w:val="1"/>
      <w:marLeft w:val="0"/>
      <w:marRight w:val="0"/>
      <w:marTop w:val="0"/>
      <w:marBottom w:val="0"/>
      <w:divBdr>
        <w:top w:val="none" w:sz="0" w:space="0" w:color="auto"/>
        <w:left w:val="none" w:sz="0" w:space="0" w:color="auto"/>
        <w:bottom w:val="none" w:sz="0" w:space="0" w:color="auto"/>
        <w:right w:val="none" w:sz="0" w:space="0" w:color="auto"/>
      </w:divBdr>
    </w:div>
    <w:div w:id="2059426242">
      <w:bodyDiv w:val="1"/>
      <w:marLeft w:val="0"/>
      <w:marRight w:val="0"/>
      <w:marTop w:val="0"/>
      <w:marBottom w:val="0"/>
      <w:divBdr>
        <w:top w:val="none" w:sz="0" w:space="0" w:color="auto"/>
        <w:left w:val="none" w:sz="0" w:space="0" w:color="auto"/>
        <w:bottom w:val="none" w:sz="0" w:space="0" w:color="auto"/>
        <w:right w:val="none" w:sz="0" w:space="0" w:color="auto"/>
      </w:divBdr>
    </w:div>
    <w:div w:id="2065593328">
      <w:bodyDiv w:val="1"/>
      <w:marLeft w:val="0"/>
      <w:marRight w:val="0"/>
      <w:marTop w:val="0"/>
      <w:marBottom w:val="0"/>
      <w:divBdr>
        <w:top w:val="none" w:sz="0" w:space="0" w:color="auto"/>
        <w:left w:val="none" w:sz="0" w:space="0" w:color="auto"/>
        <w:bottom w:val="none" w:sz="0" w:space="0" w:color="auto"/>
        <w:right w:val="none" w:sz="0" w:space="0" w:color="auto"/>
      </w:divBdr>
    </w:div>
    <w:div w:id="2072189837">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 w:id="2109957050">
      <w:bodyDiv w:val="1"/>
      <w:marLeft w:val="0"/>
      <w:marRight w:val="0"/>
      <w:marTop w:val="0"/>
      <w:marBottom w:val="0"/>
      <w:divBdr>
        <w:top w:val="none" w:sz="0" w:space="0" w:color="auto"/>
        <w:left w:val="none" w:sz="0" w:space="0" w:color="auto"/>
        <w:bottom w:val="none" w:sz="0" w:space="0" w:color="auto"/>
        <w:right w:val="none" w:sz="0" w:space="0" w:color="auto"/>
      </w:divBdr>
      <w:divsChild>
        <w:div w:id="696539129">
          <w:marLeft w:val="0"/>
          <w:marRight w:val="0"/>
          <w:marTop w:val="0"/>
          <w:marBottom w:val="0"/>
          <w:divBdr>
            <w:top w:val="none" w:sz="0" w:space="0" w:color="auto"/>
            <w:left w:val="none" w:sz="0" w:space="0" w:color="auto"/>
            <w:bottom w:val="none" w:sz="0" w:space="0" w:color="auto"/>
            <w:right w:val="none" w:sz="0" w:space="0" w:color="auto"/>
          </w:divBdr>
          <w:divsChild>
            <w:div w:id="46344609">
              <w:marLeft w:val="0"/>
              <w:marRight w:val="0"/>
              <w:marTop w:val="0"/>
              <w:marBottom w:val="0"/>
              <w:divBdr>
                <w:top w:val="none" w:sz="0" w:space="0" w:color="auto"/>
                <w:left w:val="none" w:sz="0" w:space="0" w:color="auto"/>
                <w:bottom w:val="none" w:sz="0" w:space="0" w:color="auto"/>
                <w:right w:val="none" w:sz="0" w:space="0" w:color="auto"/>
              </w:divBdr>
              <w:divsChild>
                <w:div w:id="633363743">
                  <w:marLeft w:val="0"/>
                  <w:marRight w:val="0"/>
                  <w:marTop w:val="0"/>
                  <w:marBottom w:val="0"/>
                  <w:divBdr>
                    <w:top w:val="none" w:sz="0" w:space="0" w:color="auto"/>
                    <w:left w:val="none" w:sz="0" w:space="0" w:color="auto"/>
                    <w:bottom w:val="none" w:sz="0" w:space="0" w:color="auto"/>
                    <w:right w:val="none" w:sz="0" w:space="0" w:color="auto"/>
                  </w:divBdr>
                  <w:divsChild>
                    <w:div w:id="1458833980">
                      <w:marLeft w:val="0"/>
                      <w:marRight w:val="0"/>
                      <w:marTop w:val="0"/>
                      <w:marBottom w:val="0"/>
                      <w:divBdr>
                        <w:top w:val="none" w:sz="0" w:space="0" w:color="auto"/>
                        <w:left w:val="none" w:sz="0" w:space="0" w:color="auto"/>
                        <w:bottom w:val="none" w:sz="0" w:space="0" w:color="auto"/>
                        <w:right w:val="none" w:sz="0" w:space="0" w:color="auto"/>
                      </w:divBdr>
                      <w:divsChild>
                        <w:div w:id="1480343188">
                          <w:marLeft w:val="0"/>
                          <w:marRight w:val="0"/>
                          <w:marTop w:val="0"/>
                          <w:marBottom w:val="0"/>
                          <w:divBdr>
                            <w:top w:val="none" w:sz="0" w:space="0" w:color="auto"/>
                            <w:left w:val="none" w:sz="0" w:space="0" w:color="auto"/>
                            <w:bottom w:val="none" w:sz="0" w:space="0" w:color="auto"/>
                            <w:right w:val="none" w:sz="0" w:space="0" w:color="auto"/>
                          </w:divBdr>
                        </w:div>
                        <w:div w:id="15502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0964">
      <w:bodyDiv w:val="1"/>
      <w:marLeft w:val="0"/>
      <w:marRight w:val="0"/>
      <w:marTop w:val="0"/>
      <w:marBottom w:val="0"/>
      <w:divBdr>
        <w:top w:val="none" w:sz="0" w:space="0" w:color="auto"/>
        <w:left w:val="none" w:sz="0" w:space="0" w:color="auto"/>
        <w:bottom w:val="none" w:sz="0" w:space="0" w:color="auto"/>
        <w:right w:val="none" w:sz="0" w:space="0" w:color="auto"/>
      </w:divBdr>
    </w:div>
    <w:div w:id="21405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12" ma:contentTypeDescription="Kurkite naują dokumentą." ma:contentTypeScope="" ma:versionID="0e7e1bf03385128c4e7b53fc977f4a33">
  <xsd:schema xmlns:xsd="http://www.w3.org/2001/XMLSchema" xmlns:xs="http://www.w3.org/2001/XMLSchema" xmlns:p="http://schemas.microsoft.com/office/2006/metadata/properties" xmlns:ns3="4b71ac6d-c182-45bf-b9da-9339ed733892" xmlns:ns4="50fc5535-802c-4625-ab1e-90d20e1b23e0" targetNamespace="http://schemas.microsoft.com/office/2006/metadata/properties" ma:root="true" ma:fieldsID="8479dea4ebee8ca0c2cb5d016006a7fc" ns3:_="" ns4:_="">
    <xsd:import namespace="4b71ac6d-c182-45bf-b9da-9339ed733892"/>
    <xsd:import namespace="50fc5535-802c-4625-ab1e-90d20e1b23e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ac6d-c182-45bf-b9da-9339ed73389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47E3-FAA0-4AE6-84DF-140A316F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ac6d-c182-45bf-b9da-9339ed733892"/>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62686-E5D2-40C6-885A-0702D55955AE}">
  <ds:schemaRefs>
    <ds:schemaRef ds:uri="http://schemas.microsoft.com/sharepoint/v3/contenttype/forms"/>
  </ds:schemaRefs>
</ds:datastoreItem>
</file>

<file path=customXml/itemProps3.xml><?xml version="1.0" encoding="utf-8"?>
<ds:datastoreItem xmlns:ds="http://schemas.openxmlformats.org/officeDocument/2006/customXml" ds:itemID="{87F60A8D-39DF-4354-A692-EFCDE67EE07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0fc5535-802c-4625-ab1e-90d20e1b23e0"/>
    <ds:schemaRef ds:uri="http://schemas.microsoft.com/office/2006/metadata/properties"/>
    <ds:schemaRef ds:uri="http://purl.org/dc/elements/1.1/"/>
    <ds:schemaRef ds:uri="4b71ac6d-c182-45bf-b9da-9339ed733892"/>
    <ds:schemaRef ds:uri="http://www.w3.org/XML/1998/namespace"/>
    <ds:schemaRef ds:uri="http://purl.org/dc/dcmitype/"/>
  </ds:schemaRefs>
</ds:datastoreItem>
</file>

<file path=customXml/itemProps4.xml><?xml version="1.0" encoding="utf-8"?>
<ds:datastoreItem xmlns:ds="http://schemas.openxmlformats.org/officeDocument/2006/customXml" ds:itemID="{D8F08D1F-CA8A-4DBC-AAB4-1EEB3B21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13346</Words>
  <Characters>7608</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20913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Vida Baltmiskyte</cp:lastModifiedBy>
  <cp:revision>3</cp:revision>
  <cp:lastPrinted>2017-09-27T10:36:00Z</cp:lastPrinted>
  <dcterms:created xsi:type="dcterms:W3CDTF">2020-05-12T11:31:00Z</dcterms:created>
  <dcterms:modified xsi:type="dcterms:W3CDTF">2020-05-12T11:32:00Z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