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064F578D" w:rsidR="0036662A" w:rsidRPr="006F2415" w:rsidRDefault="0036662A" w:rsidP="0036662A">
      <w:pPr>
        <w:jc w:val="center"/>
        <w:rPr>
          <w:b/>
          <w:bCs/>
        </w:rPr>
      </w:pPr>
      <w:r w:rsidRPr="006F2415">
        <w:rPr>
          <w:b/>
          <w:bCs/>
        </w:rPr>
        <w:t xml:space="preserve">LIETUVOS RESPUBLIKOS </w:t>
      </w:r>
      <w:r w:rsidR="00D2043F" w:rsidRPr="006F2415">
        <w:rPr>
          <w:b/>
          <w:bCs/>
          <w:szCs w:val="24"/>
        </w:rPr>
        <w:t>ENERGETIKOS MINISTERIJA</w:t>
      </w:r>
    </w:p>
    <w:p w14:paraId="62136E55" w14:textId="77777777" w:rsidR="0036662A" w:rsidRPr="006F2415" w:rsidRDefault="0036662A" w:rsidP="0036662A">
      <w:pPr>
        <w:jc w:val="center"/>
        <w:rPr>
          <w:b/>
          <w:bCs/>
        </w:rPr>
      </w:pPr>
    </w:p>
    <w:p w14:paraId="1E7C8F0B" w14:textId="278C4CAE" w:rsidR="0036662A" w:rsidRPr="006F2415" w:rsidRDefault="0036662A" w:rsidP="0036662A">
      <w:pPr>
        <w:jc w:val="center"/>
        <w:rPr>
          <w:b/>
          <w:bCs/>
        </w:rPr>
      </w:pPr>
      <w:r w:rsidRPr="006F2415">
        <w:rPr>
          <w:b/>
          <w:bCs/>
        </w:rPr>
        <w:t xml:space="preserve">SOCIALINIŲ IR EKONOMINIŲ PARTNERIŲ PATEIKTŲ PASTABŲ IR PASIŪLYMŲ DĖL 2014–2020 METŲ EUROPOS SĄJUNGOS FONDŲ INVESTICIJŲ VEIKSMŲ PROGRAMOS </w:t>
      </w:r>
      <w:r w:rsidR="004F745D" w:rsidRPr="006F2415">
        <w:rPr>
          <w:b/>
          <w:bCs/>
        </w:rPr>
        <w:t>4</w:t>
      </w:r>
      <w:r w:rsidRPr="006F2415">
        <w:rPr>
          <w:b/>
          <w:bCs/>
        </w:rPr>
        <w:t xml:space="preserve"> PRIORITETO </w:t>
      </w:r>
      <w:r w:rsidR="00641CE8" w:rsidRPr="006F2415">
        <w:rPr>
          <w:b/>
          <w:bCs/>
          <w:szCs w:val="24"/>
        </w:rPr>
        <w:t xml:space="preserve">„ENERGIJOS EFEKTYVUMO IR ATSINAUJINANČIŲ IŠTEKLIŲ ENERGIJOS GAMYBOS IR NAUDOJIMO SKATINIMAS“ </w:t>
      </w:r>
      <w:r w:rsidRPr="006F2415">
        <w:rPr>
          <w:b/>
          <w:bCs/>
        </w:rPr>
        <w:t xml:space="preserve">PRIEMONĖS NR. </w:t>
      </w:r>
      <w:r w:rsidR="002A502A" w:rsidRPr="006F2415">
        <w:rPr>
          <w:b/>
          <w:bCs/>
          <w:szCs w:val="24"/>
        </w:rPr>
        <w:t xml:space="preserve">04.4.1-LVPA-K-106 </w:t>
      </w:r>
      <w:r w:rsidR="00043810" w:rsidRPr="006F2415">
        <w:rPr>
          <w:b/>
          <w:bCs/>
          <w:szCs w:val="24"/>
        </w:rPr>
        <w:t xml:space="preserve">„ELEKTROS SKIRSTOMŲJŲ TINKLŲ MODERNIZAVIMAS IR PLĖTRA“ </w:t>
      </w:r>
      <w:r w:rsidR="0032026E" w:rsidRPr="006F2415">
        <w:rPr>
          <w:b/>
          <w:bCs/>
          <w:szCs w:val="24"/>
        </w:rPr>
        <w:t>PROJEKTŲ FINANSAVIMO SĄLYGŲ APRAŠO DERINIMAS</w:t>
      </w:r>
    </w:p>
    <w:p w14:paraId="2B885C82" w14:textId="77777777" w:rsidR="0036662A" w:rsidRPr="006F2415"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6F2415" w14:paraId="211B4D5C" w14:textId="77777777" w:rsidTr="00335D39">
        <w:tc>
          <w:tcPr>
            <w:tcW w:w="6804" w:type="dxa"/>
          </w:tcPr>
          <w:p w14:paraId="2951B3F4" w14:textId="77777777" w:rsidR="0036662A" w:rsidRPr="006F2415" w:rsidRDefault="0036662A" w:rsidP="00335D39">
            <w:pPr>
              <w:rPr>
                <w:b/>
                <w:szCs w:val="24"/>
              </w:rPr>
            </w:pPr>
            <w:r w:rsidRPr="002377E5">
              <w:rPr>
                <w:b/>
                <w:szCs w:val="24"/>
              </w:rPr>
              <w:t xml:space="preserve">Paskelbimo </w:t>
            </w:r>
            <w:r w:rsidRPr="002377E5">
              <w:t>www.esinvesticijos.lt</w:t>
            </w:r>
            <w:r w:rsidRPr="002377E5">
              <w:rPr>
                <w:b/>
                <w:szCs w:val="24"/>
              </w:rPr>
              <w:t xml:space="preserve"> data</w:t>
            </w:r>
          </w:p>
        </w:tc>
        <w:tc>
          <w:tcPr>
            <w:tcW w:w="7938" w:type="dxa"/>
          </w:tcPr>
          <w:p w14:paraId="3E71717B" w14:textId="3B4945E8" w:rsidR="0036662A" w:rsidRPr="006F2415" w:rsidRDefault="00845B46" w:rsidP="00335D39">
            <w:pPr>
              <w:rPr>
                <w:szCs w:val="24"/>
              </w:rPr>
            </w:pPr>
            <w:r>
              <w:rPr>
                <w:szCs w:val="24"/>
              </w:rPr>
              <w:t>2020-04-09</w:t>
            </w:r>
            <w:bookmarkStart w:id="0" w:name="_GoBack"/>
            <w:bookmarkEnd w:id="0"/>
          </w:p>
        </w:tc>
      </w:tr>
      <w:tr w:rsidR="0036662A" w:rsidRPr="006F2415" w14:paraId="585257F3" w14:textId="77777777" w:rsidTr="00335D39">
        <w:tc>
          <w:tcPr>
            <w:tcW w:w="6804" w:type="dxa"/>
          </w:tcPr>
          <w:p w14:paraId="2F737573" w14:textId="77777777" w:rsidR="0036662A" w:rsidRPr="006F2415" w:rsidRDefault="0036662A" w:rsidP="00335D39">
            <w:pPr>
              <w:rPr>
                <w:b/>
                <w:szCs w:val="24"/>
              </w:rPr>
            </w:pPr>
            <w:r w:rsidRPr="006F2415">
              <w:rPr>
                <w:b/>
                <w:szCs w:val="24"/>
              </w:rPr>
              <w:t>Ar gauta pastabų ir (ar) pasiūlymų?</w:t>
            </w:r>
          </w:p>
          <w:p w14:paraId="7B6D8B00" w14:textId="77777777" w:rsidR="0036662A" w:rsidRPr="006F2415" w:rsidRDefault="0036662A" w:rsidP="0036662A">
            <w:pPr>
              <w:rPr>
                <w:i/>
                <w:sz w:val="20"/>
              </w:rPr>
            </w:pPr>
            <w:r w:rsidRPr="006F2415">
              <w:rPr>
                <w:i/>
                <w:sz w:val="20"/>
              </w:rPr>
              <w:t>Jei pastabų ir pasiūlymų nebuvo gauta, į kitą klausimą neatsakoma ir žemiau esanti lentelė nepildoma</w:t>
            </w:r>
          </w:p>
        </w:tc>
        <w:tc>
          <w:tcPr>
            <w:tcW w:w="7938" w:type="dxa"/>
          </w:tcPr>
          <w:p w14:paraId="347A711E" w14:textId="18D5B513" w:rsidR="0036662A" w:rsidRPr="006F2415" w:rsidRDefault="00845B46" w:rsidP="0036662A">
            <w:sdt>
              <w:sdtPr>
                <w:id w:val="1312749902"/>
              </w:sdtPr>
              <w:sdtEndPr/>
              <w:sdtContent>
                <w:bookmarkStart w:id="1" w:name="Check1"/>
                <w:r w:rsidR="00B14FC9" w:rsidRPr="006F2415">
                  <w:rPr>
                    <w:szCs w:val="24"/>
                  </w:rPr>
                  <w:fldChar w:fldCharType="begin">
                    <w:ffData>
                      <w:name w:val="Check1"/>
                      <w:enabled/>
                      <w:calcOnExit w:val="0"/>
                      <w:checkBox>
                        <w:sizeAuto/>
                        <w:default w:val="1"/>
                      </w:checkBox>
                    </w:ffData>
                  </w:fldChar>
                </w:r>
                <w:r w:rsidR="00B14FC9" w:rsidRPr="006F2415">
                  <w:rPr>
                    <w:szCs w:val="24"/>
                  </w:rPr>
                  <w:instrText xml:space="preserve"> FORMCHECKBOX </w:instrText>
                </w:r>
                <w:r>
                  <w:rPr>
                    <w:szCs w:val="24"/>
                  </w:rPr>
                </w:r>
                <w:r>
                  <w:rPr>
                    <w:szCs w:val="24"/>
                  </w:rPr>
                  <w:fldChar w:fldCharType="separate"/>
                </w:r>
                <w:r w:rsidR="00B14FC9" w:rsidRPr="006F2415">
                  <w:rPr>
                    <w:szCs w:val="24"/>
                  </w:rPr>
                  <w:fldChar w:fldCharType="end"/>
                </w:r>
                <w:bookmarkEnd w:id="1"/>
                <w:r w:rsidR="0036662A" w:rsidRPr="006F2415">
                  <w:t xml:space="preserve"> </w:t>
                </w:r>
              </w:sdtContent>
            </w:sdt>
            <w:r w:rsidR="0036662A" w:rsidRPr="006F2415">
              <w:rPr>
                <w:szCs w:val="24"/>
              </w:rPr>
              <w:t xml:space="preserve">Taip </w:t>
            </w:r>
            <w:sdt>
              <w:sdtPr>
                <w:rPr>
                  <w:szCs w:val="24"/>
                </w:rPr>
                <w:id w:val="164368749"/>
              </w:sdtPr>
              <w:sdtEndPr/>
              <w:sdtContent>
                <w:r w:rsidR="0036662A" w:rsidRPr="006F2415">
                  <w:rPr>
                    <w:szCs w:val="24"/>
                  </w:rPr>
                  <w:fldChar w:fldCharType="begin">
                    <w:ffData>
                      <w:name w:val="Check1"/>
                      <w:enabled/>
                      <w:calcOnExit w:val="0"/>
                      <w:checkBox>
                        <w:sizeAuto/>
                        <w:default w:val="0"/>
                      </w:checkBox>
                    </w:ffData>
                  </w:fldChar>
                </w:r>
                <w:r w:rsidR="0036662A" w:rsidRPr="006F2415">
                  <w:rPr>
                    <w:szCs w:val="24"/>
                  </w:rPr>
                  <w:instrText xml:space="preserve"> FORMCHECKBOX </w:instrText>
                </w:r>
                <w:r>
                  <w:rPr>
                    <w:szCs w:val="24"/>
                  </w:rPr>
                </w:r>
                <w:r>
                  <w:rPr>
                    <w:szCs w:val="24"/>
                  </w:rPr>
                  <w:fldChar w:fldCharType="separate"/>
                </w:r>
                <w:r w:rsidR="0036662A" w:rsidRPr="006F2415">
                  <w:rPr>
                    <w:szCs w:val="24"/>
                  </w:rPr>
                  <w:fldChar w:fldCharType="end"/>
                </w:r>
                <w:r w:rsidR="0036662A" w:rsidRPr="006F2415">
                  <w:rPr>
                    <w:szCs w:val="24"/>
                  </w:rPr>
                  <w:t xml:space="preserve"> </w:t>
                </w:r>
              </w:sdtContent>
            </w:sdt>
            <w:r w:rsidR="0036662A" w:rsidRPr="006F2415">
              <w:rPr>
                <w:szCs w:val="24"/>
              </w:rPr>
              <w:t xml:space="preserve"> Ne</w:t>
            </w:r>
            <w:r w:rsidR="0036662A" w:rsidRPr="006F2415">
              <w:rPr>
                <w:szCs w:val="24"/>
              </w:rPr>
              <w:fldChar w:fldCharType="begin"/>
            </w:r>
            <w:r w:rsidR="0036662A" w:rsidRPr="006F2415">
              <w:rPr>
                <w:szCs w:val="24"/>
              </w:rPr>
              <w:instrText xml:space="preserve"> FILLIN   \* MERGEFORMAT </w:instrText>
            </w:r>
            <w:r w:rsidR="0036662A" w:rsidRPr="006F2415">
              <w:rPr>
                <w:szCs w:val="24"/>
              </w:rPr>
              <w:fldChar w:fldCharType="end"/>
            </w:r>
          </w:p>
        </w:tc>
      </w:tr>
      <w:tr w:rsidR="0036662A" w:rsidRPr="006F2415" w14:paraId="6D0D9D1A" w14:textId="77777777" w:rsidTr="00335D39">
        <w:tc>
          <w:tcPr>
            <w:tcW w:w="6804" w:type="dxa"/>
          </w:tcPr>
          <w:p w14:paraId="6A04ED20" w14:textId="77777777" w:rsidR="0036662A" w:rsidRPr="006F2415" w:rsidRDefault="0036662A" w:rsidP="00335D39">
            <w:pPr>
              <w:rPr>
                <w:b/>
                <w:szCs w:val="24"/>
              </w:rPr>
            </w:pPr>
            <w:r w:rsidRPr="006F2415">
              <w:rPr>
                <w:b/>
                <w:szCs w:val="24"/>
              </w:rPr>
              <w:t>Ar į visas pastabas ir (ar) pasiūlymus atsižvelgta?</w:t>
            </w:r>
          </w:p>
          <w:p w14:paraId="5A09DB63" w14:textId="77777777" w:rsidR="0036662A" w:rsidRPr="006F2415" w:rsidRDefault="0036662A" w:rsidP="00335D39">
            <w:pPr>
              <w:rPr>
                <w:i/>
                <w:sz w:val="20"/>
              </w:rPr>
            </w:pPr>
            <w:r w:rsidRPr="006F2415">
              <w:rPr>
                <w:i/>
                <w:sz w:val="20"/>
              </w:rPr>
              <w:t>Jei atsižvelgta į visas pastabas ir (ar) pasiūlymus, žemiau esanti lentelė nepildoma</w:t>
            </w:r>
          </w:p>
        </w:tc>
        <w:tc>
          <w:tcPr>
            <w:tcW w:w="7938" w:type="dxa"/>
          </w:tcPr>
          <w:p w14:paraId="47323AFB" w14:textId="74CF21A3" w:rsidR="0036662A" w:rsidRPr="006F2415" w:rsidRDefault="00845B46" w:rsidP="00335D39">
            <w:pPr>
              <w:rPr>
                <w:szCs w:val="24"/>
              </w:rPr>
            </w:pPr>
            <w:sdt>
              <w:sdtPr>
                <w:id w:val="-338542889"/>
              </w:sdtPr>
              <w:sdtEndPr/>
              <w:sdtContent>
                <w:r w:rsidR="00015013">
                  <w:fldChar w:fldCharType="begin">
                    <w:ffData>
                      <w:name w:val=""/>
                      <w:enabled/>
                      <w:calcOnExit w:val="0"/>
                      <w:checkBox>
                        <w:sizeAuto/>
                        <w:default w:val="0"/>
                      </w:checkBox>
                    </w:ffData>
                  </w:fldChar>
                </w:r>
                <w:r w:rsidR="00015013">
                  <w:instrText xml:space="preserve"> FORMCHECKBOX </w:instrText>
                </w:r>
                <w:r>
                  <w:fldChar w:fldCharType="separate"/>
                </w:r>
                <w:r w:rsidR="00015013">
                  <w:fldChar w:fldCharType="end"/>
                </w:r>
              </w:sdtContent>
            </w:sdt>
            <w:r w:rsidR="00015013" w:rsidRPr="006F2415">
              <w:rPr>
                <w:szCs w:val="24"/>
              </w:rPr>
              <w:t xml:space="preserve"> </w:t>
            </w:r>
            <w:r w:rsidR="0036662A" w:rsidRPr="006F2415">
              <w:rPr>
                <w:szCs w:val="24"/>
              </w:rPr>
              <w:t xml:space="preserve">Taip </w:t>
            </w:r>
            <w:r w:rsidR="00015013" w:rsidRPr="006F2415">
              <w:rPr>
                <w:szCs w:val="24"/>
              </w:rPr>
              <w:fldChar w:fldCharType="begin">
                <w:ffData>
                  <w:name w:val=""/>
                  <w:enabled/>
                  <w:calcOnExit w:val="0"/>
                  <w:checkBox>
                    <w:sizeAuto/>
                    <w:default w:val="1"/>
                  </w:checkBox>
                </w:ffData>
              </w:fldChar>
            </w:r>
            <w:r w:rsidR="00015013" w:rsidRPr="006F2415">
              <w:rPr>
                <w:szCs w:val="24"/>
              </w:rPr>
              <w:instrText xml:space="preserve"> FORMCHECKBOX </w:instrText>
            </w:r>
            <w:r>
              <w:rPr>
                <w:szCs w:val="24"/>
              </w:rPr>
            </w:r>
            <w:r>
              <w:rPr>
                <w:szCs w:val="24"/>
              </w:rPr>
              <w:fldChar w:fldCharType="separate"/>
            </w:r>
            <w:r w:rsidR="00015013" w:rsidRPr="006F2415">
              <w:rPr>
                <w:szCs w:val="24"/>
              </w:rPr>
              <w:fldChar w:fldCharType="end"/>
            </w:r>
            <w:r w:rsidR="00015013" w:rsidRPr="006F2415">
              <w:rPr>
                <w:szCs w:val="24"/>
              </w:rPr>
              <w:t xml:space="preserve"> </w:t>
            </w:r>
            <w:r w:rsidR="0036662A" w:rsidRPr="006F2415">
              <w:rPr>
                <w:szCs w:val="24"/>
              </w:rPr>
              <w:t xml:space="preserve"> Ne </w:t>
            </w:r>
          </w:p>
        </w:tc>
      </w:tr>
    </w:tbl>
    <w:p w14:paraId="3E50DA31" w14:textId="77777777" w:rsidR="0036662A" w:rsidRPr="006F2415"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6F2415" w14:paraId="309321F7" w14:textId="77777777" w:rsidTr="00335D39">
        <w:tc>
          <w:tcPr>
            <w:tcW w:w="567" w:type="dxa"/>
          </w:tcPr>
          <w:p w14:paraId="3ECF6B6F" w14:textId="77777777" w:rsidR="0036662A" w:rsidRPr="006F2415" w:rsidRDefault="0036662A" w:rsidP="00335D39">
            <w:pPr>
              <w:jc w:val="center"/>
              <w:rPr>
                <w:b/>
                <w:szCs w:val="24"/>
              </w:rPr>
            </w:pPr>
            <w:r w:rsidRPr="006F2415">
              <w:rPr>
                <w:b/>
                <w:szCs w:val="24"/>
              </w:rPr>
              <w:t>Nr.</w:t>
            </w:r>
          </w:p>
        </w:tc>
        <w:tc>
          <w:tcPr>
            <w:tcW w:w="1985" w:type="dxa"/>
          </w:tcPr>
          <w:p w14:paraId="36594ECD" w14:textId="77777777" w:rsidR="0036662A" w:rsidRPr="006F2415" w:rsidRDefault="0036662A" w:rsidP="00335D39">
            <w:pPr>
              <w:jc w:val="center"/>
              <w:rPr>
                <w:b/>
                <w:szCs w:val="24"/>
              </w:rPr>
            </w:pPr>
            <w:r w:rsidRPr="006F2415">
              <w:rPr>
                <w:b/>
                <w:szCs w:val="24"/>
              </w:rPr>
              <w:t>Institucija</w:t>
            </w:r>
          </w:p>
        </w:tc>
        <w:tc>
          <w:tcPr>
            <w:tcW w:w="5386" w:type="dxa"/>
          </w:tcPr>
          <w:p w14:paraId="1B30E145" w14:textId="77777777" w:rsidR="0036662A" w:rsidRPr="006F2415" w:rsidRDefault="0036662A" w:rsidP="00335D39">
            <w:pPr>
              <w:jc w:val="center"/>
              <w:rPr>
                <w:b/>
                <w:szCs w:val="24"/>
              </w:rPr>
            </w:pPr>
            <w:r w:rsidRPr="006F2415">
              <w:rPr>
                <w:b/>
                <w:bCs/>
              </w:rPr>
              <w:t>Pastabos ir pasiūlymai</w:t>
            </w:r>
          </w:p>
        </w:tc>
        <w:tc>
          <w:tcPr>
            <w:tcW w:w="6804" w:type="dxa"/>
          </w:tcPr>
          <w:p w14:paraId="3D3EE2E4" w14:textId="77777777" w:rsidR="0036662A" w:rsidRPr="006F2415" w:rsidRDefault="0036662A" w:rsidP="00335D39">
            <w:pPr>
              <w:jc w:val="center"/>
              <w:rPr>
                <w:b/>
                <w:szCs w:val="24"/>
              </w:rPr>
            </w:pPr>
            <w:r w:rsidRPr="006F2415">
              <w:rPr>
                <w:b/>
                <w:bCs/>
              </w:rPr>
              <w:t>Pastabų ir pasiūlymų vertinimas ir (jei taikoma) argumentai, kodėl neatsižvelgta į pastabas ar pasiūlymus</w:t>
            </w:r>
          </w:p>
        </w:tc>
      </w:tr>
      <w:tr w:rsidR="0036662A" w:rsidRPr="006F2415" w14:paraId="14E26D33" w14:textId="77777777" w:rsidTr="00335D39">
        <w:tc>
          <w:tcPr>
            <w:tcW w:w="567" w:type="dxa"/>
          </w:tcPr>
          <w:p w14:paraId="178AD21B" w14:textId="77777777" w:rsidR="0036662A" w:rsidRPr="006F2415" w:rsidRDefault="0036662A" w:rsidP="0036662A">
            <w:pPr>
              <w:pStyle w:val="ListParagraph"/>
              <w:numPr>
                <w:ilvl w:val="0"/>
                <w:numId w:val="1"/>
              </w:numPr>
              <w:jc w:val="both"/>
            </w:pPr>
          </w:p>
        </w:tc>
        <w:tc>
          <w:tcPr>
            <w:tcW w:w="1985" w:type="dxa"/>
          </w:tcPr>
          <w:p w14:paraId="2E187A51" w14:textId="5564DBB2" w:rsidR="006D159D" w:rsidRPr="00EF3DAC" w:rsidRDefault="00F91622" w:rsidP="006D159D">
            <w:pPr>
              <w:rPr>
                <w:bCs/>
                <w:szCs w:val="24"/>
              </w:rPr>
            </w:pPr>
            <w:r w:rsidRPr="00EF3DAC">
              <w:rPr>
                <w:bCs/>
              </w:rPr>
              <w:t>Lietuvos Respublikos</w:t>
            </w:r>
            <w:r w:rsidRPr="00EF3DAC">
              <w:rPr>
                <w:bCs/>
                <w:caps/>
              </w:rPr>
              <w:t xml:space="preserve"> </w:t>
            </w:r>
            <w:r w:rsidRPr="00EF3DAC">
              <w:rPr>
                <w:bCs/>
              </w:rPr>
              <w:t>ekonomikos ir inovacijų ministerija</w:t>
            </w:r>
            <w:r w:rsidR="006D159D" w:rsidRPr="00EF3DAC">
              <w:rPr>
                <w:bCs/>
              </w:rPr>
              <w:t xml:space="preserve"> </w:t>
            </w:r>
            <w:r w:rsidR="006D159D" w:rsidRPr="00EF3DAC">
              <w:rPr>
                <w:bCs/>
                <w:szCs w:val="24"/>
              </w:rPr>
              <w:t>(</w:t>
            </w:r>
            <w:r w:rsidR="001B6364" w:rsidRPr="00EF3DAC">
              <w:rPr>
                <w:rStyle w:val="mdialogpagemmetadatatree01"/>
                <w:szCs w:val="24"/>
              </w:rPr>
              <w:t xml:space="preserve">2020-04-17 </w:t>
            </w:r>
            <w:r w:rsidR="006D159D" w:rsidRPr="00EF3DAC">
              <w:rPr>
                <w:bCs/>
                <w:szCs w:val="24"/>
              </w:rPr>
              <w:t xml:space="preserve">raštas Nr. </w:t>
            </w:r>
            <w:r w:rsidR="00F651BA" w:rsidRPr="00EF3DAC">
              <w:rPr>
                <w:rStyle w:val="mdialogpagemmetadatatree01"/>
                <w:szCs w:val="24"/>
              </w:rPr>
              <w:t>3-1455</w:t>
            </w:r>
            <w:r w:rsidR="006D159D" w:rsidRPr="00EF3DAC">
              <w:rPr>
                <w:bCs/>
                <w:szCs w:val="24"/>
              </w:rPr>
              <w:t>)</w:t>
            </w:r>
          </w:p>
          <w:p w14:paraId="43AB1353" w14:textId="6801F4C8" w:rsidR="0036662A" w:rsidRPr="006F2415" w:rsidRDefault="0036662A" w:rsidP="00335D39">
            <w:pPr>
              <w:rPr>
                <w:bCs/>
              </w:rPr>
            </w:pPr>
          </w:p>
        </w:tc>
        <w:tc>
          <w:tcPr>
            <w:tcW w:w="5386" w:type="dxa"/>
          </w:tcPr>
          <w:p w14:paraId="54CF4436" w14:textId="5DFD673B" w:rsidR="00022B52" w:rsidRPr="006F2415" w:rsidRDefault="00022B52" w:rsidP="002C444D">
            <w:pPr>
              <w:jc w:val="both"/>
            </w:pPr>
            <w:r w:rsidRPr="006F2415">
              <w:t xml:space="preserve">Siūlymas </w:t>
            </w:r>
            <w:r w:rsidRPr="006F2415">
              <w:rPr>
                <w:szCs w:val="24"/>
              </w:rPr>
              <w:t>Projekto 4.8</w:t>
            </w:r>
            <w:r w:rsidRPr="006F2415">
              <w:rPr>
                <w:szCs w:val="24"/>
                <w:vertAlign w:val="superscript"/>
              </w:rPr>
              <w:t>1</w:t>
            </w:r>
            <w:r w:rsidRPr="006F2415">
              <w:rPr>
                <w:szCs w:val="24"/>
              </w:rPr>
              <w:t xml:space="preserve"> papunktyje įtvirtinti „Valstybės pagalbos gavėjo“ apibrėžtį.</w:t>
            </w:r>
            <w:r w:rsidR="00585FCA" w:rsidRPr="006F2415">
              <w:rPr>
                <w:szCs w:val="24"/>
              </w:rPr>
              <w:t xml:space="preserve"> V</w:t>
            </w:r>
            <w:r w:rsidRPr="006F2415">
              <w:rPr>
                <w:szCs w:val="24"/>
              </w:rPr>
              <w:t xml:space="preserve">adovaujantis Europos Komisijos pranešimu dėl Sutarties dėl Europos Sąjungos veiksmo 107 straipsnio 1 dalyje vartojamos valstybės pagalbos sąvokos (2016/C 262/01), valstybės pagalbos gavėju laikomas bet kuris subjektas vykdantis ekonominę veiklą. Tai atitinka „Valstybės pagalbos gavėjo“ apibrėžtyje naudojamą ūkio subjekto pavadinimą. Antroji „Valstybės pagalbos gavėjo“ apibrėžties dalis, kuria nustatoma, kad „ūkio subjektas apima visas </w:t>
            </w:r>
            <w:r w:rsidRPr="006F2415">
              <w:rPr>
                <w:bCs/>
                <w:szCs w:val="24"/>
              </w:rPr>
              <w:t>įmones, atitinkančias 651/2014 Reglamento I priede nustatytą susijusių įmonių apibrėžtį“, manom</w:t>
            </w:r>
            <w:r w:rsidR="000C7AE5">
              <w:rPr>
                <w:bCs/>
                <w:szCs w:val="24"/>
              </w:rPr>
              <w:t>a</w:t>
            </w:r>
            <w:r w:rsidRPr="006F2415">
              <w:rPr>
                <w:bCs/>
                <w:szCs w:val="24"/>
              </w:rPr>
              <w:t>, yra perteklinė ir jos turėtų būti atsisakoma arba turėtų būti nustatoma atskira „ūkio subjekto“ apibrėžtimi.</w:t>
            </w:r>
          </w:p>
          <w:p w14:paraId="151135DD" w14:textId="76C092DE" w:rsidR="0036662A" w:rsidRPr="006F2415" w:rsidRDefault="0036662A" w:rsidP="002C444D">
            <w:pPr>
              <w:jc w:val="both"/>
            </w:pPr>
          </w:p>
        </w:tc>
        <w:tc>
          <w:tcPr>
            <w:tcW w:w="6804" w:type="dxa"/>
          </w:tcPr>
          <w:p w14:paraId="7BB81DDD" w14:textId="77777777" w:rsidR="0036662A" w:rsidRPr="006F2415" w:rsidRDefault="00ED530C" w:rsidP="002C444D">
            <w:pPr>
              <w:jc w:val="both"/>
              <w:rPr>
                <w:b/>
                <w:bCs/>
                <w:szCs w:val="24"/>
              </w:rPr>
            </w:pPr>
            <w:r w:rsidRPr="006F2415">
              <w:rPr>
                <w:b/>
                <w:bCs/>
                <w:szCs w:val="24"/>
              </w:rPr>
              <w:t>Atsižvelgta.</w:t>
            </w:r>
          </w:p>
          <w:p w14:paraId="06753CAB" w14:textId="7F99BC89" w:rsidR="00C90763" w:rsidRPr="00AA58FD" w:rsidRDefault="00A83179" w:rsidP="002C444D">
            <w:pPr>
              <w:jc w:val="both"/>
            </w:pPr>
            <w:r w:rsidRPr="006F2415">
              <w:rPr>
                <w:szCs w:val="24"/>
              </w:rPr>
              <w:t>4.8</w:t>
            </w:r>
            <w:r w:rsidRPr="006F2415">
              <w:rPr>
                <w:szCs w:val="24"/>
                <w:vertAlign w:val="superscript"/>
              </w:rPr>
              <w:t>1</w:t>
            </w:r>
            <w:r w:rsidRPr="006F2415">
              <w:rPr>
                <w:szCs w:val="24"/>
              </w:rPr>
              <w:t xml:space="preserve"> papunk</w:t>
            </w:r>
            <w:r w:rsidR="006365D5" w:rsidRPr="006F2415">
              <w:rPr>
                <w:szCs w:val="24"/>
              </w:rPr>
              <w:t>t</w:t>
            </w:r>
            <w:r w:rsidR="001B30DB">
              <w:rPr>
                <w:szCs w:val="24"/>
              </w:rPr>
              <w:t>is yra naikinamas</w:t>
            </w:r>
            <w:r w:rsidR="00C90763">
              <w:rPr>
                <w:szCs w:val="24"/>
              </w:rPr>
              <w:t>,</w:t>
            </w:r>
            <w:r w:rsidR="006365D5" w:rsidRPr="006F2415">
              <w:rPr>
                <w:szCs w:val="24"/>
              </w:rPr>
              <w:t xml:space="preserve"> </w:t>
            </w:r>
            <w:r w:rsidR="00C90763">
              <w:rPr>
                <w:szCs w:val="24"/>
              </w:rPr>
              <w:t xml:space="preserve">kadangi </w:t>
            </w:r>
            <w:r w:rsidR="00C90763" w:rsidRPr="008E3F2F">
              <w:rPr>
                <w:bCs/>
                <w:color w:val="000000"/>
                <w:szCs w:val="24"/>
              </w:rPr>
              <w:t>„</w:t>
            </w:r>
            <w:r w:rsidR="00AA3B4F">
              <w:rPr>
                <w:bCs/>
                <w:color w:val="000000"/>
                <w:szCs w:val="24"/>
              </w:rPr>
              <w:t>V</w:t>
            </w:r>
            <w:r w:rsidR="00C90763" w:rsidRPr="008E3F2F">
              <w:rPr>
                <w:bCs/>
                <w:color w:val="000000"/>
                <w:szCs w:val="24"/>
              </w:rPr>
              <w:t>alstybės pagalbos gavėjas“ atitinka „pareiškėją“</w:t>
            </w:r>
            <w:r w:rsidR="00AA3B4F">
              <w:rPr>
                <w:bCs/>
                <w:color w:val="000000"/>
                <w:szCs w:val="24"/>
              </w:rPr>
              <w:t xml:space="preserve"> ir </w:t>
            </w:r>
            <w:r w:rsidR="00AA3B4F" w:rsidRPr="006F2415">
              <w:rPr>
                <w:szCs w:val="24"/>
              </w:rPr>
              <w:t>„Valstybės pagalbos gavėjo“ apibrėžt</w:t>
            </w:r>
            <w:r w:rsidR="006F02B8">
              <w:rPr>
                <w:szCs w:val="24"/>
              </w:rPr>
              <w:t>is Apraše yra perteklin</w:t>
            </w:r>
            <w:r w:rsidR="008D31F2">
              <w:rPr>
                <w:szCs w:val="24"/>
              </w:rPr>
              <w:t>is</w:t>
            </w:r>
            <w:r w:rsidR="006F02B8">
              <w:rPr>
                <w:szCs w:val="24"/>
              </w:rPr>
              <w:t>.</w:t>
            </w:r>
          </w:p>
          <w:p w14:paraId="504C298A" w14:textId="04A65283" w:rsidR="00A83179" w:rsidRPr="006F2415" w:rsidRDefault="00A83179" w:rsidP="002C444D">
            <w:pPr>
              <w:tabs>
                <w:tab w:val="left" w:pos="1418"/>
              </w:tabs>
              <w:overflowPunct w:val="0"/>
              <w:jc w:val="both"/>
              <w:textAlignment w:val="baseline"/>
            </w:pPr>
          </w:p>
        </w:tc>
      </w:tr>
      <w:tr w:rsidR="00E72E4F" w:rsidRPr="006F2415" w14:paraId="3CB45C5D" w14:textId="77777777" w:rsidTr="00335D39">
        <w:tc>
          <w:tcPr>
            <w:tcW w:w="567" w:type="dxa"/>
          </w:tcPr>
          <w:p w14:paraId="5ABDAC54" w14:textId="77777777" w:rsidR="00E72E4F" w:rsidRPr="006F2415" w:rsidRDefault="00E72E4F" w:rsidP="00E72E4F">
            <w:pPr>
              <w:pStyle w:val="ListParagraph"/>
              <w:numPr>
                <w:ilvl w:val="0"/>
                <w:numId w:val="1"/>
              </w:numPr>
              <w:jc w:val="both"/>
            </w:pPr>
          </w:p>
        </w:tc>
        <w:tc>
          <w:tcPr>
            <w:tcW w:w="1985" w:type="dxa"/>
          </w:tcPr>
          <w:p w14:paraId="1D3788AF" w14:textId="77777777" w:rsidR="00E72E4F" w:rsidRPr="00EF3DAC" w:rsidRDefault="00E72E4F" w:rsidP="00E72E4F">
            <w:pPr>
              <w:rPr>
                <w:bCs/>
                <w:szCs w:val="24"/>
              </w:rPr>
            </w:pPr>
            <w:r w:rsidRPr="00EF3DAC">
              <w:rPr>
                <w:bCs/>
              </w:rPr>
              <w:t>Lietuvos Respublikos</w:t>
            </w:r>
            <w:r w:rsidRPr="00EF3DAC">
              <w:rPr>
                <w:bCs/>
                <w:caps/>
              </w:rPr>
              <w:t xml:space="preserve"> </w:t>
            </w:r>
            <w:r w:rsidRPr="00EF3DAC">
              <w:rPr>
                <w:bCs/>
              </w:rPr>
              <w:t xml:space="preserve">ekonomikos ir inovacijų ministerija </w:t>
            </w:r>
            <w:r w:rsidRPr="00EF3DAC">
              <w:rPr>
                <w:bCs/>
                <w:szCs w:val="24"/>
              </w:rPr>
              <w:t>(</w:t>
            </w:r>
            <w:r w:rsidRPr="00EF3DAC">
              <w:rPr>
                <w:rStyle w:val="mdialogpagemmetadatatree01"/>
                <w:szCs w:val="24"/>
              </w:rPr>
              <w:t xml:space="preserve">2020-04-17 </w:t>
            </w:r>
            <w:r w:rsidRPr="00EF3DAC">
              <w:rPr>
                <w:bCs/>
                <w:szCs w:val="24"/>
              </w:rPr>
              <w:t xml:space="preserve">raštas Nr. </w:t>
            </w:r>
            <w:r w:rsidRPr="00EF3DAC">
              <w:rPr>
                <w:rStyle w:val="mdialogpagemmetadatatree01"/>
                <w:szCs w:val="24"/>
              </w:rPr>
              <w:t>3-1455</w:t>
            </w:r>
            <w:r w:rsidRPr="00EF3DAC">
              <w:rPr>
                <w:bCs/>
                <w:szCs w:val="24"/>
              </w:rPr>
              <w:t>)</w:t>
            </w:r>
          </w:p>
          <w:p w14:paraId="3988FC3D" w14:textId="77777777" w:rsidR="00E72E4F" w:rsidRPr="00EF3DAC" w:rsidRDefault="00E72E4F" w:rsidP="00E72E4F">
            <w:pPr>
              <w:rPr>
                <w:bCs/>
              </w:rPr>
            </w:pPr>
          </w:p>
        </w:tc>
        <w:tc>
          <w:tcPr>
            <w:tcW w:w="5386" w:type="dxa"/>
          </w:tcPr>
          <w:p w14:paraId="57419550" w14:textId="3B941B75" w:rsidR="00E72E4F" w:rsidRPr="006F2415" w:rsidRDefault="00E72E4F" w:rsidP="002C444D">
            <w:pPr>
              <w:jc w:val="both"/>
            </w:pPr>
            <w:r w:rsidRPr="008E3F2F">
              <w:rPr>
                <w:bCs/>
                <w:color w:val="000000"/>
                <w:szCs w:val="24"/>
              </w:rPr>
              <w:t xml:space="preserve">Projekto </w:t>
            </w:r>
            <w:r w:rsidRPr="008E3F2F">
              <w:rPr>
                <w:bCs/>
                <w:color w:val="000000"/>
                <w:szCs w:val="24"/>
                <w:lang w:val="en-US"/>
              </w:rPr>
              <w:t xml:space="preserve">77 punkte ir </w:t>
            </w:r>
            <w:r w:rsidRPr="008E3F2F">
              <w:rPr>
                <w:color w:val="000000"/>
                <w:szCs w:val="24"/>
              </w:rPr>
              <w:t>5 priede vartojama "pagalbos gavėjo" apibrėžtis, todėl jei įtvirtinama "valstybės pagalbos gavėjo" apibrėžtis, tuomet minėti punktai taip pat turėtų būti tikslinami</w:t>
            </w:r>
            <w:r w:rsidR="00A10AE6">
              <w:rPr>
                <w:bCs/>
                <w:color w:val="000000"/>
                <w:szCs w:val="24"/>
              </w:rPr>
              <w:t xml:space="preserve"> </w:t>
            </w:r>
          </w:p>
        </w:tc>
        <w:tc>
          <w:tcPr>
            <w:tcW w:w="6804" w:type="dxa"/>
          </w:tcPr>
          <w:p w14:paraId="3DFD075B" w14:textId="77777777" w:rsidR="00007C5A" w:rsidRPr="006F2415" w:rsidRDefault="00007C5A" w:rsidP="002C444D">
            <w:pPr>
              <w:jc w:val="both"/>
              <w:rPr>
                <w:b/>
                <w:bCs/>
                <w:szCs w:val="24"/>
              </w:rPr>
            </w:pPr>
            <w:r w:rsidRPr="006F2415">
              <w:rPr>
                <w:b/>
                <w:bCs/>
                <w:szCs w:val="24"/>
              </w:rPr>
              <w:t>Atsižvelgta.</w:t>
            </w:r>
          </w:p>
          <w:p w14:paraId="0A0A0026" w14:textId="21DB8135" w:rsidR="00E72E4F" w:rsidRPr="006F2415" w:rsidRDefault="00007C5A" w:rsidP="002C444D">
            <w:pPr>
              <w:jc w:val="both"/>
              <w:rPr>
                <w:b/>
                <w:bCs/>
                <w:szCs w:val="24"/>
              </w:rPr>
            </w:pPr>
            <w:r>
              <w:rPr>
                <w:color w:val="000000"/>
                <w:szCs w:val="24"/>
              </w:rPr>
              <w:t xml:space="preserve">Kadangi </w:t>
            </w:r>
            <w:r w:rsidRPr="008E3F2F">
              <w:rPr>
                <w:color w:val="000000"/>
                <w:szCs w:val="24"/>
              </w:rPr>
              <w:t>"valstybės pagalbos gavėjo" apibrėžtis</w:t>
            </w:r>
            <w:r w:rsidRPr="008E3F2F">
              <w:rPr>
                <w:bCs/>
                <w:color w:val="000000"/>
                <w:szCs w:val="24"/>
              </w:rPr>
              <w:t xml:space="preserve"> </w:t>
            </w:r>
            <w:r>
              <w:rPr>
                <w:bCs/>
                <w:color w:val="000000"/>
                <w:szCs w:val="24"/>
              </w:rPr>
              <w:t xml:space="preserve">nėra </w:t>
            </w:r>
            <w:r w:rsidRPr="008E3F2F">
              <w:rPr>
                <w:color w:val="000000"/>
                <w:szCs w:val="24"/>
              </w:rPr>
              <w:t>įtvirtinama</w:t>
            </w:r>
            <w:r w:rsidR="007D0B19">
              <w:rPr>
                <w:color w:val="000000"/>
                <w:szCs w:val="24"/>
              </w:rPr>
              <w:t>,</w:t>
            </w:r>
            <w:r w:rsidRPr="008E3F2F">
              <w:rPr>
                <w:bCs/>
                <w:color w:val="000000"/>
                <w:szCs w:val="24"/>
              </w:rPr>
              <w:t xml:space="preserve"> </w:t>
            </w:r>
            <w:r w:rsidR="007D0B19">
              <w:rPr>
                <w:bCs/>
                <w:color w:val="000000"/>
                <w:szCs w:val="24"/>
              </w:rPr>
              <w:t>Aprašo</w:t>
            </w:r>
            <w:r w:rsidR="00E94C0C" w:rsidRPr="008E3F2F">
              <w:rPr>
                <w:bCs/>
                <w:color w:val="000000"/>
                <w:szCs w:val="24"/>
              </w:rPr>
              <w:t xml:space="preserve"> </w:t>
            </w:r>
            <w:r w:rsidR="00E94C0C" w:rsidRPr="008E3F2F">
              <w:rPr>
                <w:bCs/>
                <w:color w:val="000000"/>
                <w:szCs w:val="24"/>
                <w:lang w:val="en-US"/>
              </w:rPr>
              <w:t xml:space="preserve">77 punkte ir </w:t>
            </w:r>
            <w:r w:rsidR="00E94C0C" w:rsidRPr="008E3F2F">
              <w:rPr>
                <w:color w:val="000000"/>
                <w:szCs w:val="24"/>
              </w:rPr>
              <w:t>5 priede vartojama "pagalbos gavėjo"</w:t>
            </w:r>
            <w:r w:rsidR="006E1D87">
              <w:rPr>
                <w:color w:val="000000"/>
                <w:szCs w:val="24"/>
              </w:rPr>
              <w:t xml:space="preserve"> sąvoka nėra tikslinama.</w:t>
            </w:r>
          </w:p>
        </w:tc>
      </w:tr>
      <w:tr w:rsidR="00E72E4F" w:rsidRPr="006F2415" w14:paraId="1E727C3F" w14:textId="77777777" w:rsidTr="00335D39">
        <w:tc>
          <w:tcPr>
            <w:tcW w:w="567" w:type="dxa"/>
          </w:tcPr>
          <w:p w14:paraId="4D83FDBE" w14:textId="77777777" w:rsidR="00E72E4F" w:rsidRPr="006F2415" w:rsidRDefault="00E72E4F" w:rsidP="00E72E4F">
            <w:pPr>
              <w:pStyle w:val="ListParagraph"/>
              <w:numPr>
                <w:ilvl w:val="0"/>
                <w:numId w:val="1"/>
              </w:numPr>
              <w:jc w:val="both"/>
            </w:pPr>
          </w:p>
        </w:tc>
        <w:tc>
          <w:tcPr>
            <w:tcW w:w="1985" w:type="dxa"/>
          </w:tcPr>
          <w:p w14:paraId="7D14236B" w14:textId="77777777" w:rsidR="00E72E4F" w:rsidRPr="00EF3DAC" w:rsidRDefault="00E72E4F" w:rsidP="00E72E4F">
            <w:pPr>
              <w:rPr>
                <w:bCs/>
                <w:szCs w:val="24"/>
              </w:rPr>
            </w:pPr>
            <w:r w:rsidRPr="00EF3DAC">
              <w:rPr>
                <w:bCs/>
              </w:rPr>
              <w:t>Lietuvos Respublikos</w:t>
            </w:r>
            <w:r w:rsidRPr="00EF3DAC">
              <w:rPr>
                <w:bCs/>
                <w:caps/>
              </w:rPr>
              <w:t xml:space="preserve"> </w:t>
            </w:r>
            <w:r w:rsidRPr="00EF3DAC">
              <w:rPr>
                <w:bCs/>
              </w:rPr>
              <w:t xml:space="preserve">ekonomikos ir inovacijų ministerija </w:t>
            </w:r>
            <w:r w:rsidRPr="00EF3DAC">
              <w:rPr>
                <w:bCs/>
                <w:szCs w:val="24"/>
              </w:rPr>
              <w:t>(</w:t>
            </w:r>
            <w:r w:rsidRPr="00EF3DAC">
              <w:rPr>
                <w:rStyle w:val="mdialogpagemmetadatatree01"/>
                <w:szCs w:val="24"/>
              </w:rPr>
              <w:t xml:space="preserve">2020-04-17 </w:t>
            </w:r>
            <w:r w:rsidRPr="00EF3DAC">
              <w:rPr>
                <w:bCs/>
                <w:szCs w:val="24"/>
              </w:rPr>
              <w:t xml:space="preserve">raštas Nr. </w:t>
            </w:r>
            <w:r w:rsidRPr="00EF3DAC">
              <w:rPr>
                <w:rStyle w:val="mdialogpagemmetadatatree01"/>
                <w:szCs w:val="24"/>
              </w:rPr>
              <w:t>3-1455</w:t>
            </w:r>
            <w:r w:rsidRPr="00EF3DAC">
              <w:rPr>
                <w:bCs/>
                <w:szCs w:val="24"/>
              </w:rPr>
              <w:t>)</w:t>
            </w:r>
          </w:p>
          <w:p w14:paraId="5BAA2F0C" w14:textId="275B8543" w:rsidR="00E72E4F" w:rsidRPr="006F2415" w:rsidRDefault="00E72E4F" w:rsidP="00E72E4F">
            <w:pPr>
              <w:rPr>
                <w:bCs/>
              </w:rPr>
            </w:pPr>
          </w:p>
        </w:tc>
        <w:tc>
          <w:tcPr>
            <w:tcW w:w="5386" w:type="dxa"/>
          </w:tcPr>
          <w:p w14:paraId="7FC1A366" w14:textId="77777777" w:rsidR="00E72E4F" w:rsidRDefault="00E72E4F" w:rsidP="002C444D">
            <w:pPr>
              <w:jc w:val="both"/>
              <w:rPr>
                <w:szCs w:val="24"/>
              </w:rPr>
            </w:pPr>
            <w:r>
              <w:t xml:space="preserve">Siūlymas Projekto </w:t>
            </w:r>
            <w:r>
              <w:rPr>
                <w:lang w:val="en-US"/>
              </w:rPr>
              <w:t>15 punkt</w:t>
            </w:r>
            <w:r>
              <w:t>ą išdėstyti taip: „</w:t>
            </w:r>
            <w:r w:rsidRPr="00C6517B">
              <w:rPr>
                <w:szCs w:val="24"/>
              </w:rPr>
              <w:t xml:space="preserve">Pagal Aprašą finansavimas nėra teikiamas </w:t>
            </w:r>
            <w:r w:rsidRPr="00497878">
              <w:rPr>
                <w:b/>
                <w:szCs w:val="24"/>
              </w:rPr>
              <w:t>pareiškėjui</w:t>
            </w:r>
            <w:r w:rsidRPr="00C6517B">
              <w:rPr>
                <w:szCs w:val="24"/>
              </w:rPr>
              <w:t xml:space="preserve">, jei jis yra priskiriamas sunkumų patiriančios įmonės kategorijai. Pagal Aprašą finansavimas neteikiamas, jeigu </w:t>
            </w:r>
            <w:r w:rsidRPr="00497878">
              <w:rPr>
                <w:b/>
                <w:szCs w:val="24"/>
              </w:rPr>
              <w:t>pareiškėjas</w:t>
            </w:r>
            <w:r w:rsidRPr="00C6517B">
              <w:rPr>
                <w:szCs w:val="24"/>
              </w:rPr>
              <w:t xml:space="preserve"> nėra sugrąžinęs anksčiau gautos valstybės pagalbos, kuri EK sprendimu pripažinta neteisėta </w:t>
            </w:r>
            <w:r>
              <w:rPr>
                <w:szCs w:val="24"/>
              </w:rPr>
              <w:t xml:space="preserve">ir nesuderinama su vidaus rinka.“ </w:t>
            </w:r>
          </w:p>
          <w:p w14:paraId="41AD5C4F" w14:textId="09C5AE70" w:rsidR="00E72E4F" w:rsidRPr="00AA58FD" w:rsidRDefault="00E72E4F" w:rsidP="002C444D">
            <w:pPr>
              <w:jc w:val="both"/>
            </w:pPr>
            <w:r>
              <w:rPr>
                <w:bCs/>
                <w:color w:val="000000"/>
                <w:szCs w:val="24"/>
              </w:rPr>
              <w:t xml:space="preserve">Projekto </w:t>
            </w:r>
            <w:r w:rsidRPr="008E3F2F">
              <w:rPr>
                <w:bCs/>
                <w:color w:val="000000"/>
                <w:szCs w:val="24"/>
                <w:lang w:val="en-US"/>
              </w:rPr>
              <w:t xml:space="preserve">15 punkte vartojamas </w:t>
            </w:r>
            <w:r w:rsidRPr="008E3F2F">
              <w:rPr>
                <w:bCs/>
                <w:color w:val="000000"/>
                <w:szCs w:val="24"/>
              </w:rPr>
              <w:t>„valstybės pagalbos gavėjas“ atitinka „pareiškėją“</w:t>
            </w:r>
            <w:r>
              <w:rPr>
                <w:bCs/>
                <w:color w:val="000000"/>
                <w:szCs w:val="24"/>
              </w:rPr>
              <w:t>.</w:t>
            </w:r>
          </w:p>
          <w:p w14:paraId="2ADBD513" w14:textId="77777777" w:rsidR="00E72E4F" w:rsidRPr="006F2415" w:rsidRDefault="00E72E4F" w:rsidP="002C444D">
            <w:pPr>
              <w:jc w:val="both"/>
            </w:pPr>
          </w:p>
        </w:tc>
        <w:tc>
          <w:tcPr>
            <w:tcW w:w="6804" w:type="dxa"/>
          </w:tcPr>
          <w:p w14:paraId="0646E21E" w14:textId="77777777" w:rsidR="00E72E4F" w:rsidRPr="006F2415" w:rsidRDefault="00E72E4F" w:rsidP="002C444D">
            <w:pPr>
              <w:jc w:val="both"/>
              <w:rPr>
                <w:b/>
                <w:bCs/>
                <w:szCs w:val="24"/>
              </w:rPr>
            </w:pPr>
            <w:r w:rsidRPr="006F2415">
              <w:rPr>
                <w:b/>
                <w:bCs/>
                <w:szCs w:val="24"/>
              </w:rPr>
              <w:t>Atsižvelgta.</w:t>
            </w:r>
          </w:p>
          <w:p w14:paraId="5C07BDFE" w14:textId="0B9A1B27" w:rsidR="00E72E4F" w:rsidRDefault="00E72E4F" w:rsidP="002C444D">
            <w:pPr>
              <w:jc w:val="both"/>
            </w:pPr>
            <w:r>
              <w:rPr>
                <w:lang w:val="en-US"/>
              </w:rPr>
              <w:t>15 punkt</w:t>
            </w:r>
            <w:r>
              <w:t>as išdėstomas taip:</w:t>
            </w:r>
          </w:p>
          <w:p w14:paraId="3010B26F" w14:textId="77777777" w:rsidR="00E72E4F" w:rsidRPr="00AA58FD" w:rsidRDefault="00E72E4F" w:rsidP="002C444D">
            <w:pPr>
              <w:jc w:val="both"/>
            </w:pPr>
            <w:r>
              <w:t>„</w:t>
            </w:r>
            <w:r w:rsidRPr="00C6517B">
              <w:rPr>
                <w:szCs w:val="24"/>
              </w:rPr>
              <w:t xml:space="preserve">Pagal Aprašą finansavimas nėra teikiamas </w:t>
            </w:r>
            <w:r w:rsidRPr="00497878">
              <w:rPr>
                <w:b/>
                <w:szCs w:val="24"/>
              </w:rPr>
              <w:t>pareiškėjui</w:t>
            </w:r>
            <w:r w:rsidRPr="00C6517B">
              <w:rPr>
                <w:szCs w:val="24"/>
              </w:rPr>
              <w:t xml:space="preserve">, jei jis yra priskiriamas sunkumų patiriančios įmonės kategorijai. Pagal Aprašą finansavimas neteikiamas, jeigu </w:t>
            </w:r>
            <w:r w:rsidRPr="00497878">
              <w:rPr>
                <w:b/>
                <w:szCs w:val="24"/>
              </w:rPr>
              <w:t>pareiškėjas</w:t>
            </w:r>
            <w:r w:rsidRPr="00C6517B">
              <w:rPr>
                <w:szCs w:val="24"/>
              </w:rPr>
              <w:t xml:space="preserve"> nėra sugrąžinęs anksčiau gautos valstybės pagalbos, kuri EK sprendimu pripažinta neteisėta </w:t>
            </w:r>
            <w:r>
              <w:rPr>
                <w:szCs w:val="24"/>
              </w:rPr>
              <w:t>ir nesuderinama su vidaus rinka.“</w:t>
            </w:r>
          </w:p>
          <w:p w14:paraId="4E89FB17" w14:textId="55B00048" w:rsidR="00E72E4F" w:rsidRPr="006F2415" w:rsidRDefault="00E72E4F" w:rsidP="002C444D">
            <w:pPr>
              <w:jc w:val="both"/>
            </w:pPr>
          </w:p>
        </w:tc>
      </w:tr>
      <w:tr w:rsidR="00E72E4F" w:rsidRPr="006F2415" w14:paraId="2C70C37A" w14:textId="77777777" w:rsidTr="00335D39">
        <w:tc>
          <w:tcPr>
            <w:tcW w:w="567" w:type="dxa"/>
          </w:tcPr>
          <w:p w14:paraId="23C678E6" w14:textId="77777777" w:rsidR="00E72E4F" w:rsidRPr="006F2415" w:rsidRDefault="00E72E4F" w:rsidP="00E72E4F">
            <w:pPr>
              <w:pStyle w:val="ListParagraph"/>
              <w:numPr>
                <w:ilvl w:val="0"/>
                <w:numId w:val="1"/>
              </w:numPr>
              <w:jc w:val="both"/>
            </w:pPr>
          </w:p>
        </w:tc>
        <w:tc>
          <w:tcPr>
            <w:tcW w:w="1985" w:type="dxa"/>
          </w:tcPr>
          <w:p w14:paraId="78EBD1CC" w14:textId="4E629628" w:rsidR="00E72E4F" w:rsidRPr="006F2415" w:rsidRDefault="00E72E4F" w:rsidP="00E72E4F">
            <w:pPr>
              <w:rPr>
                <w:szCs w:val="24"/>
              </w:rPr>
            </w:pPr>
            <w:r w:rsidRPr="006F2415">
              <w:rPr>
                <w:szCs w:val="24"/>
              </w:rPr>
              <w:t>VšĮ Lietuvos verslo paramos agentūra (2020-</w:t>
            </w:r>
            <w:r w:rsidRPr="00EF3DAC">
              <w:rPr>
                <w:szCs w:val="24"/>
              </w:rPr>
              <w:t xml:space="preserve">04-27 raštas Nr. </w:t>
            </w:r>
            <w:r w:rsidRPr="00EF3DAC">
              <w:rPr>
                <w:rStyle w:val="mdialogpagemmetadatatree01"/>
                <w:szCs w:val="24"/>
              </w:rPr>
              <w:t>R4-2104</w:t>
            </w:r>
            <w:r w:rsidRPr="00EF3DAC">
              <w:rPr>
                <w:szCs w:val="24"/>
              </w:rPr>
              <w:t>)</w:t>
            </w:r>
          </w:p>
          <w:p w14:paraId="1018C641" w14:textId="431E3534" w:rsidR="00E72E4F" w:rsidRPr="006F2415" w:rsidRDefault="00E72E4F" w:rsidP="00E72E4F"/>
        </w:tc>
        <w:tc>
          <w:tcPr>
            <w:tcW w:w="5386" w:type="dxa"/>
          </w:tcPr>
          <w:p w14:paraId="2DC1F365" w14:textId="078D5496" w:rsidR="00E72E4F" w:rsidRPr="006F2415" w:rsidRDefault="00E72E4F" w:rsidP="002C444D">
            <w:pPr>
              <w:jc w:val="both"/>
            </w:pPr>
            <w:r w:rsidRPr="006F2415">
              <w:t>Siūl</w:t>
            </w:r>
            <w:r>
              <w:t>y</w:t>
            </w:r>
            <w:r w:rsidRPr="006F2415">
              <w:t xml:space="preserve">mas panaikinti Aprašo 63.7 papunktį, Apraše nustatant, kad VERT nutarimas turi būti pateiktas ne paraiškos vertinimo, o projekto įgyvendinimo etape. </w:t>
            </w:r>
          </w:p>
          <w:p w14:paraId="217A7605" w14:textId="77777777" w:rsidR="00E72E4F" w:rsidRPr="006F2415" w:rsidRDefault="00E72E4F" w:rsidP="002C444D">
            <w:pPr>
              <w:jc w:val="both"/>
            </w:pPr>
          </w:p>
        </w:tc>
        <w:tc>
          <w:tcPr>
            <w:tcW w:w="6804" w:type="dxa"/>
          </w:tcPr>
          <w:p w14:paraId="55271060" w14:textId="7C5FAA4E" w:rsidR="00E72E4F" w:rsidRDefault="00015013" w:rsidP="002C444D">
            <w:pPr>
              <w:jc w:val="both"/>
              <w:rPr>
                <w:b/>
                <w:bCs/>
                <w:szCs w:val="24"/>
              </w:rPr>
            </w:pPr>
            <w:r>
              <w:rPr>
                <w:b/>
                <w:bCs/>
                <w:szCs w:val="24"/>
              </w:rPr>
              <w:t>Ne</w:t>
            </w:r>
            <w:r w:rsidR="000F3BFE">
              <w:rPr>
                <w:b/>
                <w:bCs/>
                <w:szCs w:val="24"/>
              </w:rPr>
              <w:t>a</w:t>
            </w:r>
            <w:r w:rsidR="00E72E4F" w:rsidRPr="006F2415">
              <w:rPr>
                <w:b/>
                <w:bCs/>
                <w:szCs w:val="24"/>
              </w:rPr>
              <w:t>tsižvelgta.</w:t>
            </w:r>
          </w:p>
          <w:p w14:paraId="21BABDF4" w14:textId="663D05D4" w:rsidR="003A55B5" w:rsidRDefault="003A55B5" w:rsidP="007C66DE">
            <w:pPr>
              <w:jc w:val="both"/>
              <w:rPr>
                <w:lang w:val="en-US"/>
              </w:rPr>
            </w:pPr>
            <w:r w:rsidRPr="007C66DE">
              <w:t xml:space="preserve">Kadangi 63.7 ši </w:t>
            </w:r>
            <w:r w:rsidR="007C66DE" w:rsidRPr="007C66DE">
              <w:t>papunktis</w:t>
            </w:r>
            <w:r w:rsidRPr="007C66DE">
              <w:t xml:space="preserve"> susijęs su specialiuoju projektų atrankos kriterijumi (Aprašo "17.2. turi atitikti įmonės investicijų (plėtros) planus, suderintus su Valstybine energetikos reguliavimo taryba (toliau – VERT). Pareiškėjai, užsiimantys energetikos veikla, ir kurių kainos yra reguliuojamos, turi suderinti projektui numatytas investicijas su VERT jos nustatyta tvarka.”), todėl investicijų derinimas negali būti nuk</w:t>
            </w:r>
            <w:r w:rsidR="006F2406">
              <w:t>el</w:t>
            </w:r>
            <w:r w:rsidRPr="007C66DE">
              <w:t>tas į projekto įgyvendinimą.</w:t>
            </w:r>
          </w:p>
          <w:p w14:paraId="720E5F73" w14:textId="62D48032" w:rsidR="00E72E4F" w:rsidRPr="006F2415" w:rsidRDefault="00E72E4F" w:rsidP="007C66DE">
            <w:pPr>
              <w:tabs>
                <w:tab w:val="left" w:pos="1418"/>
              </w:tabs>
              <w:overflowPunct w:val="0"/>
              <w:jc w:val="both"/>
              <w:textAlignment w:val="baseline"/>
            </w:pPr>
          </w:p>
        </w:tc>
      </w:tr>
    </w:tbl>
    <w:p w14:paraId="3D391229" w14:textId="77777777" w:rsidR="005C5ECB" w:rsidRPr="006F2415" w:rsidRDefault="005C5ECB">
      <w:pPr>
        <w:rPr>
          <w:b/>
          <w:bCs/>
          <w:caps/>
          <w:szCs w:val="24"/>
        </w:rPr>
      </w:pPr>
    </w:p>
    <w:sectPr w:rsidR="005C5ECB" w:rsidRPr="006F2415"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62A"/>
    <w:rsid w:val="00007C5A"/>
    <w:rsid w:val="0001104E"/>
    <w:rsid w:val="0001428A"/>
    <w:rsid w:val="00015013"/>
    <w:rsid w:val="00016435"/>
    <w:rsid w:val="00022B52"/>
    <w:rsid w:val="000240C4"/>
    <w:rsid w:val="00032985"/>
    <w:rsid w:val="00043810"/>
    <w:rsid w:val="00046DFE"/>
    <w:rsid w:val="00050427"/>
    <w:rsid w:val="00053D41"/>
    <w:rsid w:val="00070ED6"/>
    <w:rsid w:val="000A3FD2"/>
    <w:rsid w:val="000B1AF5"/>
    <w:rsid w:val="000B2D7C"/>
    <w:rsid w:val="000C7AE5"/>
    <w:rsid w:val="000D3EFE"/>
    <w:rsid w:val="000E1F0C"/>
    <w:rsid w:val="000E275C"/>
    <w:rsid w:val="000E7A99"/>
    <w:rsid w:val="000F151D"/>
    <w:rsid w:val="000F371D"/>
    <w:rsid w:val="000F3BFE"/>
    <w:rsid w:val="000F5CE6"/>
    <w:rsid w:val="00105F91"/>
    <w:rsid w:val="00115372"/>
    <w:rsid w:val="001577E4"/>
    <w:rsid w:val="00181197"/>
    <w:rsid w:val="0018373E"/>
    <w:rsid w:val="00184FC3"/>
    <w:rsid w:val="00194702"/>
    <w:rsid w:val="001A514F"/>
    <w:rsid w:val="001A5935"/>
    <w:rsid w:val="001B30DB"/>
    <w:rsid w:val="001B6364"/>
    <w:rsid w:val="001C2F60"/>
    <w:rsid w:val="001D6507"/>
    <w:rsid w:val="001E4CE7"/>
    <w:rsid w:val="001E6748"/>
    <w:rsid w:val="001E67A5"/>
    <w:rsid w:val="0020434A"/>
    <w:rsid w:val="00227314"/>
    <w:rsid w:val="00234AE2"/>
    <w:rsid w:val="002377E5"/>
    <w:rsid w:val="00241C69"/>
    <w:rsid w:val="00247BB5"/>
    <w:rsid w:val="00251A5A"/>
    <w:rsid w:val="00270AE5"/>
    <w:rsid w:val="002923A6"/>
    <w:rsid w:val="002A0C37"/>
    <w:rsid w:val="002A27A2"/>
    <w:rsid w:val="002A502A"/>
    <w:rsid w:val="002C444D"/>
    <w:rsid w:val="002C79BA"/>
    <w:rsid w:val="002D4D56"/>
    <w:rsid w:val="002E1B28"/>
    <w:rsid w:val="002E2520"/>
    <w:rsid w:val="002F6E8C"/>
    <w:rsid w:val="00304EB2"/>
    <w:rsid w:val="0032026E"/>
    <w:rsid w:val="00330EC9"/>
    <w:rsid w:val="0035171B"/>
    <w:rsid w:val="003529B3"/>
    <w:rsid w:val="00366151"/>
    <w:rsid w:val="0036662A"/>
    <w:rsid w:val="003865B8"/>
    <w:rsid w:val="003A1AD9"/>
    <w:rsid w:val="003A55B5"/>
    <w:rsid w:val="003B2FAE"/>
    <w:rsid w:val="003E77A4"/>
    <w:rsid w:val="003F5676"/>
    <w:rsid w:val="004131FA"/>
    <w:rsid w:val="004136A8"/>
    <w:rsid w:val="004378EE"/>
    <w:rsid w:val="00452AAF"/>
    <w:rsid w:val="00475E13"/>
    <w:rsid w:val="00482B56"/>
    <w:rsid w:val="004A5F41"/>
    <w:rsid w:val="004C44BD"/>
    <w:rsid w:val="004D11D5"/>
    <w:rsid w:val="004E6B69"/>
    <w:rsid w:val="004F4B8E"/>
    <w:rsid w:val="004F745D"/>
    <w:rsid w:val="005004F3"/>
    <w:rsid w:val="0054453C"/>
    <w:rsid w:val="00547C74"/>
    <w:rsid w:val="005516A5"/>
    <w:rsid w:val="0055332A"/>
    <w:rsid w:val="005533C2"/>
    <w:rsid w:val="005566DA"/>
    <w:rsid w:val="00571253"/>
    <w:rsid w:val="00581B51"/>
    <w:rsid w:val="00585FCA"/>
    <w:rsid w:val="00593EE0"/>
    <w:rsid w:val="005B1293"/>
    <w:rsid w:val="005B79FB"/>
    <w:rsid w:val="005C5B4A"/>
    <w:rsid w:val="005C5ECB"/>
    <w:rsid w:val="005E0604"/>
    <w:rsid w:val="005E52C6"/>
    <w:rsid w:val="005E79A8"/>
    <w:rsid w:val="005F038F"/>
    <w:rsid w:val="005F0F88"/>
    <w:rsid w:val="006106A7"/>
    <w:rsid w:val="006365D5"/>
    <w:rsid w:val="00641CE8"/>
    <w:rsid w:val="00665BE2"/>
    <w:rsid w:val="00677B1E"/>
    <w:rsid w:val="006824CC"/>
    <w:rsid w:val="006A1E78"/>
    <w:rsid w:val="006A22E2"/>
    <w:rsid w:val="006B0D85"/>
    <w:rsid w:val="006B526A"/>
    <w:rsid w:val="006B75D2"/>
    <w:rsid w:val="006C0163"/>
    <w:rsid w:val="006D159D"/>
    <w:rsid w:val="006E16C9"/>
    <w:rsid w:val="006E1D87"/>
    <w:rsid w:val="006F02B8"/>
    <w:rsid w:val="006F2406"/>
    <w:rsid w:val="006F2415"/>
    <w:rsid w:val="00707C95"/>
    <w:rsid w:val="0072623F"/>
    <w:rsid w:val="007276CF"/>
    <w:rsid w:val="00741C32"/>
    <w:rsid w:val="00742585"/>
    <w:rsid w:val="00747BC9"/>
    <w:rsid w:val="007537EC"/>
    <w:rsid w:val="00761496"/>
    <w:rsid w:val="007769FC"/>
    <w:rsid w:val="007831BA"/>
    <w:rsid w:val="007B1CDF"/>
    <w:rsid w:val="007B3E81"/>
    <w:rsid w:val="007C66DE"/>
    <w:rsid w:val="007D0B19"/>
    <w:rsid w:val="007D3038"/>
    <w:rsid w:val="007E2D16"/>
    <w:rsid w:val="007F5F38"/>
    <w:rsid w:val="0080172F"/>
    <w:rsid w:val="00825FEE"/>
    <w:rsid w:val="008359DC"/>
    <w:rsid w:val="00845B46"/>
    <w:rsid w:val="00846353"/>
    <w:rsid w:val="0085384B"/>
    <w:rsid w:val="00856EDA"/>
    <w:rsid w:val="008576A6"/>
    <w:rsid w:val="00865C80"/>
    <w:rsid w:val="008663E3"/>
    <w:rsid w:val="00885C3D"/>
    <w:rsid w:val="008A53CB"/>
    <w:rsid w:val="008C3DAE"/>
    <w:rsid w:val="008D2AB6"/>
    <w:rsid w:val="008D31F2"/>
    <w:rsid w:val="008D5F38"/>
    <w:rsid w:val="008E3C68"/>
    <w:rsid w:val="008F38C3"/>
    <w:rsid w:val="00926630"/>
    <w:rsid w:val="00933886"/>
    <w:rsid w:val="00947C9D"/>
    <w:rsid w:val="00954EEB"/>
    <w:rsid w:val="00956C1E"/>
    <w:rsid w:val="0097341D"/>
    <w:rsid w:val="0099342A"/>
    <w:rsid w:val="009A662F"/>
    <w:rsid w:val="009B3957"/>
    <w:rsid w:val="009B4714"/>
    <w:rsid w:val="009D3B8E"/>
    <w:rsid w:val="009D3BAD"/>
    <w:rsid w:val="009E1857"/>
    <w:rsid w:val="009E69E2"/>
    <w:rsid w:val="00A00DB1"/>
    <w:rsid w:val="00A10AE6"/>
    <w:rsid w:val="00A16F42"/>
    <w:rsid w:val="00A20840"/>
    <w:rsid w:val="00A24DB0"/>
    <w:rsid w:val="00A2721F"/>
    <w:rsid w:val="00A30545"/>
    <w:rsid w:val="00A35603"/>
    <w:rsid w:val="00A4128B"/>
    <w:rsid w:val="00A47552"/>
    <w:rsid w:val="00A47E71"/>
    <w:rsid w:val="00A52C00"/>
    <w:rsid w:val="00A54BBD"/>
    <w:rsid w:val="00A6632E"/>
    <w:rsid w:val="00A80ADA"/>
    <w:rsid w:val="00A83179"/>
    <w:rsid w:val="00A845D7"/>
    <w:rsid w:val="00A91F0C"/>
    <w:rsid w:val="00A92676"/>
    <w:rsid w:val="00AA3B4F"/>
    <w:rsid w:val="00AC4B6C"/>
    <w:rsid w:val="00AD5789"/>
    <w:rsid w:val="00AE6E66"/>
    <w:rsid w:val="00AF0A0D"/>
    <w:rsid w:val="00AF25D0"/>
    <w:rsid w:val="00AF2A89"/>
    <w:rsid w:val="00B00939"/>
    <w:rsid w:val="00B0591B"/>
    <w:rsid w:val="00B06DF8"/>
    <w:rsid w:val="00B14AA0"/>
    <w:rsid w:val="00B14FC9"/>
    <w:rsid w:val="00B26628"/>
    <w:rsid w:val="00B46548"/>
    <w:rsid w:val="00B50CD3"/>
    <w:rsid w:val="00B7378D"/>
    <w:rsid w:val="00B75709"/>
    <w:rsid w:val="00B9676C"/>
    <w:rsid w:val="00BA3F54"/>
    <w:rsid w:val="00BB138B"/>
    <w:rsid w:val="00BC4B35"/>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90763"/>
    <w:rsid w:val="00C916C8"/>
    <w:rsid w:val="00C94B40"/>
    <w:rsid w:val="00C97E60"/>
    <w:rsid w:val="00CA2E85"/>
    <w:rsid w:val="00CA6AE7"/>
    <w:rsid w:val="00CB2790"/>
    <w:rsid w:val="00CB505F"/>
    <w:rsid w:val="00CE53AB"/>
    <w:rsid w:val="00CF2C5D"/>
    <w:rsid w:val="00CF7C87"/>
    <w:rsid w:val="00D2043F"/>
    <w:rsid w:val="00D548C8"/>
    <w:rsid w:val="00D54ED4"/>
    <w:rsid w:val="00D66763"/>
    <w:rsid w:val="00DB3586"/>
    <w:rsid w:val="00DC5385"/>
    <w:rsid w:val="00DC7728"/>
    <w:rsid w:val="00DC7AB7"/>
    <w:rsid w:val="00DE1BD0"/>
    <w:rsid w:val="00DE693B"/>
    <w:rsid w:val="00E307F8"/>
    <w:rsid w:val="00E314FC"/>
    <w:rsid w:val="00E45C4D"/>
    <w:rsid w:val="00E47926"/>
    <w:rsid w:val="00E53DCA"/>
    <w:rsid w:val="00E6399A"/>
    <w:rsid w:val="00E72E4F"/>
    <w:rsid w:val="00E94C0C"/>
    <w:rsid w:val="00E95B1A"/>
    <w:rsid w:val="00EC036E"/>
    <w:rsid w:val="00EC0828"/>
    <w:rsid w:val="00EC6B07"/>
    <w:rsid w:val="00ED530C"/>
    <w:rsid w:val="00EF0A83"/>
    <w:rsid w:val="00EF3DAC"/>
    <w:rsid w:val="00EF5D3D"/>
    <w:rsid w:val="00F16636"/>
    <w:rsid w:val="00F17A0F"/>
    <w:rsid w:val="00F43952"/>
    <w:rsid w:val="00F449CA"/>
    <w:rsid w:val="00F45F44"/>
    <w:rsid w:val="00F46B15"/>
    <w:rsid w:val="00F56078"/>
    <w:rsid w:val="00F651BA"/>
    <w:rsid w:val="00F74AD4"/>
    <w:rsid w:val="00F7759E"/>
    <w:rsid w:val="00F8394C"/>
    <w:rsid w:val="00F91622"/>
    <w:rsid w:val="00FA1C73"/>
    <w:rsid w:val="00FA2FE9"/>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mdialogpagemmetadatatree01">
    <w:name w:val="m_dialogpage_m_metadatatree_01"/>
    <w:basedOn w:val="DefaultParagraphFont"/>
    <w:rsid w:val="001B6364"/>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8508">
      <w:bodyDiv w:val="1"/>
      <w:marLeft w:val="0"/>
      <w:marRight w:val="0"/>
      <w:marTop w:val="0"/>
      <w:marBottom w:val="0"/>
      <w:divBdr>
        <w:top w:val="none" w:sz="0" w:space="0" w:color="auto"/>
        <w:left w:val="none" w:sz="0" w:space="0" w:color="auto"/>
        <w:bottom w:val="none" w:sz="0" w:space="0" w:color="auto"/>
        <w:right w:val="none" w:sz="0" w:space="0" w:color="auto"/>
      </w:divBdr>
    </w:div>
    <w:div w:id="20663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12" ma:contentTypeDescription="Kurkite naują dokumentą." ma:contentTypeScope="" ma:versionID="0e7e1bf03385128c4e7b53fc977f4a33">
  <xsd:schema xmlns:xsd="http://www.w3.org/2001/XMLSchema" xmlns:xs="http://www.w3.org/2001/XMLSchema" xmlns:p="http://schemas.microsoft.com/office/2006/metadata/properties" xmlns:ns3="4b71ac6d-c182-45bf-b9da-9339ed733892" xmlns:ns4="50fc5535-802c-4625-ab1e-90d20e1b23e0" targetNamespace="http://schemas.microsoft.com/office/2006/metadata/properties" ma:root="true" ma:fieldsID="8479dea4ebee8ca0c2cb5d016006a7fc" ns3:_="" ns4:_="">
    <xsd:import namespace="4b71ac6d-c182-45bf-b9da-9339ed733892"/>
    <xsd:import namespace="50fc5535-802c-4625-ab1e-90d20e1b23e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ac6d-c182-45bf-b9da-9339ed73389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2.xml><?xml version="1.0" encoding="utf-8"?>
<ds:datastoreItem xmlns:ds="http://schemas.openxmlformats.org/officeDocument/2006/customXml" ds:itemID="{AECC265B-F2F0-400F-9781-128399125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ac6d-c182-45bf-b9da-9339ed733892"/>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2CE0A-8685-4232-8DEE-D8ADBD6F8193}">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50fc5535-802c-4625-ab1e-90d20e1b23e0"/>
    <ds:schemaRef ds:uri="http://schemas.microsoft.com/office/2006/metadata/properties"/>
    <ds:schemaRef ds:uri="4b71ac6d-c182-45bf-b9da-9339ed73389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2</Pages>
  <Words>2560</Words>
  <Characters>1460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Vida Baltmiskyte</cp:lastModifiedBy>
  <cp:revision>20</cp:revision>
  <dcterms:created xsi:type="dcterms:W3CDTF">2020-05-08T09:38:00Z</dcterms:created>
  <dcterms:modified xsi:type="dcterms:W3CDTF">2020-05-13T06:50:00Z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