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4ED" w:rsidRDefault="005164ED">
      <w:pPr>
        <w:tabs>
          <w:tab w:val="center" w:pos="4819"/>
          <w:tab w:val="right" w:pos="9071"/>
        </w:tabs>
        <w:overflowPunct w:val="0"/>
        <w:textAlignment w:val="baseline"/>
        <w:rPr>
          <w:rFonts w:ascii="HelveticaLT" w:hAnsi="HelveticaLT"/>
          <w:sz w:val="20"/>
          <w:lang w:val="en-GB"/>
        </w:rPr>
      </w:pPr>
    </w:p>
    <w:p w:rsidR="005164ED" w:rsidRDefault="00D677A6">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583EA7D7" wp14:editId="76B9C868">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5164ED" w:rsidRDefault="005164ED">
      <w:pPr>
        <w:ind w:firstLine="29"/>
        <w:jc w:val="center"/>
        <w:rPr>
          <w:b/>
          <w:bCs/>
          <w:szCs w:val="24"/>
        </w:rPr>
      </w:pPr>
    </w:p>
    <w:p w:rsidR="005164ED" w:rsidRDefault="00D677A6">
      <w:pPr>
        <w:jc w:val="center"/>
        <w:rPr>
          <w:szCs w:val="24"/>
        </w:rPr>
      </w:pPr>
      <w:r>
        <w:rPr>
          <w:b/>
          <w:bCs/>
          <w:szCs w:val="24"/>
        </w:rPr>
        <w:t>LIETUVOS RESPUBLIKOS ŠVIETIMO, MOKSLO IR SPORTO MINISTRAS</w:t>
      </w:r>
    </w:p>
    <w:p w:rsidR="005164ED" w:rsidRDefault="005164ED">
      <w:pPr>
        <w:overflowPunct w:val="0"/>
        <w:jc w:val="center"/>
        <w:textAlignment w:val="baseline"/>
        <w:rPr>
          <w:szCs w:val="24"/>
        </w:rPr>
      </w:pPr>
    </w:p>
    <w:p w:rsidR="005164ED" w:rsidRDefault="00D677A6">
      <w:pPr>
        <w:overflowPunct w:val="0"/>
        <w:jc w:val="center"/>
        <w:textAlignment w:val="baseline"/>
        <w:rPr>
          <w:b/>
          <w:bCs/>
          <w:szCs w:val="24"/>
        </w:rPr>
      </w:pPr>
      <w:r>
        <w:rPr>
          <w:b/>
          <w:bCs/>
          <w:szCs w:val="24"/>
        </w:rPr>
        <w:t>ĮSAKYMAS</w:t>
      </w:r>
    </w:p>
    <w:p w:rsidR="005164ED" w:rsidRDefault="00D677A6">
      <w:pPr>
        <w:overflowPunct w:val="0"/>
        <w:jc w:val="center"/>
        <w:textAlignment w:val="baseline"/>
        <w:rPr>
          <w:b/>
          <w:bCs/>
          <w:caps/>
          <w:szCs w:val="24"/>
        </w:rPr>
      </w:pPr>
      <w:r>
        <w:rPr>
          <w:b/>
          <w:bCs/>
          <w:szCs w:val="24"/>
        </w:rPr>
        <w:t xml:space="preserve">DĖL </w:t>
      </w:r>
      <w:r w:rsidR="008B4A88">
        <w:rPr>
          <w:b/>
          <w:bCs/>
          <w:szCs w:val="24"/>
        </w:rPr>
        <w:t>ŠVIETIMO</w:t>
      </w:r>
      <w:r w:rsidR="00494B3A">
        <w:rPr>
          <w:b/>
          <w:bCs/>
          <w:szCs w:val="24"/>
        </w:rPr>
        <w:t>,</w:t>
      </w:r>
      <w:r w:rsidR="008B4A88">
        <w:rPr>
          <w:b/>
          <w:bCs/>
          <w:szCs w:val="24"/>
        </w:rPr>
        <w:t xml:space="preserve"> MOKSLO</w:t>
      </w:r>
      <w:r w:rsidR="00494B3A">
        <w:rPr>
          <w:b/>
          <w:bCs/>
          <w:szCs w:val="24"/>
        </w:rPr>
        <w:t xml:space="preserve"> IR SPORTO</w:t>
      </w:r>
      <w:r w:rsidR="008B4A88">
        <w:rPr>
          <w:b/>
          <w:bCs/>
          <w:szCs w:val="24"/>
        </w:rPr>
        <w:t xml:space="preserve"> MINISTRO 2020 M. SAUSIO 16 D. ĮSAKYMO NR. V-53</w:t>
      </w:r>
      <w:r>
        <w:rPr>
          <w:b/>
          <w:bCs/>
          <w:szCs w:val="24"/>
        </w:rPr>
        <w:t xml:space="preserve"> „DĖL 2014–2020 METŲ EUROPOS SĄJUNGOS FONDŲ INVESTICIJŲ VEIKSMŲ PROGRAMOS 9 PRIORITETO „VISUOMENĖS ŠVIETIMAS IR ŽMOGIŠKŲJŲ IŠTEKLIŲ POTENCIALO DIDINIMAS“ </w:t>
      </w:r>
      <w:r w:rsidR="00494B3A">
        <w:rPr>
          <w:b/>
          <w:bCs/>
          <w:szCs w:val="24"/>
        </w:rPr>
        <w:t xml:space="preserve">PRIEMONĖS NR. </w:t>
      </w:r>
      <w:r w:rsidR="00836280">
        <w:rPr>
          <w:b/>
          <w:bCs/>
          <w:szCs w:val="24"/>
        </w:rPr>
        <w:t xml:space="preserve">09.4.2-ESFA-K-714 </w:t>
      </w:r>
      <w:r>
        <w:rPr>
          <w:b/>
          <w:bCs/>
          <w:szCs w:val="24"/>
        </w:rPr>
        <w:t>„FORMALIOJO IR NEFORMALIOJO MOKYMOSI GALIMYBIŲ PLĖTRA“ PROJEKTŲ</w:t>
      </w:r>
      <w:r w:rsidR="008B4A88">
        <w:rPr>
          <w:b/>
          <w:bCs/>
          <w:szCs w:val="24"/>
        </w:rPr>
        <w:t xml:space="preserve"> FINANSAVIMO SĄLYGŲ APRAŠO NR. 3</w:t>
      </w:r>
      <w:r>
        <w:rPr>
          <w:b/>
          <w:bCs/>
          <w:szCs w:val="24"/>
        </w:rPr>
        <w:t xml:space="preserve"> PATVIRTINIMO“ PAKEITIMO</w:t>
      </w:r>
    </w:p>
    <w:p w:rsidR="005164ED" w:rsidRDefault="005164ED">
      <w:pPr>
        <w:overflowPunct w:val="0"/>
        <w:jc w:val="center"/>
        <w:textAlignment w:val="baseline"/>
        <w:rPr>
          <w:szCs w:val="24"/>
        </w:rPr>
      </w:pPr>
    </w:p>
    <w:p w:rsidR="005164ED" w:rsidRDefault="008B4A88">
      <w:pPr>
        <w:keepNext/>
        <w:tabs>
          <w:tab w:val="left" w:pos="4927"/>
        </w:tabs>
        <w:overflowPunct w:val="0"/>
        <w:jc w:val="center"/>
        <w:textAlignment w:val="baseline"/>
        <w:outlineLvl w:val="2"/>
        <w:rPr>
          <w:szCs w:val="24"/>
        </w:rPr>
      </w:pPr>
      <w:r>
        <w:rPr>
          <w:szCs w:val="24"/>
        </w:rPr>
        <w:t xml:space="preserve">2020 m. birželio      </w:t>
      </w:r>
      <w:r w:rsidR="00AB3D76">
        <w:rPr>
          <w:szCs w:val="24"/>
        </w:rPr>
        <w:t>d. Nr. V-</w:t>
      </w:r>
    </w:p>
    <w:p w:rsidR="005164ED" w:rsidRDefault="00D677A6">
      <w:pPr>
        <w:overflowPunct w:val="0"/>
        <w:jc w:val="center"/>
        <w:textAlignment w:val="baseline"/>
        <w:rPr>
          <w:szCs w:val="24"/>
        </w:rPr>
      </w:pPr>
      <w:r>
        <w:rPr>
          <w:szCs w:val="24"/>
        </w:rPr>
        <w:t>Vilnius</w:t>
      </w:r>
    </w:p>
    <w:p w:rsidR="005164ED" w:rsidRDefault="005164ED">
      <w:pPr>
        <w:overflowPunct w:val="0"/>
        <w:textAlignment w:val="baseline"/>
        <w:rPr>
          <w:szCs w:val="24"/>
        </w:rPr>
      </w:pPr>
    </w:p>
    <w:p w:rsidR="005164ED" w:rsidRDefault="005164ED">
      <w:pPr>
        <w:tabs>
          <w:tab w:val="center" w:pos="4819"/>
          <w:tab w:val="right" w:pos="9071"/>
        </w:tabs>
        <w:overflowPunct w:val="0"/>
        <w:textAlignment w:val="baseline"/>
        <w:rPr>
          <w:szCs w:val="24"/>
          <w:lang w:val="en-GB"/>
        </w:rPr>
      </w:pPr>
    </w:p>
    <w:p w:rsidR="00B22410" w:rsidRDefault="00F36335" w:rsidP="00AB3D76">
      <w:pPr>
        <w:overflowPunct w:val="0"/>
        <w:ind w:firstLine="1253"/>
        <w:jc w:val="both"/>
        <w:textAlignment w:val="baseline"/>
        <w:rPr>
          <w:szCs w:val="24"/>
        </w:rPr>
      </w:pPr>
      <w:r>
        <w:rPr>
          <w:szCs w:val="24"/>
        </w:rPr>
        <w:t>P</w:t>
      </w:r>
      <w:r w:rsidR="00D677A6">
        <w:rPr>
          <w:szCs w:val="24"/>
        </w:rPr>
        <w:t xml:space="preserve"> a k e i č i u 2014–2020 metų Europos Sąjungos fondų investicijų veiksmų programos 9 prioriteto „Visuomenės švietimas ir žmogiškųjų išteklių potencialo didinimas“ </w:t>
      </w:r>
      <w:r w:rsidR="00494B3A">
        <w:rPr>
          <w:szCs w:val="24"/>
        </w:rPr>
        <w:t xml:space="preserve">priemonės Nr. </w:t>
      </w:r>
      <w:r w:rsidR="00D677A6">
        <w:rPr>
          <w:szCs w:val="24"/>
        </w:rPr>
        <w:t>09.4.2-ESFA-K-714 „Formaliojo ir neformaliojo mokymosi galimybių plėtra“ projektų f</w:t>
      </w:r>
      <w:r w:rsidR="008B4A88">
        <w:rPr>
          <w:szCs w:val="24"/>
        </w:rPr>
        <w:t>inansavimo sąlygų aprašą Nr. 3</w:t>
      </w:r>
      <w:r w:rsidR="00D677A6">
        <w:rPr>
          <w:szCs w:val="24"/>
        </w:rPr>
        <w:t xml:space="preserve">, patvirtintą Lietuvos Respublikos </w:t>
      </w:r>
      <w:r w:rsidR="008B4A88">
        <w:rPr>
          <w:szCs w:val="24"/>
        </w:rPr>
        <w:t>švietimo</w:t>
      </w:r>
      <w:r w:rsidR="00494B3A">
        <w:rPr>
          <w:szCs w:val="24"/>
        </w:rPr>
        <w:t xml:space="preserve">, </w:t>
      </w:r>
      <w:r w:rsidR="008B4A88">
        <w:rPr>
          <w:szCs w:val="24"/>
        </w:rPr>
        <w:t xml:space="preserve">mokslo </w:t>
      </w:r>
      <w:r w:rsidR="00494B3A">
        <w:rPr>
          <w:szCs w:val="24"/>
        </w:rPr>
        <w:t xml:space="preserve">ir sporto </w:t>
      </w:r>
      <w:r w:rsidR="008B4A88">
        <w:rPr>
          <w:szCs w:val="24"/>
        </w:rPr>
        <w:t>ministro 2020 m. sausio 16 d. įsakymu Nr. V-53</w:t>
      </w:r>
      <w:r w:rsidR="00D677A6">
        <w:rPr>
          <w:szCs w:val="24"/>
        </w:rPr>
        <w:t xml:space="preserve"> „Dėl 2014–2020 metų Europos Sąjungos fondų investicijų veiksmų programos 9 prioriteto „Visuomenės švietimas ir žmogiškųjų išteklių potencialo didinimas“ </w:t>
      </w:r>
      <w:r w:rsidR="00494B3A">
        <w:rPr>
          <w:szCs w:val="24"/>
        </w:rPr>
        <w:t xml:space="preserve">priemonės Nr. </w:t>
      </w:r>
      <w:r w:rsidR="00D677A6">
        <w:rPr>
          <w:szCs w:val="24"/>
        </w:rPr>
        <w:t>09.4.2-ESFA-K-714 „Formaliojo ir neformaliojo mokymosi galimybių plėtra“ projektų finansavimo są</w:t>
      </w:r>
      <w:r w:rsidR="008B4A88">
        <w:rPr>
          <w:szCs w:val="24"/>
        </w:rPr>
        <w:t>lygų aprašo Nr. 3</w:t>
      </w:r>
      <w:r w:rsidR="00B22410">
        <w:rPr>
          <w:szCs w:val="24"/>
        </w:rPr>
        <w:t xml:space="preserve"> patvirtinimo“:</w:t>
      </w:r>
    </w:p>
    <w:p w:rsidR="00B22410" w:rsidRDefault="00B22410" w:rsidP="00B22410">
      <w:pPr>
        <w:overflowPunct w:val="0"/>
        <w:ind w:left="1253"/>
        <w:jc w:val="both"/>
        <w:textAlignment w:val="baseline"/>
        <w:rPr>
          <w:szCs w:val="24"/>
        </w:rPr>
      </w:pPr>
      <w:r>
        <w:rPr>
          <w:szCs w:val="24"/>
        </w:rPr>
        <w:t xml:space="preserve">1. </w:t>
      </w:r>
      <w:r w:rsidRPr="00B22410">
        <w:rPr>
          <w:szCs w:val="24"/>
        </w:rPr>
        <w:t>Pa</w:t>
      </w:r>
      <w:r w:rsidR="00810662">
        <w:rPr>
          <w:szCs w:val="24"/>
        </w:rPr>
        <w:t xml:space="preserve">pildau nauju 2.8 papunkčiu: </w:t>
      </w:r>
    </w:p>
    <w:p w:rsidR="00810662" w:rsidRDefault="00810662" w:rsidP="00810662">
      <w:pPr>
        <w:ind w:firstLine="1276"/>
        <w:jc w:val="both"/>
        <w:rPr>
          <w:szCs w:val="24"/>
        </w:rPr>
      </w:pPr>
      <w:r>
        <w:rPr>
          <w:szCs w:val="24"/>
        </w:rPr>
        <w:t>„</w:t>
      </w:r>
      <w:r w:rsidRPr="00836280">
        <w:rPr>
          <w:szCs w:val="24"/>
        </w:rPr>
        <w:t>2.8. Lietuvos Respublikos Vyriausybės 2017 m. kovo 1 d. nutarimą Nr. 149 „Dėl Lietuvos Respublikos mokslo ir studijų įstatymo įgyvendinimo“;</w:t>
      </w:r>
      <w:r>
        <w:rPr>
          <w:szCs w:val="24"/>
        </w:rPr>
        <w:t>“</w:t>
      </w:r>
    </w:p>
    <w:p w:rsidR="00836280" w:rsidRDefault="00810662" w:rsidP="00836280">
      <w:pPr>
        <w:ind w:firstLine="1276"/>
        <w:jc w:val="both"/>
        <w:rPr>
          <w:szCs w:val="24"/>
        </w:rPr>
      </w:pPr>
      <w:r>
        <w:rPr>
          <w:szCs w:val="24"/>
        </w:rPr>
        <w:t>2. Buvusius 2.8-2.9 papunkčius laikau atitinkamai 2.9-2.10 papunkčiais.</w:t>
      </w:r>
    </w:p>
    <w:p w:rsidR="005164ED" w:rsidRPr="00B22410" w:rsidRDefault="00810662" w:rsidP="00836280">
      <w:pPr>
        <w:ind w:firstLine="1276"/>
        <w:jc w:val="both"/>
        <w:rPr>
          <w:szCs w:val="24"/>
        </w:rPr>
      </w:pPr>
      <w:r>
        <w:rPr>
          <w:szCs w:val="24"/>
        </w:rPr>
        <w:t>3</w:t>
      </w:r>
      <w:r w:rsidR="00B22410">
        <w:rPr>
          <w:szCs w:val="24"/>
        </w:rPr>
        <w:t xml:space="preserve">. </w:t>
      </w:r>
      <w:r w:rsidR="00B22410" w:rsidRPr="00B22410">
        <w:rPr>
          <w:szCs w:val="24"/>
        </w:rPr>
        <w:t xml:space="preserve">Pakeičiu </w:t>
      </w:r>
      <w:r w:rsidR="00AB3D76" w:rsidRPr="00B22410">
        <w:rPr>
          <w:szCs w:val="24"/>
        </w:rPr>
        <w:t>37 punktą</w:t>
      </w:r>
      <w:r w:rsidR="00B22410" w:rsidRPr="00B22410">
        <w:rPr>
          <w:szCs w:val="24"/>
        </w:rPr>
        <w:t xml:space="preserve"> ir jį</w:t>
      </w:r>
      <w:r w:rsidR="00D677A6" w:rsidRPr="00B22410">
        <w:rPr>
          <w:szCs w:val="24"/>
        </w:rPr>
        <w:t xml:space="preserve"> išdėstau taip:</w:t>
      </w:r>
    </w:p>
    <w:p w:rsidR="005164ED" w:rsidRDefault="00D677A6" w:rsidP="003764F3">
      <w:pPr>
        <w:overflowPunct w:val="0"/>
        <w:ind w:firstLine="1253"/>
        <w:jc w:val="both"/>
        <w:textAlignment w:val="baseline"/>
        <w:rPr>
          <w:szCs w:val="24"/>
        </w:rPr>
      </w:pPr>
      <w:r>
        <w:rPr>
          <w:szCs w:val="24"/>
        </w:rPr>
        <w:t xml:space="preserve">„37. </w:t>
      </w:r>
      <w:r>
        <w:rPr>
          <w:color w:val="000000"/>
          <w:szCs w:val="24"/>
          <w:lang w:eastAsia="lt-LT"/>
        </w:rPr>
        <w:t>Pagal Aprašą tinkamų finansuoti išlaidų kategorijos yra šios:</w:t>
      </w:r>
    </w:p>
    <w:tbl>
      <w:tblPr>
        <w:tblW w:w="9645" w:type="dxa"/>
        <w:tblInd w:w="-5" w:type="dxa"/>
        <w:shd w:val="clear" w:color="auto" w:fill="FFFFFF"/>
        <w:tblCellMar>
          <w:left w:w="0" w:type="dxa"/>
          <w:right w:w="0" w:type="dxa"/>
        </w:tblCellMar>
        <w:tblLook w:val="04A0" w:firstRow="1" w:lastRow="0" w:firstColumn="1" w:lastColumn="0" w:noHBand="0" w:noVBand="1"/>
      </w:tblPr>
      <w:tblGrid>
        <w:gridCol w:w="1419"/>
        <w:gridCol w:w="2382"/>
        <w:gridCol w:w="5844"/>
      </w:tblGrid>
      <w:tr w:rsidR="005164ED" w:rsidTr="006A4E28">
        <w:tc>
          <w:tcPr>
            <w:tcW w:w="141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center"/>
              <w:rPr>
                <w:szCs w:val="24"/>
                <w:lang w:eastAsia="lt-LT"/>
              </w:rPr>
            </w:pPr>
            <w:r>
              <w:rPr>
                <w:szCs w:val="24"/>
                <w:lang w:eastAsia="lt-LT"/>
              </w:rPr>
              <w:t>Išlaidų kategorijos Nr.</w:t>
            </w:r>
          </w:p>
        </w:tc>
        <w:tc>
          <w:tcPr>
            <w:tcW w:w="2382"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center"/>
              <w:rPr>
                <w:szCs w:val="24"/>
                <w:lang w:eastAsia="lt-LT"/>
              </w:rPr>
            </w:pPr>
            <w:r>
              <w:rPr>
                <w:szCs w:val="24"/>
                <w:lang w:eastAsia="lt-LT"/>
              </w:rPr>
              <w:t>Išlaidų kategorijos pavadinimas</w:t>
            </w:r>
          </w:p>
        </w:tc>
        <w:tc>
          <w:tcPr>
            <w:tcW w:w="584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center"/>
              <w:rPr>
                <w:szCs w:val="24"/>
                <w:lang w:eastAsia="lt-LT"/>
              </w:rPr>
            </w:pPr>
            <w:r>
              <w:rPr>
                <w:szCs w:val="24"/>
                <w:lang w:eastAsia="lt-LT"/>
              </w:rPr>
              <w:t>Reikalavimai ir paaiškinimai</w:t>
            </w:r>
          </w:p>
        </w:tc>
      </w:tr>
      <w:tr w:rsidR="005164ED" w:rsidTr="006A4E28">
        <w:tc>
          <w:tcPr>
            <w:tcW w:w="14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5164ED">
            <w:pPr>
              <w:ind w:firstLine="62"/>
              <w:jc w:val="both"/>
              <w:rPr>
                <w:szCs w:val="24"/>
                <w:lang w:eastAsia="lt-LT"/>
              </w:rPr>
            </w:pPr>
          </w:p>
        </w:tc>
        <w:tc>
          <w:tcPr>
            <w:tcW w:w="238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5164ED">
            <w:pPr>
              <w:ind w:firstLine="62"/>
              <w:jc w:val="both"/>
              <w:rPr>
                <w:szCs w:val="24"/>
                <w:lang w:eastAsia="lt-LT"/>
              </w:rPr>
            </w:pPr>
          </w:p>
        </w:tc>
        <w:tc>
          <w:tcPr>
            <w:tcW w:w="58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5164ED">
            <w:pPr>
              <w:ind w:firstLine="62"/>
              <w:jc w:val="both"/>
              <w:rPr>
                <w:szCs w:val="24"/>
                <w:lang w:eastAsia="lt-LT"/>
              </w:rPr>
            </w:pPr>
          </w:p>
        </w:tc>
      </w:tr>
      <w:tr w:rsidR="005164ED" w:rsidTr="006A4E28">
        <w:tc>
          <w:tcPr>
            <w:tcW w:w="14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1.</w:t>
            </w:r>
          </w:p>
        </w:tc>
        <w:tc>
          <w:tcPr>
            <w:tcW w:w="238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Žemė</w:t>
            </w:r>
          </w:p>
        </w:tc>
        <w:tc>
          <w:tcPr>
            <w:tcW w:w="58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Netinkama finansuoti.</w:t>
            </w:r>
          </w:p>
        </w:tc>
      </w:tr>
      <w:tr w:rsidR="005164ED" w:rsidTr="006A4E28">
        <w:tc>
          <w:tcPr>
            <w:tcW w:w="14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2.</w:t>
            </w:r>
          </w:p>
        </w:tc>
        <w:tc>
          <w:tcPr>
            <w:tcW w:w="238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Nekilnojamasis turtas</w:t>
            </w:r>
          </w:p>
        </w:tc>
        <w:tc>
          <w:tcPr>
            <w:tcW w:w="58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Netinkama finansuoti.</w:t>
            </w:r>
          </w:p>
        </w:tc>
      </w:tr>
      <w:tr w:rsidR="005164ED" w:rsidTr="006A4E28">
        <w:tc>
          <w:tcPr>
            <w:tcW w:w="14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3.</w:t>
            </w:r>
          </w:p>
        </w:tc>
        <w:tc>
          <w:tcPr>
            <w:tcW w:w="238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rPr>
                <w:szCs w:val="24"/>
                <w:lang w:eastAsia="lt-LT"/>
              </w:rPr>
            </w:pPr>
            <w:r>
              <w:rPr>
                <w:szCs w:val="24"/>
                <w:lang w:eastAsia="lt-LT"/>
              </w:rPr>
              <w:t>Statyba, rekonstravimas, remontas ir kiti darbai</w:t>
            </w:r>
          </w:p>
        </w:tc>
        <w:tc>
          <w:tcPr>
            <w:tcW w:w="58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Netinkama finansuoti.</w:t>
            </w:r>
          </w:p>
        </w:tc>
      </w:tr>
      <w:tr w:rsidR="005164ED" w:rsidTr="006A4E28">
        <w:tc>
          <w:tcPr>
            <w:tcW w:w="14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4.</w:t>
            </w:r>
          </w:p>
        </w:tc>
        <w:tc>
          <w:tcPr>
            <w:tcW w:w="238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rPr>
                <w:szCs w:val="24"/>
                <w:lang w:eastAsia="lt-LT"/>
              </w:rPr>
            </w:pPr>
            <w:r>
              <w:rPr>
                <w:szCs w:val="24"/>
                <w:lang w:eastAsia="lt-LT"/>
              </w:rPr>
              <w:t>Įranga, įrenginiai ir kitas turtas</w:t>
            </w:r>
          </w:p>
        </w:tc>
        <w:tc>
          <w:tcPr>
            <w:tcW w:w="58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164ED" w:rsidRDefault="00D677A6">
            <w:pPr>
              <w:jc w:val="both"/>
              <w:rPr>
                <w:szCs w:val="24"/>
                <w:lang w:eastAsia="lt-LT"/>
              </w:rPr>
            </w:pPr>
            <w:r>
              <w:rPr>
                <w:szCs w:val="24"/>
                <w:lang w:eastAsia="lt-LT"/>
              </w:rPr>
              <w:t>Netinkama finansuoti.</w:t>
            </w:r>
          </w:p>
        </w:tc>
      </w:tr>
      <w:tr w:rsidR="006A4E28" w:rsidTr="006A4E28">
        <w:tc>
          <w:tcPr>
            <w:tcW w:w="14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6A4E28" w:rsidRDefault="006A4E28" w:rsidP="006A4E28">
            <w:pPr>
              <w:jc w:val="both"/>
              <w:rPr>
                <w:szCs w:val="24"/>
                <w:lang w:eastAsia="lt-LT"/>
              </w:rPr>
            </w:pPr>
            <w:r>
              <w:rPr>
                <w:szCs w:val="24"/>
                <w:lang w:eastAsia="lt-LT"/>
              </w:rPr>
              <w:t>5.</w:t>
            </w:r>
          </w:p>
        </w:tc>
        <w:tc>
          <w:tcPr>
            <w:tcW w:w="238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6A4E28" w:rsidRDefault="006A4E28" w:rsidP="006A4E28">
            <w:pPr>
              <w:jc w:val="both"/>
              <w:rPr>
                <w:szCs w:val="24"/>
                <w:lang w:eastAsia="lt-LT"/>
              </w:rPr>
            </w:pPr>
            <w:r>
              <w:rPr>
                <w:szCs w:val="24"/>
                <w:lang w:eastAsia="lt-LT"/>
              </w:rPr>
              <w:t>Projekto vykdymas</w:t>
            </w:r>
          </w:p>
        </w:tc>
        <w:tc>
          <w:tcPr>
            <w:tcW w:w="58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6A4E28" w:rsidRPr="00836280" w:rsidRDefault="006A4E28" w:rsidP="006A4E28">
            <w:pPr>
              <w:spacing w:line="256" w:lineRule="auto"/>
              <w:rPr>
                <w:szCs w:val="24"/>
                <w:lang w:eastAsia="lt-LT"/>
              </w:rPr>
            </w:pPr>
            <w:r w:rsidRPr="00836280">
              <w:rPr>
                <w:szCs w:val="24"/>
                <w:lang w:eastAsia="lt-LT"/>
              </w:rPr>
              <w:t xml:space="preserve">Tinkamos finansuoti tik šios išlaidos: </w:t>
            </w:r>
            <w:bookmarkStart w:id="0" w:name="_GoBack"/>
            <w:bookmarkEnd w:id="0"/>
          </w:p>
          <w:p w:rsidR="006A4E28" w:rsidRPr="00836280" w:rsidRDefault="006A4E28" w:rsidP="006A4E28">
            <w:pPr>
              <w:spacing w:line="256" w:lineRule="auto"/>
              <w:rPr>
                <w:szCs w:val="24"/>
                <w:lang w:eastAsia="lt-LT"/>
              </w:rPr>
            </w:pPr>
          </w:p>
          <w:p w:rsidR="006A4E28" w:rsidRPr="00836280" w:rsidRDefault="006A4E28" w:rsidP="006A4E28">
            <w:pPr>
              <w:pStyle w:val="Komentarotekstas"/>
              <w:jc w:val="both"/>
              <w:rPr>
                <w:sz w:val="24"/>
                <w:szCs w:val="24"/>
              </w:rPr>
            </w:pPr>
            <w:r w:rsidRPr="00836280">
              <w:rPr>
                <w:sz w:val="24"/>
                <w:szCs w:val="24"/>
                <w:lang w:eastAsia="lt-LT"/>
              </w:rPr>
              <w:t>Projekte įgyvendinant pirmosios ir antrosios pakopos studijų programą</w:t>
            </w:r>
            <w:r w:rsidR="00F342B8" w:rsidRPr="00836280">
              <w:rPr>
                <w:sz w:val="24"/>
                <w:szCs w:val="24"/>
                <w:lang w:eastAsia="lt-LT"/>
              </w:rPr>
              <w:t xml:space="preserve"> ir </w:t>
            </w:r>
            <w:r w:rsidR="007F34DC" w:rsidRPr="00836280">
              <w:rPr>
                <w:sz w:val="24"/>
                <w:szCs w:val="24"/>
                <w:lang w:eastAsia="lt-LT"/>
              </w:rPr>
              <w:t xml:space="preserve">pedagoginių </w:t>
            </w:r>
            <w:r w:rsidR="00F342B8" w:rsidRPr="00836280">
              <w:rPr>
                <w:sz w:val="24"/>
                <w:szCs w:val="24"/>
                <w:lang w:eastAsia="lt-LT"/>
              </w:rPr>
              <w:t>profesinių studijų programą</w:t>
            </w:r>
            <w:r w:rsidR="00915415" w:rsidRPr="00836280">
              <w:rPr>
                <w:sz w:val="24"/>
                <w:szCs w:val="24"/>
                <w:lang w:eastAsia="lt-LT"/>
              </w:rPr>
              <w:t>,</w:t>
            </w:r>
            <w:r w:rsidRPr="00836280">
              <w:rPr>
                <w:sz w:val="24"/>
                <w:szCs w:val="24"/>
                <w:lang w:eastAsia="lt-LT"/>
              </w:rPr>
              <w:t xml:space="preserve"> tinkamomis finansuoti yra norminės studijų ir dalyko (modulio) kainos išlaidos. Norminė studijų kaina skaičiuojama vadovaujantis iki kiekvienų metų sausio 15 d. Lietuvos Respublikos švietimo, mokslo ir sporto ministro įsakymu tvirtinamomis studentų, priimamų į </w:t>
            </w:r>
            <w:r w:rsidRPr="00836280">
              <w:rPr>
                <w:sz w:val="24"/>
                <w:szCs w:val="24"/>
                <w:lang w:eastAsia="lt-LT"/>
              </w:rPr>
              <w:lastRenderedPageBreak/>
              <w:t xml:space="preserve">aukštąsias mokyklas, norminėmis studijų kainomis, o dalyko (modulio) kaina nustatoma aukštosios mokyklos vidaus tvarkoje. </w:t>
            </w:r>
            <w:r w:rsidRPr="00836280">
              <w:rPr>
                <w:sz w:val="24"/>
                <w:szCs w:val="24"/>
              </w:rPr>
              <w:t xml:space="preserve">Dalyko (modulio) kredito kaina negali būti didesnė nei proporcingai išskaičiuota atitinkamos studijų krypties pirmosios arba antrosios pakopos norminės studijų kainos kredito vertė. </w:t>
            </w:r>
            <w:r w:rsidRPr="00836280">
              <w:rPr>
                <w:sz w:val="24"/>
                <w:szCs w:val="24"/>
                <w:lang w:eastAsia="lt-LT"/>
              </w:rPr>
              <w:t>Visos kainos nustatomos vadovaujantis Mokslo ir studijų įstatymo 83 straipsniu ir Norminių studijų krypties arba studijų programų grupės studijų kainų apskaičiavimo ir Lietuvos Respublikos valstybės biudžeto lėšų studijų kainai valstybės finansuojamose studijų vietose apmokėti skyrimo tvarkos aprašu, patvirtintu Lietuvos Respublikos Vyriausybės 2017 m. kovo 1 d. nutarimu Nr. 149 „Dėl Lietuvos Respublikos mokslo ir studijų įstatymo įgyvendinimo“.</w:t>
            </w:r>
          </w:p>
          <w:p w:rsidR="006A4E28" w:rsidRPr="00836280" w:rsidRDefault="006A4E28" w:rsidP="006A4E28">
            <w:pPr>
              <w:spacing w:line="256" w:lineRule="auto"/>
              <w:jc w:val="both"/>
              <w:rPr>
                <w:szCs w:val="24"/>
                <w:lang w:eastAsia="lt-LT"/>
              </w:rPr>
            </w:pPr>
          </w:p>
          <w:p w:rsidR="006A4E28" w:rsidRPr="00836280" w:rsidRDefault="006A4E28" w:rsidP="006A4E28">
            <w:pPr>
              <w:jc w:val="both"/>
              <w:textAlignment w:val="baseline"/>
              <w:rPr>
                <w:lang w:eastAsia="lt-LT"/>
              </w:rPr>
            </w:pPr>
            <w:r w:rsidRPr="00836280">
              <w:rPr>
                <w:lang w:eastAsia="lt-LT"/>
              </w:rPr>
              <w:t>Projekto veiklose dalyvaujančių viešojo valdymo institucijų darbuotojų darbo užmokesčio ir su juo susijusių darbdavio įsipareigojimų išlaidos apskaičiuojamos taikant Viešojo valdymo institucijų projektų dalyvių darbo užmokesčio fiksuotųjų įkainių nustatymo tyrimo ataskaitą, kuri skelbiama ES struktūrinių fondų svetainėje adresu www.esinvesticijos.lt/dokumentai/tyrimai/supaprastinto išlaidų apmokėjimo tyrimai“.</w:t>
            </w:r>
          </w:p>
          <w:p w:rsidR="006A4E28" w:rsidRPr="00836280" w:rsidRDefault="006A4E28" w:rsidP="006A4E28">
            <w:pPr>
              <w:jc w:val="both"/>
              <w:textAlignment w:val="baseline"/>
              <w:rPr>
                <w:lang w:eastAsia="lt-LT"/>
              </w:rPr>
            </w:pPr>
          </w:p>
          <w:p w:rsidR="006A4E28" w:rsidRPr="00836280" w:rsidRDefault="006A4E28" w:rsidP="006A4E28">
            <w:pPr>
              <w:jc w:val="both"/>
              <w:textAlignment w:val="baseline"/>
              <w:rPr>
                <w:lang w:eastAsia="lt-LT"/>
              </w:rPr>
            </w:pPr>
            <w:r w:rsidRPr="00836280">
              <w:rPr>
                <w:color w:val="000000"/>
                <w:lang w:eastAsia="lt-LT"/>
              </w:rPr>
              <w:t>Projekto veiklose dalyvaujančių privačių juridinių asmenų projektų dalyvių darbo užmokesčio išlaidos apskaičiuojamos taikant Privačių juridinių asmenų projektų dalyvių darbo užmokesčio fiksuotųjų įkainių nustatymo tyrimo ataskaitą, kuri skelbiama ES struktūrinių fondų svetainėje adresu www.esinvesticijos.lt/dokumentai/tyrimai/supaprastinto išlaidų apmokėjimo tyrimai“.</w:t>
            </w:r>
          </w:p>
          <w:p w:rsidR="006A4E28" w:rsidRPr="00836280" w:rsidRDefault="006A4E28" w:rsidP="006A4E28">
            <w:pPr>
              <w:jc w:val="both"/>
              <w:textAlignment w:val="baseline"/>
              <w:rPr>
                <w:color w:val="000000"/>
                <w:lang w:eastAsia="lt-LT"/>
              </w:rPr>
            </w:pPr>
          </w:p>
          <w:p w:rsidR="006A4E28" w:rsidRPr="00836280" w:rsidRDefault="006A4E28" w:rsidP="006A4E28">
            <w:pPr>
              <w:jc w:val="both"/>
              <w:textAlignment w:val="baseline"/>
              <w:rPr>
                <w:lang w:eastAsia="lt-LT"/>
              </w:rPr>
            </w:pPr>
            <w:r w:rsidRPr="00836280">
              <w:rPr>
                <w:lang w:eastAsia="lt-LT"/>
              </w:rPr>
              <w:t>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šios išlaidos yra tinkamos tik kaip projekto vykdytojo ir (ar) partnerio (-ių) nuosavas įnašas.</w:t>
            </w:r>
          </w:p>
          <w:p w:rsidR="006A4E28" w:rsidRPr="00836280" w:rsidRDefault="006A4E28" w:rsidP="006A4E28">
            <w:pPr>
              <w:spacing w:line="256" w:lineRule="auto"/>
              <w:jc w:val="both"/>
              <w:rPr>
                <w:szCs w:val="24"/>
                <w:lang w:eastAsia="lt-LT"/>
              </w:rPr>
            </w:pPr>
          </w:p>
          <w:p w:rsidR="006A4E28" w:rsidRPr="00836280" w:rsidRDefault="006A4E28" w:rsidP="006A4E28">
            <w:pPr>
              <w:spacing w:line="256" w:lineRule="auto"/>
              <w:rPr>
                <w:szCs w:val="24"/>
                <w:lang w:eastAsia="lt-LT"/>
              </w:rPr>
            </w:pPr>
            <w:r w:rsidRPr="00836280">
              <w:rPr>
                <w:szCs w:val="24"/>
                <w:lang w:eastAsia="lt-LT"/>
              </w:rPr>
              <w:t>Kitos išlaidos netinkamos finansuoti.</w:t>
            </w:r>
          </w:p>
        </w:tc>
      </w:tr>
      <w:tr w:rsidR="006A4E28" w:rsidTr="006A4E28">
        <w:tc>
          <w:tcPr>
            <w:tcW w:w="14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6A4E28" w:rsidRDefault="006A4E28" w:rsidP="006A4E28">
            <w:pPr>
              <w:jc w:val="both"/>
              <w:rPr>
                <w:szCs w:val="24"/>
                <w:lang w:eastAsia="lt-LT"/>
              </w:rPr>
            </w:pPr>
            <w:r>
              <w:rPr>
                <w:szCs w:val="24"/>
                <w:lang w:eastAsia="lt-LT"/>
              </w:rPr>
              <w:t>6.</w:t>
            </w:r>
          </w:p>
        </w:tc>
        <w:tc>
          <w:tcPr>
            <w:tcW w:w="238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6A4E28" w:rsidRDefault="006A4E28" w:rsidP="006A4E28">
            <w:pPr>
              <w:rPr>
                <w:szCs w:val="24"/>
                <w:lang w:eastAsia="lt-LT"/>
              </w:rPr>
            </w:pPr>
            <w:r>
              <w:rPr>
                <w:szCs w:val="24"/>
                <w:lang w:eastAsia="lt-LT"/>
              </w:rPr>
              <w:t>Informavimas apie projektą</w:t>
            </w:r>
          </w:p>
        </w:tc>
        <w:tc>
          <w:tcPr>
            <w:tcW w:w="58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6A4E28" w:rsidRDefault="006A4E28" w:rsidP="006A4E28">
            <w:pPr>
              <w:jc w:val="both"/>
              <w:rPr>
                <w:szCs w:val="24"/>
                <w:lang w:eastAsia="lt-LT"/>
              </w:rPr>
            </w:pPr>
            <w:r>
              <w:rPr>
                <w:szCs w:val="24"/>
                <w:lang w:eastAsia="lt-LT"/>
              </w:rPr>
              <w:t>Tinkamos finansuoti tik privalomos informavimo apie projektą priemonės pagal Projektų taisyklių 37 skirsnio 450.1, 450.2 ir 450.6 papunkčius.</w:t>
            </w:r>
          </w:p>
        </w:tc>
      </w:tr>
      <w:tr w:rsidR="006A4E28" w:rsidTr="006A4E28">
        <w:trPr>
          <w:trHeight w:val="1127"/>
        </w:trPr>
        <w:tc>
          <w:tcPr>
            <w:tcW w:w="14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6A4E28" w:rsidRDefault="006A4E28" w:rsidP="006A4E28">
            <w:pPr>
              <w:jc w:val="both"/>
              <w:rPr>
                <w:szCs w:val="24"/>
                <w:lang w:eastAsia="lt-LT"/>
              </w:rPr>
            </w:pPr>
            <w:r>
              <w:rPr>
                <w:szCs w:val="24"/>
                <w:lang w:eastAsia="lt-LT"/>
              </w:rPr>
              <w:t>7.</w:t>
            </w:r>
          </w:p>
        </w:tc>
        <w:tc>
          <w:tcPr>
            <w:tcW w:w="238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6A4E28" w:rsidRDefault="006A4E28" w:rsidP="006A4E28">
            <w:pPr>
              <w:rPr>
                <w:szCs w:val="24"/>
                <w:lang w:eastAsia="lt-LT"/>
              </w:rPr>
            </w:pPr>
            <w:r>
              <w:rPr>
                <w:szCs w:val="24"/>
                <w:lang w:eastAsia="lt-LT"/>
              </w:rPr>
              <w:t>Netiesioginės išlaidos ir kitos išlaidos pagal fiksuotąją projekto išlaidų normą</w:t>
            </w:r>
          </w:p>
        </w:tc>
        <w:tc>
          <w:tcPr>
            <w:tcW w:w="58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6A4E28" w:rsidRDefault="006A4E28" w:rsidP="006A4E28">
            <w:pPr>
              <w:jc w:val="both"/>
              <w:rPr>
                <w:szCs w:val="24"/>
                <w:lang w:eastAsia="lt-LT"/>
              </w:rPr>
            </w:pPr>
            <w:r>
              <w:rPr>
                <w:szCs w:val="24"/>
                <w:lang w:eastAsia="lt-LT"/>
              </w:rPr>
              <w:t>Tinkama finansuoti.</w:t>
            </w:r>
          </w:p>
          <w:p w:rsidR="006A4E28" w:rsidRDefault="006A4E28" w:rsidP="006A4E28">
            <w:pPr>
              <w:ind w:firstLine="62"/>
              <w:jc w:val="both"/>
              <w:rPr>
                <w:szCs w:val="24"/>
                <w:lang w:eastAsia="lt-LT"/>
              </w:rPr>
            </w:pPr>
          </w:p>
          <w:p w:rsidR="006A4E28" w:rsidRDefault="006A4E28" w:rsidP="006A4E28">
            <w:pPr>
              <w:jc w:val="both"/>
              <w:rPr>
                <w:szCs w:val="24"/>
                <w:lang w:eastAsia="lt-LT"/>
              </w:rPr>
            </w:pPr>
            <w:r>
              <w:rPr>
                <w:szCs w:val="24"/>
                <w:lang w:eastAsia="lt-LT"/>
              </w:rPr>
              <w:t>Netiesioginėms projekto išlaidoms apmokėti taikoma fiksuotoji projekto išlaidų norma apskaičiuojama pagal Projektų taisyklių 10 priedą.</w:t>
            </w:r>
          </w:p>
        </w:tc>
      </w:tr>
    </w:tbl>
    <w:p w:rsidR="00D677A6" w:rsidRPr="00AB3D76" w:rsidRDefault="00D677A6" w:rsidP="00AB3D76">
      <w:pPr>
        <w:ind w:firstLine="851"/>
        <w:jc w:val="both"/>
        <w:rPr>
          <w:color w:val="000000"/>
          <w:szCs w:val="24"/>
          <w:lang w:eastAsia="lt-LT"/>
        </w:rPr>
      </w:pPr>
      <w:r>
        <w:rPr>
          <w:color w:val="000000"/>
          <w:szCs w:val="24"/>
          <w:lang w:eastAsia="lt-LT"/>
        </w:rPr>
        <w:lastRenderedPageBreak/>
        <w:t>Pastaba. Paraiškos formos projekto biudžeto lentelė pildoma vadovaujantis instrukcija Projekto biudžeto formos pildymas, pateikta Rekomendacijose dėl projektų išlaidų atitikties Europos Sąjungos struktūrinių fondų reikalavimams.“</w:t>
      </w:r>
    </w:p>
    <w:p w:rsidR="00D677A6" w:rsidRDefault="00D677A6">
      <w:pPr>
        <w:tabs>
          <w:tab w:val="left" w:pos="6481"/>
        </w:tabs>
        <w:overflowPunct w:val="0"/>
        <w:textAlignment w:val="baseline"/>
      </w:pPr>
    </w:p>
    <w:p w:rsidR="00D677A6" w:rsidRDefault="00D677A6">
      <w:pPr>
        <w:tabs>
          <w:tab w:val="left" w:pos="6481"/>
        </w:tabs>
        <w:overflowPunct w:val="0"/>
        <w:textAlignment w:val="baseline"/>
      </w:pPr>
    </w:p>
    <w:p w:rsidR="005164ED" w:rsidRDefault="00D677A6">
      <w:pPr>
        <w:tabs>
          <w:tab w:val="left" w:pos="6481"/>
        </w:tabs>
        <w:overflowPunct w:val="0"/>
        <w:textAlignment w:val="baseline"/>
        <w:rPr>
          <w:szCs w:val="24"/>
        </w:rPr>
      </w:pPr>
      <w:r>
        <w:rPr>
          <w:szCs w:val="24"/>
          <w:lang w:eastAsia="lt-LT"/>
        </w:rPr>
        <w:t>Švietimo, mokslo ir sporto ministras</w:t>
      </w:r>
      <w:r>
        <w:rPr>
          <w:szCs w:val="24"/>
        </w:rPr>
        <w:tab/>
      </w:r>
      <w:r>
        <w:rPr>
          <w:szCs w:val="24"/>
        </w:rPr>
        <w:tab/>
        <w:t>Algirdas Monkevičius</w:t>
      </w:r>
    </w:p>
    <w:p w:rsidR="004F18E9" w:rsidRDefault="004F18E9" w:rsidP="003764F3">
      <w:pPr>
        <w:spacing w:after="20"/>
        <w:jc w:val="both"/>
      </w:pPr>
    </w:p>
    <w:sectPr w:rsidR="004F18E9" w:rsidSect="0083628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289" w:footer="720" w:gutter="0"/>
      <w:cols w:space="720"/>
      <w:noEndnote/>
      <w:titlePg/>
      <w:docGrid w:linePitch="326"/>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1673A" w16cid:durableId="20BC8B16"/>
  <w16cid:commentId w16cid:paraId="0271159C" w16cid:durableId="20A8E1A2"/>
  <w16cid:commentId w16cid:paraId="14FFBB13" w16cid:durableId="20A8E12F"/>
  <w16cid:commentId w16cid:paraId="2C4B9414" w16cid:durableId="20A8E9CD"/>
  <w16cid:commentId w16cid:paraId="050FACC0" w16cid:durableId="20A8E8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6C0" w:rsidRDefault="00D206C0">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D206C0" w:rsidRDefault="00D206C0">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ED" w:rsidRDefault="00D677A6">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5164ED" w:rsidRDefault="005164ED">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ED" w:rsidRDefault="005164ED">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ED" w:rsidRDefault="005164ED">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6C0" w:rsidRDefault="00D206C0">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D206C0" w:rsidRDefault="00D206C0">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ED" w:rsidRDefault="005164ED">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ED" w:rsidRDefault="00D677A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836280">
      <w:rPr>
        <w:noProof/>
        <w:sz w:val="22"/>
        <w:szCs w:val="22"/>
        <w:lang w:eastAsia="lt-LT"/>
      </w:rPr>
      <w:t>2</w:t>
    </w:r>
    <w:r>
      <w:rPr>
        <w:sz w:val="22"/>
        <w:szCs w:val="22"/>
        <w:lang w:eastAsia="lt-LT"/>
      </w:rPr>
      <w:fldChar w:fldCharType="end"/>
    </w:r>
  </w:p>
  <w:p w:rsidR="005164ED" w:rsidRDefault="005164ED">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ED" w:rsidRPr="008B4A88" w:rsidRDefault="008B4A88" w:rsidP="00831B94">
    <w:pPr>
      <w:tabs>
        <w:tab w:val="center" w:pos="4680"/>
        <w:tab w:val="right" w:pos="9360"/>
      </w:tabs>
      <w:jc w:val="right"/>
      <w:rPr>
        <w:sz w:val="22"/>
        <w:szCs w:val="22"/>
        <w:lang w:eastAsia="lt-LT"/>
      </w:rPr>
    </w:pPr>
    <w:r>
      <w:rPr>
        <w:sz w:val="22"/>
        <w:szCs w:val="22"/>
        <w:lang w:eastAsia="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F72A8"/>
    <w:multiLevelType w:val="hybridMultilevel"/>
    <w:tmpl w:val="A8FEC576"/>
    <w:lvl w:ilvl="0" w:tplc="68B699F4">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1" w15:restartNumberingAfterBreak="0">
    <w:nsid w:val="71300016"/>
    <w:multiLevelType w:val="hybridMultilevel"/>
    <w:tmpl w:val="8AA4309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CE"/>
    <w:rsid w:val="000C6058"/>
    <w:rsid w:val="00177E74"/>
    <w:rsid w:val="002052DF"/>
    <w:rsid w:val="00243337"/>
    <w:rsid w:val="002718CE"/>
    <w:rsid w:val="003178E3"/>
    <w:rsid w:val="003764F3"/>
    <w:rsid w:val="003B3B6C"/>
    <w:rsid w:val="00494B3A"/>
    <w:rsid w:val="004C69A8"/>
    <w:rsid w:val="004F18E9"/>
    <w:rsid w:val="005164ED"/>
    <w:rsid w:val="00606DB5"/>
    <w:rsid w:val="006A4E28"/>
    <w:rsid w:val="006C3B49"/>
    <w:rsid w:val="007F34DC"/>
    <w:rsid w:val="00810662"/>
    <w:rsid w:val="008232B8"/>
    <w:rsid w:val="00831B94"/>
    <w:rsid w:val="00836280"/>
    <w:rsid w:val="008719FA"/>
    <w:rsid w:val="0089634E"/>
    <w:rsid w:val="008B4A88"/>
    <w:rsid w:val="00915415"/>
    <w:rsid w:val="009910CA"/>
    <w:rsid w:val="009D1B76"/>
    <w:rsid w:val="009D633E"/>
    <w:rsid w:val="00A0075E"/>
    <w:rsid w:val="00A0406C"/>
    <w:rsid w:val="00A33343"/>
    <w:rsid w:val="00A6467A"/>
    <w:rsid w:val="00AA6393"/>
    <w:rsid w:val="00AB3D76"/>
    <w:rsid w:val="00AD77C9"/>
    <w:rsid w:val="00B22410"/>
    <w:rsid w:val="00B23B98"/>
    <w:rsid w:val="00BA7D73"/>
    <w:rsid w:val="00CC7983"/>
    <w:rsid w:val="00D206C0"/>
    <w:rsid w:val="00D677A6"/>
    <w:rsid w:val="00D76752"/>
    <w:rsid w:val="00F07D2E"/>
    <w:rsid w:val="00F342B8"/>
    <w:rsid w:val="00F36335"/>
    <w:rsid w:val="00F56518"/>
    <w:rsid w:val="00FC7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0C85B"/>
  <w15:docId w15:val="{34B8027E-9C57-4397-9E13-6E76F1F1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677A6"/>
    <w:rPr>
      <w:color w:val="808080"/>
    </w:rPr>
  </w:style>
  <w:style w:type="paragraph" w:styleId="Komentarotekstas">
    <w:name w:val="annotation text"/>
    <w:basedOn w:val="prastasis"/>
    <w:link w:val="KomentarotekstasDiagrama"/>
    <w:uiPriority w:val="99"/>
    <w:unhideWhenUsed/>
    <w:rsid w:val="006A4E28"/>
    <w:rPr>
      <w:sz w:val="20"/>
    </w:rPr>
  </w:style>
  <w:style w:type="character" w:customStyle="1" w:styleId="KomentarotekstasDiagrama">
    <w:name w:val="Komentaro tekstas Diagrama"/>
    <w:basedOn w:val="Numatytasispastraiposriftas"/>
    <w:link w:val="Komentarotekstas"/>
    <w:uiPriority w:val="99"/>
    <w:rsid w:val="006A4E28"/>
    <w:rPr>
      <w:sz w:val="20"/>
    </w:rPr>
  </w:style>
  <w:style w:type="character" w:styleId="Komentaronuoroda">
    <w:name w:val="annotation reference"/>
    <w:basedOn w:val="Numatytasispastraiposriftas"/>
    <w:semiHidden/>
    <w:unhideWhenUsed/>
    <w:rsid w:val="00F342B8"/>
    <w:rPr>
      <w:sz w:val="16"/>
      <w:szCs w:val="16"/>
    </w:rPr>
  </w:style>
  <w:style w:type="paragraph" w:styleId="Komentarotema">
    <w:name w:val="annotation subject"/>
    <w:basedOn w:val="Komentarotekstas"/>
    <w:next w:val="Komentarotekstas"/>
    <w:link w:val="KomentarotemaDiagrama"/>
    <w:semiHidden/>
    <w:unhideWhenUsed/>
    <w:rsid w:val="00F342B8"/>
    <w:rPr>
      <w:b/>
      <w:bCs/>
    </w:rPr>
  </w:style>
  <w:style w:type="character" w:customStyle="1" w:styleId="KomentarotemaDiagrama">
    <w:name w:val="Komentaro tema Diagrama"/>
    <w:basedOn w:val="KomentarotekstasDiagrama"/>
    <w:link w:val="Komentarotema"/>
    <w:semiHidden/>
    <w:rsid w:val="00F342B8"/>
    <w:rPr>
      <w:b/>
      <w:bCs/>
      <w:sz w:val="20"/>
    </w:rPr>
  </w:style>
  <w:style w:type="paragraph" w:styleId="Debesliotekstas">
    <w:name w:val="Balloon Text"/>
    <w:basedOn w:val="prastasis"/>
    <w:link w:val="DebesliotekstasDiagrama"/>
    <w:semiHidden/>
    <w:unhideWhenUsed/>
    <w:rsid w:val="00F342B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342B8"/>
    <w:rPr>
      <w:rFonts w:ascii="Segoe UI" w:hAnsi="Segoe UI" w:cs="Segoe UI"/>
      <w:sz w:val="18"/>
      <w:szCs w:val="18"/>
    </w:rPr>
  </w:style>
  <w:style w:type="paragraph" w:styleId="Sraopastraipa">
    <w:name w:val="List Paragraph"/>
    <w:basedOn w:val="prastasis"/>
    <w:rsid w:val="00B22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4166">
      <w:bodyDiv w:val="1"/>
      <w:marLeft w:val="0"/>
      <w:marRight w:val="0"/>
      <w:marTop w:val="0"/>
      <w:marBottom w:val="0"/>
      <w:divBdr>
        <w:top w:val="none" w:sz="0" w:space="0" w:color="auto"/>
        <w:left w:val="none" w:sz="0" w:space="0" w:color="auto"/>
        <w:bottom w:val="none" w:sz="0" w:space="0" w:color="auto"/>
        <w:right w:val="none" w:sz="0" w:space="0" w:color="auto"/>
      </w:divBdr>
      <w:divsChild>
        <w:div w:id="1467897395">
          <w:marLeft w:val="0"/>
          <w:marRight w:val="0"/>
          <w:marTop w:val="0"/>
          <w:marBottom w:val="0"/>
          <w:divBdr>
            <w:top w:val="none" w:sz="0" w:space="0" w:color="auto"/>
            <w:left w:val="none" w:sz="0" w:space="0" w:color="auto"/>
            <w:bottom w:val="none" w:sz="0" w:space="0" w:color="auto"/>
            <w:right w:val="none" w:sz="0" w:space="0" w:color="auto"/>
          </w:divBdr>
        </w:div>
        <w:div w:id="200553769">
          <w:marLeft w:val="0"/>
          <w:marRight w:val="0"/>
          <w:marTop w:val="0"/>
          <w:marBottom w:val="0"/>
          <w:divBdr>
            <w:top w:val="none" w:sz="0" w:space="0" w:color="auto"/>
            <w:left w:val="none" w:sz="0" w:space="0" w:color="auto"/>
            <w:bottom w:val="none" w:sz="0" w:space="0" w:color="auto"/>
            <w:right w:val="none" w:sz="0" w:space="0" w:color="auto"/>
          </w:divBdr>
        </w:div>
      </w:divsChild>
    </w:div>
    <w:div w:id="170801853">
      <w:bodyDiv w:val="1"/>
      <w:marLeft w:val="0"/>
      <w:marRight w:val="0"/>
      <w:marTop w:val="0"/>
      <w:marBottom w:val="0"/>
      <w:divBdr>
        <w:top w:val="none" w:sz="0" w:space="0" w:color="auto"/>
        <w:left w:val="none" w:sz="0" w:space="0" w:color="auto"/>
        <w:bottom w:val="none" w:sz="0" w:space="0" w:color="auto"/>
        <w:right w:val="none" w:sz="0" w:space="0" w:color="auto"/>
      </w:divBdr>
    </w:div>
    <w:div w:id="283465537">
      <w:bodyDiv w:val="1"/>
      <w:marLeft w:val="0"/>
      <w:marRight w:val="0"/>
      <w:marTop w:val="0"/>
      <w:marBottom w:val="0"/>
      <w:divBdr>
        <w:top w:val="none" w:sz="0" w:space="0" w:color="auto"/>
        <w:left w:val="none" w:sz="0" w:space="0" w:color="auto"/>
        <w:bottom w:val="none" w:sz="0" w:space="0" w:color="auto"/>
        <w:right w:val="none" w:sz="0" w:space="0" w:color="auto"/>
      </w:divBdr>
    </w:div>
    <w:div w:id="307366170">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061053415">
      <w:bodyDiv w:val="1"/>
      <w:marLeft w:val="0"/>
      <w:marRight w:val="0"/>
      <w:marTop w:val="0"/>
      <w:marBottom w:val="0"/>
      <w:divBdr>
        <w:top w:val="none" w:sz="0" w:space="0" w:color="auto"/>
        <w:left w:val="none" w:sz="0" w:space="0" w:color="auto"/>
        <w:bottom w:val="none" w:sz="0" w:space="0" w:color="auto"/>
        <w:right w:val="none" w:sz="0" w:space="0" w:color="auto"/>
      </w:divBdr>
    </w:div>
    <w:div w:id="1080059822">
      <w:bodyDiv w:val="1"/>
      <w:marLeft w:val="0"/>
      <w:marRight w:val="0"/>
      <w:marTop w:val="0"/>
      <w:marBottom w:val="0"/>
      <w:divBdr>
        <w:top w:val="none" w:sz="0" w:space="0" w:color="auto"/>
        <w:left w:val="none" w:sz="0" w:space="0" w:color="auto"/>
        <w:bottom w:val="none" w:sz="0" w:space="0" w:color="auto"/>
        <w:right w:val="none" w:sz="0" w:space="0" w:color="auto"/>
      </w:divBdr>
    </w:div>
    <w:div w:id="1199509499">
      <w:bodyDiv w:val="1"/>
      <w:marLeft w:val="0"/>
      <w:marRight w:val="0"/>
      <w:marTop w:val="0"/>
      <w:marBottom w:val="0"/>
      <w:divBdr>
        <w:top w:val="none" w:sz="0" w:space="0" w:color="auto"/>
        <w:left w:val="none" w:sz="0" w:space="0" w:color="auto"/>
        <w:bottom w:val="none" w:sz="0" w:space="0" w:color="auto"/>
        <w:right w:val="none" w:sz="0" w:space="0" w:color="auto"/>
      </w:divBdr>
    </w:div>
    <w:div w:id="1282033987">
      <w:bodyDiv w:val="1"/>
      <w:marLeft w:val="0"/>
      <w:marRight w:val="0"/>
      <w:marTop w:val="0"/>
      <w:marBottom w:val="0"/>
      <w:divBdr>
        <w:top w:val="none" w:sz="0" w:space="0" w:color="auto"/>
        <w:left w:val="none" w:sz="0" w:space="0" w:color="auto"/>
        <w:bottom w:val="none" w:sz="0" w:space="0" w:color="auto"/>
        <w:right w:val="none" w:sz="0" w:space="0" w:color="auto"/>
      </w:divBdr>
      <w:divsChild>
        <w:div w:id="1604339646">
          <w:marLeft w:val="0"/>
          <w:marRight w:val="0"/>
          <w:marTop w:val="0"/>
          <w:marBottom w:val="0"/>
          <w:divBdr>
            <w:top w:val="none" w:sz="0" w:space="0" w:color="auto"/>
            <w:left w:val="none" w:sz="0" w:space="0" w:color="auto"/>
            <w:bottom w:val="none" w:sz="0" w:space="0" w:color="auto"/>
            <w:right w:val="none" w:sz="0" w:space="0" w:color="auto"/>
          </w:divBdr>
        </w:div>
        <w:div w:id="1527985831">
          <w:marLeft w:val="0"/>
          <w:marRight w:val="0"/>
          <w:marTop w:val="0"/>
          <w:marBottom w:val="0"/>
          <w:divBdr>
            <w:top w:val="none" w:sz="0" w:space="0" w:color="auto"/>
            <w:left w:val="none" w:sz="0" w:space="0" w:color="auto"/>
            <w:bottom w:val="none" w:sz="0" w:space="0" w:color="auto"/>
            <w:right w:val="none" w:sz="0" w:space="0" w:color="auto"/>
          </w:divBdr>
        </w:div>
      </w:divsChild>
    </w:div>
    <w:div w:id="1385985698">
      <w:bodyDiv w:val="1"/>
      <w:marLeft w:val="0"/>
      <w:marRight w:val="0"/>
      <w:marTop w:val="0"/>
      <w:marBottom w:val="0"/>
      <w:divBdr>
        <w:top w:val="none" w:sz="0" w:space="0" w:color="auto"/>
        <w:left w:val="none" w:sz="0" w:space="0" w:color="auto"/>
        <w:bottom w:val="none" w:sz="0" w:space="0" w:color="auto"/>
        <w:right w:val="none" w:sz="0" w:space="0" w:color="auto"/>
      </w:divBdr>
      <w:divsChild>
        <w:div w:id="623923084">
          <w:marLeft w:val="0"/>
          <w:marRight w:val="0"/>
          <w:marTop w:val="0"/>
          <w:marBottom w:val="0"/>
          <w:divBdr>
            <w:top w:val="none" w:sz="0" w:space="0" w:color="auto"/>
            <w:left w:val="none" w:sz="0" w:space="0" w:color="auto"/>
            <w:bottom w:val="none" w:sz="0" w:space="0" w:color="auto"/>
            <w:right w:val="none" w:sz="0" w:space="0" w:color="auto"/>
          </w:divBdr>
        </w:div>
      </w:divsChild>
    </w:div>
    <w:div w:id="1805779317">
      <w:bodyDiv w:val="1"/>
      <w:marLeft w:val="0"/>
      <w:marRight w:val="0"/>
      <w:marTop w:val="0"/>
      <w:marBottom w:val="0"/>
      <w:divBdr>
        <w:top w:val="none" w:sz="0" w:space="0" w:color="auto"/>
        <w:left w:val="none" w:sz="0" w:space="0" w:color="auto"/>
        <w:bottom w:val="none" w:sz="0" w:space="0" w:color="auto"/>
        <w:right w:val="none" w:sz="0" w:space="0" w:color="auto"/>
      </w:divBdr>
    </w:div>
    <w:div w:id="1959797921">
      <w:bodyDiv w:val="1"/>
      <w:marLeft w:val="0"/>
      <w:marRight w:val="0"/>
      <w:marTop w:val="0"/>
      <w:marBottom w:val="0"/>
      <w:divBdr>
        <w:top w:val="none" w:sz="0" w:space="0" w:color="auto"/>
        <w:left w:val="none" w:sz="0" w:space="0" w:color="auto"/>
        <w:bottom w:val="none" w:sz="0" w:space="0" w:color="auto"/>
        <w:right w:val="none" w:sz="0" w:space="0" w:color="auto"/>
      </w:divBdr>
      <w:divsChild>
        <w:div w:id="1443956095">
          <w:marLeft w:val="0"/>
          <w:marRight w:val="0"/>
          <w:marTop w:val="0"/>
          <w:marBottom w:val="0"/>
          <w:divBdr>
            <w:top w:val="none" w:sz="0" w:space="0" w:color="auto"/>
            <w:left w:val="none" w:sz="0" w:space="0" w:color="auto"/>
            <w:bottom w:val="none" w:sz="0" w:space="0" w:color="auto"/>
            <w:right w:val="none" w:sz="0" w:space="0" w:color="auto"/>
          </w:divBdr>
        </w:div>
      </w:divsChild>
    </w:div>
    <w:div w:id="2087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1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3C363-1E22-49D0-AC7C-191E451261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1C3D3C-70F3-4ED2-BCA9-95438B533C9A}">
  <ds:schemaRefs>
    <ds:schemaRef ds:uri="http://schemas.microsoft.com/sharepoint/v3/contenttype/forms"/>
  </ds:schemaRefs>
</ds:datastoreItem>
</file>

<file path=customXml/itemProps3.xml><?xml version="1.0" encoding="utf-8"?>
<ds:datastoreItem xmlns:ds="http://schemas.openxmlformats.org/officeDocument/2006/customXml" ds:itemID="{FCDC9F27-E89B-4FEC-A239-5D72FED81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3234</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6a7b43ff-7b43-4a0b-aa60-c3e16e1144b6</vt:lpstr>
    </vt:vector>
  </TitlesOfParts>
  <Company>VKS</Company>
  <LinksUpToDate>false</LinksUpToDate>
  <CharactersWithSpaces>5068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6a7b43ff-7b43-4a0b-aa60-c3e16e1144b6</dc:title>
  <dc:creator>Toma Imbrasienė</dc:creator>
  <cp:lastModifiedBy>Gervienė Giedrė</cp:lastModifiedBy>
  <cp:revision>3</cp:revision>
  <cp:lastPrinted>2010-02-18T07:54:00Z</cp:lastPrinted>
  <dcterms:created xsi:type="dcterms:W3CDTF">2020-06-10T10:43:00Z</dcterms:created>
  <dcterms:modified xsi:type="dcterms:W3CDTF">2020-06-10T10:51:00Z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