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E74302" w:rsidRDefault="0036662A" w:rsidP="0036662A">
      <w:pPr>
        <w:jc w:val="center"/>
        <w:rPr>
          <w:b/>
          <w:bCs/>
          <w:szCs w:val="24"/>
        </w:rPr>
      </w:pPr>
      <w:r w:rsidRPr="00E74302">
        <w:rPr>
          <w:b/>
          <w:bCs/>
          <w:szCs w:val="24"/>
        </w:rPr>
        <w:t xml:space="preserve">LIETUVOS RESPUBLIKOS </w:t>
      </w:r>
      <w:r w:rsidR="00451686" w:rsidRPr="00E74302">
        <w:rPr>
          <w:b/>
          <w:bCs/>
          <w:szCs w:val="24"/>
        </w:rPr>
        <w:t>ENERGETIKOS</w:t>
      </w:r>
      <w:r w:rsidRPr="00E74302">
        <w:rPr>
          <w:b/>
          <w:bCs/>
          <w:szCs w:val="24"/>
        </w:rPr>
        <w:t xml:space="preserve"> MINISTERIJA</w:t>
      </w:r>
    </w:p>
    <w:p w14:paraId="3616A1DF" w14:textId="77777777" w:rsidR="00C370DD" w:rsidRPr="00C370DD" w:rsidRDefault="00C370DD" w:rsidP="00C370DD">
      <w:pPr>
        <w:jc w:val="center"/>
        <w:rPr>
          <w:b/>
          <w:bCs/>
          <w:szCs w:val="24"/>
        </w:rPr>
      </w:pPr>
    </w:p>
    <w:p w14:paraId="62136E55" w14:textId="3E8F45D4" w:rsidR="0036662A" w:rsidRPr="00E74302" w:rsidRDefault="00C370DD" w:rsidP="00C370DD">
      <w:pPr>
        <w:jc w:val="center"/>
        <w:rPr>
          <w:b/>
          <w:bCs/>
          <w:szCs w:val="24"/>
        </w:rPr>
      </w:pPr>
      <w:r w:rsidRPr="00C370DD">
        <w:rPr>
          <w:b/>
          <w:bCs/>
          <w:szCs w:val="24"/>
        </w:rPr>
        <w:t xml:space="preserve">SOCIALINIŲ IR EKONOMINIŲ PARTNERIŲ PATEIKTŲ PASTABŲ IR PASIŪLYMŲ DĖL </w:t>
      </w:r>
      <w:r w:rsidR="00430F82" w:rsidRPr="00430F82">
        <w:rPr>
          <w:b/>
          <w:bCs/>
          <w:szCs w:val="24"/>
        </w:rPr>
        <w:t xml:space="preserve">2014–2020 METŲ EUROPOS SĄJUNGOS FONDŲ INVESTICIJŲ VEIKSMŲ PROGRAMOS PRIORITETŲ ĮGYVENDINIMO PRIEMONIŲ ĮGYVENDINIMO PLANO </w:t>
      </w:r>
      <w:r w:rsidRPr="00C370DD">
        <w:rPr>
          <w:b/>
          <w:bCs/>
          <w:szCs w:val="24"/>
        </w:rPr>
        <w:t>DERINIMAS</w:t>
      </w:r>
    </w:p>
    <w:p w14:paraId="1E7C8F0B" w14:textId="21981DCD" w:rsidR="0036662A" w:rsidRPr="00E74302" w:rsidRDefault="0036662A" w:rsidP="00285F5E">
      <w:pPr>
        <w:jc w:val="center"/>
        <w:rPr>
          <w:b/>
          <w:bCs/>
          <w:szCs w:val="24"/>
        </w:rPr>
      </w:pPr>
    </w:p>
    <w:p w14:paraId="2B885C82" w14:textId="77777777" w:rsidR="0036662A" w:rsidRPr="00E74302" w:rsidRDefault="0036662A" w:rsidP="0036662A">
      <w:pPr>
        <w:rPr>
          <w:b/>
          <w:bCs/>
          <w:szCs w:val="24"/>
        </w:rPr>
      </w:pPr>
    </w:p>
    <w:tbl>
      <w:tblPr>
        <w:tblStyle w:val="Lentelstinklelis"/>
        <w:tblW w:w="15055" w:type="dxa"/>
        <w:tblInd w:w="108" w:type="dxa"/>
        <w:tblLook w:val="04A0" w:firstRow="1" w:lastRow="0" w:firstColumn="1" w:lastColumn="0" w:noHBand="0" w:noVBand="1"/>
      </w:tblPr>
      <w:tblGrid>
        <w:gridCol w:w="6804"/>
        <w:gridCol w:w="8251"/>
      </w:tblGrid>
      <w:tr w:rsidR="0036662A" w:rsidRPr="00E74302" w14:paraId="211B4D5C" w14:textId="77777777" w:rsidTr="00A4316D">
        <w:tc>
          <w:tcPr>
            <w:tcW w:w="6804" w:type="dxa"/>
          </w:tcPr>
          <w:p w14:paraId="2951B3F4" w14:textId="77777777" w:rsidR="0036662A" w:rsidRPr="00E74302" w:rsidRDefault="0036662A" w:rsidP="00817AE7">
            <w:pPr>
              <w:rPr>
                <w:b/>
                <w:szCs w:val="24"/>
              </w:rPr>
            </w:pPr>
            <w:r w:rsidRPr="00E74302">
              <w:rPr>
                <w:b/>
                <w:szCs w:val="24"/>
              </w:rPr>
              <w:t xml:space="preserve">Paskelbimo </w:t>
            </w:r>
            <w:r w:rsidRPr="00E74302">
              <w:rPr>
                <w:szCs w:val="24"/>
              </w:rPr>
              <w:t>www.esinvesticijos.lt</w:t>
            </w:r>
            <w:r w:rsidRPr="00E74302">
              <w:rPr>
                <w:b/>
                <w:szCs w:val="24"/>
              </w:rPr>
              <w:t xml:space="preserve"> data</w:t>
            </w:r>
          </w:p>
        </w:tc>
        <w:tc>
          <w:tcPr>
            <w:tcW w:w="8251" w:type="dxa"/>
          </w:tcPr>
          <w:p w14:paraId="3E71717B" w14:textId="0CB77322" w:rsidR="0036662A" w:rsidRPr="00581246" w:rsidRDefault="00227F9B" w:rsidP="00817AE7">
            <w:pPr>
              <w:rPr>
                <w:szCs w:val="24"/>
              </w:rPr>
            </w:pPr>
            <w:r>
              <w:rPr>
                <w:szCs w:val="24"/>
              </w:rPr>
              <w:t>20</w:t>
            </w:r>
            <w:r w:rsidR="00285F5E">
              <w:rPr>
                <w:szCs w:val="24"/>
              </w:rPr>
              <w:t>20</w:t>
            </w:r>
            <w:r>
              <w:rPr>
                <w:szCs w:val="24"/>
              </w:rPr>
              <w:t>-</w:t>
            </w:r>
            <w:r w:rsidR="00983485">
              <w:rPr>
                <w:szCs w:val="24"/>
              </w:rPr>
              <w:t>06-08</w:t>
            </w:r>
          </w:p>
        </w:tc>
      </w:tr>
      <w:tr w:rsidR="0036662A" w:rsidRPr="00E74302" w14:paraId="585257F3" w14:textId="77777777" w:rsidTr="00A4316D">
        <w:tc>
          <w:tcPr>
            <w:tcW w:w="6804" w:type="dxa"/>
          </w:tcPr>
          <w:p w14:paraId="2F737573" w14:textId="77777777" w:rsidR="0036662A" w:rsidRPr="00E74302" w:rsidRDefault="0036662A" w:rsidP="00817AE7">
            <w:pPr>
              <w:rPr>
                <w:b/>
                <w:szCs w:val="24"/>
              </w:rPr>
            </w:pPr>
            <w:r w:rsidRPr="00E74302">
              <w:rPr>
                <w:b/>
                <w:szCs w:val="24"/>
              </w:rPr>
              <w:t>Ar gauta pastabų ir (ar) pasiūlymų?</w:t>
            </w:r>
          </w:p>
          <w:p w14:paraId="7B6D8B00" w14:textId="77777777" w:rsidR="0036662A" w:rsidRPr="00E74302" w:rsidRDefault="0036662A" w:rsidP="0036662A">
            <w:pPr>
              <w:rPr>
                <w:i/>
                <w:szCs w:val="24"/>
              </w:rPr>
            </w:pPr>
            <w:r w:rsidRPr="00E74302">
              <w:rPr>
                <w:i/>
                <w:szCs w:val="24"/>
              </w:rPr>
              <w:t>Jei pastabų ir pasiūlymų nebuvo gauta, į kitą klausimą neatsakoma ir žemiau esanti lentelė nepildoma</w:t>
            </w:r>
          </w:p>
        </w:tc>
        <w:tc>
          <w:tcPr>
            <w:tcW w:w="8251" w:type="dxa"/>
          </w:tcPr>
          <w:p w14:paraId="347A711E" w14:textId="619A8AD8" w:rsidR="0036662A" w:rsidRPr="00E74302" w:rsidRDefault="00E203FD" w:rsidP="0036662A">
            <w:pPr>
              <w:rPr>
                <w:szCs w:val="24"/>
              </w:rPr>
            </w:pPr>
            <w:sdt>
              <w:sdtPr>
                <w:rPr>
                  <w:szCs w:val="24"/>
                </w:rPr>
                <w:id w:val="1312749902"/>
              </w:sdtPr>
              <w:sdtEndPr/>
              <w:sdtContent>
                <w:bookmarkStart w:id="0" w:name="Check1"/>
                <w:r w:rsidR="00DB52DD" w:rsidRPr="00E74302">
                  <w:rPr>
                    <w:szCs w:val="24"/>
                  </w:rPr>
                  <w:fldChar w:fldCharType="begin">
                    <w:ffData>
                      <w:name w:val="Check1"/>
                      <w:enabled/>
                      <w:calcOnExit w:val="0"/>
                      <w:checkBox>
                        <w:sizeAuto/>
                        <w:default w:val="1"/>
                      </w:checkBox>
                    </w:ffData>
                  </w:fldChar>
                </w:r>
                <w:r w:rsidR="00DB52DD" w:rsidRPr="00E74302">
                  <w:rPr>
                    <w:szCs w:val="24"/>
                  </w:rPr>
                  <w:instrText xml:space="preserve"> FORMCHECKBOX </w:instrText>
                </w:r>
                <w:r>
                  <w:rPr>
                    <w:szCs w:val="24"/>
                  </w:rPr>
                </w:r>
                <w:r>
                  <w:rPr>
                    <w:szCs w:val="24"/>
                  </w:rPr>
                  <w:fldChar w:fldCharType="separate"/>
                </w:r>
                <w:r w:rsidR="00DB52DD" w:rsidRPr="00E74302">
                  <w:rPr>
                    <w:szCs w:val="24"/>
                  </w:rPr>
                  <w:fldChar w:fldCharType="end"/>
                </w:r>
                <w:bookmarkEnd w:id="0"/>
                <w:r w:rsidR="0036662A" w:rsidRPr="00E74302">
                  <w:rPr>
                    <w:szCs w:val="24"/>
                  </w:rPr>
                  <w:t xml:space="preserve"> </w:t>
                </w:r>
              </w:sdtContent>
            </w:sdt>
            <w:r w:rsidR="0036662A" w:rsidRPr="00E74302">
              <w:rPr>
                <w:szCs w:val="24"/>
              </w:rPr>
              <w:t xml:space="preserve">Taip </w:t>
            </w:r>
            <w:sdt>
              <w:sdtPr>
                <w:rPr>
                  <w:szCs w:val="24"/>
                </w:rPr>
                <w:id w:val="164368749"/>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r w:rsidR="0036662A" w:rsidRPr="00E74302">
                  <w:rPr>
                    <w:szCs w:val="24"/>
                  </w:rPr>
                  <w:t xml:space="preserve"> </w:t>
                </w:r>
              </w:sdtContent>
            </w:sdt>
            <w:r w:rsidR="0036662A" w:rsidRPr="00E74302">
              <w:rPr>
                <w:szCs w:val="24"/>
              </w:rPr>
              <w:t xml:space="preserve"> Ne</w:t>
            </w:r>
            <w:r w:rsidR="0036662A" w:rsidRPr="00E74302">
              <w:rPr>
                <w:szCs w:val="24"/>
              </w:rPr>
              <w:fldChar w:fldCharType="begin"/>
            </w:r>
            <w:r w:rsidR="0036662A" w:rsidRPr="00E74302">
              <w:rPr>
                <w:szCs w:val="24"/>
              </w:rPr>
              <w:instrText xml:space="preserve"> FILLIN   \* MERGEFORMAT </w:instrText>
            </w:r>
            <w:r w:rsidR="0036662A" w:rsidRPr="00E74302">
              <w:rPr>
                <w:szCs w:val="24"/>
              </w:rPr>
              <w:fldChar w:fldCharType="end"/>
            </w:r>
          </w:p>
        </w:tc>
      </w:tr>
      <w:tr w:rsidR="0036662A" w:rsidRPr="00E74302" w14:paraId="6D0D9D1A" w14:textId="77777777" w:rsidTr="00A4316D">
        <w:tc>
          <w:tcPr>
            <w:tcW w:w="6804" w:type="dxa"/>
          </w:tcPr>
          <w:p w14:paraId="6A04ED20" w14:textId="77777777" w:rsidR="0036662A" w:rsidRPr="00E74302" w:rsidRDefault="0036662A" w:rsidP="00817AE7">
            <w:pPr>
              <w:rPr>
                <w:b/>
                <w:szCs w:val="24"/>
              </w:rPr>
            </w:pPr>
            <w:r w:rsidRPr="00E74302">
              <w:rPr>
                <w:b/>
                <w:szCs w:val="24"/>
              </w:rPr>
              <w:t>Ar į visas pastabas ir (ar) pasiūlymus atsižvelgta?</w:t>
            </w:r>
          </w:p>
          <w:p w14:paraId="5A09DB63" w14:textId="77777777" w:rsidR="0036662A" w:rsidRPr="00E74302" w:rsidRDefault="0036662A" w:rsidP="00817AE7">
            <w:pPr>
              <w:rPr>
                <w:i/>
                <w:szCs w:val="24"/>
              </w:rPr>
            </w:pPr>
            <w:r w:rsidRPr="00E74302">
              <w:rPr>
                <w:i/>
                <w:szCs w:val="24"/>
              </w:rPr>
              <w:t>Jei atsižvelgta į visas pastabas ir (ar) pasiūlymus, žemiau esanti lentelė nepildoma</w:t>
            </w:r>
          </w:p>
        </w:tc>
        <w:tc>
          <w:tcPr>
            <w:tcW w:w="8251" w:type="dxa"/>
          </w:tcPr>
          <w:p w14:paraId="47323AFB" w14:textId="5E46473B" w:rsidR="0036662A" w:rsidRPr="00E74302" w:rsidRDefault="00E203FD" w:rsidP="00817AE7">
            <w:pPr>
              <w:rPr>
                <w:szCs w:val="24"/>
              </w:rPr>
            </w:pPr>
            <w:sdt>
              <w:sdtPr>
                <w:rPr>
                  <w:szCs w:val="24"/>
                </w:rPr>
                <w:id w:val="-1548671976"/>
              </w:sdtPr>
              <w:sdtEndPr/>
              <w:sdtContent>
                <w:r w:rsidR="00983485">
                  <w:rPr>
                    <w:szCs w:val="24"/>
                  </w:rPr>
                  <w:fldChar w:fldCharType="begin">
                    <w:ffData>
                      <w:name w:val=""/>
                      <w:enabled/>
                      <w:calcOnExit w:val="0"/>
                      <w:checkBox>
                        <w:sizeAuto/>
                        <w:default w:val="0"/>
                      </w:checkBox>
                    </w:ffData>
                  </w:fldChar>
                </w:r>
                <w:r w:rsidR="00983485">
                  <w:rPr>
                    <w:szCs w:val="24"/>
                  </w:rPr>
                  <w:instrText xml:space="preserve"> FORMCHECKBOX </w:instrText>
                </w:r>
                <w:r>
                  <w:rPr>
                    <w:szCs w:val="24"/>
                  </w:rPr>
                </w:r>
                <w:r>
                  <w:rPr>
                    <w:szCs w:val="24"/>
                  </w:rPr>
                  <w:fldChar w:fldCharType="separate"/>
                </w:r>
                <w:r w:rsidR="00983485">
                  <w:rPr>
                    <w:szCs w:val="24"/>
                  </w:rPr>
                  <w:fldChar w:fldCharType="end"/>
                </w:r>
              </w:sdtContent>
            </w:sdt>
            <w:r w:rsidR="0036662A" w:rsidRPr="00E74302">
              <w:rPr>
                <w:szCs w:val="24"/>
              </w:rPr>
              <w:t xml:space="preserve"> </w:t>
            </w:r>
            <w:r w:rsidR="0036662A" w:rsidRPr="00315D2D">
              <w:rPr>
                <w:szCs w:val="24"/>
              </w:rPr>
              <w:t xml:space="preserve">Taip </w:t>
            </w:r>
            <w:sdt>
              <w:sdtPr>
                <w:rPr>
                  <w:szCs w:val="24"/>
                </w:rPr>
                <w:id w:val="-338542889"/>
              </w:sdtPr>
              <w:sdtEndPr/>
              <w:sdtContent>
                <w:r w:rsidR="00983485">
                  <w:rPr>
                    <w:szCs w:val="24"/>
                  </w:rPr>
                  <w:fldChar w:fldCharType="begin">
                    <w:ffData>
                      <w:name w:val=""/>
                      <w:enabled/>
                      <w:calcOnExit w:val="0"/>
                      <w:checkBox>
                        <w:sizeAuto/>
                        <w:default w:val="1"/>
                      </w:checkBox>
                    </w:ffData>
                  </w:fldChar>
                </w:r>
                <w:r w:rsidR="00983485">
                  <w:rPr>
                    <w:szCs w:val="24"/>
                  </w:rPr>
                  <w:instrText xml:space="preserve"> FORMCHECKBOX </w:instrText>
                </w:r>
                <w:r>
                  <w:rPr>
                    <w:szCs w:val="24"/>
                  </w:rPr>
                </w:r>
                <w:r>
                  <w:rPr>
                    <w:szCs w:val="24"/>
                  </w:rPr>
                  <w:fldChar w:fldCharType="separate"/>
                </w:r>
                <w:r w:rsidR="00983485">
                  <w:rPr>
                    <w:szCs w:val="24"/>
                  </w:rPr>
                  <w:fldChar w:fldCharType="end"/>
                </w:r>
              </w:sdtContent>
            </w:sdt>
            <w:r w:rsidR="0036662A" w:rsidRPr="00315D2D">
              <w:rPr>
                <w:szCs w:val="24"/>
              </w:rPr>
              <w:t xml:space="preserve"> Ne</w:t>
            </w:r>
            <w:r w:rsidR="0036662A" w:rsidRPr="00E74302">
              <w:rPr>
                <w:szCs w:val="24"/>
              </w:rPr>
              <w:t xml:space="preserve"> </w:t>
            </w:r>
          </w:p>
        </w:tc>
      </w:tr>
    </w:tbl>
    <w:p w14:paraId="3E50DA31" w14:textId="77777777" w:rsidR="0036662A" w:rsidRPr="00E74302" w:rsidRDefault="0036662A" w:rsidP="0036662A">
      <w:pPr>
        <w:rPr>
          <w:szCs w:val="24"/>
        </w:rPr>
      </w:pPr>
    </w:p>
    <w:tbl>
      <w:tblPr>
        <w:tblStyle w:val="Lentelstinklelis"/>
        <w:tblW w:w="14912" w:type="dxa"/>
        <w:tblInd w:w="108" w:type="dxa"/>
        <w:tblLayout w:type="fixed"/>
        <w:tblLook w:val="04A0" w:firstRow="1" w:lastRow="0" w:firstColumn="1" w:lastColumn="0" w:noHBand="0" w:noVBand="1"/>
      </w:tblPr>
      <w:tblGrid>
        <w:gridCol w:w="596"/>
        <w:gridCol w:w="2977"/>
        <w:gridCol w:w="5812"/>
        <w:gridCol w:w="5527"/>
      </w:tblGrid>
      <w:tr w:rsidR="0036662A" w:rsidRPr="007F5143" w14:paraId="309321F7" w14:textId="77777777" w:rsidTr="00737DF3">
        <w:tc>
          <w:tcPr>
            <w:tcW w:w="596" w:type="dxa"/>
          </w:tcPr>
          <w:p w14:paraId="3ECF6B6F" w14:textId="77777777" w:rsidR="0036662A" w:rsidRPr="006002A7" w:rsidRDefault="0036662A" w:rsidP="008F5081">
            <w:pPr>
              <w:rPr>
                <w:bCs/>
                <w:szCs w:val="24"/>
              </w:rPr>
            </w:pPr>
            <w:r w:rsidRPr="006002A7">
              <w:rPr>
                <w:bCs/>
                <w:szCs w:val="24"/>
              </w:rPr>
              <w:t>Nr.</w:t>
            </w:r>
          </w:p>
        </w:tc>
        <w:tc>
          <w:tcPr>
            <w:tcW w:w="2977" w:type="dxa"/>
          </w:tcPr>
          <w:p w14:paraId="36594ECD" w14:textId="77777777" w:rsidR="0036662A" w:rsidRPr="006002A7" w:rsidRDefault="0036662A" w:rsidP="00817AE7">
            <w:pPr>
              <w:jc w:val="center"/>
              <w:rPr>
                <w:bCs/>
                <w:szCs w:val="24"/>
              </w:rPr>
            </w:pPr>
            <w:r w:rsidRPr="006002A7">
              <w:rPr>
                <w:bCs/>
                <w:szCs w:val="24"/>
              </w:rPr>
              <w:t>Institucija</w:t>
            </w:r>
          </w:p>
        </w:tc>
        <w:tc>
          <w:tcPr>
            <w:tcW w:w="5812" w:type="dxa"/>
          </w:tcPr>
          <w:p w14:paraId="1B30E145" w14:textId="77777777" w:rsidR="0036662A" w:rsidRPr="006002A7" w:rsidRDefault="0036662A" w:rsidP="00817AE7">
            <w:pPr>
              <w:jc w:val="center"/>
              <w:rPr>
                <w:bCs/>
                <w:szCs w:val="24"/>
              </w:rPr>
            </w:pPr>
            <w:r w:rsidRPr="006002A7">
              <w:rPr>
                <w:bCs/>
                <w:szCs w:val="24"/>
              </w:rPr>
              <w:t>Pastabos ir pasiūlymai</w:t>
            </w:r>
          </w:p>
        </w:tc>
        <w:tc>
          <w:tcPr>
            <w:tcW w:w="5527" w:type="dxa"/>
          </w:tcPr>
          <w:p w14:paraId="3D3EE2E4" w14:textId="77777777" w:rsidR="0036662A" w:rsidRPr="006002A7" w:rsidRDefault="0036662A" w:rsidP="00817AE7">
            <w:pPr>
              <w:jc w:val="center"/>
              <w:rPr>
                <w:bCs/>
                <w:szCs w:val="24"/>
              </w:rPr>
            </w:pPr>
            <w:r w:rsidRPr="006002A7">
              <w:rPr>
                <w:bCs/>
                <w:szCs w:val="24"/>
              </w:rPr>
              <w:t>Pastabų ir pasiūlymų vertinimas ir (jei taikoma) argumentai, kodėl neatsižvelgta į pastabas ar pasiūlymus</w:t>
            </w:r>
          </w:p>
        </w:tc>
      </w:tr>
      <w:tr w:rsidR="0036662A" w:rsidRPr="00E74302" w14:paraId="14E26D33" w14:textId="77777777" w:rsidTr="00737DF3">
        <w:tc>
          <w:tcPr>
            <w:tcW w:w="596" w:type="dxa"/>
          </w:tcPr>
          <w:p w14:paraId="178AD21B" w14:textId="654E0019" w:rsidR="007E64B4" w:rsidRPr="008F5081" w:rsidRDefault="00817AE7" w:rsidP="009258CB">
            <w:pPr>
              <w:contextualSpacing/>
            </w:pPr>
            <w:r>
              <w:t xml:space="preserve">  </w:t>
            </w:r>
            <w:r w:rsidR="00645B82">
              <w:t>1</w:t>
            </w:r>
            <w:r w:rsidR="00A07009">
              <w:t>.</w:t>
            </w:r>
          </w:p>
        </w:tc>
        <w:tc>
          <w:tcPr>
            <w:tcW w:w="2977" w:type="dxa"/>
          </w:tcPr>
          <w:p w14:paraId="43AB1353" w14:textId="21B3AD30" w:rsidR="0036662A" w:rsidRPr="00E74302" w:rsidRDefault="00B7673E" w:rsidP="00817AE7">
            <w:pPr>
              <w:rPr>
                <w:szCs w:val="24"/>
              </w:rPr>
            </w:pPr>
            <w:r w:rsidRPr="00B7673E">
              <w:rPr>
                <w:szCs w:val="24"/>
              </w:rPr>
              <w:t xml:space="preserve">UAB Viešųjų investicijų plėtros agentūra </w:t>
            </w:r>
            <w:r w:rsidR="001C312B">
              <w:rPr>
                <w:szCs w:val="24"/>
              </w:rPr>
              <w:t>(2020-0</w:t>
            </w:r>
            <w:r>
              <w:rPr>
                <w:szCs w:val="24"/>
              </w:rPr>
              <w:t>6</w:t>
            </w:r>
            <w:r w:rsidR="001C312B">
              <w:rPr>
                <w:szCs w:val="24"/>
              </w:rPr>
              <w:t>-</w:t>
            </w:r>
            <w:r>
              <w:rPr>
                <w:szCs w:val="24"/>
              </w:rPr>
              <w:t>15</w:t>
            </w:r>
            <w:r w:rsidR="001C312B">
              <w:rPr>
                <w:szCs w:val="24"/>
              </w:rPr>
              <w:t xml:space="preserve"> raštas Nr. </w:t>
            </w:r>
            <w:r w:rsidR="00194A60" w:rsidRPr="00194A60">
              <w:rPr>
                <w:szCs w:val="24"/>
              </w:rPr>
              <w:t>(</w:t>
            </w:r>
            <w:r w:rsidR="000D1A5F">
              <w:rPr>
                <w:szCs w:val="24"/>
              </w:rPr>
              <w:t>2020/2-877</w:t>
            </w:r>
            <w:r w:rsidR="00205F6E">
              <w:rPr>
                <w:szCs w:val="24"/>
              </w:rPr>
              <w:t>)</w:t>
            </w:r>
          </w:p>
        </w:tc>
        <w:tc>
          <w:tcPr>
            <w:tcW w:w="5812" w:type="dxa"/>
          </w:tcPr>
          <w:p w14:paraId="2FD9BB74" w14:textId="5D46BD1A" w:rsidR="00172399" w:rsidRPr="00172399" w:rsidRDefault="00172399" w:rsidP="00172399">
            <w:pPr>
              <w:jc w:val="both"/>
              <w:rPr>
                <w:szCs w:val="24"/>
              </w:rPr>
            </w:pPr>
            <w:r w:rsidRPr="00172399">
              <w:rPr>
                <w:szCs w:val="24"/>
              </w:rPr>
              <w:t xml:space="preserve">Pažymime, kad 2014–2020 m. Europos Sąjungos fondų investicijų veiksmų programos įgyvendinimo priemonės Nr. 04.3.1-FM-F-105 „Energijos vartojimo efektyvumo didinimas viešojoje infrastruktūroje“, pagal kurią įsteigtas ir įgyvendinamas Energijos efektyvumo fondas (toliau - ENEF), viešųjų pastatų modernizavimo finansinės priemonės įgyvendinimas ir finansavimas yra tiesiogiai susijęs ir derinamas su 2014–2020 m. Europos Sąjungos fondų investicijų veiksmų programos įgyvendinimo priemone Nr. 04.3.1-VIPA-T-113 „Valstybei nuosavybės teise priklausančių pastatų atnaujinimas (II)“ (toliau – 113 Priemonė). Vadovaujantis 2020 m. kovo 23 d. patvirtintu 113 Priemonės projektų finansavimo sąlygų aprašo pakeitimu ir 2020 m. kovo 24 d. paskelbtu kvietimu teikti paraiškas, viešųjų pastatų energinio efektyvumo didinimo projektai, atitinkantys 113 Priemonės projektų finansavimo sąlygų aprašo 11.2 p. nurodytą veiklą, bus finansuojami dalinai 113 Priemonės lėšomis ir dalinai – ENEF lėšomis. Darome prielaidą, kad tokių projektų, kurie </w:t>
            </w:r>
            <w:r w:rsidRPr="00172399">
              <w:rPr>
                <w:szCs w:val="24"/>
              </w:rPr>
              <w:lastRenderedPageBreak/>
              <w:t>teiktų paraiškas finansavimui gauti 100 proc. ENEF lėšomis (be 113 Priemonės dalinio finansavimo), nebus. Tai reikštų, kad, pasibaigus 113 Priemonės finansavimui numatytoms lėšoms, tai daro tiesioginę įtaką ENEF rodiklių pasiekimui.</w:t>
            </w:r>
          </w:p>
          <w:p w14:paraId="151135DD" w14:textId="64454AAD" w:rsidR="0036662A" w:rsidRPr="00E74302" w:rsidRDefault="00172399" w:rsidP="00172399">
            <w:pPr>
              <w:jc w:val="both"/>
              <w:rPr>
                <w:szCs w:val="24"/>
              </w:rPr>
            </w:pPr>
            <w:r w:rsidRPr="00172399">
              <w:rPr>
                <w:szCs w:val="24"/>
              </w:rPr>
              <w:t xml:space="preserve"> Atsižvelgiant į finansavimo ir projektų paraiškų situaciją birželio 15 d., bei į tai, kas išdėstyta, PIP keitimo projekte I skyriaus ketvirtojo skirsnio 5 punkte nurodyto rodiklio „Metinis pirminės energijos suvartojimo viešuosiuose pastatuose sumažėjimas“ reikšmę prašome pakeisti į 10</w:t>
            </w:r>
            <w:r w:rsidR="0067332B">
              <w:rPr>
                <w:szCs w:val="24"/>
              </w:rPr>
              <w:t>.</w:t>
            </w:r>
            <w:r w:rsidRPr="00172399">
              <w:rPr>
                <w:szCs w:val="24"/>
              </w:rPr>
              <w:t>543</w:t>
            </w:r>
            <w:r w:rsidR="0067332B">
              <w:rPr>
                <w:szCs w:val="24"/>
              </w:rPr>
              <w:t>.</w:t>
            </w:r>
            <w:r w:rsidRPr="00172399">
              <w:rPr>
                <w:szCs w:val="24"/>
              </w:rPr>
              <w:t>837,58 kWh/per metus.</w:t>
            </w:r>
          </w:p>
        </w:tc>
        <w:tc>
          <w:tcPr>
            <w:tcW w:w="5527" w:type="dxa"/>
          </w:tcPr>
          <w:p w14:paraId="0871EC66" w14:textId="77777777" w:rsidR="0085596C" w:rsidRDefault="000070DD" w:rsidP="009E6FBD">
            <w:pPr>
              <w:jc w:val="both"/>
              <w:rPr>
                <w:szCs w:val="24"/>
              </w:rPr>
            </w:pPr>
            <w:r w:rsidRPr="005E5911">
              <w:rPr>
                <w:b/>
                <w:bCs/>
                <w:szCs w:val="24"/>
              </w:rPr>
              <w:lastRenderedPageBreak/>
              <w:t>Atsižvelgta</w:t>
            </w:r>
            <w:r w:rsidR="005E5911" w:rsidRPr="005E5911">
              <w:rPr>
                <w:b/>
                <w:bCs/>
                <w:szCs w:val="24"/>
              </w:rPr>
              <w:t>.</w:t>
            </w:r>
            <w:r w:rsidR="0085596C" w:rsidRPr="0062595F">
              <w:rPr>
                <w:szCs w:val="24"/>
              </w:rPr>
              <w:t xml:space="preserve"> </w:t>
            </w:r>
          </w:p>
          <w:p w14:paraId="504C298A" w14:textId="2D3A44DB" w:rsidR="005E5911" w:rsidRPr="00E74302" w:rsidRDefault="00EC5F95" w:rsidP="009170CC">
            <w:pPr>
              <w:jc w:val="both"/>
              <w:rPr>
                <w:szCs w:val="24"/>
              </w:rPr>
            </w:pPr>
            <w:r>
              <w:rPr>
                <w:szCs w:val="24"/>
              </w:rPr>
              <w:t>A</w:t>
            </w:r>
            <w:r w:rsidR="006D545B">
              <w:rPr>
                <w:szCs w:val="24"/>
              </w:rPr>
              <w:t xml:space="preserve">tsižvelgiant į tai, kad </w:t>
            </w:r>
            <w:r w:rsidR="000F61B6">
              <w:rPr>
                <w:szCs w:val="24"/>
              </w:rPr>
              <w:t xml:space="preserve">prie </w:t>
            </w:r>
            <w:r w:rsidR="006D545B">
              <w:rPr>
                <w:szCs w:val="24"/>
              </w:rPr>
              <w:t>šio rodikli</w:t>
            </w:r>
            <w:r w:rsidR="000F61B6">
              <w:rPr>
                <w:szCs w:val="24"/>
              </w:rPr>
              <w:t>o</w:t>
            </w:r>
            <w:r w:rsidR="004E7A9D">
              <w:t xml:space="preserve"> </w:t>
            </w:r>
            <w:r w:rsidR="004E7A9D" w:rsidRPr="004E7A9D">
              <w:rPr>
                <w:szCs w:val="24"/>
              </w:rPr>
              <w:t xml:space="preserve">P.B.232 </w:t>
            </w:r>
            <w:r w:rsidR="000F61B6">
              <w:rPr>
                <w:szCs w:val="24"/>
              </w:rPr>
              <w:t xml:space="preserve"> pasiekimo prisideda</w:t>
            </w:r>
            <w:r w:rsidR="006D545B">
              <w:rPr>
                <w:szCs w:val="24"/>
              </w:rPr>
              <w:t xml:space="preserve"> </w:t>
            </w:r>
            <w:r w:rsidR="000F61B6">
              <w:rPr>
                <w:szCs w:val="24"/>
              </w:rPr>
              <w:t>ir</w:t>
            </w:r>
            <w:r w:rsidR="00E05BFD">
              <w:rPr>
                <w:szCs w:val="24"/>
              </w:rPr>
              <w:t xml:space="preserve"> priemonės- </w:t>
            </w:r>
            <w:r w:rsidR="006D545B" w:rsidRPr="006D545B">
              <w:rPr>
                <w:szCs w:val="24"/>
              </w:rPr>
              <w:t>04.3.1-VIPA-T-113</w:t>
            </w:r>
            <w:r w:rsidR="00E05BFD">
              <w:rPr>
                <w:szCs w:val="24"/>
              </w:rPr>
              <w:t xml:space="preserve">, </w:t>
            </w:r>
            <w:r w:rsidR="00E05BFD" w:rsidRPr="006D545B">
              <w:rPr>
                <w:szCs w:val="24"/>
              </w:rPr>
              <w:t>04.3.1-VIPA-</w:t>
            </w:r>
            <w:r w:rsidR="00E05BFD">
              <w:rPr>
                <w:szCs w:val="24"/>
              </w:rPr>
              <w:t>V</w:t>
            </w:r>
            <w:r w:rsidR="00E05BFD" w:rsidRPr="006D545B">
              <w:rPr>
                <w:szCs w:val="24"/>
              </w:rPr>
              <w:t>-1</w:t>
            </w:r>
            <w:r w:rsidR="00E05BFD">
              <w:rPr>
                <w:szCs w:val="24"/>
              </w:rPr>
              <w:t>01</w:t>
            </w:r>
            <w:r w:rsidR="000F61B6">
              <w:rPr>
                <w:szCs w:val="24"/>
              </w:rPr>
              <w:t xml:space="preserve"> bei įvertinu</w:t>
            </w:r>
            <w:r w:rsidR="00D8105D">
              <w:rPr>
                <w:szCs w:val="24"/>
              </w:rPr>
              <w:t>s</w:t>
            </w:r>
            <w:r w:rsidR="000F61B6">
              <w:rPr>
                <w:szCs w:val="24"/>
              </w:rPr>
              <w:t xml:space="preserve"> jų</w:t>
            </w:r>
            <w:r w:rsidR="00E678BA">
              <w:rPr>
                <w:szCs w:val="24"/>
              </w:rPr>
              <w:t xml:space="preserve"> siektinas reikšmes,</w:t>
            </w:r>
            <w:r w:rsidR="00D8105D">
              <w:rPr>
                <w:szCs w:val="24"/>
              </w:rPr>
              <w:t xml:space="preserve"> bei tai, kad </w:t>
            </w:r>
            <w:r w:rsidR="00A34AE4">
              <w:rPr>
                <w:szCs w:val="24"/>
              </w:rPr>
              <w:t xml:space="preserve">jos bendrai pasieks Veiksmų programos pakeitime nurodytą </w:t>
            </w:r>
            <w:r w:rsidR="004E7A9D">
              <w:rPr>
                <w:szCs w:val="24"/>
              </w:rPr>
              <w:t>bendrą P.B.</w:t>
            </w:r>
            <w:r w:rsidR="004E7A9D">
              <w:rPr>
                <w:szCs w:val="24"/>
                <w:lang w:val="en-GB"/>
              </w:rPr>
              <w:t xml:space="preserve">232 </w:t>
            </w:r>
            <w:r w:rsidR="00A34AE4">
              <w:rPr>
                <w:szCs w:val="24"/>
              </w:rPr>
              <w:t>reikšmę,</w:t>
            </w:r>
            <w:r w:rsidR="00E678BA">
              <w:rPr>
                <w:szCs w:val="24"/>
              </w:rPr>
              <w:t xml:space="preserve"> pritariame pastabai.</w:t>
            </w:r>
          </w:p>
        </w:tc>
      </w:tr>
      <w:tr w:rsidR="00E678BA" w:rsidRPr="00E74302" w14:paraId="0FAAAA5B" w14:textId="77777777" w:rsidTr="00737DF3">
        <w:tc>
          <w:tcPr>
            <w:tcW w:w="596" w:type="dxa"/>
          </w:tcPr>
          <w:p w14:paraId="4CEDD57C" w14:textId="1BFAB5A6" w:rsidR="00E678BA" w:rsidRDefault="00AF55F4" w:rsidP="00E678BA">
            <w:pPr>
              <w:contextualSpacing/>
            </w:pPr>
            <w:r>
              <w:t>2.</w:t>
            </w:r>
          </w:p>
        </w:tc>
        <w:tc>
          <w:tcPr>
            <w:tcW w:w="2977" w:type="dxa"/>
          </w:tcPr>
          <w:p w14:paraId="5B23D880" w14:textId="389156A9" w:rsidR="00E678BA" w:rsidRPr="00B7673E" w:rsidRDefault="00E678BA" w:rsidP="00E678BA">
            <w:pPr>
              <w:rPr>
                <w:szCs w:val="24"/>
              </w:rPr>
            </w:pPr>
            <w:r w:rsidRPr="00B7673E">
              <w:rPr>
                <w:szCs w:val="24"/>
              </w:rPr>
              <w:t xml:space="preserve">UAB Viešųjų investicijų plėtros agentūra </w:t>
            </w:r>
            <w:r>
              <w:rPr>
                <w:szCs w:val="24"/>
              </w:rPr>
              <w:t xml:space="preserve">(2020-06-15 raštas Nr. </w:t>
            </w:r>
            <w:r w:rsidRPr="00194A60">
              <w:rPr>
                <w:szCs w:val="24"/>
              </w:rPr>
              <w:t>(</w:t>
            </w:r>
            <w:r>
              <w:rPr>
                <w:szCs w:val="24"/>
              </w:rPr>
              <w:t>2020/2-877)</w:t>
            </w:r>
          </w:p>
        </w:tc>
        <w:tc>
          <w:tcPr>
            <w:tcW w:w="5812" w:type="dxa"/>
          </w:tcPr>
          <w:p w14:paraId="3CFC5E9F" w14:textId="679C6641" w:rsidR="00E678BA" w:rsidRPr="007B6591" w:rsidRDefault="00E678BA" w:rsidP="00E678BA">
            <w:pPr>
              <w:jc w:val="both"/>
              <w:rPr>
                <w:szCs w:val="24"/>
              </w:rPr>
            </w:pPr>
            <w:r w:rsidRPr="007B6591">
              <w:rPr>
                <w:szCs w:val="24"/>
              </w:rPr>
              <w:t>Atkreipiame dėmesį, kad PIP keitimo projekte nurodytas rodiklis „Bendras metinis šiltnamio efektą sukeliančių dujų kiekio sumažėjimas – 3 623 t CO2 ekvivalentu“ negalės būti pasiektas, nes pasikeitė šio rodiklio faktinės reikšmės: įprasta buvo skaičiuoti, kad  sutaupyta centralizuotai tiekiamos šilumos 1 MWh sutaupydavo 0,233 t CO2, tačiau ši prielaida buvo pakeista - Lietuvoje vykdomiems projektams taikomi tipiniai taršos faktoriai, kiekvienai deginamo kuro rūšiai naudojamos vertės yra nurodytos Statybos techninio reglamento STR 2.01.02:2016 „Pastatų energinio naudingumo projektavimas ir sertifikavimas“, patvirtinto Lietuvos Respublikos aplinkos ministro 2016 m. lapkričio 11 d.  įsakymu Nr. D1-754 „Dėl statybos techninio reglamento STR 2.01.02:2016 „Pastatų energinio naudingumo projektavimas ir sertifikavimas“ patvirtinimo“ 2 priedo 2.18 lentelėje. Pagal 2.18 lentelę vidutinis taršos faktorius, kai šiluma tiekiama iš šilumos tinklų, yra 0,1 t CO2/MWh, t. y. 2,33 karto mažesnis nei buvo seniau. Minėtas pasikeitimas lemia, kad bus pasiekti gerokai mažesni rodiklio „Bendras metinis šiltnamio efektą sukeliančių dujų kiekio sumažėjimas“ rezultatai.</w:t>
            </w:r>
          </w:p>
          <w:p w14:paraId="38C6DB52" w14:textId="77777777" w:rsidR="00E678BA" w:rsidRPr="007B6591" w:rsidRDefault="00E678BA" w:rsidP="00E678BA">
            <w:pPr>
              <w:jc w:val="both"/>
              <w:rPr>
                <w:szCs w:val="24"/>
              </w:rPr>
            </w:pPr>
            <w:r w:rsidRPr="007B6591">
              <w:rPr>
                <w:szCs w:val="24"/>
              </w:rPr>
              <w:t xml:space="preserve">Atsižvelgiant į tai, kas išdėstyta, bei atsižvelgiant į finansavimo ir projektų paraiškų situaciją birželio 15 d., PIP keitimo projekte I skyriaus ketvirtojo skirsnio 5 punkte nurodyto rodiklio „Bendras metinis šiltnamio efektą </w:t>
            </w:r>
            <w:r w:rsidRPr="007B6591">
              <w:rPr>
                <w:szCs w:val="24"/>
              </w:rPr>
              <w:lastRenderedPageBreak/>
              <w:t>sukeliančių dujų kiekio sumažėjimas“ reikšmę prašome pakeisti į 1 471,87 t CO2 (iš kurių viešųjų pastatų modernizavimo pasiekta dalis - 1 084,87 t CO2).</w:t>
            </w:r>
          </w:p>
          <w:p w14:paraId="09359A45" w14:textId="7463FD86" w:rsidR="00E678BA" w:rsidRPr="00172399" w:rsidRDefault="00E678BA" w:rsidP="00E678BA">
            <w:pPr>
              <w:jc w:val="both"/>
              <w:rPr>
                <w:szCs w:val="24"/>
              </w:rPr>
            </w:pPr>
            <w:r w:rsidRPr="007B6591">
              <w:rPr>
                <w:szCs w:val="24"/>
              </w:rPr>
              <w:t>Pastebėtina, kad jeigu būtų padidinta 113 Priemonės finansavimo lėšų suma bei ir toliau tęsiamos šiuo metu paskelbto kvietimo teikti paraiškas pagal 113 Priemonę finansavimo sąlygos (113 Priemonės projektų finansavimo sąlygų aprašo 11.2 p. nurodytai veiklai), rodiklių „Metinis pirminės energijos suvartojimo viešuosiuose pastatuose sumažėjimas“ ir „Bendras metinis šiltnamio efektą sukeliančių dujų kiekio sumažėjimas“ reikšmės galėtų būti peržiūrėtos (preliminariai vertinant, šių rodiklių reikšmės galėtų būti atitinkamai 17 462 156 kWh/per metus ir 2 527,6 t CO2).</w:t>
            </w:r>
          </w:p>
        </w:tc>
        <w:tc>
          <w:tcPr>
            <w:tcW w:w="5527" w:type="dxa"/>
          </w:tcPr>
          <w:p w14:paraId="161D9A1E" w14:textId="5FCD2777" w:rsidR="00E678BA" w:rsidRDefault="00E678BA" w:rsidP="00E678BA">
            <w:pPr>
              <w:jc w:val="both"/>
              <w:rPr>
                <w:szCs w:val="24"/>
              </w:rPr>
            </w:pPr>
            <w:r>
              <w:rPr>
                <w:b/>
                <w:bCs/>
                <w:szCs w:val="24"/>
              </w:rPr>
              <w:lastRenderedPageBreak/>
              <w:t>Nea</w:t>
            </w:r>
            <w:r w:rsidRPr="005E5911">
              <w:rPr>
                <w:b/>
                <w:bCs/>
                <w:szCs w:val="24"/>
              </w:rPr>
              <w:t>tsižvelgta.</w:t>
            </w:r>
            <w:r w:rsidRPr="0062595F">
              <w:rPr>
                <w:szCs w:val="24"/>
              </w:rPr>
              <w:t xml:space="preserve"> </w:t>
            </w:r>
          </w:p>
          <w:p w14:paraId="2B84F454" w14:textId="5B42E21F" w:rsidR="00866DA4" w:rsidRDefault="00090894" w:rsidP="00E678BA">
            <w:pPr>
              <w:jc w:val="both"/>
              <w:rPr>
                <w:szCs w:val="24"/>
              </w:rPr>
            </w:pPr>
            <w:r>
              <w:rPr>
                <w:szCs w:val="24"/>
              </w:rPr>
              <w:t xml:space="preserve">PĮP </w:t>
            </w:r>
            <w:r w:rsidR="0058045E">
              <w:rPr>
                <w:szCs w:val="24"/>
              </w:rPr>
              <w:t xml:space="preserve">keičiamas pagal atliktą </w:t>
            </w:r>
            <w:r>
              <w:rPr>
                <w:szCs w:val="24"/>
              </w:rPr>
              <w:t>V</w:t>
            </w:r>
            <w:r w:rsidR="0058045E">
              <w:rPr>
                <w:szCs w:val="24"/>
              </w:rPr>
              <w:t xml:space="preserve">eiksmų programos pakeitimą, kuris buvo </w:t>
            </w:r>
            <w:r w:rsidR="007A3269">
              <w:rPr>
                <w:szCs w:val="24"/>
              </w:rPr>
              <w:t xml:space="preserve">parengtas 2020-03-09 ir </w:t>
            </w:r>
            <w:r w:rsidR="005C2535">
              <w:rPr>
                <w:szCs w:val="24"/>
              </w:rPr>
              <w:t>2020-04-03 ir pateiktas LR finansų ministerijai</w:t>
            </w:r>
            <w:r w:rsidR="00403B1E">
              <w:rPr>
                <w:szCs w:val="24"/>
              </w:rPr>
              <w:t xml:space="preserve"> </w:t>
            </w:r>
            <w:r w:rsidR="00667897">
              <w:rPr>
                <w:szCs w:val="24"/>
              </w:rPr>
              <w:t>bei</w:t>
            </w:r>
            <w:r w:rsidR="00403B1E">
              <w:rPr>
                <w:szCs w:val="24"/>
              </w:rPr>
              <w:t xml:space="preserve"> </w:t>
            </w:r>
            <w:r w:rsidR="009B4D91">
              <w:rPr>
                <w:szCs w:val="24"/>
              </w:rPr>
              <w:t>patvi</w:t>
            </w:r>
            <w:r w:rsidR="00667897">
              <w:rPr>
                <w:szCs w:val="24"/>
              </w:rPr>
              <w:t xml:space="preserve">rtintas </w:t>
            </w:r>
            <w:r w:rsidR="009B4D91" w:rsidRPr="009B4D91">
              <w:rPr>
                <w:szCs w:val="24"/>
              </w:rPr>
              <w:t>2020 m gegužės 13 d. 2014–2020 metų Europos Sąjungos fondų investicijų veiksmų programos stebėsenos komiteto posėdžio protokoliniu sprendimu</w:t>
            </w:r>
            <w:r w:rsidR="00667897">
              <w:rPr>
                <w:szCs w:val="24"/>
              </w:rPr>
              <w:t xml:space="preserve">. </w:t>
            </w:r>
          </w:p>
          <w:p w14:paraId="41B17987" w14:textId="55D37038" w:rsidR="009E7370" w:rsidRDefault="003E100A" w:rsidP="00E678BA">
            <w:pPr>
              <w:jc w:val="both"/>
              <w:rPr>
                <w:szCs w:val="24"/>
              </w:rPr>
            </w:pPr>
            <w:r>
              <w:rPr>
                <w:szCs w:val="24"/>
              </w:rPr>
              <w:t xml:space="preserve">Priemonės </w:t>
            </w:r>
            <w:r w:rsidRPr="00A34AE4">
              <w:rPr>
                <w:szCs w:val="24"/>
              </w:rPr>
              <w:t>04.3.1-FM-F-105</w:t>
            </w:r>
            <w:r>
              <w:rPr>
                <w:szCs w:val="24"/>
              </w:rPr>
              <w:t xml:space="preserve"> </w:t>
            </w:r>
            <w:r w:rsidR="001D1DDC">
              <w:rPr>
                <w:szCs w:val="24"/>
              </w:rPr>
              <w:t>rodiklis „</w:t>
            </w:r>
            <w:r w:rsidR="00801BE7">
              <w:rPr>
                <w:szCs w:val="24"/>
              </w:rPr>
              <w:t>B</w:t>
            </w:r>
            <w:r w:rsidR="00801BE7" w:rsidRPr="00801BE7">
              <w:rPr>
                <w:szCs w:val="24"/>
              </w:rPr>
              <w:t>endras metinis šiltnamio efektą sukeliančių dujų kiekio sumažėjimas</w:t>
            </w:r>
            <w:r w:rsidR="001D1DDC">
              <w:rPr>
                <w:szCs w:val="24"/>
              </w:rPr>
              <w:t>“</w:t>
            </w:r>
            <w:r w:rsidR="00801BE7" w:rsidRPr="00801BE7">
              <w:rPr>
                <w:szCs w:val="24"/>
              </w:rPr>
              <w:t xml:space="preserve"> </w:t>
            </w:r>
            <w:r w:rsidR="00881010">
              <w:rPr>
                <w:szCs w:val="24"/>
              </w:rPr>
              <w:t xml:space="preserve"> </w:t>
            </w:r>
            <w:r w:rsidR="00637CC2">
              <w:rPr>
                <w:szCs w:val="24"/>
              </w:rPr>
              <w:t>iki Veiksmų programos pakeitimo buvo</w:t>
            </w:r>
            <w:r w:rsidR="00881010">
              <w:rPr>
                <w:szCs w:val="24"/>
              </w:rPr>
              <w:t xml:space="preserve"> </w:t>
            </w:r>
            <w:r w:rsidR="00801BE7" w:rsidRPr="00801BE7">
              <w:rPr>
                <w:szCs w:val="24"/>
              </w:rPr>
              <w:t xml:space="preserve">10 400 </w:t>
            </w:r>
            <w:r w:rsidR="00F1166C">
              <w:rPr>
                <w:szCs w:val="24"/>
              </w:rPr>
              <w:t>tCO</w:t>
            </w:r>
            <w:r w:rsidR="00F1166C" w:rsidRPr="00F1166C">
              <w:rPr>
                <w:szCs w:val="24"/>
                <w:vertAlign w:val="subscript"/>
              </w:rPr>
              <w:t>2</w:t>
            </w:r>
            <w:r w:rsidR="00F1166C">
              <w:rPr>
                <w:szCs w:val="24"/>
              </w:rPr>
              <w:t xml:space="preserve"> ekvivalentu </w:t>
            </w:r>
            <w:r w:rsidR="00892C3A">
              <w:rPr>
                <w:szCs w:val="24"/>
              </w:rPr>
              <w:t xml:space="preserve">ir sumažinus finansavimą, </w:t>
            </w:r>
            <w:r w:rsidR="00801BE7" w:rsidRPr="00801BE7">
              <w:rPr>
                <w:szCs w:val="24"/>
              </w:rPr>
              <w:t xml:space="preserve">buvo </w:t>
            </w:r>
            <w:r w:rsidR="00892C3A">
              <w:rPr>
                <w:szCs w:val="24"/>
              </w:rPr>
              <w:t xml:space="preserve">atitinkamai </w:t>
            </w:r>
            <w:r w:rsidR="009E7370">
              <w:rPr>
                <w:szCs w:val="24"/>
              </w:rPr>
              <w:t>per</w:t>
            </w:r>
            <w:r w:rsidR="00801BE7" w:rsidRPr="00801BE7">
              <w:rPr>
                <w:szCs w:val="24"/>
              </w:rPr>
              <w:t>skaičiuotas proporcingai</w:t>
            </w:r>
            <w:r w:rsidR="00A34AE4">
              <w:rPr>
                <w:szCs w:val="24"/>
              </w:rPr>
              <w:t xml:space="preserve"> </w:t>
            </w:r>
            <w:r w:rsidR="00801BE7" w:rsidRPr="00801BE7">
              <w:rPr>
                <w:szCs w:val="24"/>
              </w:rPr>
              <w:t>mažėjančiai sumai</w:t>
            </w:r>
            <w:r w:rsidR="00892C3A" w:rsidRPr="00801BE7">
              <w:rPr>
                <w:szCs w:val="24"/>
              </w:rPr>
              <w:t xml:space="preserve"> iki 3623</w:t>
            </w:r>
            <w:r w:rsidR="009E7370">
              <w:rPr>
                <w:szCs w:val="24"/>
              </w:rPr>
              <w:t xml:space="preserve"> tCO</w:t>
            </w:r>
            <w:r w:rsidR="009E7370" w:rsidRPr="00F1166C">
              <w:rPr>
                <w:szCs w:val="24"/>
                <w:vertAlign w:val="subscript"/>
              </w:rPr>
              <w:t>2</w:t>
            </w:r>
            <w:r w:rsidR="009E7370">
              <w:rPr>
                <w:szCs w:val="24"/>
              </w:rPr>
              <w:t xml:space="preserve"> ekvivalentu</w:t>
            </w:r>
            <w:r w:rsidR="00801BE7" w:rsidRPr="00801BE7">
              <w:rPr>
                <w:szCs w:val="24"/>
              </w:rPr>
              <w:t>.</w:t>
            </w:r>
            <w:r w:rsidR="00881010">
              <w:rPr>
                <w:szCs w:val="24"/>
              </w:rPr>
              <w:t xml:space="preserve"> </w:t>
            </w:r>
          </w:p>
          <w:p w14:paraId="686BEE87" w14:textId="7A7B4E48" w:rsidR="00E678BA" w:rsidRPr="005E5911" w:rsidRDefault="00881010" w:rsidP="00E678BA">
            <w:pPr>
              <w:jc w:val="both"/>
              <w:rPr>
                <w:b/>
                <w:bCs/>
                <w:szCs w:val="24"/>
              </w:rPr>
            </w:pPr>
            <w:r>
              <w:rPr>
                <w:szCs w:val="24"/>
              </w:rPr>
              <w:t xml:space="preserve">Atkreipiame dėmesį, kad </w:t>
            </w:r>
            <w:r w:rsidR="00376976">
              <w:rPr>
                <w:szCs w:val="24"/>
              </w:rPr>
              <w:t>rengiant</w:t>
            </w:r>
            <w:r w:rsidR="006C7389">
              <w:rPr>
                <w:szCs w:val="24"/>
              </w:rPr>
              <w:t xml:space="preserve"> Veiksmų programos pakeitimą</w:t>
            </w:r>
            <w:r w:rsidR="009E7370">
              <w:rPr>
                <w:szCs w:val="24"/>
              </w:rPr>
              <w:t>,</w:t>
            </w:r>
            <w:r w:rsidR="006C7389">
              <w:rPr>
                <w:szCs w:val="24"/>
              </w:rPr>
              <w:t xml:space="preserve"> </w:t>
            </w:r>
            <w:r w:rsidR="00AA2FE7">
              <w:rPr>
                <w:szCs w:val="24"/>
              </w:rPr>
              <w:t xml:space="preserve"> </w:t>
            </w:r>
            <w:r w:rsidR="00AA2FE7" w:rsidRPr="00377059">
              <w:rPr>
                <w:szCs w:val="24"/>
              </w:rPr>
              <w:t>UAB Viešųjų investicijų plėtros agentūr</w:t>
            </w:r>
            <w:r w:rsidR="00AA2FE7">
              <w:rPr>
                <w:szCs w:val="24"/>
              </w:rPr>
              <w:t xml:space="preserve">a </w:t>
            </w:r>
            <w:r w:rsidR="007C0AB3">
              <w:rPr>
                <w:szCs w:val="24"/>
              </w:rPr>
              <w:t>pasiūl</w:t>
            </w:r>
            <w:r w:rsidR="00AA2FE7">
              <w:rPr>
                <w:szCs w:val="24"/>
              </w:rPr>
              <w:t>ė</w:t>
            </w:r>
            <w:r w:rsidR="007C0AB3">
              <w:rPr>
                <w:szCs w:val="24"/>
              </w:rPr>
              <w:t xml:space="preserve"> </w:t>
            </w:r>
            <w:r w:rsidR="00CA73C7">
              <w:rPr>
                <w:szCs w:val="24"/>
              </w:rPr>
              <w:t>šio rodiklio reikšm</w:t>
            </w:r>
            <w:r w:rsidR="002E7F6E">
              <w:rPr>
                <w:szCs w:val="24"/>
              </w:rPr>
              <w:t>ei</w:t>
            </w:r>
            <w:r w:rsidR="00E203FD">
              <w:rPr>
                <w:szCs w:val="24"/>
              </w:rPr>
              <w:t xml:space="preserve"> taikyti</w:t>
            </w:r>
            <w:bookmarkStart w:id="1" w:name="_GoBack"/>
            <w:bookmarkEnd w:id="1"/>
            <w:r w:rsidR="00CA73C7">
              <w:rPr>
                <w:szCs w:val="24"/>
              </w:rPr>
              <w:t xml:space="preserve"> </w:t>
            </w:r>
            <w:r w:rsidR="007C0AB3">
              <w:rPr>
                <w:szCs w:val="24"/>
              </w:rPr>
              <w:t xml:space="preserve">proporcingo išskaičiavimo </w:t>
            </w:r>
            <w:r w:rsidR="00AA2FE7">
              <w:rPr>
                <w:szCs w:val="24"/>
              </w:rPr>
              <w:t>būdą</w:t>
            </w:r>
            <w:r w:rsidR="00CA73C7">
              <w:rPr>
                <w:szCs w:val="24"/>
              </w:rPr>
              <w:t xml:space="preserve"> ir </w:t>
            </w:r>
            <w:r w:rsidR="006C7389">
              <w:rPr>
                <w:szCs w:val="24"/>
              </w:rPr>
              <w:t>nebuvo gaut</w:t>
            </w:r>
            <w:r w:rsidR="00377059">
              <w:rPr>
                <w:szCs w:val="24"/>
              </w:rPr>
              <w:t xml:space="preserve">a pastabų </w:t>
            </w:r>
            <w:r w:rsidR="00ED5EC9">
              <w:rPr>
                <w:szCs w:val="24"/>
              </w:rPr>
              <w:t xml:space="preserve">susijusių su </w:t>
            </w:r>
            <w:r w:rsidR="00516FF4">
              <w:rPr>
                <w:szCs w:val="24"/>
              </w:rPr>
              <w:t>skaičiavim</w:t>
            </w:r>
            <w:r w:rsidR="00CA1755">
              <w:rPr>
                <w:szCs w:val="24"/>
              </w:rPr>
              <w:t>ų pa</w:t>
            </w:r>
            <w:r w:rsidR="00C24015">
              <w:rPr>
                <w:szCs w:val="24"/>
              </w:rPr>
              <w:t>si</w:t>
            </w:r>
            <w:r w:rsidR="00CA1755">
              <w:rPr>
                <w:szCs w:val="24"/>
              </w:rPr>
              <w:t>keitimu</w:t>
            </w:r>
            <w:r w:rsidR="00FC051D">
              <w:rPr>
                <w:szCs w:val="24"/>
              </w:rPr>
              <w:t xml:space="preserve"> pagal </w:t>
            </w:r>
            <w:r w:rsidR="005B12B7" w:rsidRPr="005B12B7">
              <w:rPr>
                <w:szCs w:val="24"/>
              </w:rPr>
              <w:t>2016 m. gruodžio 11 d.</w:t>
            </w:r>
            <w:r w:rsidR="00377059">
              <w:rPr>
                <w:szCs w:val="24"/>
              </w:rPr>
              <w:t xml:space="preserve"> </w:t>
            </w:r>
            <w:r w:rsidR="00257253">
              <w:rPr>
                <w:szCs w:val="24"/>
              </w:rPr>
              <w:t>LR aplinkos ministro įsakym</w:t>
            </w:r>
            <w:r w:rsidR="00F732EA">
              <w:rPr>
                <w:szCs w:val="24"/>
              </w:rPr>
              <w:t>u</w:t>
            </w:r>
            <w:r w:rsidR="007A4978" w:rsidRPr="005B12B7">
              <w:rPr>
                <w:szCs w:val="24"/>
              </w:rPr>
              <w:t xml:space="preserve"> Nr. D1-754</w:t>
            </w:r>
            <w:r w:rsidR="00F732EA">
              <w:rPr>
                <w:szCs w:val="24"/>
              </w:rPr>
              <w:t xml:space="preserve"> </w:t>
            </w:r>
            <w:r w:rsidR="0095404E">
              <w:rPr>
                <w:szCs w:val="24"/>
              </w:rPr>
              <w:t xml:space="preserve">patvirtinto </w:t>
            </w:r>
            <w:r w:rsidR="00952B95" w:rsidRPr="00952B95">
              <w:rPr>
                <w:szCs w:val="24"/>
              </w:rPr>
              <w:t>STR 2.01.02:2016 „Pastatų energinio naudingumo projektavimas ir sertifikavimas“</w:t>
            </w:r>
            <w:r w:rsidR="00952B95">
              <w:rPr>
                <w:szCs w:val="24"/>
              </w:rPr>
              <w:t xml:space="preserve"> 2.18 lentel</w:t>
            </w:r>
            <w:r w:rsidR="00FC051D">
              <w:rPr>
                <w:szCs w:val="24"/>
              </w:rPr>
              <w:t>ę</w:t>
            </w:r>
            <w:r w:rsidR="00CA73C7">
              <w:rPr>
                <w:szCs w:val="24"/>
              </w:rPr>
              <w:t>.</w:t>
            </w:r>
            <w:r w:rsidR="00783381">
              <w:rPr>
                <w:szCs w:val="24"/>
              </w:rPr>
              <w:t xml:space="preserve"> </w:t>
            </w:r>
          </w:p>
        </w:tc>
      </w:tr>
      <w:tr w:rsidR="00E678BA" w:rsidRPr="00E74302" w14:paraId="349F1273" w14:textId="77777777" w:rsidTr="00737DF3">
        <w:tc>
          <w:tcPr>
            <w:tcW w:w="596" w:type="dxa"/>
          </w:tcPr>
          <w:p w14:paraId="0B26F266" w14:textId="27DF9A07" w:rsidR="00E678BA" w:rsidRDefault="00AF55F4" w:rsidP="00E678BA">
            <w:pPr>
              <w:contextualSpacing/>
            </w:pPr>
            <w:r>
              <w:t>3.</w:t>
            </w:r>
          </w:p>
        </w:tc>
        <w:tc>
          <w:tcPr>
            <w:tcW w:w="2977" w:type="dxa"/>
          </w:tcPr>
          <w:p w14:paraId="702DF4B0" w14:textId="232D847D" w:rsidR="00E678BA" w:rsidRPr="00B7673E" w:rsidRDefault="00E678BA" w:rsidP="00E678BA">
            <w:pPr>
              <w:rPr>
                <w:szCs w:val="24"/>
              </w:rPr>
            </w:pPr>
            <w:r w:rsidRPr="00B7673E">
              <w:rPr>
                <w:szCs w:val="24"/>
              </w:rPr>
              <w:t xml:space="preserve">UAB Viešųjų investicijų plėtros agentūra </w:t>
            </w:r>
            <w:r>
              <w:rPr>
                <w:szCs w:val="24"/>
              </w:rPr>
              <w:t xml:space="preserve">(2020-06-15 raštas Nr. </w:t>
            </w:r>
            <w:r w:rsidRPr="00194A60">
              <w:rPr>
                <w:szCs w:val="24"/>
              </w:rPr>
              <w:t>(</w:t>
            </w:r>
            <w:r>
              <w:rPr>
                <w:szCs w:val="24"/>
              </w:rPr>
              <w:t>2020/2-877)</w:t>
            </w:r>
          </w:p>
        </w:tc>
        <w:tc>
          <w:tcPr>
            <w:tcW w:w="5812" w:type="dxa"/>
          </w:tcPr>
          <w:p w14:paraId="2E1108A3" w14:textId="400A6793" w:rsidR="00E678BA" w:rsidRPr="007B6591" w:rsidRDefault="00E678BA" w:rsidP="00E678BA">
            <w:pPr>
              <w:jc w:val="both"/>
              <w:rPr>
                <w:szCs w:val="24"/>
              </w:rPr>
            </w:pPr>
            <w:r w:rsidRPr="003676D0">
              <w:rPr>
                <w:szCs w:val="24"/>
              </w:rPr>
              <w:t>Atkreipiame dėmesį, kad pagal pasikeitusias finansavimo sąlygas, ENEF planuoja pritraukti iki 1 055 983,14 Eur privačių lėšų (per ETPT sutartis  - 555 983,14 Eur, garantijų mechanizme – 500 000 Eur), todėl prašome I skyriaus ketvirtojo skirsnio 6 punkte nustatytuose finansavimo šaltiniuose privačių lėšų dydį sumažinti iki 1 055 983,14 Eur.</w:t>
            </w:r>
          </w:p>
        </w:tc>
        <w:tc>
          <w:tcPr>
            <w:tcW w:w="5527" w:type="dxa"/>
          </w:tcPr>
          <w:p w14:paraId="5E852310" w14:textId="04255ACC" w:rsidR="00E678BA" w:rsidRPr="005E5911" w:rsidRDefault="00501B0C" w:rsidP="00E678BA">
            <w:pPr>
              <w:jc w:val="both"/>
              <w:rPr>
                <w:b/>
                <w:bCs/>
                <w:szCs w:val="24"/>
              </w:rPr>
            </w:pPr>
            <w:r w:rsidRPr="00501B0C">
              <w:rPr>
                <w:b/>
                <w:bCs/>
                <w:szCs w:val="24"/>
              </w:rPr>
              <w:t>Atsižvelgta.</w:t>
            </w:r>
          </w:p>
        </w:tc>
      </w:tr>
    </w:tbl>
    <w:p w14:paraId="3D391229" w14:textId="05091513" w:rsidR="005C5ECB" w:rsidRPr="00E74302" w:rsidRDefault="005C5ECB">
      <w:pPr>
        <w:rPr>
          <w:b/>
          <w:bCs/>
          <w:caps/>
          <w:szCs w:val="24"/>
        </w:rPr>
      </w:pPr>
    </w:p>
    <w:sectPr w:rsidR="005C5ECB" w:rsidRPr="00E74302"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1"/>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0DD"/>
    <w:rsid w:val="00007EAA"/>
    <w:rsid w:val="00011263"/>
    <w:rsid w:val="00011B34"/>
    <w:rsid w:val="00012078"/>
    <w:rsid w:val="00012543"/>
    <w:rsid w:val="00013135"/>
    <w:rsid w:val="0001428A"/>
    <w:rsid w:val="00016435"/>
    <w:rsid w:val="000210AF"/>
    <w:rsid w:val="000240C4"/>
    <w:rsid w:val="000243F8"/>
    <w:rsid w:val="00024C36"/>
    <w:rsid w:val="00025BD7"/>
    <w:rsid w:val="00027063"/>
    <w:rsid w:val="00032985"/>
    <w:rsid w:val="000431FB"/>
    <w:rsid w:val="00046DFE"/>
    <w:rsid w:val="00050427"/>
    <w:rsid w:val="00053083"/>
    <w:rsid w:val="00053D41"/>
    <w:rsid w:val="00057FB0"/>
    <w:rsid w:val="0006040B"/>
    <w:rsid w:val="00060B39"/>
    <w:rsid w:val="00064EF6"/>
    <w:rsid w:val="000652EC"/>
    <w:rsid w:val="000670AF"/>
    <w:rsid w:val="00067BD6"/>
    <w:rsid w:val="00070ED6"/>
    <w:rsid w:val="000713FF"/>
    <w:rsid w:val="00072985"/>
    <w:rsid w:val="000770EC"/>
    <w:rsid w:val="00077B7B"/>
    <w:rsid w:val="00081305"/>
    <w:rsid w:val="000836F3"/>
    <w:rsid w:val="000848AF"/>
    <w:rsid w:val="0008773B"/>
    <w:rsid w:val="000906C3"/>
    <w:rsid w:val="00090894"/>
    <w:rsid w:val="00091E15"/>
    <w:rsid w:val="000A1FDB"/>
    <w:rsid w:val="000A3FD2"/>
    <w:rsid w:val="000A47CA"/>
    <w:rsid w:val="000A5B24"/>
    <w:rsid w:val="000B01EB"/>
    <w:rsid w:val="000B16A6"/>
    <w:rsid w:val="000B1784"/>
    <w:rsid w:val="000B1AF5"/>
    <w:rsid w:val="000B2D7C"/>
    <w:rsid w:val="000B48AF"/>
    <w:rsid w:val="000B726E"/>
    <w:rsid w:val="000C50F6"/>
    <w:rsid w:val="000D04FC"/>
    <w:rsid w:val="000D1245"/>
    <w:rsid w:val="000D1A5F"/>
    <w:rsid w:val="000D27B6"/>
    <w:rsid w:val="000D3EFE"/>
    <w:rsid w:val="000E0BC8"/>
    <w:rsid w:val="000E1F0C"/>
    <w:rsid w:val="000E275C"/>
    <w:rsid w:val="000E4AFF"/>
    <w:rsid w:val="000E7A99"/>
    <w:rsid w:val="000F3BA4"/>
    <w:rsid w:val="000F5CE6"/>
    <w:rsid w:val="000F61B6"/>
    <w:rsid w:val="001004F6"/>
    <w:rsid w:val="001005D8"/>
    <w:rsid w:val="00102C97"/>
    <w:rsid w:val="00103906"/>
    <w:rsid w:val="00103BA5"/>
    <w:rsid w:val="00105F91"/>
    <w:rsid w:val="00112086"/>
    <w:rsid w:val="00114492"/>
    <w:rsid w:val="00115372"/>
    <w:rsid w:val="00116EED"/>
    <w:rsid w:val="0012346B"/>
    <w:rsid w:val="00123470"/>
    <w:rsid w:val="0013077B"/>
    <w:rsid w:val="0013255A"/>
    <w:rsid w:val="00132EC6"/>
    <w:rsid w:val="00136503"/>
    <w:rsid w:val="001368AD"/>
    <w:rsid w:val="00140206"/>
    <w:rsid w:val="0014026A"/>
    <w:rsid w:val="001425DF"/>
    <w:rsid w:val="00143F39"/>
    <w:rsid w:val="001447DD"/>
    <w:rsid w:val="00146ED6"/>
    <w:rsid w:val="0015397F"/>
    <w:rsid w:val="00156AD4"/>
    <w:rsid w:val="00156BBF"/>
    <w:rsid w:val="001577E4"/>
    <w:rsid w:val="001637C6"/>
    <w:rsid w:val="00167B7F"/>
    <w:rsid w:val="00172399"/>
    <w:rsid w:val="0017347E"/>
    <w:rsid w:val="00177B41"/>
    <w:rsid w:val="0018373E"/>
    <w:rsid w:val="00184372"/>
    <w:rsid w:val="00184FC3"/>
    <w:rsid w:val="00194702"/>
    <w:rsid w:val="00194A60"/>
    <w:rsid w:val="001A2645"/>
    <w:rsid w:val="001A5935"/>
    <w:rsid w:val="001B1D93"/>
    <w:rsid w:val="001B401A"/>
    <w:rsid w:val="001B6178"/>
    <w:rsid w:val="001C0910"/>
    <w:rsid w:val="001C2D61"/>
    <w:rsid w:val="001C2F60"/>
    <w:rsid w:val="001C312B"/>
    <w:rsid w:val="001C444E"/>
    <w:rsid w:val="001D1DDC"/>
    <w:rsid w:val="001D41B9"/>
    <w:rsid w:val="001D4AE1"/>
    <w:rsid w:val="001D6507"/>
    <w:rsid w:val="001E27E9"/>
    <w:rsid w:val="001E4CE7"/>
    <w:rsid w:val="001E4F91"/>
    <w:rsid w:val="001E6748"/>
    <w:rsid w:val="001E67A5"/>
    <w:rsid w:val="001E6F55"/>
    <w:rsid w:val="001F0987"/>
    <w:rsid w:val="001F1732"/>
    <w:rsid w:val="00203553"/>
    <w:rsid w:val="0020434A"/>
    <w:rsid w:val="00205F6E"/>
    <w:rsid w:val="00212264"/>
    <w:rsid w:val="0021386C"/>
    <w:rsid w:val="00213964"/>
    <w:rsid w:val="002152D9"/>
    <w:rsid w:val="00227F9B"/>
    <w:rsid w:val="00230366"/>
    <w:rsid w:val="0023337A"/>
    <w:rsid w:val="00234670"/>
    <w:rsid w:val="00234AE2"/>
    <w:rsid w:val="00241C69"/>
    <w:rsid w:val="002468E8"/>
    <w:rsid w:val="00247BB5"/>
    <w:rsid w:val="00253EDD"/>
    <w:rsid w:val="00255191"/>
    <w:rsid w:val="00257253"/>
    <w:rsid w:val="00261272"/>
    <w:rsid w:val="00265190"/>
    <w:rsid w:val="00270AE5"/>
    <w:rsid w:val="00272DD8"/>
    <w:rsid w:val="00276EBE"/>
    <w:rsid w:val="002832A4"/>
    <w:rsid w:val="00285F5E"/>
    <w:rsid w:val="002877A8"/>
    <w:rsid w:val="002923A6"/>
    <w:rsid w:val="00294BDE"/>
    <w:rsid w:val="00294C19"/>
    <w:rsid w:val="002955AE"/>
    <w:rsid w:val="00295B12"/>
    <w:rsid w:val="002A0A19"/>
    <w:rsid w:val="002A1421"/>
    <w:rsid w:val="002A27A2"/>
    <w:rsid w:val="002A2950"/>
    <w:rsid w:val="002A7114"/>
    <w:rsid w:val="002A78BE"/>
    <w:rsid w:val="002B4E65"/>
    <w:rsid w:val="002C1EFE"/>
    <w:rsid w:val="002C24D0"/>
    <w:rsid w:val="002C79BA"/>
    <w:rsid w:val="002C7A14"/>
    <w:rsid w:val="002D078A"/>
    <w:rsid w:val="002D2A8E"/>
    <w:rsid w:val="002D3260"/>
    <w:rsid w:val="002D395F"/>
    <w:rsid w:val="002D4D56"/>
    <w:rsid w:val="002D6BC4"/>
    <w:rsid w:val="002D70C7"/>
    <w:rsid w:val="002E00C4"/>
    <w:rsid w:val="002E0E02"/>
    <w:rsid w:val="002E1B28"/>
    <w:rsid w:val="002E2520"/>
    <w:rsid w:val="002E367D"/>
    <w:rsid w:val="002E41DD"/>
    <w:rsid w:val="002E651E"/>
    <w:rsid w:val="002E6FC7"/>
    <w:rsid w:val="002E7F6E"/>
    <w:rsid w:val="002F0A66"/>
    <w:rsid w:val="002F5614"/>
    <w:rsid w:val="00301474"/>
    <w:rsid w:val="00303E04"/>
    <w:rsid w:val="003040A4"/>
    <w:rsid w:val="00305F8D"/>
    <w:rsid w:val="0030627F"/>
    <w:rsid w:val="00315D2D"/>
    <w:rsid w:val="00316855"/>
    <w:rsid w:val="00330EC9"/>
    <w:rsid w:val="00334545"/>
    <w:rsid w:val="003405EF"/>
    <w:rsid w:val="0034675B"/>
    <w:rsid w:val="00346804"/>
    <w:rsid w:val="00351B9B"/>
    <w:rsid w:val="003529B3"/>
    <w:rsid w:val="00357B6E"/>
    <w:rsid w:val="00362E11"/>
    <w:rsid w:val="00365C49"/>
    <w:rsid w:val="00366151"/>
    <w:rsid w:val="0036662A"/>
    <w:rsid w:val="003676D0"/>
    <w:rsid w:val="00371EA9"/>
    <w:rsid w:val="00376976"/>
    <w:rsid w:val="00377059"/>
    <w:rsid w:val="003817FA"/>
    <w:rsid w:val="00381BA8"/>
    <w:rsid w:val="00384DF3"/>
    <w:rsid w:val="003865B8"/>
    <w:rsid w:val="003938E8"/>
    <w:rsid w:val="0039445F"/>
    <w:rsid w:val="0039489E"/>
    <w:rsid w:val="003971CB"/>
    <w:rsid w:val="00397EF1"/>
    <w:rsid w:val="003A1AD9"/>
    <w:rsid w:val="003B0515"/>
    <w:rsid w:val="003B2FAE"/>
    <w:rsid w:val="003B3AAA"/>
    <w:rsid w:val="003B3D89"/>
    <w:rsid w:val="003C1C63"/>
    <w:rsid w:val="003C2EAC"/>
    <w:rsid w:val="003C55D2"/>
    <w:rsid w:val="003C576D"/>
    <w:rsid w:val="003C5A04"/>
    <w:rsid w:val="003D4115"/>
    <w:rsid w:val="003E076A"/>
    <w:rsid w:val="003E100A"/>
    <w:rsid w:val="003E1D25"/>
    <w:rsid w:val="003E3904"/>
    <w:rsid w:val="003E58D6"/>
    <w:rsid w:val="003E77A4"/>
    <w:rsid w:val="003F393E"/>
    <w:rsid w:val="003F3BEB"/>
    <w:rsid w:val="003F5676"/>
    <w:rsid w:val="003F64F6"/>
    <w:rsid w:val="003F6B85"/>
    <w:rsid w:val="00403B1E"/>
    <w:rsid w:val="00410025"/>
    <w:rsid w:val="00412F2C"/>
    <w:rsid w:val="004136A8"/>
    <w:rsid w:val="00414717"/>
    <w:rsid w:val="00416376"/>
    <w:rsid w:val="00417E1D"/>
    <w:rsid w:val="00422435"/>
    <w:rsid w:val="0042314C"/>
    <w:rsid w:val="00430F82"/>
    <w:rsid w:val="00431C31"/>
    <w:rsid w:val="00436C98"/>
    <w:rsid w:val="004377E4"/>
    <w:rsid w:val="004378EE"/>
    <w:rsid w:val="00442827"/>
    <w:rsid w:val="00442D8F"/>
    <w:rsid w:val="004435A1"/>
    <w:rsid w:val="00445316"/>
    <w:rsid w:val="00451686"/>
    <w:rsid w:val="00452AAF"/>
    <w:rsid w:val="00452FEB"/>
    <w:rsid w:val="00456646"/>
    <w:rsid w:val="00462A66"/>
    <w:rsid w:val="004636E2"/>
    <w:rsid w:val="0047017E"/>
    <w:rsid w:val="00474CF2"/>
    <w:rsid w:val="00474EDB"/>
    <w:rsid w:val="00475E13"/>
    <w:rsid w:val="004760B6"/>
    <w:rsid w:val="00477387"/>
    <w:rsid w:val="00481307"/>
    <w:rsid w:val="00482B56"/>
    <w:rsid w:val="004835F4"/>
    <w:rsid w:val="00483D2A"/>
    <w:rsid w:val="00487226"/>
    <w:rsid w:val="0049290E"/>
    <w:rsid w:val="004937A4"/>
    <w:rsid w:val="004A14B3"/>
    <w:rsid w:val="004A3732"/>
    <w:rsid w:val="004A5F41"/>
    <w:rsid w:val="004A603A"/>
    <w:rsid w:val="004B1150"/>
    <w:rsid w:val="004B40F8"/>
    <w:rsid w:val="004B6E9B"/>
    <w:rsid w:val="004C0E84"/>
    <w:rsid w:val="004C44BD"/>
    <w:rsid w:val="004C480F"/>
    <w:rsid w:val="004D0E9D"/>
    <w:rsid w:val="004D11D5"/>
    <w:rsid w:val="004D2A6A"/>
    <w:rsid w:val="004D6E7F"/>
    <w:rsid w:val="004E6B69"/>
    <w:rsid w:val="004E765E"/>
    <w:rsid w:val="004E7A9D"/>
    <w:rsid w:val="004F3463"/>
    <w:rsid w:val="004F52FC"/>
    <w:rsid w:val="004F6D8B"/>
    <w:rsid w:val="004F78A6"/>
    <w:rsid w:val="004F7E3B"/>
    <w:rsid w:val="005004F3"/>
    <w:rsid w:val="005010C7"/>
    <w:rsid w:val="00501B0C"/>
    <w:rsid w:val="00502F1D"/>
    <w:rsid w:val="0050324A"/>
    <w:rsid w:val="0050553F"/>
    <w:rsid w:val="00514FF5"/>
    <w:rsid w:val="005169F5"/>
    <w:rsid w:val="00516FF4"/>
    <w:rsid w:val="00517574"/>
    <w:rsid w:val="00521336"/>
    <w:rsid w:val="00525ABC"/>
    <w:rsid w:val="00533BEC"/>
    <w:rsid w:val="00535F6A"/>
    <w:rsid w:val="00541A79"/>
    <w:rsid w:val="00543463"/>
    <w:rsid w:val="0054453C"/>
    <w:rsid w:val="00547C74"/>
    <w:rsid w:val="005516A5"/>
    <w:rsid w:val="005516DF"/>
    <w:rsid w:val="005533C2"/>
    <w:rsid w:val="005557FC"/>
    <w:rsid w:val="00555B83"/>
    <w:rsid w:val="00556FE0"/>
    <w:rsid w:val="005602C1"/>
    <w:rsid w:val="00561E76"/>
    <w:rsid w:val="00563864"/>
    <w:rsid w:val="005642C7"/>
    <w:rsid w:val="00566DA2"/>
    <w:rsid w:val="005705CA"/>
    <w:rsid w:val="00571253"/>
    <w:rsid w:val="0057351A"/>
    <w:rsid w:val="0058045E"/>
    <w:rsid w:val="00581246"/>
    <w:rsid w:val="00581B51"/>
    <w:rsid w:val="0058636F"/>
    <w:rsid w:val="0058743C"/>
    <w:rsid w:val="00591AF0"/>
    <w:rsid w:val="00592F7B"/>
    <w:rsid w:val="0059363B"/>
    <w:rsid w:val="00593EE0"/>
    <w:rsid w:val="005940B7"/>
    <w:rsid w:val="00594A80"/>
    <w:rsid w:val="005B1293"/>
    <w:rsid w:val="005B129D"/>
    <w:rsid w:val="005B12B7"/>
    <w:rsid w:val="005B1875"/>
    <w:rsid w:val="005B312D"/>
    <w:rsid w:val="005B38AF"/>
    <w:rsid w:val="005B79FB"/>
    <w:rsid w:val="005C2535"/>
    <w:rsid w:val="005C2ACE"/>
    <w:rsid w:val="005C5B4A"/>
    <w:rsid w:val="005C5ECB"/>
    <w:rsid w:val="005C663D"/>
    <w:rsid w:val="005C7FFC"/>
    <w:rsid w:val="005D4FBE"/>
    <w:rsid w:val="005D72CC"/>
    <w:rsid w:val="005E0604"/>
    <w:rsid w:val="005E2279"/>
    <w:rsid w:val="005E52C6"/>
    <w:rsid w:val="005E5911"/>
    <w:rsid w:val="005F038F"/>
    <w:rsid w:val="005F0F88"/>
    <w:rsid w:val="005F59AB"/>
    <w:rsid w:val="005F767E"/>
    <w:rsid w:val="006002A7"/>
    <w:rsid w:val="00602AEA"/>
    <w:rsid w:val="00606D55"/>
    <w:rsid w:val="006106A7"/>
    <w:rsid w:val="00617062"/>
    <w:rsid w:val="006206E6"/>
    <w:rsid w:val="00620E66"/>
    <w:rsid w:val="00624704"/>
    <w:rsid w:val="0063119E"/>
    <w:rsid w:val="0063435F"/>
    <w:rsid w:val="00637CC2"/>
    <w:rsid w:val="00637D49"/>
    <w:rsid w:val="006445DF"/>
    <w:rsid w:val="00645B82"/>
    <w:rsid w:val="00651DE0"/>
    <w:rsid w:val="006556B5"/>
    <w:rsid w:val="0065743B"/>
    <w:rsid w:val="00661050"/>
    <w:rsid w:val="00664227"/>
    <w:rsid w:val="00665BE2"/>
    <w:rsid w:val="00666A1F"/>
    <w:rsid w:val="00667897"/>
    <w:rsid w:val="0067332B"/>
    <w:rsid w:val="00677B1E"/>
    <w:rsid w:val="006824CC"/>
    <w:rsid w:val="006835E7"/>
    <w:rsid w:val="00683B52"/>
    <w:rsid w:val="006851F8"/>
    <w:rsid w:val="0069348A"/>
    <w:rsid w:val="006934C5"/>
    <w:rsid w:val="006945CE"/>
    <w:rsid w:val="00695A99"/>
    <w:rsid w:val="006A1E78"/>
    <w:rsid w:val="006A22E2"/>
    <w:rsid w:val="006A2B36"/>
    <w:rsid w:val="006A65EA"/>
    <w:rsid w:val="006B0D85"/>
    <w:rsid w:val="006B526A"/>
    <w:rsid w:val="006B75D2"/>
    <w:rsid w:val="006C0163"/>
    <w:rsid w:val="006C6F0D"/>
    <w:rsid w:val="006C7389"/>
    <w:rsid w:val="006D2133"/>
    <w:rsid w:val="006D545B"/>
    <w:rsid w:val="006D6D52"/>
    <w:rsid w:val="006E15A0"/>
    <w:rsid w:val="006E16C9"/>
    <w:rsid w:val="006E5968"/>
    <w:rsid w:val="006E7BB0"/>
    <w:rsid w:val="006F0CB2"/>
    <w:rsid w:val="006F1370"/>
    <w:rsid w:val="006F271F"/>
    <w:rsid w:val="006F2C10"/>
    <w:rsid w:val="00705008"/>
    <w:rsid w:val="007053E6"/>
    <w:rsid w:val="007073B2"/>
    <w:rsid w:val="00707C95"/>
    <w:rsid w:val="00715DEF"/>
    <w:rsid w:val="0072623F"/>
    <w:rsid w:val="007352A0"/>
    <w:rsid w:val="007354C9"/>
    <w:rsid w:val="00737DF3"/>
    <w:rsid w:val="00741780"/>
    <w:rsid w:val="00741B87"/>
    <w:rsid w:val="00741C32"/>
    <w:rsid w:val="00742585"/>
    <w:rsid w:val="00743B16"/>
    <w:rsid w:val="00747BC9"/>
    <w:rsid w:val="00751FB0"/>
    <w:rsid w:val="007537EC"/>
    <w:rsid w:val="00754D22"/>
    <w:rsid w:val="0076014B"/>
    <w:rsid w:val="00761496"/>
    <w:rsid w:val="00764EE5"/>
    <w:rsid w:val="0077275B"/>
    <w:rsid w:val="00772DA1"/>
    <w:rsid w:val="00774580"/>
    <w:rsid w:val="007769FC"/>
    <w:rsid w:val="00783381"/>
    <w:rsid w:val="00785695"/>
    <w:rsid w:val="0079001A"/>
    <w:rsid w:val="00790707"/>
    <w:rsid w:val="00790D1B"/>
    <w:rsid w:val="00793335"/>
    <w:rsid w:val="00795195"/>
    <w:rsid w:val="00796D69"/>
    <w:rsid w:val="007A2343"/>
    <w:rsid w:val="007A3269"/>
    <w:rsid w:val="007A4436"/>
    <w:rsid w:val="007A4978"/>
    <w:rsid w:val="007A63E7"/>
    <w:rsid w:val="007A7ADC"/>
    <w:rsid w:val="007B3331"/>
    <w:rsid w:val="007B3E81"/>
    <w:rsid w:val="007B6591"/>
    <w:rsid w:val="007C0AB3"/>
    <w:rsid w:val="007C3202"/>
    <w:rsid w:val="007C4A9C"/>
    <w:rsid w:val="007C6CA8"/>
    <w:rsid w:val="007C7CD1"/>
    <w:rsid w:val="007D3038"/>
    <w:rsid w:val="007D5D98"/>
    <w:rsid w:val="007D6024"/>
    <w:rsid w:val="007D7925"/>
    <w:rsid w:val="007E0560"/>
    <w:rsid w:val="007E64B4"/>
    <w:rsid w:val="007E6987"/>
    <w:rsid w:val="007E75D1"/>
    <w:rsid w:val="007F1BE0"/>
    <w:rsid w:val="007F3DB0"/>
    <w:rsid w:val="007F5143"/>
    <w:rsid w:val="007F541E"/>
    <w:rsid w:val="007F5F38"/>
    <w:rsid w:val="0080172F"/>
    <w:rsid w:val="00801BE7"/>
    <w:rsid w:val="008039CE"/>
    <w:rsid w:val="008042B3"/>
    <w:rsid w:val="00806948"/>
    <w:rsid w:val="00807CA9"/>
    <w:rsid w:val="0081221C"/>
    <w:rsid w:val="00812573"/>
    <w:rsid w:val="008140B0"/>
    <w:rsid w:val="00814B1D"/>
    <w:rsid w:val="00817AE7"/>
    <w:rsid w:val="008214CA"/>
    <w:rsid w:val="00821EF1"/>
    <w:rsid w:val="0083325E"/>
    <w:rsid w:val="008351A1"/>
    <w:rsid w:val="0083587A"/>
    <w:rsid w:val="008359DC"/>
    <w:rsid w:val="00840A60"/>
    <w:rsid w:val="008456B0"/>
    <w:rsid w:val="0085384B"/>
    <w:rsid w:val="0085596C"/>
    <w:rsid w:val="00856800"/>
    <w:rsid w:val="00856EDA"/>
    <w:rsid w:val="008576A6"/>
    <w:rsid w:val="00857B76"/>
    <w:rsid w:val="008610F1"/>
    <w:rsid w:val="00861FC7"/>
    <w:rsid w:val="0086280A"/>
    <w:rsid w:val="00865C80"/>
    <w:rsid w:val="008663E3"/>
    <w:rsid w:val="00866DA4"/>
    <w:rsid w:val="00867B29"/>
    <w:rsid w:val="00870668"/>
    <w:rsid w:val="00873FAD"/>
    <w:rsid w:val="008757BB"/>
    <w:rsid w:val="0087670F"/>
    <w:rsid w:val="00876EE9"/>
    <w:rsid w:val="00881010"/>
    <w:rsid w:val="008836F1"/>
    <w:rsid w:val="008856FA"/>
    <w:rsid w:val="00885C3D"/>
    <w:rsid w:val="00886B36"/>
    <w:rsid w:val="00892A86"/>
    <w:rsid w:val="00892C3A"/>
    <w:rsid w:val="00895B41"/>
    <w:rsid w:val="00897306"/>
    <w:rsid w:val="008A0B00"/>
    <w:rsid w:val="008A4E8E"/>
    <w:rsid w:val="008A53CB"/>
    <w:rsid w:val="008A740E"/>
    <w:rsid w:val="008B39EE"/>
    <w:rsid w:val="008B7C1A"/>
    <w:rsid w:val="008C053A"/>
    <w:rsid w:val="008C3DAE"/>
    <w:rsid w:val="008C406A"/>
    <w:rsid w:val="008C4795"/>
    <w:rsid w:val="008D50FF"/>
    <w:rsid w:val="008D5F38"/>
    <w:rsid w:val="008E3C68"/>
    <w:rsid w:val="008E5D00"/>
    <w:rsid w:val="008F38C3"/>
    <w:rsid w:val="008F5081"/>
    <w:rsid w:val="00902EFA"/>
    <w:rsid w:val="00905327"/>
    <w:rsid w:val="009121C5"/>
    <w:rsid w:val="00914A49"/>
    <w:rsid w:val="009170CC"/>
    <w:rsid w:val="00917330"/>
    <w:rsid w:val="009258CB"/>
    <w:rsid w:val="00926630"/>
    <w:rsid w:val="00933886"/>
    <w:rsid w:val="00933947"/>
    <w:rsid w:val="00933D0F"/>
    <w:rsid w:val="0093453F"/>
    <w:rsid w:val="009404DA"/>
    <w:rsid w:val="00946572"/>
    <w:rsid w:val="00947C9D"/>
    <w:rsid w:val="00952B95"/>
    <w:rsid w:val="0095404E"/>
    <w:rsid w:val="00954EEB"/>
    <w:rsid w:val="00956C1E"/>
    <w:rsid w:val="0096018A"/>
    <w:rsid w:val="0096313B"/>
    <w:rsid w:val="00967DBF"/>
    <w:rsid w:val="009715AD"/>
    <w:rsid w:val="0097341D"/>
    <w:rsid w:val="00977500"/>
    <w:rsid w:val="00983485"/>
    <w:rsid w:val="0099223B"/>
    <w:rsid w:val="0099342A"/>
    <w:rsid w:val="009947A1"/>
    <w:rsid w:val="00995F88"/>
    <w:rsid w:val="009A06F9"/>
    <w:rsid w:val="009A2EE5"/>
    <w:rsid w:val="009A662F"/>
    <w:rsid w:val="009B1134"/>
    <w:rsid w:val="009B3957"/>
    <w:rsid w:val="009B4714"/>
    <w:rsid w:val="009B4D91"/>
    <w:rsid w:val="009B59FA"/>
    <w:rsid w:val="009C06E5"/>
    <w:rsid w:val="009C0BF5"/>
    <w:rsid w:val="009C60EA"/>
    <w:rsid w:val="009D3B8E"/>
    <w:rsid w:val="009D3BAD"/>
    <w:rsid w:val="009D6372"/>
    <w:rsid w:val="009D67B6"/>
    <w:rsid w:val="009E1857"/>
    <w:rsid w:val="009E254C"/>
    <w:rsid w:val="009E5E60"/>
    <w:rsid w:val="009E698A"/>
    <w:rsid w:val="009E69E2"/>
    <w:rsid w:val="009E6A00"/>
    <w:rsid w:val="009E6FBD"/>
    <w:rsid w:val="009E7370"/>
    <w:rsid w:val="009E79C6"/>
    <w:rsid w:val="009F6197"/>
    <w:rsid w:val="00A00DB1"/>
    <w:rsid w:val="00A07009"/>
    <w:rsid w:val="00A07014"/>
    <w:rsid w:val="00A12165"/>
    <w:rsid w:val="00A164FB"/>
    <w:rsid w:val="00A16CCB"/>
    <w:rsid w:val="00A170E4"/>
    <w:rsid w:val="00A245ED"/>
    <w:rsid w:val="00A24DB0"/>
    <w:rsid w:val="00A2721F"/>
    <w:rsid w:val="00A33153"/>
    <w:rsid w:val="00A348B9"/>
    <w:rsid w:val="00A34AE4"/>
    <w:rsid w:val="00A35603"/>
    <w:rsid w:val="00A4128B"/>
    <w:rsid w:val="00A42248"/>
    <w:rsid w:val="00A42EC4"/>
    <w:rsid w:val="00A4316D"/>
    <w:rsid w:val="00A4566D"/>
    <w:rsid w:val="00A45C57"/>
    <w:rsid w:val="00A47552"/>
    <w:rsid w:val="00A47E71"/>
    <w:rsid w:val="00A51287"/>
    <w:rsid w:val="00A52C00"/>
    <w:rsid w:val="00A53613"/>
    <w:rsid w:val="00A53F95"/>
    <w:rsid w:val="00A54BBD"/>
    <w:rsid w:val="00A56E30"/>
    <w:rsid w:val="00A60FC1"/>
    <w:rsid w:val="00A62BCC"/>
    <w:rsid w:val="00A64C78"/>
    <w:rsid w:val="00A65400"/>
    <w:rsid w:val="00A6632E"/>
    <w:rsid w:val="00A663A8"/>
    <w:rsid w:val="00A80ADA"/>
    <w:rsid w:val="00A8150D"/>
    <w:rsid w:val="00A83069"/>
    <w:rsid w:val="00A845D7"/>
    <w:rsid w:val="00A85EE9"/>
    <w:rsid w:val="00A86628"/>
    <w:rsid w:val="00A86F71"/>
    <w:rsid w:val="00A900D4"/>
    <w:rsid w:val="00A91F0C"/>
    <w:rsid w:val="00A93766"/>
    <w:rsid w:val="00A94DA6"/>
    <w:rsid w:val="00A94EEF"/>
    <w:rsid w:val="00A95849"/>
    <w:rsid w:val="00AA2430"/>
    <w:rsid w:val="00AA2C2B"/>
    <w:rsid w:val="00AA2FE7"/>
    <w:rsid w:val="00AA363A"/>
    <w:rsid w:val="00AB256C"/>
    <w:rsid w:val="00AB4006"/>
    <w:rsid w:val="00AB5841"/>
    <w:rsid w:val="00AB79AD"/>
    <w:rsid w:val="00AC06CA"/>
    <w:rsid w:val="00AC10F2"/>
    <w:rsid w:val="00AC1C4B"/>
    <w:rsid w:val="00AC1F2E"/>
    <w:rsid w:val="00AC415F"/>
    <w:rsid w:val="00AC4B6C"/>
    <w:rsid w:val="00AD28B3"/>
    <w:rsid w:val="00AD49C6"/>
    <w:rsid w:val="00AD4ED6"/>
    <w:rsid w:val="00AD5789"/>
    <w:rsid w:val="00AD6812"/>
    <w:rsid w:val="00AE24C7"/>
    <w:rsid w:val="00AE7B27"/>
    <w:rsid w:val="00AF0A0D"/>
    <w:rsid w:val="00AF0B9F"/>
    <w:rsid w:val="00AF174D"/>
    <w:rsid w:val="00AF1BBD"/>
    <w:rsid w:val="00AF25D0"/>
    <w:rsid w:val="00AF2A89"/>
    <w:rsid w:val="00AF357F"/>
    <w:rsid w:val="00AF55F4"/>
    <w:rsid w:val="00AF57E0"/>
    <w:rsid w:val="00AF7147"/>
    <w:rsid w:val="00AF74BF"/>
    <w:rsid w:val="00B03BC8"/>
    <w:rsid w:val="00B0458D"/>
    <w:rsid w:val="00B0591B"/>
    <w:rsid w:val="00B06DF8"/>
    <w:rsid w:val="00B11E27"/>
    <w:rsid w:val="00B14AA0"/>
    <w:rsid w:val="00B14C93"/>
    <w:rsid w:val="00B25B79"/>
    <w:rsid w:val="00B26628"/>
    <w:rsid w:val="00B2680F"/>
    <w:rsid w:val="00B35371"/>
    <w:rsid w:val="00B45A78"/>
    <w:rsid w:val="00B46548"/>
    <w:rsid w:val="00B47348"/>
    <w:rsid w:val="00B51BB9"/>
    <w:rsid w:val="00B541E3"/>
    <w:rsid w:val="00B5628E"/>
    <w:rsid w:val="00B5727E"/>
    <w:rsid w:val="00B64DFD"/>
    <w:rsid w:val="00B7236A"/>
    <w:rsid w:val="00B73208"/>
    <w:rsid w:val="00B7378D"/>
    <w:rsid w:val="00B75709"/>
    <w:rsid w:val="00B76607"/>
    <w:rsid w:val="00B7673E"/>
    <w:rsid w:val="00B80E49"/>
    <w:rsid w:val="00B83BA3"/>
    <w:rsid w:val="00B83C10"/>
    <w:rsid w:val="00B925E9"/>
    <w:rsid w:val="00B92A6D"/>
    <w:rsid w:val="00B943AD"/>
    <w:rsid w:val="00B94E94"/>
    <w:rsid w:val="00B9676C"/>
    <w:rsid w:val="00BA38B8"/>
    <w:rsid w:val="00BA3F54"/>
    <w:rsid w:val="00BA5D6C"/>
    <w:rsid w:val="00BA6A66"/>
    <w:rsid w:val="00BB08AB"/>
    <w:rsid w:val="00BB0E2C"/>
    <w:rsid w:val="00BB138B"/>
    <w:rsid w:val="00BB1D53"/>
    <w:rsid w:val="00BB775F"/>
    <w:rsid w:val="00BC181E"/>
    <w:rsid w:val="00BC20DB"/>
    <w:rsid w:val="00BC5BDA"/>
    <w:rsid w:val="00BC672A"/>
    <w:rsid w:val="00BC6905"/>
    <w:rsid w:val="00BD17AE"/>
    <w:rsid w:val="00BD5BCB"/>
    <w:rsid w:val="00BD70FE"/>
    <w:rsid w:val="00BD7C3D"/>
    <w:rsid w:val="00BE1E8F"/>
    <w:rsid w:val="00BE562F"/>
    <w:rsid w:val="00BE6468"/>
    <w:rsid w:val="00BE6BB3"/>
    <w:rsid w:val="00BE6CC1"/>
    <w:rsid w:val="00BF587A"/>
    <w:rsid w:val="00BF5E9A"/>
    <w:rsid w:val="00C00BC2"/>
    <w:rsid w:val="00C06E95"/>
    <w:rsid w:val="00C06F5B"/>
    <w:rsid w:val="00C113E8"/>
    <w:rsid w:val="00C11CDD"/>
    <w:rsid w:val="00C129A3"/>
    <w:rsid w:val="00C2177C"/>
    <w:rsid w:val="00C21A6D"/>
    <w:rsid w:val="00C24015"/>
    <w:rsid w:val="00C253C4"/>
    <w:rsid w:val="00C25B44"/>
    <w:rsid w:val="00C2754E"/>
    <w:rsid w:val="00C27CDD"/>
    <w:rsid w:val="00C30454"/>
    <w:rsid w:val="00C3317D"/>
    <w:rsid w:val="00C33E49"/>
    <w:rsid w:val="00C35591"/>
    <w:rsid w:val="00C370DD"/>
    <w:rsid w:val="00C417F4"/>
    <w:rsid w:val="00C41BD5"/>
    <w:rsid w:val="00C41EDB"/>
    <w:rsid w:val="00C426AE"/>
    <w:rsid w:val="00C45FD2"/>
    <w:rsid w:val="00C52D58"/>
    <w:rsid w:val="00C535B1"/>
    <w:rsid w:val="00C55EB2"/>
    <w:rsid w:val="00C5662A"/>
    <w:rsid w:val="00C56E7F"/>
    <w:rsid w:val="00C6260A"/>
    <w:rsid w:val="00C64361"/>
    <w:rsid w:val="00C70209"/>
    <w:rsid w:val="00C7184F"/>
    <w:rsid w:val="00C75661"/>
    <w:rsid w:val="00C75B47"/>
    <w:rsid w:val="00C82F8B"/>
    <w:rsid w:val="00C85E4F"/>
    <w:rsid w:val="00C916C8"/>
    <w:rsid w:val="00C94354"/>
    <w:rsid w:val="00C94B40"/>
    <w:rsid w:val="00C96CED"/>
    <w:rsid w:val="00C97E60"/>
    <w:rsid w:val="00CA067F"/>
    <w:rsid w:val="00CA0DA6"/>
    <w:rsid w:val="00CA1755"/>
    <w:rsid w:val="00CA2E85"/>
    <w:rsid w:val="00CA3C84"/>
    <w:rsid w:val="00CA425B"/>
    <w:rsid w:val="00CA53EE"/>
    <w:rsid w:val="00CA6AE7"/>
    <w:rsid w:val="00CA73C7"/>
    <w:rsid w:val="00CB073C"/>
    <w:rsid w:val="00CB084D"/>
    <w:rsid w:val="00CB25D0"/>
    <w:rsid w:val="00CB2790"/>
    <w:rsid w:val="00CB505F"/>
    <w:rsid w:val="00CC4471"/>
    <w:rsid w:val="00CC4786"/>
    <w:rsid w:val="00CD017F"/>
    <w:rsid w:val="00CD4207"/>
    <w:rsid w:val="00CD71BE"/>
    <w:rsid w:val="00CE20B3"/>
    <w:rsid w:val="00CE36D4"/>
    <w:rsid w:val="00CE53AB"/>
    <w:rsid w:val="00CE55F7"/>
    <w:rsid w:val="00CF2C5D"/>
    <w:rsid w:val="00CF3F2D"/>
    <w:rsid w:val="00CF43CA"/>
    <w:rsid w:val="00CF7C87"/>
    <w:rsid w:val="00D12064"/>
    <w:rsid w:val="00D13012"/>
    <w:rsid w:val="00D15FFD"/>
    <w:rsid w:val="00D311D0"/>
    <w:rsid w:val="00D322BA"/>
    <w:rsid w:val="00D3587C"/>
    <w:rsid w:val="00D35F85"/>
    <w:rsid w:val="00D36DCF"/>
    <w:rsid w:val="00D426B0"/>
    <w:rsid w:val="00D4370C"/>
    <w:rsid w:val="00D445DD"/>
    <w:rsid w:val="00D51A0A"/>
    <w:rsid w:val="00D548C8"/>
    <w:rsid w:val="00D54ED4"/>
    <w:rsid w:val="00D60868"/>
    <w:rsid w:val="00D62021"/>
    <w:rsid w:val="00D62630"/>
    <w:rsid w:val="00D647B8"/>
    <w:rsid w:val="00D64D43"/>
    <w:rsid w:val="00D6625E"/>
    <w:rsid w:val="00D66763"/>
    <w:rsid w:val="00D7489E"/>
    <w:rsid w:val="00D76379"/>
    <w:rsid w:val="00D76626"/>
    <w:rsid w:val="00D77B76"/>
    <w:rsid w:val="00D8105D"/>
    <w:rsid w:val="00D863FE"/>
    <w:rsid w:val="00D9447A"/>
    <w:rsid w:val="00D9457C"/>
    <w:rsid w:val="00D97195"/>
    <w:rsid w:val="00DA09EA"/>
    <w:rsid w:val="00DA0CAC"/>
    <w:rsid w:val="00DA4622"/>
    <w:rsid w:val="00DA4CB3"/>
    <w:rsid w:val="00DA6CF4"/>
    <w:rsid w:val="00DB3586"/>
    <w:rsid w:val="00DB52DD"/>
    <w:rsid w:val="00DC43DA"/>
    <w:rsid w:val="00DC5385"/>
    <w:rsid w:val="00DC591B"/>
    <w:rsid w:val="00DC7728"/>
    <w:rsid w:val="00DC7AB7"/>
    <w:rsid w:val="00DD1A19"/>
    <w:rsid w:val="00DD4B3C"/>
    <w:rsid w:val="00DE0EB0"/>
    <w:rsid w:val="00DE123D"/>
    <w:rsid w:val="00DE1BD0"/>
    <w:rsid w:val="00DE1E3E"/>
    <w:rsid w:val="00DE5B71"/>
    <w:rsid w:val="00DE693B"/>
    <w:rsid w:val="00DF06C8"/>
    <w:rsid w:val="00E05BFD"/>
    <w:rsid w:val="00E07503"/>
    <w:rsid w:val="00E11801"/>
    <w:rsid w:val="00E15CA2"/>
    <w:rsid w:val="00E16938"/>
    <w:rsid w:val="00E203FD"/>
    <w:rsid w:val="00E21152"/>
    <w:rsid w:val="00E21E7F"/>
    <w:rsid w:val="00E24E58"/>
    <w:rsid w:val="00E256AB"/>
    <w:rsid w:val="00E307F8"/>
    <w:rsid w:val="00E314FC"/>
    <w:rsid w:val="00E365AD"/>
    <w:rsid w:val="00E431EE"/>
    <w:rsid w:val="00E47926"/>
    <w:rsid w:val="00E47F8A"/>
    <w:rsid w:val="00E504BB"/>
    <w:rsid w:val="00E53DCA"/>
    <w:rsid w:val="00E61E37"/>
    <w:rsid w:val="00E6227B"/>
    <w:rsid w:val="00E6399A"/>
    <w:rsid w:val="00E678BA"/>
    <w:rsid w:val="00E71844"/>
    <w:rsid w:val="00E72CB2"/>
    <w:rsid w:val="00E74302"/>
    <w:rsid w:val="00E75719"/>
    <w:rsid w:val="00E774C3"/>
    <w:rsid w:val="00E7755F"/>
    <w:rsid w:val="00E81175"/>
    <w:rsid w:val="00E82AFD"/>
    <w:rsid w:val="00E8305E"/>
    <w:rsid w:val="00E8487A"/>
    <w:rsid w:val="00E85AD6"/>
    <w:rsid w:val="00E87F3F"/>
    <w:rsid w:val="00E9404B"/>
    <w:rsid w:val="00E95B1A"/>
    <w:rsid w:val="00E962B2"/>
    <w:rsid w:val="00E96AB2"/>
    <w:rsid w:val="00EA6A28"/>
    <w:rsid w:val="00EB0C76"/>
    <w:rsid w:val="00EB2039"/>
    <w:rsid w:val="00EB3699"/>
    <w:rsid w:val="00EB7C9E"/>
    <w:rsid w:val="00EC036E"/>
    <w:rsid w:val="00EC0828"/>
    <w:rsid w:val="00EC221A"/>
    <w:rsid w:val="00EC4C75"/>
    <w:rsid w:val="00EC5F95"/>
    <w:rsid w:val="00EC6B07"/>
    <w:rsid w:val="00ED0731"/>
    <w:rsid w:val="00ED1754"/>
    <w:rsid w:val="00ED4145"/>
    <w:rsid w:val="00ED5EC9"/>
    <w:rsid w:val="00ED6C02"/>
    <w:rsid w:val="00EF0A83"/>
    <w:rsid w:val="00EF20C6"/>
    <w:rsid w:val="00EF404C"/>
    <w:rsid w:val="00EF5D3D"/>
    <w:rsid w:val="00F004EA"/>
    <w:rsid w:val="00F03656"/>
    <w:rsid w:val="00F0701D"/>
    <w:rsid w:val="00F1166C"/>
    <w:rsid w:val="00F11A9B"/>
    <w:rsid w:val="00F11E26"/>
    <w:rsid w:val="00F16535"/>
    <w:rsid w:val="00F16636"/>
    <w:rsid w:val="00F17A0F"/>
    <w:rsid w:val="00F17B22"/>
    <w:rsid w:val="00F2158C"/>
    <w:rsid w:val="00F22C6D"/>
    <w:rsid w:val="00F25FE4"/>
    <w:rsid w:val="00F37B62"/>
    <w:rsid w:val="00F37C6B"/>
    <w:rsid w:val="00F43952"/>
    <w:rsid w:val="00F449CA"/>
    <w:rsid w:val="00F45F44"/>
    <w:rsid w:val="00F46B15"/>
    <w:rsid w:val="00F478D7"/>
    <w:rsid w:val="00F56078"/>
    <w:rsid w:val="00F57C5D"/>
    <w:rsid w:val="00F605D7"/>
    <w:rsid w:val="00F66FDA"/>
    <w:rsid w:val="00F732EA"/>
    <w:rsid w:val="00F7485C"/>
    <w:rsid w:val="00F74AD4"/>
    <w:rsid w:val="00F76F5D"/>
    <w:rsid w:val="00F7759E"/>
    <w:rsid w:val="00F808FD"/>
    <w:rsid w:val="00F811F5"/>
    <w:rsid w:val="00F8394C"/>
    <w:rsid w:val="00F84553"/>
    <w:rsid w:val="00F8470B"/>
    <w:rsid w:val="00F9039D"/>
    <w:rsid w:val="00F91271"/>
    <w:rsid w:val="00F916E6"/>
    <w:rsid w:val="00F93FA6"/>
    <w:rsid w:val="00FA1956"/>
    <w:rsid w:val="00FA1C73"/>
    <w:rsid w:val="00FA2FE9"/>
    <w:rsid w:val="00FB302F"/>
    <w:rsid w:val="00FB429A"/>
    <w:rsid w:val="00FB4E8E"/>
    <w:rsid w:val="00FB5F99"/>
    <w:rsid w:val="00FC051D"/>
    <w:rsid w:val="00FC2A20"/>
    <w:rsid w:val="00FC2CCA"/>
    <w:rsid w:val="00FC38A9"/>
    <w:rsid w:val="00FC3DDE"/>
    <w:rsid w:val="00FD0EAB"/>
    <w:rsid w:val="00FD4A85"/>
    <w:rsid w:val="00FD4C1F"/>
    <w:rsid w:val="00FE2A36"/>
    <w:rsid w:val="00FE4394"/>
    <w:rsid w:val="00FE4B53"/>
    <w:rsid w:val="00FE619D"/>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B1134"/>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C00BC2"/>
    <w:rPr>
      <w:color w:val="0000FF" w:themeColor="hyperlink"/>
      <w:u w:val="single"/>
    </w:rPr>
  </w:style>
  <w:style w:type="character" w:styleId="Neapdorotaspaminjimas">
    <w:name w:val="Unresolved Mention"/>
    <w:basedOn w:val="Numatytasispastraiposriftas"/>
    <w:uiPriority w:val="99"/>
    <w:semiHidden/>
    <w:unhideWhenUsed/>
    <w:rsid w:val="00C00BC2"/>
    <w:rPr>
      <w:color w:val="605E5C"/>
      <w:shd w:val="clear" w:color="auto" w:fill="E1DFDD"/>
    </w:rPr>
  </w:style>
  <w:style w:type="character" w:styleId="Komentaronuoroda">
    <w:name w:val="annotation reference"/>
    <w:basedOn w:val="Numatytasispastraiposriftas"/>
    <w:uiPriority w:val="99"/>
    <w:semiHidden/>
    <w:unhideWhenUsed/>
    <w:rsid w:val="001004F6"/>
    <w:rPr>
      <w:sz w:val="16"/>
      <w:szCs w:val="16"/>
    </w:rPr>
  </w:style>
  <w:style w:type="paragraph" w:styleId="Komentarotekstas">
    <w:name w:val="annotation text"/>
    <w:basedOn w:val="prastasis"/>
    <w:link w:val="KomentarotekstasDiagrama"/>
    <w:uiPriority w:val="99"/>
    <w:semiHidden/>
    <w:unhideWhenUsed/>
    <w:rsid w:val="001004F6"/>
    <w:rPr>
      <w:sz w:val="20"/>
    </w:rPr>
  </w:style>
  <w:style w:type="character" w:customStyle="1" w:styleId="KomentarotekstasDiagrama">
    <w:name w:val="Komentaro tekstas Diagrama"/>
    <w:basedOn w:val="Numatytasispastraiposriftas"/>
    <w:link w:val="Komentarotekstas"/>
    <w:uiPriority w:val="99"/>
    <w:semiHidden/>
    <w:rsid w:val="001004F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004F6"/>
    <w:rPr>
      <w:b/>
      <w:bCs/>
    </w:rPr>
  </w:style>
  <w:style w:type="character" w:customStyle="1" w:styleId="KomentarotemaDiagrama">
    <w:name w:val="Komentaro tema Diagrama"/>
    <w:basedOn w:val="KomentarotekstasDiagrama"/>
    <w:link w:val="Komentarotema"/>
    <w:uiPriority w:val="99"/>
    <w:semiHidden/>
    <w:rsid w:val="001004F6"/>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3317">
      <w:bodyDiv w:val="1"/>
      <w:marLeft w:val="0"/>
      <w:marRight w:val="0"/>
      <w:marTop w:val="0"/>
      <w:marBottom w:val="0"/>
      <w:divBdr>
        <w:top w:val="none" w:sz="0" w:space="0" w:color="auto"/>
        <w:left w:val="none" w:sz="0" w:space="0" w:color="auto"/>
        <w:bottom w:val="none" w:sz="0" w:space="0" w:color="auto"/>
        <w:right w:val="none" w:sz="0" w:space="0" w:color="auto"/>
      </w:divBdr>
    </w:div>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160704718">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279729089">
      <w:bodyDiv w:val="1"/>
      <w:marLeft w:val="0"/>
      <w:marRight w:val="0"/>
      <w:marTop w:val="0"/>
      <w:marBottom w:val="0"/>
      <w:divBdr>
        <w:top w:val="none" w:sz="0" w:space="0" w:color="auto"/>
        <w:left w:val="none" w:sz="0" w:space="0" w:color="auto"/>
        <w:bottom w:val="none" w:sz="0" w:space="0" w:color="auto"/>
        <w:right w:val="none" w:sz="0" w:space="0" w:color="auto"/>
      </w:divBdr>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51862655">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481311454">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643583686">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1deab130-d940-4d97-9580-ffa5dfe3e0cd"/>
    <ds:schemaRef ds:uri="http://schemas.microsoft.com/office/2006/metadata/propertie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C4B99E68-54B2-4399-B069-7C31AF13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3</Pages>
  <Words>960</Words>
  <Characters>5478</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Reda Lichadziauskienė</cp:lastModifiedBy>
  <cp:revision>203</cp:revision>
  <cp:lastPrinted>2019-11-14T09:01:00Z</cp:lastPrinted>
  <dcterms:created xsi:type="dcterms:W3CDTF">2019-11-30T10:15:00Z</dcterms:created>
  <dcterms:modified xsi:type="dcterms:W3CDTF">2020-06-18T03:39:00Z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