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FC" w:rsidRDefault="000373FC" w:rsidP="000373FC">
      <w:pPr>
        <w:tabs>
          <w:tab w:val="center" w:pos="4819"/>
          <w:tab w:val="right" w:pos="9638"/>
        </w:tabs>
        <w:rPr>
          <w:sz w:val="22"/>
          <w:szCs w:val="22"/>
        </w:rPr>
      </w:pPr>
      <w:bookmarkStart w:id="0" w:name="_GoBack"/>
      <w:bookmarkEnd w:id="0"/>
    </w:p>
    <w:p w:rsidR="000373FC" w:rsidRDefault="000373FC" w:rsidP="000373FC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06A908C8" wp14:editId="1DC287C5">
            <wp:extent cx="543560" cy="551815"/>
            <wp:effectExtent l="0" t="0" r="889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FC" w:rsidRDefault="000373FC" w:rsidP="000373FC">
      <w:pPr>
        <w:rPr>
          <w:sz w:val="2"/>
          <w:szCs w:val="2"/>
        </w:rPr>
      </w:pPr>
    </w:p>
    <w:p w:rsidR="000373FC" w:rsidRPr="00AB1B96" w:rsidRDefault="000373FC" w:rsidP="000373FC">
      <w:pPr>
        <w:ind w:firstLine="62"/>
        <w:jc w:val="center"/>
        <w:rPr>
          <w:b/>
          <w:bCs/>
          <w:sz w:val="28"/>
          <w:szCs w:val="24"/>
        </w:rPr>
      </w:pPr>
    </w:p>
    <w:p w:rsidR="000373FC" w:rsidRDefault="000373FC" w:rsidP="000373FC">
      <w:pPr>
        <w:rPr>
          <w:sz w:val="2"/>
          <w:szCs w:val="2"/>
        </w:rPr>
      </w:pPr>
    </w:p>
    <w:p w:rsidR="000373FC" w:rsidRPr="00050698" w:rsidRDefault="000373FC" w:rsidP="000373FC">
      <w:pPr>
        <w:jc w:val="center"/>
        <w:rPr>
          <w:sz w:val="28"/>
          <w:szCs w:val="24"/>
        </w:rPr>
      </w:pPr>
      <w:r w:rsidRPr="00050698">
        <w:rPr>
          <w:b/>
          <w:bCs/>
          <w:sz w:val="28"/>
          <w:szCs w:val="24"/>
        </w:rPr>
        <w:t>LIETUVOS RESPUBLIKOS ŠVIETIMO, MOKSLO IR SPORTO MINISTRAS</w:t>
      </w:r>
    </w:p>
    <w:p w:rsidR="000373FC" w:rsidRDefault="000373FC" w:rsidP="000373FC">
      <w:pPr>
        <w:rPr>
          <w:sz w:val="2"/>
          <w:szCs w:val="2"/>
        </w:rPr>
      </w:pPr>
    </w:p>
    <w:p w:rsidR="000373FC" w:rsidRDefault="000373FC" w:rsidP="000373FC">
      <w:pPr>
        <w:overflowPunct w:val="0"/>
        <w:jc w:val="center"/>
        <w:textAlignment w:val="baseline"/>
        <w:rPr>
          <w:szCs w:val="24"/>
        </w:rPr>
      </w:pPr>
    </w:p>
    <w:p w:rsidR="000373FC" w:rsidRDefault="000373FC" w:rsidP="000373FC">
      <w:pPr>
        <w:rPr>
          <w:sz w:val="2"/>
          <w:szCs w:val="2"/>
        </w:rPr>
      </w:pPr>
    </w:p>
    <w:p w:rsidR="000373FC" w:rsidRDefault="000373FC" w:rsidP="000373FC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:rsidR="000373FC" w:rsidRDefault="000373FC" w:rsidP="000373FC">
      <w:pPr>
        <w:rPr>
          <w:sz w:val="2"/>
          <w:szCs w:val="2"/>
        </w:rPr>
      </w:pPr>
    </w:p>
    <w:p w:rsidR="000373FC" w:rsidRDefault="000373FC" w:rsidP="000373FC">
      <w:pPr>
        <w:overflowPunct w:val="0"/>
        <w:jc w:val="center"/>
        <w:textAlignment w:val="baseline"/>
        <w:rPr>
          <w:szCs w:val="24"/>
        </w:rPr>
      </w:pPr>
      <w:r>
        <w:rPr>
          <w:b/>
          <w:bCs/>
          <w:color w:val="000000"/>
          <w:szCs w:val="24"/>
        </w:rPr>
        <w:t xml:space="preserve">DĖL ŠVIETIMO IR MOKSLO MINISTRO 2016 M. BIRŽELIO 27 D. ĮSAKYMO             NR. V-603 „DĖL </w:t>
      </w:r>
      <w:r>
        <w:rPr>
          <w:b/>
          <w:bCs/>
          <w:caps/>
          <w:color w:val="000000"/>
          <w:szCs w:val="24"/>
        </w:rPr>
        <w:t xml:space="preserve">2014–2020 METŲ EUROPOS SĄJUNGOS FONDŲ INVESTICIJŲ VEIKSMŲ PROGRAMOS 9 PRIORITETO „VISUOMENĖS ŠVIETIMAS IR ŽMOGIŠKŲJŲ IŠTEKLIŲ POTENCIALO DIDINIMAS“ </w:t>
      </w:r>
      <w:r>
        <w:rPr>
          <w:b/>
          <w:bCs/>
          <w:caps/>
          <w:color w:val="000000"/>
          <w:szCs w:val="24"/>
          <w:lang w:eastAsia="lt-LT"/>
        </w:rPr>
        <w:t>09.3.1-ESFA-V-709 PRIEMONĖS „STUDIJŲ TARPTAUTIŠKUMO DIDINIMAS</w:t>
      </w:r>
      <w:r>
        <w:rPr>
          <w:b/>
          <w:bCs/>
          <w:color w:val="000000"/>
          <w:szCs w:val="24"/>
          <w:lang w:val="en-GB"/>
        </w:rPr>
        <w:t>“ PROJEKTŲ FINANSAVIMO SĄLYGŲ APRAŠO PATVIRTINIMO“ PAKEITIMO</w:t>
      </w:r>
    </w:p>
    <w:p w:rsidR="000373FC" w:rsidRDefault="000373FC" w:rsidP="000373FC">
      <w:pPr>
        <w:rPr>
          <w:sz w:val="2"/>
          <w:szCs w:val="2"/>
        </w:rPr>
      </w:pPr>
    </w:p>
    <w:p w:rsidR="000373FC" w:rsidRDefault="000373FC" w:rsidP="000373FC">
      <w:pPr>
        <w:overflowPunct w:val="0"/>
        <w:ind w:left="-108" w:firstLine="108"/>
        <w:jc w:val="center"/>
        <w:textAlignment w:val="baseline"/>
        <w:rPr>
          <w:b/>
          <w:bCs/>
          <w:caps/>
          <w:szCs w:val="24"/>
        </w:rPr>
      </w:pPr>
    </w:p>
    <w:p w:rsidR="000373FC" w:rsidRPr="00BD35CC" w:rsidRDefault="000373FC" w:rsidP="000373FC">
      <w:pPr>
        <w:keepNext/>
        <w:overflowPunct w:val="0"/>
        <w:ind w:right="-108"/>
        <w:jc w:val="center"/>
        <w:textAlignment w:val="baseline"/>
        <w:outlineLvl w:val="2"/>
        <w:rPr>
          <w:szCs w:val="24"/>
        </w:rPr>
      </w:pPr>
      <w:r w:rsidRPr="00BD35CC">
        <w:rPr>
          <w:szCs w:val="24"/>
        </w:rPr>
        <w:t>2020  m.</w:t>
      </w:r>
      <w:r>
        <w:rPr>
          <w:szCs w:val="24"/>
        </w:rPr>
        <w:t xml:space="preserve"> </w:t>
      </w:r>
      <w:r w:rsidRPr="00BD35CC">
        <w:rPr>
          <w:szCs w:val="24"/>
        </w:rPr>
        <w:t xml:space="preserve">         d. Nr. V-</w:t>
      </w:r>
    </w:p>
    <w:p w:rsidR="000373FC" w:rsidRPr="00BD35CC" w:rsidRDefault="000373FC" w:rsidP="000373FC">
      <w:pPr>
        <w:overflowPunct w:val="0"/>
        <w:jc w:val="center"/>
        <w:textAlignment w:val="baseline"/>
        <w:rPr>
          <w:szCs w:val="24"/>
        </w:rPr>
      </w:pPr>
      <w:r w:rsidRPr="00BD35CC">
        <w:rPr>
          <w:szCs w:val="24"/>
        </w:rPr>
        <w:t>Vilnius</w:t>
      </w:r>
    </w:p>
    <w:p w:rsidR="000373FC" w:rsidRDefault="000373FC" w:rsidP="000373FC">
      <w:pPr>
        <w:overflowPunct w:val="0"/>
        <w:ind w:firstLine="851"/>
        <w:jc w:val="both"/>
        <w:textAlignment w:val="baseline"/>
        <w:rPr>
          <w:szCs w:val="24"/>
        </w:rPr>
      </w:pPr>
    </w:p>
    <w:p w:rsidR="00171221" w:rsidRPr="00171221" w:rsidRDefault="00171221" w:rsidP="00171221">
      <w:pPr>
        <w:overflowPunct w:val="0"/>
        <w:ind w:firstLine="851"/>
        <w:jc w:val="both"/>
        <w:textAlignment w:val="baseline"/>
        <w:rPr>
          <w:szCs w:val="24"/>
        </w:rPr>
      </w:pPr>
      <w:r w:rsidRPr="00171221">
        <w:rPr>
          <w:szCs w:val="24"/>
        </w:rPr>
        <w:t>Vadovaudamasis Projektų administravimo ir finansavimo taisyklių, patvirtintų Lietuvos Respublikos finansų ministro 2014 m. spalio 8 d. įsakymu Nr. 1K-316 „Dėl Projektų administravimo ir finansavim</w:t>
      </w:r>
      <w:r w:rsidR="00910211">
        <w:rPr>
          <w:szCs w:val="24"/>
        </w:rPr>
        <w:t>o taisyklių patvirtinimo“, 91.1</w:t>
      </w:r>
      <w:r w:rsidRPr="00171221">
        <w:rPr>
          <w:szCs w:val="24"/>
        </w:rPr>
        <w:t xml:space="preserve"> papunkčiu, </w:t>
      </w:r>
    </w:p>
    <w:p w:rsidR="000373FC" w:rsidRPr="00D35E30" w:rsidRDefault="00171221" w:rsidP="00171221">
      <w:pPr>
        <w:overflowPunct w:val="0"/>
        <w:ind w:firstLine="851"/>
        <w:jc w:val="both"/>
        <w:textAlignment w:val="baseline"/>
        <w:rPr>
          <w:szCs w:val="24"/>
        </w:rPr>
      </w:pPr>
      <w:r w:rsidRPr="00171221">
        <w:rPr>
          <w:szCs w:val="24"/>
        </w:rPr>
        <w:t xml:space="preserve">p a k e i č i u 2014–2020 metų Europos Sąjungos fondų investicijų veiksmų programos 9 prioriteto „Visuomenės švietimas ir žmogiškųjų išteklių potencialo didinimas“ 09.3.1-ESFA-V-709 priemonės „Studijų </w:t>
      </w:r>
      <w:proofErr w:type="spellStart"/>
      <w:r w:rsidRPr="00171221">
        <w:rPr>
          <w:szCs w:val="24"/>
        </w:rPr>
        <w:t>tarptautiškumo</w:t>
      </w:r>
      <w:proofErr w:type="spellEnd"/>
      <w:r w:rsidRPr="00171221">
        <w:rPr>
          <w:szCs w:val="24"/>
        </w:rPr>
        <w:t xml:space="preserve"> didinimas“ pr</w:t>
      </w:r>
      <w:r>
        <w:rPr>
          <w:szCs w:val="24"/>
        </w:rPr>
        <w:t>ojektų finansavimo sąlygų aprašo</w:t>
      </w:r>
      <w:r w:rsidRPr="00171221">
        <w:rPr>
          <w:szCs w:val="24"/>
        </w:rPr>
        <w:t>,</w:t>
      </w:r>
      <w:r w:rsidR="00211F27">
        <w:rPr>
          <w:szCs w:val="24"/>
        </w:rPr>
        <w:t xml:space="preserve"> patvirtintą</w:t>
      </w:r>
      <w:r w:rsidRPr="00171221">
        <w:rPr>
          <w:szCs w:val="24"/>
        </w:rPr>
        <w:t xml:space="preserve"> Lietuvos Respublikos švietimo ir mokslo ministro 2016 m. birželio 27 d. įsakymu Nr. V-603 „Dėl 2014–2020 metų Europos Sąjungos fondų investicijų veiksmų programos 9 prioriteto „Visuomenės švietimas ir žmogiškųjų išteklių potencialo didinimas“ </w:t>
      </w:r>
      <w:r w:rsidRPr="00171221">
        <w:rPr>
          <w:bCs/>
          <w:szCs w:val="24"/>
        </w:rPr>
        <w:t xml:space="preserve">09.3.1-ESFA-V-709 priemonės „Studijų </w:t>
      </w:r>
      <w:proofErr w:type="spellStart"/>
      <w:r w:rsidRPr="00171221">
        <w:rPr>
          <w:bCs/>
          <w:szCs w:val="24"/>
        </w:rPr>
        <w:t>tarptautiškumo</w:t>
      </w:r>
      <w:proofErr w:type="spellEnd"/>
      <w:r w:rsidRPr="00171221">
        <w:rPr>
          <w:bCs/>
          <w:szCs w:val="24"/>
        </w:rPr>
        <w:t xml:space="preserve"> didinimas“ </w:t>
      </w:r>
      <w:r w:rsidRPr="00171221">
        <w:rPr>
          <w:szCs w:val="24"/>
        </w:rPr>
        <w:t>projektų finansav</w:t>
      </w:r>
      <w:r>
        <w:rPr>
          <w:szCs w:val="24"/>
        </w:rPr>
        <w:t xml:space="preserve">imo sąlygų aprašo patvirtinimo“ </w:t>
      </w:r>
      <w:r w:rsidR="000373FC" w:rsidRPr="00D35E30">
        <w:rPr>
          <w:color w:val="000000"/>
          <w:szCs w:val="24"/>
        </w:rPr>
        <w:t xml:space="preserve">34 punktą </w:t>
      </w:r>
      <w:r w:rsidR="00CD3AEF">
        <w:rPr>
          <w:color w:val="000000"/>
          <w:szCs w:val="24"/>
        </w:rPr>
        <w:t xml:space="preserve">ir jį </w:t>
      </w:r>
      <w:r w:rsidR="000373FC" w:rsidRPr="00D35E30">
        <w:rPr>
          <w:szCs w:val="24"/>
        </w:rPr>
        <w:t xml:space="preserve">išdėstau </w:t>
      </w:r>
      <w:r w:rsidR="000373FC" w:rsidRPr="00D35E30">
        <w:rPr>
          <w:color w:val="000000"/>
          <w:szCs w:val="24"/>
        </w:rPr>
        <w:t>taip:</w:t>
      </w:r>
    </w:p>
    <w:p w:rsidR="000373FC" w:rsidRDefault="000373FC" w:rsidP="000373FC">
      <w:pPr>
        <w:overflowPunct w:val="0"/>
        <w:spacing w:after="240"/>
        <w:ind w:firstLine="1276"/>
        <w:jc w:val="both"/>
        <w:textAlignment w:val="baseline"/>
        <w:rPr>
          <w:szCs w:val="24"/>
        </w:rPr>
      </w:pPr>
      <w:r>
        <w:rPr>
          <w:szCs w:val="24"/>
        </w:rPr>
        <w:t>„34. Pagal Aprašą tinkamų arba netinkamų finansuoti išlaidų kategorijos yra šios: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5811"/>
      </w:tblGrid>
      <w:tr w:rsidR="000373FC" w:rsidRPr="00ED62ED" w:rsidTr="00163B4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jc w:val="center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Išlaidų kategorijos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jc w:val="center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Išlaidų kategorijos pavadinimas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center"/>
              <w:textAlignment w:val="baseline"/>
              <w:rPr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Reikalavimai ir paaiškinimai</w:t>
            </w:r>
          </w:p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373FC" w:rsidRPr="00ED62ED" w:rsidTr="00163B4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Žemė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Netinkama finansuoti.</w:t>
            </w:r>
          </w:p>
        </w:tc>
      </w:tr>
      <w:tr w:rsidR="000373FC" w:rsidRPr="00ED62ED" w:rsidTr="00163B4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Nekilnojamasis turtas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Netinkama finansuoti.</w:t>
            </w:r>
          </w:p>
        </w:tc>
      </w:tr>
      <w:tr w:rsidR="000373FC" w:rsidRPr="00ED62ED" w:rsidTr="00163B4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Statyba, rekonstravimas, remontas ir kiti darbai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Netinkama finansuoti.</w:t>
            </w:r>
          </w:p>
        </w:tc>
      </w:tr>
      <w:tr w:rsidR="000373FC" w:rsidRPr="00ED62ED" w:rsidTr="00163B45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Įranga, įrenginiai ir kitas turtas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Tinkama finansuoti.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spacing w:line="259" w:lineRule="auto"/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73FC" w:rsidRPr="00ED62ED" w:rsidTr="00163B45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Projekto vykdymas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Tinkama finansuoti.</w:t>
            </w:r>
          </w:p>
          <w:p w:rsidR="000373FC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Projekto veiklas vykdančių Lietuvos Respublikos švietimo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5069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ir </w:t>
            </w:r>
            <w:r w:rsidRPr="00050698">
              <w:rPr>
                <w:color w:val="000000"/>
                <w:sz w:val="22"/>
                <w:szCs w:val="22"/>
              </w:rPr>
              <w:t xml:space="preserve"> mokslo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50698">
              <w:rPr>
                <w:color w:val="000000"/>
                <w:sz w:val="22"/>
                <w:szCs w:val="22"/>
              </w:rPr>
              <w:t xml:space="preserve">ministerijai pavaldžių biudžetinių įstaigų darbuotojų darbo užmokesčio išlaidos apmokamos taikant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„Lietuvos Respublikos švietimo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mokslo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ir sporto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 xml:space="preserve"> ministerijai pavaldžių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lastRenderedPageBreak/>
              <w:t>biudžetinių įstaigų darbuotojų darbo užmokesčio fiksuotųjų įkainių nustatymo tyrimo ataskaitą“.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Projekto veiklas vykdančio aukštųjų mokyklų personalo darbo užmokesčio išlaidos apskaičiuojamos taikant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>Aukštųjų mokyklų personalo, vykdančio projektą, darbo užmokesčio išlaidų fiksuotųjų įkainių nustatymo tyrimo ataskaitą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050698">
              <w:rPr>
                <w:color w:val="000000"/>
                <w:sz w:val="22"/>
                <w:szCs w:val="22"/>
              </w:rPr>
              <w:t xml:space="preserve">. 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Viešojo valdymo institucijų projektų dalyvių darbo užmokesčio išlaidos apmokamos taikant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>Viešojo valdymo institucijų projektų dalyvių darbo užmokesčio fiksuotųjų įkainių nustatymo tyrimo ataskaitą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050698">
              <w:rPr>
                <w:color w:val="000000"/>
                <w:sz w:val="22"/>
                <w:szCs w:val="22"/>
              </w:rPr>
              <w:t>. Šioje ataskaitoje nurodyti įkainiai taikomi kai mokymuose pagal Aprašo 10 punkte nurodytas veiklas dalyvauja viešojo valdymo institucijų, kaip jos apibrėžtos ataskaitoje, darbuotojai.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Projekto veiklose dalyvaujančių privačių juridinių asmenų projektų dalyvių darbo užmokesčio išlaidos apskaičiuojamos taikant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>Privačių juridinių asmenų projektų dalyvių darbo užmokesčio fiksuotųjų įkainių nustatymo tyrimo ataskaitą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050698">
              <w:rPr>
                <w:color w:val="000000"/>
                <w:sz w:val="22"/>
                <w:szCs w:val="22"/>
              </w:rPr>
              <w:t xml:space="preserve">. 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Patirtos vykdančiojo personalo darbo užmokesčio už kasmetines atostogas ir (ar) kompensacijos už nepanaudotas kasmetines atostogas išmokos bei papildomų poilsio dienų išmokos apmokamos taikant 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„Kasmetinių atostogų ir papildomų poilsio dienų išmokų fiksuotųjų normų nustatymo tyrimo ataskaitą“.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Projekto veikloms vykdyti reikalingos apgyvendinimo Lietuvoje išlaidos apmokamos taikant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>Apgyvendinimo Lietuvoje išlaidų fiksuotųjų įkainių nustatymo tyrimo ataskaitą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050698">
              <w:rPr>
                <w:color w:val="000000"/>
                <w:sz w:val="22"/>
                <w:szCs w:val="22"/>
              </w:rPr>
              <w:t>.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Projekto veikloms vykdyti (vykdančiojo personalo komandiruotės, dalyvių kelionės ir komandiruotės) reikalingos transporto (toliau – transporto) Lietuvoje išlaidos apmokamos taikant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>Kuro ir viešojo transporto išlaidų fiksuotųjų įkainių nustatymo tyrimo ataskaitą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050698">
              <w:rPr>
                <w:color w:val="000000"/>
                <w:sz w:val="22"/>
                <w:szCs w:val="22"/>
              </w:rPr>
              <w:t xml:space="preserve">. 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Projekto veikloms vykdyti reikalingos užsienio kelionių ir komandiruočių išlaidos apmokamos taikant </w:t>
            </w:r>
            <w:r w:rsidRPr="00050698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 xml:space="preserve">Mokslinių išvykų išlaidų fiksuotųjų įkainių apskaičiavimo tyrimo </w:t>
            </w:r>
            <w:r w:rsidRPr="00050698">
              <w:rPr>
                <w:sz w:val="22"/>
                <w:szCs w:val="22"/>
              </w:rPr>
              <w:t>ataskaitą</w:t>
            </w:r>
            <w:r w:rsidRPr="00050698">
              <w:rPr>
                <w:sz w:val="22"/>
                <w:szCs w:val="22"/>
                <w:lang w:eastAsia="lt-LT"/>
              </w:rPr>
              <w:t>“</w:t>
            </w:r>
            <w:r w:rsidRPr="00050698">
              <w:rPr>
                <w:sz w:val="22"/>
                <w:szCs w:val="22"/>
              </w:rPr>
              <w:t xml:space="preserve">. 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Šioje ataskaitoje nurodyti fiksuotieji įkainiai netaikomi studentams, kurie dalyvauja Aprašo 10.2 papunktyje nurodytose veiklose, ir asmenims, kurie dalyvauja tarptautinėse parodose pagal Aprašo 10.3 papunktyje numatytą veiklą.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jc w:val="both"/>
              <w:rPr>
                <w:sz w:val="22"/>
                <w:szCs w:val="22"/>
                <w:lang w:eastAsia="lt-LT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Projekto veikloms pagal Aprašo 10.1 ir 10.3 papunkčiuose numatytas veiklas vykdyti reikalingos atvykstančių iš užsienio asmenų atvykimo į Lietuvą ir atgal kelionės išlaidos, apgyvendinimo bei pragyvenimo Lietuvoje išlaidos apmokamos taikant </w:t>
            </w:r>
            <w:r w:rsidRPr="00050698">
              <w:rPr>
                <w:sz w:val="22"/>
                <w:szCs w:val="22"/>
                <w:lang w:eastAsia="lt-LT"/>
              </w:rPr>
              <w:t>„Mokslinių išvykų išlaidų fiksuotųjų įkainių apskaičiavimo tyrimo ataskaitą“.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Projekto veikloms vykdyti reikalingos renginio organizavimo išlaidos apmokamos taikant </w:t>
            </w:r>
            <w:r w:rsidRPr="00050698">
              <w:rPr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>Renginio organizavimo fiksuotojo įkainio nustatymo tyrimo ataskaitą</w:t>
            </w:r>
            <w:r w:rsidRPr="00050698">
              <w:rPr>
                <w:sz w:val="22"/>
                <w:szCs w:val="22"/>
                <w:lang w:eastAsia="lt-LT"/>
              </w:rPr>
              <w:t>“</w:t>
            </w:r>
            <w:r w:rsidRPr="00050698">
              <w:rPr>
                <w:color w:val="000000"/>
                <w:sz w:val="22"/>
                <w:szCs w:val="22"/>
              </w:rPr>
              <w:t xml:space="preserve">. 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Pagal Aprašo 10.1 papunktyje numatytą veiklą </w:t>
            </w:r>
            <w:r w:rsidRPr="00050698">
              <w:rPr>
                <w:color w:val="000000"/>
                <w:sz w:val="22"/>
                <w:szCs w:val="22"/>
                <w:shd w:val="clear" w:color="auto" w:fill="FFFFFF"/>
              </w:rPr>
              <w:t>projekto veikloms vykdyti reikalingos norminės studijų kainos apmokamos vadovaujantis</w:t>
            </w:r>
            <w:r w:rsidRPr="009173A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0698">
              <w:rPr>
                <w:color w:val="000000"/>
                <w:sz w:val="22"/>
                <w:szCs w:val="22"/>
              </w:rPr>
              <w:t>iki kiekvienų metų sausio 15 d. Lietuvos Respublikos švietimo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050698">
              <w:rPr>
                <w:color w:val="000000"/>
                <w:sz w:val="22"/>
                <w:szCs w:val="22"/>
              </w:rPr>
              <w:t>mokslo</w:t>
            </w:r>
            <w:r>
              <w:rPr>
                <w:color w:val="000000"/>
                <w:sz w:val="22"/>
                <w:szCs w:val="22"/>
              </w:rPr>
              <w:t xml:space="preserve"> ir sporto</w:t>
            </w:r>
            <w:r w:rsidRPr="00050698">
              <w:rPr>
                <w:color w:val="000000"/>
                <w:sz w:val="22"/>
                <w:szCs w:val="22"/>
              </w:rPr>
              <w:t xml:space="preserve"> ministro įsakymu tvirtinamomis studentų, priimamų į aukštąsias mokyklas, norminėmis studijų kainomis.  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Pagal Aprašo 10.1 papunktyje numatytą veiklą projekto veikloms vykdyti reikalingos stipendijos studentams, atvykstantiems studijuoti lituanistinių ir (ar) baltistikos studijų programų, apmokamos taikant </w:t>
            </w:r>
            <w:r w:rsidRPr="00050698">
              <w:rPr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>Studentų, atvykstančių studijuoti lituanistinių ir (ar) baltistikos studijų programų, stipendijos fiksuotojo įkainio nustatymo tyrimo ataskaitą</w:t>
            </w:r>
            <w:r w:rsidRPr="00050698">
              <w:rPr>
                <w:sz w:val="22"/>
                <w:szCs w:val="22"/>
                <w:lang w:eastAsia="lt-LT"/>
              </w:rPr>
              <w:t>“.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Pagal Aprašo 10.2 papunktyje numatytą veiklą projekto veikloms vykdyti reikalingos studentų, vykstančių studijuoti ar atlikti praktiką į užsienio valstybes, stipendijos apmokamos taikant </w:t>
            </w:r>
            <w:r w:rsidRPr="00050698">
              <w:rPr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>Studentų, vykstančių studijuoti ar atlikti praktiką į užsienio valstybes, stipendijų ir kelionių fiksuotųjų įkainių nustatymo tyrimo ataskaitą</w:t>
            </w:r>
            <w:r w:rsidRPr="00050698">
              <w:rPr>
                <w:sz w:val="22"/>
                <w:szCs w:val="22"/>
                <w:lang w:eastAsia="lt-LT"/>
              </w:rPr>
              <w:t>“.</w:t>
            </w:r>
            <w:r w:rsidRPr="00050698">
              <w:rPr>
                <w:color w:val="000000"/>
                <w:sz w:val="22"/>
                <w:szCs w:val="22"/>
              </w:rPr>
              <w:t xml:space="preserve"> </w:t>
            </w:r>
          </w:p>
          <w:p w:rsidR="000373FC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Studentų, dalyvaujančių veiklose pagal Aprašo 10.2 papunktį, kelionių išlaidos galimos tik pagal studentų, vykstančių studijuoti ar atlikti praktiką į užsienio valstybes, stipendijų ir kelionių fiksuotųjų įkainių nustatymo pagrindimą.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Pagal Aprašo 10.3 papunktyje numatytą veiklą dalyvavimo tarptautinėse parodose ir mugėse išlaidos apmokamos taikant </w:t>
            </w:r>
            <w:r w:rsidRPr="00050698">
              <w:rPr>
                <w:sz w:val="22"/>
                <w:szCs w:val="22"/>
                <w:lang w:eastAsia="lt-LT"/>
              </w:rPr>
              <w:t>„</w:t>
            </w:r>
            <w:r w:rsidRPr="00050698">
              <w:rPr>
                <w:color w:val="000000"/>
                <w:sz w:val="22"/>
                <w:szCs w:val="22"/>
              </w:rPr>
              <w:t>Dalyvavimo tarptautinėse parodose fiksuotųjų įkainių nustatymo tyrimo ataskaitą</w:t>
            </w:r>
            <w:r w:rsidRPr="00050698">
              <w:rPr>
                <w:sz w:val="22"/>
                <w:szCs w:val="22"/>
                <w:lang w:eastAsia="lt-LT"/>
              </w:rPr>
              <w:t>“</w:t>
            </w:r>
            <w:r>
              <w:rPr>
                <w:sz w:val="22"/>
                <w:szCs w:val="22"/>
                <w:lang w:eastAsia="lt-LT"/>
              </w:rPr>
              <w:t xml:space="preserve"> ir pagal joje nustatytas valstybių grupes</w:t>
            </w:r>
            <w:r w:rsidRPr="00050698">
              <w:rPr>
                <w:sz w:val="22"/>
                <w:szCs w:val="22"/>
                <w:lang w:eastAsia="lt-LT"/>
              </w:rPr>
              <w:t xml:space="preserve">. </w:t>
            </w:r>
            <w:r w:rsidRPr="00050698">
              <w:rPr>
                <w:color w:val="000000"/>
                <w:sz w:val="22"/>
                <w:szCs w:val="22"/>
              </w:rPr>
              <w:t>Vykdančiojo personalo darbo užmokestis nėra tinkamos išlaidos pagal šioje ataskaitoje nurodytus fiksuotuosius įkainius, todėl dalyvavimo tarptautinėse parodose išlaidos apmokamos naudojant šiuos fiksuotuosius dydžius: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1 valstybių grupė – 9 788,00 (devyni tūkstančiai septyni šimtai aštuoniasdešimt aštuoni eurai 00 ct) – suma be pridėtinės vertės mokesčio; 11 542,00 (vienuolika tūkstančių penki šimtai keturiasdešimt du eurai 00 ct) – suma su pridėtinės vertės mokesčiu;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2 valstybių grupė – 10 147,00 (dešimt tūkstančių vienas šimtas keturiasdešimt septyni eurai 00 ct) – suma be pridėtinės vertės mokesčio; 11 901,00 (vienuolika tūkstančių devyni šimtai vienas euras 00 ct) – suma su pridėtinės vertės mokesčiu;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3 valstybių grupė – 10 859,00 (dešimt tūkstančių aštuoni šimtai penkiasdešimt devyni eurai 00 ct) – suma be suma be pridėtinės </w:t>
            </w:r>
            <w:r w:rsidRPr="00050698">
              <w:rPr>
                <w:color w:val="000000"/>
                <w:sz w:val="22"/>
                <w:szCs w:val="22"/>
              </w:rPr>
              <w:lastRenderedPageBreak/>
              <w:t>vertės mokesčio; 12 613,00 (dvylika tūkstančių šeši šimtai trylika eurų 00 ct) – suma su pridėtinės vertės mokesčiu.</w:t>
            </w:r>
          </w:p>
          <w:p w:rsidR="00AA7891" w:rsidRDefault="00AA7891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AA7891" w:rsidRDefault="00AA7891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A7891">
              <w:rPr>
                <w:color w:val="FF0000"/>
                <w:sz w:val="22"/>
                <w:szCs w:val="22"/>
              </w:rPr>
              <w:t xml:space="preserve">Dalyvavimo virtualiose tarptautinėse parodose ir mugėse išlaidos yra apmokamos pagal </w:t>
            </w:r>
            <w:r>
              <w:rPr>
                <w:color w:val="FF0000"/>
                <w:sz w:val="22"/>
                <w:szCs w:val="22"/>
              </w:rPr>
              <w:t>faktines</w:t>
            </w:r>
            <w:r w:rsidRPr="00AA7891">
              <w:rPr>
                <w:color w:val="FF0000"/>
                <w:sz w:val="22"/>
                <w:szCs w:val="22"/>
              </w:rPr>
              <w:t xml:space="preserve"> išlaidas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:rsidR="00A47FBC" w:rsidRDefault="00A47FB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  <w:p w:rsidR="00AA7891" w:rsidRPr="00A47FBC" w:rsidRDefault="00A47FBC" w:rsidP="00A47FBC">
            <w:pPr>
              <w:spacing w:after="20"/>
              <w:jc w:val="both"/>
              <w:rPr>
                <w:color w:val="FF0000"/>
                <w:sz w:val="22"/>
                <w:szCs w:val="24"/>
              </w:rPr>
            </w:pPr>
            <w:r w:rsidRPr="00A47FBC">
              <w:rPr>
                <w:color w:val="FF0000"/>
                <w:sz w:val="22"/>
                <w:szCs w:val="24"/>
              </w:rPr>
              <w:t xml:space="preserve">Fiksuotųjų įkainių nustatymo tyrimo ataskaitos skelbiamos ES struktūrinių fondų svetainėje adresu </w:t>
            </w:r>
            <w:hyperlink r:id="rId7" w:history="1">
              <w:r w:rsidRPr="00A47FBC">
                <w:rPr>
                  <w:color w:val="FF0000"/>
                  <w:sz w:val="22"/>
                  <w:szCs w:val="24"/>
                  <w:u w:val="single"/>
                </w:rPr>
                <w:t>https://www.esinvesticijos.lt/lt/dokumentai/supaprastinto-islaidu-apmokejimo-tyrimai</w:t>
              </w:r>
            </w:hyperlink>
            <w:r w:rsidRPr="00A47FBC">
              <w:rPr>
                <w:color w:val="FF0000"/>
                <w:sz w:val="22"/>
                <w:szCs w:val="24"/>
              </w:rPr>
              <w:t xml:space="preserve"> </w:t>
            </w:r>
          </w:p>
          <w:p w:rsidR="000373FC" w:rsidRPr="00050698" w:rsidRDefault="000373FC" w:rsidP="00163B45">
            <w:pPr>
              <w:overflowPunct w:val="0"/>
              <w:spacing w:line="259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373FC" w:rsidRPr="00ED62ED" w:rsidTr="00163B45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 xml:space="preserve">Informavimas apie projektą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>Tinkamos finansuoti tik privalomos informavimo apie projektą priemonės pagal Projektų taisyklių 37 skirsnio 450.1, 450.2 ir 450.6 papunkčius.</w:t>
            </w:r>
          </w:p>
        </w:tc>
      </w:tr>
      <w:tr w:rsidR="000373FC" w:rsidRPr="00ED62ED" w:rsidTr="00163B45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050698">
              <w:rPr>
                <w:bCs/>
                <w:color w:val="000000"/>
                <w:sz w:val="22"/>
                <w:szCs w:val="22"/>
              </w:rPr>
              <w:t>Netiesioginės išlaidos ir kitos išlaidos pagal fiksuotąją projekto išlaidų normą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Tinkama finansuoti. </w:t>
            </w:r>
          </w:p>
          <w:p w:rsidR="000373FC" w:rsidRPr="00050698" w:rsidRDefault="000373FC" w:rsidP="00163B45">
            <w:pPr>
              <w:rPr>
                <w:sz w:val="22"/>
                <w:szCs w:val="22"/>
              </w:rPr>
            </w:pPr>
          </w:p>
          <w:p w:rsidR="000373FC" w:rsidRPr="00050698" w:rsidRDefault="000373FC" w:rsidP="00163B45">
            <w:pPr>
              <w:overflowPunct w:val="0"/>
              <w:spacing w:line="259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050698">
              <w:rPr>
                <w:color w:val="000000"/>
                <w:sz w:val="22"/>
                <w:szCs w:val="22"/>
              </w:rPr>
              <w:t xml:space="preserve">Netiesioginėms projekto išlaidoms apmokėti taikoma fiksuotoji projekto išlaidų norma apskaičiuojama pagal Projektų taisyklių 10 priedą. </w:t>
            </w:r>
          </w:p>
        </w:tc>
      </w:tr>
    </w:tbl>
    <w:p w:rsidR="000373FC" w:rsidRDefault="000373FC" w:rsidP="000373FC">
      <w:pPr>
        <w:tabs>
          <w:tab w:val="left" w:pos="5778"/>
        </w:tabs>
        <w:spacing w:line="259" w:lineRule="auto"/>
      </w:pPr>
    </w:p>
    <w:p w:rsidR="000373FC" w:rsidRDefault="000373FC" w:rsidP="000373FC">
      <w:pPr>
        <w:tabs>
          <w:tab w:val="left" w:pos="5778"/>
        </w:tabs>
        <w:spacing w:line="259" w:lineRule="auto"/>
      </w:pPr>
    </w:p>
    <w:p w:rsidR="000373FC" w:rsidRDefault="000373FC" w:rsidP="000373FC">
      <w:pPr>
        <w:tabs>
          <w:tab w:val="left" w:pos="5778"/>
        </w:tabs>
        <w:spacing w:line="259" w:lineRule="auto"/>
        <w:rPr>
          <w:szCs w:val="24"/>
        </w:rPr>
      </w:pPr>
      <w:r>
        <w:rPr>
          <w:szCs w:val="24"/>
        </w:rPr>
        <w:t>Švietimo, mokslo ir sporto ministras</w:t>
      </w:r>
      <w:r>
        <w:rPr>
          <w:szCs w:val="24"/>
        </w:rPr>
        <w:tab/>
        <w:t xml:space="preserve">    Algirdas Monkevičius</w:t>
      </w:r>
    </w:p>
    <w:p w:rsidR="000373FC" w:rsidRDefault="000373FC" w:rsidP="000373FC">
      <w:pPr>
        <w:overflowPunct w:val="0"/>
        <w:jc w:val="both"/>
        <w:textAlignment w:val="baseline"/>
        <w:rPr>
          <w:szCs w:val="24"/>
        </w:rPr>
      </w:pPr>
    </w:p>
    <w:p w:rsidR="000373FC" w:rsidRDefault="000373FC" w:rsidP="000373FC">
      <w:pPr>
        <w:overflowPunct w:val="0"/>
        <w:jc w:val="both"/>
        <w:textAlignment w:val="baseline"/>
        <w:rPr>
          <w:szCs w:val="24"/>
        </w:rPr>
      </w:pPr>
    </w:p>
    <w:p w:rsidR="000373FC" w:rsidRDefault="000373FC" w:rsidP="000373FC">
      <w:pPr>
        <w:overflowPunct w:val="0"/>
        <w:jc w:val="both"/>
        <w:textAlignment w:val="baseline"/>
        <w:rPr>
          <w:szCs w:val="24"/>
        </w:rPr>
      </w:pPr>
    </w:p>
    <w:p w:rsidR="000373FC" w:rsidRDefault="000373FC" w:rsidP="000373FC">
      <w:pPr>
        <w:overflowPunct w:val="0"/>
        <w:jc w:val="both"/>
        <w:textAlignment w:val="baseline"/>
        <w:rPr>
          <w:szCs w:val="24"/>
        </w:rPr>
      </w:pPr>
    </w:p>
    <w:p w:rsidR="000373FC" w:rsidRDefault="000373FC" w:rsidP="000373FC">
      <w:pPr>
        <w:overflowPunct w:val="0"/>
        <w:jc w:val="both"/>
        <w:textAlignment w:val="baseline"/>
        <w:rPr>
          <w:szCs w:val="24"/>
        </w:rPr>
      </w:pPr>
    </w:p>
    <w:p w:rsidR="000373FC" w:rsidRDefault="000373FC" w:rsidP="000373FC">
      <w:pPr>
        <w:overflowPunct w:val="0"/>
        <w:jc w:val="both"/>
        <w:textAlignment w:val="baseline"/>
        <w:rPr>
          <w:szCs w:val="24"/>
        </w:rPr>
      </w:pPr>
    </w:p>
    <w:p w:rsidR="000373FC" w:rsidRDefault="000373FC" w:rsidP="000373FC">
      <w:pPr>
        <w:overflowPunct w:val="0"/>
        <w:jc w:val="both"/>
        <w:textAlignment w:val="baseline"/>
        <w:rPr>
          <w:szCs w:val="24"/>
        </w:rPr>
      </w:pPr>
    </w:p>
    <w:p w:rsidR="000373FC" w:rsidRDefault="000373FC" w:rsidP="000373FC">
      <w:pPr>
        <w:overflowPunct w:val="0"/>
        <w:jc w:val="both"/>
        <w:textAlignment w:val="baseline"/>
        <w:rPr>
          <w:szCs w:val="24"/>
        </w:rPr>
      </w:pPr>
    </w:p>
    <w:p w:rsidR="000373FC" w:rsidRDefault="000373FC" w:rsidP="000373FC">
      <w:pPr>
        <w:overflowPunct w:val="0"/>
        <w:jc w:val="both"/>
        <w:textAlignment w:val="baseline"/>
        <w:rPr>
          <w:szCs w:val="24"/>
        </w:rPr>
      </w:pPr>
    </w:p>
    <w:p w:rsidR="000373FC" w:rsidRDefault="000373FC" w:rsidP="000373FC">
      <w:pPr>
        <w:overflowPunct w:val="0"/>
        <w:textAlignment w:val="baseline"/>
        <w:rPr>
          <w:szCs w:val="24"/>
        </w:rPr>
      </w:pPr>
    </w:p>
    <w:p w:rsidR="000373FC" w:rsidRDefault="000373FC" w:rsidP="000373FC">
      <w:pPr>
        <w:overflowPunct w:val="0"/>
        <w:textAlignment w:val="baseline"/>
        <w:rPr>
          <w:szCs w:val="24"/>
        </w:rPr>
      </w:pPr>
      <w:r>
        <w:rPr>
          <w:szCs w:val="24"/>
        </w:rPr>
        <w:t>SUDERINTA</w:t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:rsidR="000373FC" w:rsidRDefault="000373FC" w:rsidP="000373FC">
      <w:pPr>
        <w:overflowPunct w:val="0"/>
        <w:textAlignment w:val="baseline"/>
        <w:rPr>
          <w:szCs w:val="24"/>
        </w:rPr>
      </w:pPr>
      <w:r>
        <w:rPr>
          <w:szCs w:val="24"/>
        </w:rPr>
        <w:t>Europos socialinio fondo agentūros</w:t>
      </w:r>
    </w:p>
    <w:p w:rsidR="000373FC" w:rsidRDefault="00E80C8F" w:rsidP="000373FC">
      <w:pPr>
        <w:overflowPunct w:val="0"/>
        <w:textAlignment w:val="baseline"/>
        <w:rPr>
          <w:szCs w:val="24"/>
        </w:rPr>
      </w:pPr>
      <w:r>
        <w:rPr>
          <w:szCs w:val="24"/>
        </w:rPr>
        <w:t>2020</w:t>
      </w:r>
      <w:r w:rsidR="000373FC">
        <w:rPr>
          <w:szCs w:val="24"/>
        </w:rPr>
        <w:t xml:space="preserve"> m. </w:t>
      </w:r>
      <w:r>
        <w:rPr>
          <w:szCs w:val="24"/>
        </w:rPr>
        <w:t xml:space="preserve">        </w:t>
      </w:r>
      <w:r w:rsidR="000373FC">
        <w:rPr>
          <w:szCs w:val="24"/>
        </w:rPr>
        <w:t xml:space="preserve">d. raštu Nr. </w:t>
      </w:r>
      <w:r>
        <w:rPr>
          <w:szCs w:val="24"/>
        </w:rPr>
        <w:t xml:space="preserve">      </w:t>
      </w:r>
    </w:p>
    <w:p w:rsidR="007D5FA0" w:rsidRDefault="007D5FA0"/>
    <w:sectPr w:rsidR="007D5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288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54" w:rsidRDefault="00542554" w:rsidP="00611B42">
      <w:r>
        <w:separator/>
      </w:r>
    </w:p>
  </w:endnote>
  <w:endnote w:type="continuationSeparator" w:id="0">
    <w:p w:rsidR="00542554" w:rsidRDefault="00542554" w:rsidP="0061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76" w:rsidRDefault="00DF5BBE">
    <w:pPr>
      <w:framePr w:wrap="auto" w:vAnchor="text" w:hAnchor="margin" w:xAlign="right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end"/>
    </w:r>
  </w:p>
  <w:p w:rsidR="00155776" w:rsidRDefault="00542554">
    <w:pPr>
      <w:tabs>
        <w:tab w:val="center" w:pos="4819"/>
        <w:tab w:val="right" w:pos="9638"/>
      </w:tabs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76" w:rsidRDefault="00542554">
    <w:pPr>
      <w:framePr w:wrap="auto" w:vAnchor="text" w:hAnchor="page" w:x="9201" w:y="-2"/>
      <w:tabs>
        <w:tab w:val="center" w:pos="4819"/>
        <w:tab w:val="right" w:pos="9638"/>
      </w:tabs>
      <w:rPr>
        <w:sz w:val="16"/>
        <w:szCs w:val="16"/>
      </w:rPr>
    </w:pPr>
  </w:p>
  <w:p w:rsidR="00155776" w:rsidRDefault="00542554">
    <w:pPr>
      <w:tabs>
        <w:tab w:val="center" w:pos="4819"/>
        <w:tab w:val="right" w:pos="9638"/>
      </w:tabs>
      <w:ind w:right="36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76" w:rsidRDefault="0054255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54" w:rsidRDefault="00542554" w:rsidP="00611B42">
      <w:r>
        <w:separator/>
      </w:r>
    </w:p>
  </w:footnote>
  <w:footnote w:type="continuationSeparator" w:id="0">
    <w:p w:rsidR="00542554" w:rsidRDefault="00542554" w:rsidP="0061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76" w:rsidRDefault="0054255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76" w:rsidRDefault="00DF5BBE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35031E">
      <w:rPr>
        <w:noProof/>
        <w:szCs w:val="24"/>
      </w:rPr>
      <w:t>4</w:t>
    </w:r>
    <w:r>
      <w:rPr>
        <w:szCs w:val="24"/>
      </w:rPr>
      <w:fldChar w:fldCharType="end"/>
    </w:r>
  </w:p>
  <w:p w:rsidR="00155776" w:rsidRDefault="0054255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B42" w:rsidRDefault="00611B42" w:rsidP="00611B42">
    <w:pPr>
      <w:pStyle w:val="Antrats"/>
      <w:jc w:val="right"/>
    </w:pPr>
    <w: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76"/>
    <w:rsid w:val="000373FC"/>
    <w:rsid w:val="0005153D"/>
    <w:rsid w:val="00171221"/>
    <w:rsid w:val="00211F27"/>
    <w:rsid w:val="00344D1C"/>
    <w:rsid w:val="0035031E"/>
    <w:rsid w:val="004017A5"/>
    <w:rsid w:val="00450CCB"/>
    <w:rsid w:val="00542554"/>
    <w:rsid w:val="00611B42"/>
    <w:rsid w:val="007D5FA0"/>
    <w:rsid w:val="00910211"/>
    <w:rsid w:val="00A47FBC"/>
    <w:rsid w:val="00AA7891"/>
    <w:rsid w:val="00B42C34"/>
    <w:rsid w:val="00CD3AEF"/>
    <w:rsid w:val="00DC4476"/>
    <w:rsid w:val="00DF5BBE"/>
    <w:rsid w:val="00E80C8F"/>
    <w:rsid w:val="00E91703"/>
    <w:rsid w:val="00F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348CE-B0D9-4E0C-8DEC-60B0413C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73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1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1B4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esinvesticijos.lt/lt/dokumentai/supaprastinto-islaidu-apmokejimo-tyrima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5110</Words>
  <Characters>2914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Starkevičiūtė Gintarė</dc:creator>
  <cp:keywords/>
  <dc:description/>
  <cp:lastModifiedBy>Gervienė Giedrė</cp:lastModifiedBy>
  <cp:revision>2</cp:revision>
  <dcterms:created xsi:type="dcterms:W3CDTF">2020-07-14T17:34:00Z</dcterms:created>
  <dcterms:modified xsi:type="dcterms:W3CDTF">2020-07-14T17:34:00Z</dcterms:modified>
</cp:coreProperties>
</file>