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0A671" w14:textId="6E3733FA" w:rsidR="003D159F" w:rsidRDefault="003D159F" w:rsidP="002D6C61">
      <w:pPr>
        <w:tabs>
          <w:tab w:val="left" w:pos="1050"/>
          <w:tab w:val="center" w:pos="4819"/>
          <w:tab w:val="right" w:pos="9638"/>
        </w:tabs>
        <w:suppressAutoHyphens/>
        <w:textAlignment w:val="baseline"/>
        <w:rPr>
          <w:szCs w:val="24"/>
        </w:rPr>
      </w:pPr>
      <w:bookmarkStart w:id="0" w:name="_GoBack"/>
      <w:bookmarkEnd w:id="0"/>
    </w:p>
    <w:p w14:paraId="5B40A673" w14:textId="77777777" w:rsidR="003D159F" w:rsidRDefault="003239DE">
      <w:pPr>
        <w:tabs>
          <w:tab w:val="center" w:pos="4153"/>
          <w:tab w:val="right" w:pos="8306"/>
        </w:tabs>
        <w:suppressAutoHyphens/>
        <w:jc w:val="center"/>
        <w:textAlignment w:val="baseline"/>
        <w:rPr>
          <w:b/>
          <w:bCs/>
          <w:szCs w:val="24"/>
        </w:rPr>
      </w:pPr>
      <w:r>
        <w:rPr>
          <w:b/>
          <w:bCs/>
          <w:szCs w:val="24"/>
        </w:rPr>
        <w:t>LIETUVOS RESPUBLIKOS SVEIKATOS APSAUGOS MINISTRAS</w:t>
      </w:r>
    </w:p>
    <w:p w14:paraId="5B40A674" w14:textId="77777777" w:rsidR="003D159F" w:rsidRDefault="003D159F">
      <w:pPr>
        <w:tabs>
          <w:tab w:val="center" w:pos="4153"/>
          <w:tab w:val="right" w:pos="8306"/>
        </w:tabs>
        <w:suppressAutoHyphens/>
        <w:jc w:val="center"/>
        <w:textAlignment w:val="baseline"/>
        <w:rPr>
          <w:b/>
          <w:bCs/>
          <w:szCs w:val="24"/>
        </w:rPr>
      </w:pPr>
    </w:p>
    <w:p w14:paraId="5B40A675" w14:textId="77777777" w:rsidR="003D159F" w:rsidRDefault="003239DE">
      <w:pPr>
        <w:tabs>
          <w:tab w:val="center" w:pos="4153"/>
          <w:tab w:val="right" w:pos="8306"/>
        </w:tabs>
        <w:suppressAutoHyphens/>
        <w:jc w:val="center"/>
        <w:textAlignment w:val="baseline"/>
        <w:rPr>
          <w:szCs w:val="24"/>
        </w:rPr>
      </w:pPr>
      <w:r>
        <w:rPr>
          <w:b/>
          <w:bCs/>
          <w:szCs w:val="24"/>
        </w:rPr>
        <w:t>ĮSAKYMAS</w:t>
      </w:r>
    </w:p>
    <w:p w14:paraId="5B40A676" w14:textId="0309AEF5" w:rsidR="003D159F" w:rsidRDefault="003239DE">
      <w:pPr>
        <w:suppressAutoHyphens/>
        <w:jc w:val="center"/>
        <w:textAlignment w:val="baseline"/>
        <w:rPr>
          <w:szCs w:val="24"/>
        </w:rPr>
      </w:pPr>
      <w:r>
        <w:rPr>
          <w:rFonts w:eastAsia="Calibri"/>
          <w:b/>
          <w:bCs/>
          <w:color w:val="000000"/>
          <w:szCs w:val="24"/>
        </w:rPr>
        <w:t xml:space="preserve">DĖL </w:t>
      </w:r>
      <w:r>
        <w:rPr>
          <w:rFonts w:eastAsia="Calibri"/>
          <w:b/>
          <w:color w:val="000000"/>
          <w:szCs w:val="24"/>
        </w:rPr>
        <w:t>LIETUVOS RESPUBLIKOS SVEIKATOS APSAUGOS MINISTRO 2015 M. BIRŽELIO 22 D. ĮSAKYMO NR. V-783 „DĖL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PAKEITIMO</w:t>
      </w:r>
    </w:p>
    <w:p w14:paraId="5B40A677" w14:textId="77777777" w:rsidR="003D159F" w:rsidRDefault="003D159F">
      <w:pPr>
        <w:suppressAutoHyphens/>
        <w:jc w:val="center"/>
        <w:textAlignment w:val="baseline"/>
        <w:rPr>
          <w:b/>
          <w:color w:val="000000"/>
          <w:szCs w:val="24"/>
        </w:rPr>
      </w:pPr>
    </w:p>
    <w:p w14:paraId="5B40A678" w14:textId="7BCDEFF9" w:rsidR="003D159F" w:rsidRDefault="003441BE">
      <w:pPr>
        <w:suppressAutoHyphens/>
        <w:jc w:val="center"/>
        <w:textAlignment w:val="baseline"/>
        <w:rPr>
          <w:color w:val="000000"/>
          <w:szCs w:val="24"/>
        </w:rPr>
      </w:pPr>
      <w:r>
        <w:rPr>
          <w:color w:val="000000"/>
          <w:szCs w:val="24"/>
        </w:rPr>
        <w:t>20</w:t>
      </w:r>
      <w:r w:rsidR="00EF1320">
        <w:rPr>
          <w:color w:val="000000"/>
          <w:szCs w:val="24"/>
        </w:rPr>
        <w:t>20</w:t>
      </w:r>
      <w:r w:rsidR="003239DE">
        <w:rPr>
          <w:color w:val="000000"/>
          <w:szCs w:val="24"/>
        </w:rPr>
        <w:t xml:space="preserve"> m. </w:t>
      </w:r>
      <w:r w:rsidR="00EF1320">
        <w:rPr>
          <w:color w:val="000000"/>
          <w:szCs w:val="24"/>
        </w:rPr>
        <w:t>rugpjūčio</w:t>
      </w:r>
      <w:r w:rsidR="003239DE">
        <w:rPr>
          <w:color w:val="000000"/>
          <w:szCs w:val="24"/>
        </w:rPr>
        <w:t xml:space="preserve"> </w:t>
      </w:r>
      <w:r w:rsidR="002E59D2">
        <w:rPr>
          <w:color w:val="000000"/>
          <w:szCs w:val="24"/>
        </w:rPr>
        <w:t xml:space="preserve"> </w:t>
      </w:r>
      <w:r>
        <w:rPr>
          <w:color w:val="000000"/>
          <w:szCs w:val="24"/>
        </w:rPr>
        <w:t xml:space="preserve">  </w:t>
      </w:r>
      <w:r w:rsidR="003239DE">
        <w:rPr>
          <w:color w:val="000000"/>
          <w:szCs w:val="24"/>
        </w:rPr>
        <w:t xml:space="preserve"> d. Nr. V-</w:t>
      </w:r>
    </w:p>
    <w:p w14:paraId="5B40A679" w14:textId="77777777" w:rsidR="003D159F" w:rsidRDefault="003239DE">
      <w:pPr>
        <w:suppressAutoHyphens/>
        <w:jc w:val="center"/>
        <w:textAlignment w:val="baseline"/>
        <w:rPr>
          <w:color w:val="000000"/>
          <w:szCs w:val="24"/>
        </w:rPr>
      </w:pPr>
      <w:r>
        <w:rPr>
          <w:color w:val="000000"/>
          <w:szCs w:val="24"/>
        </w:rPr>
        <w:t>Vilnius</w:t>
      </w:r>
    </w:p>
    <w:p w14:paraId="5B40A67A" w14:textId="77777777" w:rsidR="003D159F" w:rsidRDefault="003D159F">
      <w:pPr>
        <w:suppressAutoHyphens/>
        <w:jc w:val="center"/>
        <w:textAlignment w:val="baseline"/>
        <w:rPr>
          <w:color w:val="000000"/>
          <w:szCs w:val="24"/>
        </w:rPr>
      </w:pPr>
    </w:p>
    <w:p w14:paraId="5B40A67B" w14:textId="77777777" w:rsidR="003D159F" w:rsidRDefault="003D159F">
      <w:pPr>
        <w:jc w:val="center"/>
        <w:rPr>
          <w:color w:val="000000"/>
          <w:szCs w:val="24"/>
        </w:rPr>
      </w:pPr>
    </w:p>
    <w:p w14:paraId="5B40A67C" w14:textId="39FC8FB4" w:rsidR="003D159F" w:rsidRDefault="003239DE">
      <w:pPr>
        <w:tabs>
          <w:tab w:val="left" w:pos="993"/>
          <w:tab w:val="left" w:pos="1276"/>
        </w:tabs>
        <w:ind w:firstLine="851"/>
        <w:jc w:val="both"/>
        <w:rPr>
          <w:color w:val="000000"/>
          <w:szCs w:val="24"/>
          <w:lang w:eastAsia="lt-LT"/>
        </w:rPr>
      </w:pPr>
      <w:r>
        <w:rPr>
          <w:rFonts w:eastAsia="Calibri"/>
          <w:color w:val="000000"/>
          <w:szCs w:val="24"/>
        </w:rPr>
        <w:t xml:space="preserve">P a k e i č i u 2014–2020 metų Europos Sąjungos fondų investicijų veiksmų programos, patvirtintos 2014 m. rugsėjo 8 d. Europos Komisijos sprendimu, 8 prioriteto „Socialinės </w:t>
      </w:r>
      <w:proofErr w:type="spellStart"/>
      <w:r>
        <w:rPr>
          <w:rFonts w:eastAsia="Calibri"/>
          <w:color w:val="000000"/>
          <w:szCs w:val="24"/>
        </w:rPr>
        <w:t>įtraukties</w:t>
      </w:r>
      <w:proofErr w:type="spellEnd"/>
      <w:r>
        <w:rPr>
          <w:rFonts w:eastAsia="Calibri"/>
          <w:color w:val="000000"/>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w:t>
      </w:r>
      <w:r w:rsidR="002E59D2">
        <w:rPr>
          <w:rFonts w:eastAsia="Calibri"/>
          <w:color w:val="000000"/>
          <w:szCs w:val="24"/>
        </w:rPr>
        <w:t>o</w:t>
      </w:r>
      <w:r>
        <w:rPr>
          <w:rFonts w:eastAsia="Calibri"/>
          <w:color w:val="000000"/>
          <w:szCs w:val="24"/>
        </w:rPr>
        <w:t>, patvirtint</w:t>
      </w:r>
      <w:r w:rsidR="002E59D2">
        <w:rPr>
          <w:rFonts w:eastAsia="Calibri"/>
          <w:color w:val="000000"/>
          <w:szCs w:val="24"/>
        </w:rPr>
        <w:t>o</w:t>
      </w:r>
      <w:r>
        <w:rPr>
          <w:rFonts w:eastAsia="Calibri"/>
          <w:color w:val="000000"/>
          <w:szCs w:val="24"/>
        </w:rPr>
        <w:t xml:space="preserve"> Lietuvos Respublikos sveikatos apsaugos ministro 2015 m. birželio 22 d. įsakymu Nr. V-783 „Dėl 2014–2020 metų Europos Sąjungos fondų investicijų veiksmų programos, patvirtintos 2014 m. rugsėjo 8 d. Europos Komisijos sprendimu, 8 prioriteto „Socialinės </w:t>
      </w:r>
      <w:proofErr w:type="spellStart"/>
      <w:r>
        <w:rPr>
          <w:rFonts w:eastAsia="Calibri"/>
          <w:color w:val="000000"/>
          <w:szCs w:val="24"/>
        </w:rPr>
        <w:t>įtraukties</w:t>
      </w:r>
      <w:proofErr w:type="spellEnd"/>
      <w:r>
        <w:rPr>
          <w:rFonts w:eastAsia="Calibri"/>
          <w:color w:val="000000"/>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w:t>
      </w:r>
      <w:r w:rsidR="002E59D2">
        <w:rPr>
          <w:rFonts w:eastAsia="Calibri"/>
          <w:color w:val="000000"/>
          <w:szCs w:val="24"/>
        </w:rPr>
        <w:t xml:space="preserve"> </w:t>
      </w:r>
      <w:r w:rsidR="00EF1320">
        <w:rPr>
          <w:rFonts w:eastAsia="Calibri"/>
          <w:color w:val="000000"/>
          <w:szCs w:val="24"/>
        </w:rPr>
        <w:t>dvidešimt penkto</w:t>
      </w:r>
      <w:r w:rsidR="002E59D2">
        <w:rPr>
          <w:color w:val="000000"/>
          <w:szCs w:val="24"/>
          <w:lang w:eastAsia="lt-LT"/>
        </w:rPr>
        <w:t xml:space="preserve"> skirsnio 1.</w:t>
      </w:r>
      <w:r w:rsidR="00EF1320">
        <w:rPr>
          <w:color w:val="000000"/>
          <w:szCs w:val="24"/>
          <w:lang w:eastAsia="lt-LT"/>
        </w:rPr>
        <w:t>4</w:t>
      </w:r>
      <w:r w:rsidR="002E59D2">
        <w:rPr>
          <w:color w:val="000000"/>
          <w:szCs w:val="24"/>
          <w:lang w:eastAsia="lt-LT"/>
        </w:rPr>
        <w:t xml:space="preserve"> papunktį ir jį išdėstau taip:</w:t>
      </w:r>
    </w:p>
    <w:p w14:paraId="0D933B3D" w14:textId="77777777" w:rsidR="00385C5C" w:rsidRDefault="00385C5C" w:rsidP="00385C5C">
      <w:pPr>
        <w:tabs>
          <w:tab w:val="left" w:pos="993"/>
          <w:tab w:val="left" w:pos="1276"/>
        </w:tabs>
        <w:jc w:val="both"/>
        <w:rPr>
          <w:szCs w:val="24"/>
        </w:rPr>
      </w:pP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6"/>
      </w:tblGrid>
      <w:tr w:rsidR="003D159F" w14:paraId="5B40A680" w14:textId="77777777" w:rsidTr="00385C5C">
        <w:tc>
          <w:tcPr>
            <w:tcW w:w="9066" w:type="dxa"/>
            <w:shd w:val="clear" w:color="auto" w:fill="auto"/>
            <w:hideMark/>
          </w:tcPr>
          <w:p w14:paraId="0E2F794B" w14:textId="31EA1BCE" w:rsidR="002E59D2" w:rsidRPr="002E59D2" w:rsidRDefault="003239DE" w:rsidP="002E59D2">
            <w:pPr>
              <w:tabs>
                <w:tab w:val="left" w:pos="0"/>
                <w:tab w:val="left" w:pos="1026"/>
              </w:tabs>
              <w:ind w:firstLine="768"/>
              <w:jc w:val="both"/>
              <w:rPr>
                <w:szCs w:val="24"/>
                <w:lang w:eastAsia="lt-LT"/>
              </w:rPr>
            </w:pPr>
            <w:r w:rsidRPr="00EF1320">
              <w:rPr>
                <w:szCs w:val="24"/>
                <w:lang w:eastAsia="lt-LT"/>
              </w:rPr>
              <w:t>„</w:t>
            </w:r>
            <w:r w:rsidR="002E59D2" w:rsidRPr="002E59D2">
              <w:rPr>
                <w:szCs w:val="24"/>
                <w:lang w:eastAsia="lt-LT"/>
              </w:rPr>
              <w:t>1.</w:t>
            </w:r>
            <w:r w:rsidR="00EF1320">
              <w:rPr>
                <w:szCs w:val="24"/>
                <w:lang w:eastAsia="lt-LT"/>
              </w:rPr>
              <w:t>4</w:t>
            </w:r>
            <w:r w:rsidR="002E59D2" w:rsidRPr="002E59D2">
              <w:rPr>
                <w:szCs w:val="24"/>
                <w:lang w:eastAsia="lt-LT"/>
              </w:rPr>
              <w:t xml:space="preserve">. Galimi </w:t>
            </w:r>
            <w:r w:rsidR="00EF1320">
              <w:rPr>
                <w:szCs w:val="24"/>
                <w:lang w:eastAsia="lt-LT"/>
              </w:rPr>
              <w:t>pareiškėjai</w:t>
            </w:r>
            <w:r w:rsidR="002E59D2" w:rsidRPr="002E59D2">
              <w:rPr>
                <w:szCs w:val="24"/>
                <w:lang w:eastAsia="lt-LT"/>
              </w:rPr>
              <w:t>:</w:t>
            </w:r>
          </w:p>
          <w:p w14:paraId="7122C6CE" w14:textId="391CC1A3" w:rsidR="00EF1320" w:rsidRPr="00EF1320" w:rsidRDefault="00EF1320" w:rsidP="00EF1320">
            <w:pPr>
              <w:tabs>
                <w:tab w:val="left" w:pos="0"/>
                <w:tab w:val="left" w:pos="1026"/>
              </w:tabs>
              <w:ind w:firstLine="886"/>
              <w:jc w:val="both"/>
              <w:rPr>
                <w:szCs w:val="24"/>
                <w:lang w:eastAsia="lt-LT"/>
              </w:rPr>
            </w:pPr>
            <w:r>
              <w:rPr>
                <w:szCs w:val="24"/>
                <w:lang w:eastAsia="lt-LT"/>
              </w:rPr>
              <w:t xml:space="preserve">1.4.1. </w:t>
            </w:r>
            <w:r w:rsidRPr="00EF1320">
              <w:rPr>
                <w:szCs w:val="24"/>
                <w:lang w:eastAsia="lt-LT"/>
              </w:rPr>
              <w:t>Lietuvos sveikatos mokslų universiteto ligoninė Kauno klinikos;</w:t>
            </w:r>
          </w:p>
          <w:p w14:paraId="36BF13F3" w14:textId="03B7526A" w:rsidR="00EF1320" w:rsidRPr="00EF1320" w:rsidRDefault="00EF1320" w:rsidP="00EF1320">
            <w:pPr>
              <w:tabs>
                <w:tab w:val="left" w:pos="0"/>
                <w:tab w:val="left" w:pos="1026"/>
              </w:tabs>
              <w:ind w:firstLine="886"/>
              <w:jc w:val="both"/>
              <w:rPr>
                <w:szCs w:val="24"/>
                <w:lang w:eastAsia="lt-LT"/>
              </w:rPr>
            </w:pPr>
            <w:r w:rsidRPr="00EF1320">
              <w:rPr>
                <w:szCs w:val="24"/>
                <w:lang w:eastAsia="lt-LT"/>
              </w:rPr>
              <w:t>1.4.2. VšĮ Vilniaus universiteto ligoninė Santaros klinikos;</w:t>
            </w:r>
          </w:p>
          <w:p w14:paraId="06CB47AF" w14:textId="22AD9DE9" w:rsidR="00EF1320" w:rsidRPr="00EF1320" w:rsidRDefault="00EF1320" w:rsidP="00EF1320">
            <w:pPr>
              <w:tabs>
                <w:tab w:val="left" w:pos="0"/>
                <w:tab w:val="left" w:pos="1026"/>
              </w:tabs>
              <w:ind w:firstLine="886"/>
              <w:jc w:val="both"/>
              <w:rPr>
                <w:szCs w:val="24"/>
                <w:lang w:eastAsia="lt-LT"/>
              </w:rPr>
            </w:pPr>
            <w:r w:rsidRPr="00EF1320">
              <w:rPr>
                <w:szCs w:val="24"/>
                <w:lang w:eastAsia="lt-LT"/>
              </w:rPr>
              <w:t>1.4.3. Nacionalinis vėžio institutas;</w:t>
            </w:r>
          </w:p>
          <w:p w14:paraId="22C1EB5F" w14:textId="1B27329A" w:rsidR="00EF1320" w:rsidRDefault="00EF1320" w:rsidP="00EF1320">
            <w:pPr>
              <w:tabs>
                <w:tab w:val="left" w:pos="0"/>
                <w:tab w:val="left" w:pos="1026"/>
              </w:tabs>
              <w:ind w:firstLine="886"/>
              <w:jc w:val="both"/>
              <w:rPr>
                <w:b/>
                <w:bCs/>
                <w:szCs w:val="24"/>
                <w:lang w:eastAsia="lt-LT"/>
              </w:rPr>
            </w:pPr>
            <w:r w:rsidRPr="00EF1320">
              <w:rPr>
                <w:szCs w:val="24"/>
                <w:lang w:eastAsia="lt-LT"/>
              </w:rPr>
              <w:t>1.4.4. Sveikatos priežiūros ir farmacijos specialistų kompetencijų centras</w:t>
            </w:r>
            <w:r w:rsidRPr="00EF1320">
              <w:rPr>
                <w:strike/>
                <w:szCs w:val="24"/>
                <w:lang w:eastAsia="lt-LT"/>
              </w:rPr>
              <w:t>.</w:t>
            </w:r>
            <w:r w:rsidRPr="00EF1320">
              <w:rPr>
                <w:b/>
                <w:bCs/>
                <w:szCs w:val="24"/>
                <w:lang w:eastAsia="lt-LT"/>
              </w:rPr>
              <w:t>;</w:t>
            </w:r>
          </w:p>
          <w:p w14:paraId="707AAB99" w14:textId="33F9EC90" w:rsidR="00EF1320" w:rsidRDefault="00EF1320" w:rsidP="00EF1320">
            <w:pPr>
              <w:tabs>
                <w:tab w:val="left" w:pos="0"/>
                <w:tab w:val="left" w:pos="1026"/>
              </w:tabs>
              <w:ind w:firstLine="886"/>
              <w:jc w:val="both"/>
              <w:rPr>
                <w:b/>
                <w:bCs/>
                <w:szCs w:val="24"/>
                <w:lang w:eastAsia="lt-LT"/>
              </w:rPr>
            </w:pPr>
            <w:r>
              <w:rPr>
                <w:b/>
                <w:bCs/>
                <w:szCs w:val="24"/>
                <w:lang w:eastAsia="lt-LT"/>
              </w:rPr>
              <w:t xml:space="preserve">1.4.5. </w:t>
            </w:r>
            <w:r w:rsidRPr="00EF1320">
              <w:rPr>
                <w:b/>
                <w:bCs/>
                <w:szCs w:val="24"/>
                <w:lang w:eastAsia="lt-LT"/>
              </w:rPr>
              <w:t>VšĮ Klaipėdos universitetinė ligoninė</w:t>
            </w:r>
            <w:r>
              <w:rPr>
                <w:b/>
                <w:bCs/>
                <w:szCs w:val="24"/>
                <w:lang w:eastAsia="lt-LT"/>
              </w:rPr>
              <w:t>;</w:t>
            </w:r>
          </w:p>
          <w:p w14:paraId="43D11179" w14:textId="77777777" w:rsidR="00EF1320" w:rsidRDefault="00EF1320" w:rsidP="00EF1320">
            <w:pPr>
              <w:tabs>
                <w:tab w:val="left" w:pos="0"/>
                <w:tab w:val="left" w:pos="1026"/>
              </w:tabs>
              <w:ind w:firstLine="886"/>
              <w:jc w:val="both"/>
              <w:rPr>
                <w:b/>
                <w:bCs/>
                <w:szCs w:val="24"/>
                <w:lang w:eastAsia="lt-LT"/>
              </w:rPr>
            </w:pPr>
            <w:r w:rsidRPr="00EF1320">
              <w:rPr>
                <w:b/>
                <w:bCs/>
                <w:szCs w:val="24"/>
                <w:lang w:eastAsia="lt-LT"/>
              </w:rPr>
              <w:t>1.4.6. VšĮ Respublikinė Šiaulių ligoninė</w:t>
            </w:r>
            <w:r>
              <w:rPr>
                <w:b/>
                <w:bCs/>
                <w:szCs w:val="24"/>
                <w:lang w:eastAsia="lt-LT"/>
              </w:rPr>
              <w:t>;</w:t>
            </w:r>
          </w:p>
          <w:p w14:paraId="5B40A67F" w14:textId="756022BF" w:rsidR="003D159F" w:rsidRDefault="00EF1320" w:rsidP="00EF1320">
            <w:pPr>
              <w:tabs>
                <w:tab w:val="left" w:pos="0"/>
                <w:tab w:val="left" w:pos="1026"/>
              </w:tabs>
              <w:ind w:firstLine="886"/>
              <w:jc w:val="both"/>
              <w:rPr>
                <w:szCs w:val="24"/>
                <w:lang w:eastAsia="lt-LT"/>
              </w:rPr>
            </w:pPr>
            <w:r>
              <w:rPr>
                <w:b/>
                <w:bCs/>
                <w:szCs w:val="24"/>
                <w:lang w:eastAsia="lt-LT"/>
              </w:rPr>
              <w:t xml:space="preserve">1.4.7. </w:t>
            </w:r>
            <w:r w:rsidRPr="00EF1320">
              <w:rPr>
                <w:b/>
                <w:bCs/>
                <w:szCs w:val="24"/>
                <w:lang w:eastAsia="lt-LT"/>
              </w:rPr>
              <w:t>VšĮ Respublikinė Panevėžio ligoninė.</w:t>
            </w:r>
            <w:r w:rsidR="003239DE">
              <w:rPr>
                <w:szCs w:val="24"/>
              </w:rPr>
              <w:t>“</w:t>
            </w:r>
          </w:p>
        </w:tc>
      </w:tr>
    </w:tbl>
    <w:p w14:paraId="5B40A681" w14:textId="77777777" w:rsidR="003D159F" w:rsidRDefault="003D159F">
      <w:pPr>
        <w:tabs>
          <w:tab w:val="left" w:pos="0"/>
          <w:tab w:val="left" w:pos="567"/>
        </w:tabs>
        <w:jc w:val="both"/>
        <w:rPr>
          <w:color w:val="000000"/>
          <w:szCs w:val="24"/>
          <w:lang w:eastAsia="lt-LT"/>
        </w:rPr>
      </w:pPr>
    </w:p>
    <w:p w14:paraId="5B40A683" w14:textId="12E3A797" w:rsidR="003D159F" w:rsidRDefault="003D159F" w:rsidP="002E59D2">
      <w:pPr>
        <w:jc w:val="both"/>
        <w:rPr>
          <w:color w:val="000000"/>
          <w:szCs w:val="24"/>
          <w:lang w:eastAsia="lt-LT"/>
        </w:rPr>
      </w:pPr>
    </w:p>
    <w:p w14:paraId="5B40A696" w14:textId="5708B29D" w:rsidR="003D159F" w:rsidRDefault="003239DE">
      <w:pPr>
        <w:tabs>
          <w:tab w:val="left" w:pos="1134"/>
          <w:tab w:val="left" w:pos="1276"/>
        </w:tabs>
        <w:suppressAutoHyphens/>
        <w:jc w:val="both"/>
        <w:textAlignment w:val="baseline"/>
        <w:rPr>
          <w:szCs w:val="24"/>
        </w:rPr>
      </w:pPr>
      <w:r>
        <w:rPr>
          <w:szCs w:val="24"/>
        </w:rPr>
        <w:t>Sveikatos apsaugos ministras</w:t>
      </w:r>
      <w:r>
        <w:rPr>
          <w:szCs w:val="24"/>
        </w:rPr>
        <w:tab/>
      </w:r>
      <w:r>
        <w:rPr>
          <w:szCs w:val="24"/>
        </w:rPr>
        <w:tab/>
      </w:r>
      <w:r>
        <w:rPr>
          <w:szCs w:val="24"/>
        </w:rPr>
        <w:tab/>
      </w:r>
      <w:r>
        <w:rPr>
          <w:szCs w:val="24"/>
        </w:rPr>
        <w:tab/>
      </w:r>
      <w:r w:rsidR="002E59D2">
        <w:rPr>
          <w:szCs w:val="24"/>
        </w:rPr>
        <w:tab/>
      </w:r>
      <w:r w:rsidR="00385C5C">
        <w:rPr>
          <w:szCs w:val="24"/>
        </w:rPr>
        <w:t xml:space="preserve">    </w:t>
      </w:r>
      <w:r>
        <w:rPr>
          <w:szCs w:val="24"/>
        </w:rPr>
        <w:t xml:space="preserve">                       Aurelijus Veryga</w:t>
      </w:r>
    </w:p>
    <w:p w14:paraId="5B40A697" w14:textId="5D5C928E" w:rsidR="003D159F" w:rsidRDefault="003D159F" w:rsidP="002E59D2">
      <w:pPr>
        <w:tabs>
          <w:tab w:val="left" w:pos="1134"/>
          <w:tab w:val="left" w:pos="1276"/>
        </w:tabs>
        <w:suppressAutoHyphens/>
        <w:ind w:left="-142" w:firstLine="142"/>
        <w:jc w:val="both"/>
        <w:textAlignment w:val="baseline"/>
        <w:rPr>
          <w:szCs w:val="24"/>
        </w:rPr>
      </w:pPr>
    </w:p>
    <w:p w14:paraId="5B40A699" w14:textId="77777777" w:rsidR="003D159F" w:rsidRDefault="003D159F" w:rsidP="002E59D2">
      <w:pPr>
        <w:tabs>
          <w:tab w:val="left" w:pos="1134"/>
          <w:tab w:val="left" w:pos="1276"/>
        </w:tabs>
        <w:suppressAutoHyphens/>
        <w:ind w:left="-142" w:firstLine="142"/>
        <w:jc w:val="both"/>
        <w:textAlignment w:val="baseline"/>
        <w:rPr>
          <w:szCs w:val="24"/>
        </w:rPr>
      </w:pPr>
    </w:p>
    <w:sectPr w:rsidR="003D159F" w:rsidSect="00385C5C">
      <w:headerReference w:type="even" r:id="rId7"/>
      <w:headerReference w:type="default" r:id="rId8"/>
      <w:footerReference w:type="even" r:id="rId9"/>
      <w:footerReference w:type="default" r:id="rId10"/>
      <w:headerReference w:type="first" r:id="rId11"/>
      <w:pgSz w:w="11906" w:h="16838" w:code="9"/>
      <w:pgMar w:top="1134" w:right="1134"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83C9E" w14:textId="77777777" w:rsidR="002B6580" w:rsidRDefault="002B6580">
      <w:pPr>
        <w:suppressAutoHyphens/>
        <w:textAlignment w:val="baseline"/>
      </w:pPr>
      <w:r>
        <w:separator/>
      </w:r>
    </w:p>
  </w:endnote>
  <w:endnote w:type="continuationSeparator" w:id="0">
    <w:p w14:paraId="1A50C6D9" w14:textId="77777777" w:rsidR="002B6580" w:rsidRDefault="002B6580">
      <w:pPr>
        <w:suppressAutoHyphens/>
        <w:textAlignment w:val="baselin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0A6B3" w14:textId="77777777" w:rsidR="003D159F" w:rsidRDefault="003D159F">
    <w:pPr>
      <w:tabs>
        <w:tab w:val="center" w:pos="4819"/>
        <w:tab w:val="right" w:pos="9638"/>
      </w:tabs>
      <w:suppressAutoHyphens/>
      <w:textAlignment w:val="base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0A6B4" w14:textId="77777777" w:rsidR="003D159F" w:rsidRDefault="003D159F">
    <w:pPr>
      <w:tabs>
        <w:tab w:val="center" w:pos="4153"/>
        <w:tab w:val="right" w:pos="8306"/>
      </w:tabs>
      <w:suppressAutoHyphens/>
      <w:textAlignment w:val="baseline"/>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CB1C6" w14:textId="77777777" w:rsidR="002B6580" w:rsidRDefault="002B6580">
      <w:pPr>
        <w:suppressAutoHyphens/>
        <w:textAlignment w:val="baseline"/>
      </w:pPr>
      <w:r>
        <w:rPr>
          <w:color w:val="000000"/>
        </w:rPr>
        <w:separator/>
      </w:r>
    </w:p>
  </w:footnote>
  <w:footnote w:type="continuationSeparator" w:id="0">
    <w:p w14:paraId="5C5FCFE8" w14:textId="77777777" w:rsidR="002B6580" w:rsidRDefault="002B6580">
      <w:pPr>
        <w:suppressAutoHyphens/>
        <w:textAlignment w:val="baselin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0A6B0" w14:textId="77777777" w:rsidR="003D159F" w:rsidRDefault="003D159F">
    <w:pPr>
      <w:tabs>
        <w:tab w:val="center" w:pos="4819"/>
        <w:tab w:val="right" w:pos="9638"/>
      </w:tabs>
      <w:suppressAutoHyphens/>
      <w:textAlignment w:val="baseli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0A6B1" w14:textId="77777777" w:rsidR="003D159F" w:rsidRDefault="003239DE">
    <w:pPr>
      <w:tabs>
        <w:tab w:val="center" w:pos="4819"/>
        <w:tab w:val="right" w:pos="9638"/>
      </w:tabs>
      <w:suppressAutoHyphens/>
      <w:jc w:val="center"/>
      <w:textAlignment w:val="baseline"/>
    </w:pPr>
    <w:r>
      <w:fldChar w:fldCharType="begin"/>
    </w:r>
    <w:r>
      <w:instrText>PAGE   \* MERGEFORMAT</w:instrText>
    </w:r>
    <w:r>
      <w:fldChar w:fldCharType="separate"/>
    </w:r>
    <w:r w:rsidR="000A539E">
      <w:rPr>
        <w:noProof/>
      </w:rPr>
      <w:t>2</w:t>
    </w:r>
    <w:r>
      <w:fldChar w:fldCharType="end"/>
    </w:r>
  </w:p>
  <w:p w14:paraId="5B40A6B2" w14:textId="77777777" w:rsidR="003D159F" w:rsidRDefault="003D159F">
    <w:pPr>
      <w:tabs>
        <w:tab w:val="center" w:pos="4153"/>
        <w:tab w:val="right" w:pos="8306"/>
      </w:tabs>
      <w:suppressAutoHyphens/>
      <w:textAlignment w:val="baseline"/>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170D9" w14:textId="2F2C96C3" w:rsidR="002D6C61" w:rsidRPr="00385C5C" w:rsidRDefault="002D6C61" w:rsidP="002D6C61">
    <w:pPr>
      <w:pStyle w:val="Antrats"/>
      <w:jc w:val="right"/>
      <w:rPr>
        <w:rFonts w:ascii="Times New Roman" w:hAnsi="Times New Roman" w:cs="Times New Roman"/>
        <w:b/>
        <w:i/>
        <w:iCs/>
        <w:sz w:val="24"/>
        <w:szCs w:val="24"/>
      </w:rPr>
    </w:pPr>
    <w:r w:rsidRPr="00385C5C">
      <w:rPr>
        <w:rFonts w:ascii="Times New Roman" w:hAnsi="Times New Roman" w:cs="Times New Roman"/>
        <w:b/>
        <w:i/>
        <w:iCs/>
        <w:sz w:val="24"/>
        <w:szCs w:val="24"/>
      </w:rPr>
      <w:t>Projekto lyginamasis variantas</w:t>
    </w:r>
  </w:p>
  <w:p w14:paraId="5B40A6B5" w14:textId="77777777" w:rsidR="003D159F" w:rsidRDefault="003D159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87D02"/>
    <w:multiLevelType w:val="hybridMultilevel"/>
    <w:tmpl w:val="3C225A84"/>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AFD"/>
    <w:rsid w:val="000205BD"/>
    <w:rsid w:val="000A539E"/>
    <w:rsid w:val="00116FFA"/>
    <w:rsid w:val="001B70BB"/>
    <w:rsid w:val="002B6580"/>
    <w:rsid w:val="002D6C61"/>
    <w:rsid w:val="002E59D2"/>
    <w:rsid w:val="003239DE"/>
    <w:rsid w:val="003441BE"/>
    <w:rsid w:val="00350724"/>
    <w:rsid w:val="00385C5C"/>
    <w:rsid w:val="003D159F"/>
    <w:rsid w:val="00520422"/>
    <w:rsid w:val="00634CC3"/>
    <w:rsid w:val="006A50AC"/>
    <w:rsid w:val="006B49DB"/>
    <w:rsid w:val="00744D10"/>
    <w:rsid w:val="007634E6"/>
    <w:rsid w:val="00B210F0"/>
    <w:rsid w:val="00D62728"/>
    <w:rsid w:val="00DE6823"/>
    <w:rsid w:val="00EA2A53"/>
    <w:rsid w:val="00EC09C7"/>
    <w:rsid w:val="00EF1320"/>
    <w:rsid w:val="00F07145"/>
    <w:rsid w:val="00F527BA"/>
    <w:rsid w:val="00F67A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0A670"/>
  <w15:docId w15:val="{B23FF1B6-7B6F-4186-808F-7D24E4FE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239DE"/>
    <w:rPr>
      <w:color w:val="808080"/>
    </w:rPr>
  </w:style>
  <w:style w:type="paragraph" w:styleId="Antrats">
    <w:name w:val="header"/>
    <w:basedOn w:val="prastasis"/>
    <w:link w:val="AntratsDiagrama"/>
    <w:uiPriority w:val="99"/>
    <w:unhideWhenUsed/>
    <w:rsid w:val="002D6C61"/>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2D6C61"/>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sid w:val="002D6C61"/>
    <w:rPr>
      <w:rFonts w:ascii="Tahoma" w:hAnsi="Tahoma" w:cs="Tahoma"/>
      <w:sz w:val="16"/>
      <w:szCs w:val="16"/>
    </w:rPr>
  </w:style>
  <w:style w:type="character" w:customStyle="1" w:styleId="DebesliotekstasDiagrama">
    <w:name w:val="Debesėlio tekstas Diagrama"/>
    <w:basedOn w:val="Numatytasispastraiposriftas"/>
    <w:link w:val="Debesliotekstas"/>
    <w:rsid w:val="002D6C61"/>
    <w:rPr>
      <w:rFonts w:ascii="Tahoma" w:hAnsi="Tahoma" w:cs="Tahoma"/>
      <w:sz w:val="16"/>
      <w:szCs w:val="16"/>
    </w:rPr>
  </w:style>
  <w:style w:type="paragraph" w:styleId="Sraopastraipa">
    <w:name w:val="List Paragraph"/>
    <w:basedOn w:val="prastasis"/>
    <w:rsid w:val="00385C5C"/>
    <w:pPr>
      <w:ind w:left="720"/>
      <w:contextualSpacing/>
    </w:pPr>
  </w:style>
  <w:style w:type="paragraph" w:styleId="Porat">
    <w:name w:val="footer"/>
    <w:basedOn w:val="prastasis"/>
    <w:link w:val="PoratDiagrama"/>
    <w:semiHidden/>
    <w:unhideWhenUsed/>
    <w:rsid w:val="00EF1320"/>
    <w:pPr>
      <w:tabs>
        <w:tab w:val="center" w:pos="4513"/>
        <w:tab w:val="right" w:pos="9026"/>
      </w:tabs>
    </w:pPr>
  </w:style>
  <w:style w:type="character" w:customStyle="1" w:styleId="PoratDiagrama">
    <w:name w:val="Poraštė Diagrama"/>
    <w:basedOn w:val="Numatytasispastraiposriftas"/>
    <w:link w:val="Porat"/>
    <w:semiHidden/>
    <w:rsid w:val="00EF1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851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1699</Words>
  <Characters>969</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2001-05-00</vt:lpstr>
      <vt:lpstr>2001-05-00</vt:lpstr>
    </vt:vector>
  </TitlesOfParts>
  <Company>S A M</Company>
  <LinksUpToDate>false</LinksUpToDate>
  <CharactersWithSpaces>2663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2001-05-00</dc:title>
  <dc:creator>Edita Laurinavičienė</dc:creator>
  <cp:lastModifiedBy>Sandra Jarašiūnienė</cp:lastModifiedBy>
  <cp:revision>2</cp:revision>
  <cp:lastPrinted>2017-12-11T14:59:00Z</cp:lastPrinted>
  <dcterms:created xsi:type="dcterms:W3CDTF">2020-07-29T11:09:00Z</dcterms:created>
  <dcterms:modified xsi:type="dcterms:W3CDTF">2020-07-29T11:09:00Z</dcterms:modified>
</cp:coreProperties>
</file>