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0267D" w14:textId="77777777" w:rsidR="00FB6137" w:rsidRPr="00791ECE" w:rsidRDefault="00FB6137" w:rsidP="00FB613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91ECE">
        <w:rPr>
          <w:rFonts w:ascii="Times New Roman" w:hAnsi="Times New Roman"/>
          <w:b/>
          <w:bCs/>
          <w:sz w:val="24"/>
          <w:szCs w:val="24"/>
        </w:rPr>
        <w:t xml:space="preserve">2014–2020 METŲ EUROPOS SĄJUNGOS FONDŲ INVESTICIJŲ VEIKSMŲ PROGRAMOS </w:t>
      </w:r>
      <w:r w:rsidRPr="00791ECE">
        <w:rPr>
          <w:rFonts w:ascii="Times New Roman" w:hAnsi="Times New Roman"/>
          <w:b/>
          <w:sz w:val="24"/>
          <w:szCs w:val="24"/>
        </w:rPr>
        <w:t xml:space="preserve">PRIORITETŲ ĮGYVENDINIMO </w:t>
      </w:r>
    </w:p>
    <w:p w14:paraId="48D17768" w14:textId="77777777" w:rsidR="00286445" w:rsidRPr="009F30A4" w:rsidRDefault="00FB6137" w:rsidP="0028644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ECE">
        <w:rPr>
          <w:rFonts w:ascii="Times New Roman" w:hAnsi="Times New Roman"/>
          <w:b/>
          <w:bCs/>
          <w:sz w:val="24"/>
          <w:szCs w:val="24"/>
          <w:lang w:eastAsia="lt-LT"/>
        </w:rPr>
        <w:t>PRIEMONĖS</w:t>
      </w:r>
      <w:r w:rsidR="00863D5E" w:rsidRPr="00863D5E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="00863D5E" w:rsidRPr="00863D5E">
        <w:rPr>
          <w:rFonts w:ascii="Times New Roman" w:hAnsi="Times New Roman"/>
          <w:b/>
          <w:kern w:val="16"/>
          <w:sz w:val="24"/>
          <w:szCs w:val="24"/>
        </w:rPr>
        <w:t>N</w:t>
      </w:r>
      <w:r w:rsidR="00863D5E" w:rsidRPr="00863D5E">
        <w:rPr>
          <w:rFonts w:ascii="Times New Roman" w:hAnsi="Times New Roman"/>
          <w:b/>
          <w:sz w:val="24"/>
          <w:szCs w:val="24"/>
        </w:rPr>
        <w:t xml:space="preserve">R. </w:t>
      </w:r>
      <w:r w:rsidR="00863D5E" w:rsidRPr="00863D5E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01.2.1-LVPA-T-858 </w:t>
      </w:r>
      <w:r w:rsidR="00863D5E" w:rsidRPr="00863D5E">
        <w:rPr>
          <w:rFonts w:ascii="Times New Roman" w:hAnsi="Times New Roman"/>
          <w:b/>
          <w:sz w:val="24"/>
          <w:szCs w:val="24"/>
        </w:rPr>
        <w:t>„COVID-19 MTEP TYRIMAI“</w:t>
      </w:r>
    </w:p>
    <w:p w14:paraId="26DE9D23" w14:textId="77777777" w:rsidR="00FB6137" w:rsidRPr="00791ECE" w:rsidRDefault="00FB6137" w:rsidP="00FB6137">
      <w:p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791ECE">
        <w:rPr>
          <w:rFonts w:ascii="Times New Roman" w:hAnsi="Times New Roman"/>
          <w:b/>
          <w:bCs/>
          <w:sz w:val="24"/>
          <w:szCs w:val="24"/>
          <w:lang w:eastAsia="lt-LT"/>
        </w:rPr>
        <w:t>PAGRINDIMAS</w:t>
      </w:r>
    </w:p>
    <w:tbl>
      <w:tblPr>
        <w:tblStyle w:val="TableGrid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5"/>
      </w:tblGrid>
      <w:tr w:rsidR="00FB6137" w:rsidRPr="00791ECE" w14:paraId="4DF7A30B" w14:textId="77777777" w:rsidTr="00465660">
        <w:tc>
          <w:tcPr>
            <w:tcW w:w="567" w:type="dxa"/>
            <w:shd w:val="clear" w:color="auto" w:fill="F2F2F2" w:themeFill="background1" w:themeFillShade="F2"/>
          </w:tcPr>
          <w:p w14:paraId="453EFEB6" w14:textId="77777777" w:rsidR="00FB6137" w:rsidRPr="00791ECE" w:rsidRDefault="00FB6137" w:rsidP="00465660">
            <w:pPr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91ECE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1CBE7266" w14:textId="77777777" w:rsidR="00FB6137" w:rsidRPr="00791ECE" w:rsidRDefault="00FB6137" w:rsidP="00465660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CE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51376435" w14:textId="77777777" w:rsidR="00FB6137" w:rsidRPr="00791ECE" w:rsidRDefault="00FB6137" w:rsidP="00465660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CE">
              <w:rPr>
                <w:rFonts w:ascii="Times New Roman" w:hAnsi="Times New Roman"/>
                <w:b/>
                <w:sz w:val="24"/>
                <w:szCs w:val="24"/>
              </w:rPr>
              <w:t>Ministerijos pateikta informacija</w:t>
            </w:r>
          </w:p>
          <w:p w14:paraId="550C2516" w14:textId="77777777" w:rsidR="00FB6137" w:rsidRPr="00791ECE" w:rsidRDefault="00FB6137" w:rsidP="00465660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CE">
              <w:rPr>
                <w:rFonts w:ascii="Times New Roman" w:hAnsi="Times New Roman"/>
                <w:b/>
                <w:sz w:val="24"/>
                <w:szCs w:val="24"/>
              </w:rPr>
              <w:t>(pildymo instrukcija)</w:t>
            </w:r>
          </w:p>
        </w:tc>
      </w:tr>
      <w:tr w:rsidR="00FB6137" w:rsidRPr="00791ECE" w14:paraId="4055A74A" w14:textId="77777777" w:rsidTr="00465660">
        <w:tc>
          <w:tcPr>
            <w:tcW w:w="10348" w:type="dxa"/>
            <w:gridSpan w:val="3"/>
            <w:shd w:val="clear" w:color="auto" w:fill="F2F2F2" w:themeFill="background1" w:themeFillShade="F2"/>
          </w:tcPr>
          <w:p w14:paraId="3036C5F9" w14:textId="77777777" w:rsidR="00FB6137" w:rsidRPr="007F4EF4" w:rsidRDefault="00FB6137" w:rsidP="00FB613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ECE">
              <w:rPr>
                <w:rFonts w:ascii="Times New Roman" w:hAnsi="Times New Roman"/>
                <w:b/>
                <w:sz w:val="24"/>
                <w:szCs w:val="24"/>
              </w:rPr>
              <w:t xml:space="preserve">Priemonės </w:t>
            </w:r>
            <w:r w:rsidRPr="007F4EF4">
              <w:rPr>
                <w:rFonts w:ascii="Times New Roman" w:hAnsi="Times New Roman"/>
                <w:b/>
                <w:sz w:val="24"/>
                <w:szCs w:val="24"/>
              </w:rPr>
              <w:t>aprašymas</w:t>
            </w:r>
          </w:p>
        </w:tc>
      </w:tr>
      <w:tr w:rsidR="00FB6137" w:rsidRPr="00791ECE" w14:paraId="1E6BA453" w14:textId="77777777" w:rsidTr="00465660">
        <w:tc>
          <w:tcPr>
            <w:tcW w:w="567" w:type="dxa"/>
          </w:tcPr>
          <w:p w14:paraId="30FFA6D0" w14:textId="77777777" w:rsidR="00FB6137" w:rsidRPr="00FF293A" w:rsidRDefault="00FB6137" w:rsidP="00FB613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AAF46BD" w14:textId="77777777" w:rsidR="00FB6137" w:rsidRPr="00692ADF" w:rsidRDefault="00D1545C" w:rsidP="0046566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Intervencijos poreikio, jos įgyvendinimo būdo ir numatomo ilgalaikio poveikio pagrindimas, aiškiai nurodant, koks pokytis bus pasiektas</w:t>
            </w:r>
          </w:p>
        </w:tc>
        <w:tc>
          <w:tcPr>
            <w:tcW w:w="6945" w:type="dxa"/>
          </w:tcPr>
          <w:p w14:paraId="11399DF3" w14:textId="77777777" w:rsidR="00A07EF9" w:rsidRPr="005820FE" w:rsidRDefault="00A07EF9" w:rsidP="00A07EF9">
            <w:pPr>
              <w:pStyle w:val="Default"/>
              <w:jc w:val="both"/>
              <w:rPr>
                <w:b/>
                <w:bCs/>
              </w:rPr>
            </w:pPr>
            <w:r w:rsidRPr="005820FE">
              <w:t xml:space="preserve">Atsižvelgiant į susiklosčiusią situaciją dėl koronaviruso (COVID-19), Lietuvos Respublikos teritorijoje </w:t>
            </w:r>
            <w:r w:rsidRPr="00225486">
              <w:t xml:space="preserve">Lietuvos Respublikos Vyriausybės 2020 m. kovo 14 nutarimu Nr. 207 „Dėl karantino Lietuvos Respublikos teritorijoje paskelbimo“ šalyje paskelbtas karantinas, dėl kurio </w:t>
            </w:r>
            <w:r>
              <w:t xml:space="preserve">iki birželio </w:t>
            </w:r>
            <w:r w:rsidRPr="00435877">
              <w:t xml:space="preserve">16 d. buvo </w:t>
            </w:r>
            <w:r w:rsidRPr="00225486">
              <w:t xml:space="preserve">ribojama tiek viešojo, tiek privataus sektoriaus veikla. </w:t>
            </w:r>
            <w:r w:rsidRPr="00435877">
              <w:t>Dėl veiklos apribojimų nemaža dalis rinkos dalyvių pajuto neigiamus padarinius.</w:t>
            </w:r>
          </w:p>
          <w:p w14:paraId="6A6D2C38" w14:textId="77777777" w:rsidR="0067347D" w:rsidRPr="0067347D" w:rsidRDefault="00A07EF9" w:rsidP="00673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47D">
              <w:rPr>
                <w:rFonts w:ascii="Times New Roman" w:hAnsi="Times New Roman"/>
                <w:sz w:val="24"/>
                <w:szCs w:val="24"/>
              </w:rPr>
              <w:t>Europos Komisija, siekdama įveikti ekstremalią sveikatos situaciją, sukeltą COVID-19 protrūkio, sumažinti galimą neigiamą ribojančių priemonių poveikį vidaus rinkai, 2020 m. balandžio 3 d. patvirtino Europos Komisijos komunikatą Laikinosios valstybės pagalbos priemonių, skirtų ekonomikai remti reaguojant į dabartinį COVID-19 protrūkį, sistemos pakeitimą</w:t>
            </w:r>
            <w:r w:rsidR="001C7671">
              <w:rPr>
                <w:rFonts w:ascii="Times New Roman" w:hAnsi="Times New Roman"/>
                <w:sz w:val="24"/>
                <w:szCs w:val="24"/>
              </w:rPr>
              <w:t xml:space="preserve"> (toliau – Komunikatas)</w:t>
            </w:r>
            <w:r w:rsidRPr="0067347D">
              <w:rPr>
                <w:rFonts w:ascii="Times New Roman" w:hAnsi="Times New Roman"/>
                <w:sz w:val="24"/>
                <w:szCs w:val="24"/>
              </w:rPr>
              <w:t xml:space="preserve">, kuriuo įtraukė galimas pagalbos priemones ir moksliniams tyrimams ir eksperimentinei plėtrai (toliau – MTEP). Todėl siekiant sudaryti palankesnes sąlygas su COVID-19 susijusiems moksliniams tyrimams ir plėtrai, būtina remti </w:t>
            </w:r>
            <w:r w:rsidR="0067347D" w:rsidRPr="0067347D">
              <w:rPr>
                <w:rFonts w:ascii="Times New Roman" w:hAnsi="Times New Roman"/>
                <w:sz w:val="24"/>
                <w:szCs w:val="24"/>
              </w:rPr>
              <w:t>MTEP ir (arba) naujų produkt</w:t>
            </w:r>
            <w:r w:rsidR="0067347D">
              <w:rPr>
                <w:rFonts w:ascii="Times New Roman" w:hAnsi="Times New Roman"/>
                <w:sz w:val="24"/>
                <w:szCs w:val="24"/>
              </w:rPr>
              <w:t>ų ir technologijų sertifikavimą</w:t>
            </w:r>
            <w:r w:rsidR="0067347D" w:rsidRPr="0067347D">
              <w:rPr>
                <w:rFonts w:ascii="Times New Roman" w:hAnsi="Times New Roman"/>
                <w:sz w:val="24"/>
                <w:szCs w:val="24"/>
              </w:rPr>
              <w:t>, kas susiję su COVID-19 ir su kitais virusais, įskaitant projektus, kuriems pagal programos „Horizontas 2020“ labai mažų, mažų ir vidutinių įmonių (toliau – MVĮ) priemonę suteiktas kokybę rodantis pažangumo ženkl</w:t>
            </w:r>
            <w:r w:rsidR="0067347D">
              <w:rPr>
                <w:rFonts w:ascii="Times New Roman" w:hAnsi="Times New Roman"/>
                <w:sz w:val="24"/>
                <w:szCs w:val="24"/>
              </w:rPr>
              <w:t>as, susijęs su kova su COVID-19.</w:t>
            </w:r>
          </w:p>
          <w:p w14:paraId="79466257" w14:textId="77777777" w:rsidR="0099389D" w:rsidRDefault="0067347D" w:rsidP="000246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01A">
              <w:rPr>
                <w:rFonts w:ascii="Times New Roman" w:hAnsi="Times New Roman"/>
                <w:b/>
                <w:sz w:val="24"/>
                <w:szCs w:val="24"/>
              </w:rPr>
              <w:t>Moksliniai tyrimai ir plėtra, susiję su COVID-19 ir kitais virusais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24695">
              <w:rPr>
                <w:rFonts w:ascii="Times New Roman" w:hAnsi="Times New Roman"/>
                <w:sz w:val="24"/>
                <w:szCs w:val="24"/>
              </w:rPr>
              <w:t xml:space="preserve">tai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6001A">
              <w:rPr>
                <w:rFonts w:ascii="Times New Roman" w:hAnsi="Times New Roman"/>
                <w:sz w:val="24"/>
                <w:szCs w:val="24"/>
              </w:rPr>
              <w:t>u COVID-19 ir su kitais virusais susiję moksliniai tyrimai</w:t>
            </w:r>
            <w:r>
              <w:rPr>
                <w:rFonts w:ascii="Times New Roman" w:hAnsi="Times New Roman"/>
                <w:sz w:val="24"/>
                <w:szCs w:val="24"/>
              </w:rPr>
              <w:t>, kurie</w:t>
            </w:r>
            <w:r w:rsidRPr="0036001A">
              <w:rPr>
                <w:rFonts w:ascii="Times New Roman" w:hAnsi="Times New Roman"/>
                <w:sz w:val="24"/>
                <w:szCs w:val="24"/>
              </w:rPr>
              <w:t xml:space="preserve"> apima vakcinų, vaistinių preparatų ir gydymo priemonių, medicinos priemonių, ligoninių ir medicinos reikmenų, dezinfekavimo priemonių, apsauginių drabužių ir priemonių moksli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nius tyrimus, taip pat </w:t>
            </w:r>
            <w:r w:rsidRPr="00BD5A39">
              <w:rPr>
                <w:rFonts w:ascii="Times New Roman" w:hAnsi="Times New Roman"/>
                <w:sz w:val="24"/>
                <w:szCs w:val="24"/>
              </w:rPr>
              <w:t>mokslinius tyrimus</w:t>
            </w:r>
            <w:r>
              <w:rPr>
                <w:rFonts w:ascii="Times New Roman" w:hAnsi="Times New Roman"/>
                <w:sz w:val="24"/>
                <w:szCs w:val="24"/>
              </w:rPr>
              <w:t>, susijusius su</w:t>
            </w:r>
            <w:r w:rsidRPr="0036001A">
              <w:rPr>
                <w:rFonts w:ascii="Times New Roman" w:hAnsi="Times New Roman"/>
                <w:sz w:val="24"/>
                <w:szCs w:val="24"/>
              </w:rPr>
              <w:t xml:space="preserve"> procesų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inovacijomis, </w:t>
            </w:r>
            <w:r w:rsidRPr="0036001A">
              <w:rPr>
                <w:rFonts w:ascii="Times New Roman" w:hAnsi="Times New Roman"/>
                <w:sz w:val="24"/>
                <w:szCs w:val="24"/>
              </w:rPr>
              <w:t>siekiant veiksmingos reikiamų produktų</w:t>
            </w:r>
            <w:r w:rsidRPr="00BD5A39">
              <w:rPr>
                <w:rFonts w:ascii="Times New Roman" w:hAnsi="Times New Roman"/>
                <w:sz w:val="24"/>
                <w:szCs w:val="24"/>
              </w:rPr>
              <w:t xml:space="preserve"> gamybos.</w:t>
            </w:r>
          </w:p>
          <w:p w14:paraId="1C37A96E" w14:textId="77777777" w:rsidR="00024695" w:rsidRPr="00024695" w:rsidRDefault="009409B8" w:rsidP="000246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Įgyvendinus priemonę, </w:t>
            </w:r>
            <w:r w:rsidR="00024695">
              <w:rPr>
                <w:rFonts w:ascii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sz w:val="24"/>
                <w:szCs w:val="24"/>
              </w:rPr>
              <w:t>ekiama</w:t>
            </w:r>
            <w:r w:rsidR="00024695">
              <w:rPr>
                <w:rFonts w:ascii="Times New Roman" w:hAnsi="Times New Roman"/>
                <w:sz w:val="24"/>
                <w:szCs w:val="24"/>
              </w:rPr>
              <w:t xml:space="preserve"> prisidėti prie kovos su COVID-</w:t>
            </w:r>
            <w:r w:rsidR="00024695" w:rsidRPr="00435877">
              <w:rPr>
                <w:rFonts w:ascii="Times New Roman" w:hAnsi="Times New Roman"/>
                <w:sz w:val="24"/>
                <w:szCs w:val="24"/>
              </w:rPr>
              <w:t>19</w:t>
            </w:r>
            <w:r w:rsidR="00024695">
              <w:rPr>
                <w:rFonts w:ascii="Times New Roman" w:hAnsi="Times New Roman"/>
                <w:sz w:val="24"/>
                <w:szCs w:val="24"/>
              </w:rPr>
              <w:t xml:space="preserve"> ir sudaryti galimybes greičiau įveikti kilusią sveikatos bei ekonomikos krizę</w:t>
            </w:r>
            <w:r w:rsidR="00E022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137" w:rsidRPr="00791ECE" w14:paraId="5C8D354B" w14:textId="77777777" w:rsidTr="00465660">
        <w:tc>
          <w:tcPr>
            <w:tcW w:w="567" w:type="dxa"/>
          </w:tcPr>
          <w:p w14:paraId="228BC2F2" w14:textId="77777777" w:rsidR="00FB6137" w:rsidRPr="00791ECE" w:rsidRDefault="00FB6137" w:rsidP="00FB613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66C279A1" w14:textId="77777777" w:rsidR="00FB6137" w:rsidRPr="00692ADF" w:rsidRDefault="00A449EB" w:rsidP="00B706F8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Projektų atrankos būdo ir galimų pareiškėjų ir partnerių pasirinkimo pagrindimas</w:t>
            </w:r>
          </w:p>
        </w:tc>
        <w:tc>
          <w:tcPr>
            <w:tcW w:w="6945" w:type="dxa"/>
          </w:tcPr>
          <w:p w14:paraId="4DC10CC6" w14:textId="4A61EA95" w:rsidR="00E0229B" w:rsidRPr="00B67602" w:rsidRDefault="00E0229B" w:rsidP="004D56F8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Priemonei įgyvendinti siūlomas atrankos būdas – tęstinė projektų atranka. Šis būdas leistų užtikrinti, kad projektai būtų įgyvendinami greitai ir pagal poreikį</w:t>
            </w:r>
            <w:r w:rsidR="006B389B">
              <w:rPr>
                <w:rFonts w:ascii="Times New Roman" w:hAnsi="Times New Roman"/>
                <w:sz w:val="24"/>
                <w:szCs w:val="24"/>
              </w:rPr>
              <w:t>, kas leistų pasiekti greitų ir būtinų rezultatų. Taip pat atkreiptinas dėmesys, kad visas priemonės administravimo procesas vyktų paprasčiau ir greičiau, todėl būtų užtikrintas priemonės įgyvendinimas</w:t>
            </w:r>
            <w:r w:rsidR="001C7671">
              <w:rPr>
                <w:rFonts w:ascii="Times New Roman" w:hAnsi="Times New Roman"/>
                <w:sz w:val="24"/>
                <w:szCs w:val="24"/>
              </w:rPr>
              <w:t xml:space="preserve"> laiku</w:t>
            </w:r>
            <w:r w:rsidR="006B389B">
              <w:rPr>
                <w:rFonts w:ascii="Times New Roman" w:hAnsi="Times New Roman"/>
                <w:sz w:val="24"/>
                <w:szCs w:val="24"/>
              </w:rPr>
              <w:t xml:space="preserve">, atsižvelgiant į </w:t>
            </w:r>
            <w:r w:rsidR="001C7671">
              <w:rPr>
                <w:rFonts w:ascii="Times New Roman" w:hAnsi="Times New Roman"/>
                <w:sz w:val="24"/>
                <w:szCs w:val="24"/>
              </w:rPr>
              <w:t>Komunikato galiojimo terminą.</w:t>
            </w:r>
            <w:r w:rsidR="00A955E3">
              <w:rPr>
                <w:rFonts w:ascii="Times New Roman" w:hAnsi="Times New Roman"/>
                <w:sz w:val="24"/>
                <w:szCs w:val="24"/>
              </w:rPr>
              <w:t xml:space="preserve"> Pažymėtina, kad norint šiai priemonei taikyti tęstinės projektų atrankos būdą reikalingas Projektų administravimo </w:t>
            </w:r>
            <w:r w:rsidR="00C37BA4">
              <w:rPr>
                <w:rFonts w:ascii="Times New Roman" w:hAnsi="Times New Roman"/>
                <w:sz w:val="24"/>
                <w:szCs w:val="24"/>
              </w:rPr>
              <w:t xml:space="preserve">ir finansavimo </w:t>
            </w:r>
            <w:r w:rsidR="00A955E3">
              <w:rPr>
                <w:rFonts w:ascii="Times New Roman" w:hAnsi="Times New Roman"/>
                <w:sz w:val="24"/>
                <w:szCs w:val="24"/>
              </w:rPr>
              <w:t xml:space="preserve">taisyklių, patvirtintų Lietuvos Respublikos finansų ministro </w:t>
            </w:r>
            <w:r w:rsidR="00A955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2014 m. spalio </w:t>
            </w:r>
            <w:r w:rsidR="00B676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d. </w:t>
            </w:r>
            <w:r w:rsidR="00B67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įsakymo Nr. </w:t>
            </w:r>
            <w:r w:rsidR="00B676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1K-316, pakeitimas – </w:t>
            </w:r>
            <w:r w:rsidR="00B67602">
              <w:rPr>
                <w:rFonts w:ascii="Times New Roman" w:hAnsi="Times New Roman"/>
                <w:sz w:val="24"/>
                <w:szCs w:val="24"/>
              </w:rPr>
              <w:t>Ekonomikos ir inovacijų ministerija vadovaujančiajai institucijai yra pateikusi siūlymą dėl šio pakeitimo.</w:t>
            </w:r>
          </w:p>
          <w:p w14:paraId="0213E85E" w14:textId="707CFAD9" w:rsidR="00B55F4C" w:rsidRPr="005B5615" w:rsidRDefault="004D56F8" w:rsidP="00B55F4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E1B">
              <w:rPr>
                <w:rFonts w:ascii="Times New Roman" w:hAnsi="Times New Roman"/>
                <w:sz w:val="24"/>
                <w:szCs w:val="24"/>
              </w:rPr>
              <w:t>Geriausiai prisidedantys prie priemonės įgyvendinimo pareiškėjai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E1B">
              <w:rPr>
                <w:rFonts w:ascii="Times New Roman" w:hAnsi="Times New Roman"/>
                <w:sz w:val="24"/>
                <w:szCs w:val="24"/>
              </w:rPr>
              <w:t>bus atrenkami</w:t>
            </w:r>
            <w:r w:rsidR="00353382">
              <w:rPr>
                <w:rFonts w:ascii="Times New Roman" w:hAnsi="Times New Roman"/>
                <w:sz w:val="24"/>
                <w:szCs w:val="24"/>
              </w:rPr>
              <w:t xml:space="preserve"> vadovaujantis</w:t>
            </w:r>
            <w:r w:rsidRPr="000E3E1B">
              <w:rPr>
                <w:rFonts w:ascii="Times New Roman" w:hAnsi="Times New Roman"/>
                <w:sz w:val="24"/>
                <w:szCs w:val="24"/>
              </w:rPr>
              <w:t xml:space="preserve"> projektų atrankos kriterij</w:t>
            </w:r>
            <w:r w:rsidR="00353382">
              <w:rPr>
                <w:rFonts w:ascii="Times New Roman" w:hAnsi="Times New Roman"/>
                <w:sz w:val="24"/>
                <w:szCs w:val="24"/>
              </w:rPr>
              <w:t>ais</w:t>
            </w:r>
            <w:r w:rsidRPr="000E3E1B">
              <w:rPr>
                <w:rFonts w:ascii="Times New Roman" w:hAnsi="Times New Roman"/>
                <w:sz w:val="24"/>
                <w:szCs w:val="24"/>
              </w:rPr>
              <w:t>.</w:t>
            </w:r>
            <w:r w:rsidR="006D3DAF">
              <w:rPr>
                <w:rFonts w:ascii="Times New Roman" w:hAnsi="Times New Roman"/>
                <w:sz w:val="24"/>
                <w:szCs w:val="24"/>
              </w:rPr>
              <w:t xml:space="preserve"> Siūloma, kad pareiškėjai būtų įmonės, </w:t>
            </w:r>
            <w:r w:rsidR="00B55F4C" w:rsidRPr="00F33CEA">
              <w:rPr>
                <w:rFonts w:ascii="Times New Roman" w:eastAsia="Times New Roman" w:hAnsi="Times New Roman"/>
                <w:sz w:val="24"/>
                <w:szCs w:val="24"/>
              </w:rPr>
              <w:t xml:space="preserve">veikiančios </w:t>
            </w:r>
            <w:r w:rsidR="00B55F4C">
              <w:rPr>
                <w:rFonts w:ascii="Times New Roman" w:eastAsia="Times New Roman" w:hAnsi="Times New Roman"/>
                <w:sz w:val="24"/>
                <w:szCs w:val="24"/>
              </w:rPr>
              <w:t xml:space="preserve">ne trumpiau kaip </w:t>
            </w:r>
            <w:r w:rsidR="00B23A3F">
              <w:rPr>
                <w:rFonts w:ascii="Times New Roman" w:eastAsia="Times New Roman" w:hAnsi="Times New Roman"/>
                <w:sz w:val="24"/>
                <w:szCs w:val="24"/>
              </w:rPr>
              <w:t>trejus</w:t>
            </w:r>
            <w:r w:rsidR="00B55F4C">
              <w:rPr>
                <w:rFonts w:ascii="Times New Roman" w:eastAsia="Times New Roman" w:hAnsi="Times New Roman"/>
                <w:sz w:val="24"/>
                <w:szCs w:val="24"/>
              </w:rPr>
              <w:t xml:space="preserve"> metus ir kurių vidutinės metinės pajamos per pastaruosius</w:t>
            </w:r>
            <w:r w:rsidR="00B55F4C" w:rsidRPr="00435877">
              <w:rPr>
                <w:rFonts w:ascii="Times New Roman" w:eastAsia="Times New Roman" w:hAnsi="Times New Roman"/>
                <w:sz w:val="24"/>
                <w:szCs w:val="24"/>
              </w:rPr>
              <w:t xml:space="preserve"> 3 finansinius metus </w:t>
            </w:r>
            <w:r w:rsidR="00B55F4C" w:rsidRPr="00F33CEA">
              <w:rPr>
                <w:rFonts w:ascii="Times New Roman" w:hAnsi="Times New Roman"/>
                <w:iCs/>
                <w:sz w:val="24"/>
                <w:szCs w:val="24"/>
              </w:rPr>
              <w:t>yra ne mažesnės kaip 145 000 Eur</w:t>
            </w:r>
            <w:r w:rsidR="00E678B6">
              <w:rPr>
                <w:rFonts w:ascii="Times New Roman" w:hAnsi="Times New Roman"/>
                <w:iCs/>
                <w:sz w:val="24"/>
                <w:szCs w:val="24"/>
              </w:rPr>
              <w:t xml:space="preserve"> (įskaitant ir pareiškėjo </w:t>
            </w:r>
            <w:r w:rsidR="00B23A3F">
              <w:rPr>
                <w:rFonts w:ascii="Times New Roman" w:hAnsi="Times New Roman"/>
                <w:iCs/>
                <w:sz w:val="24"/>
                <w:szCs w:val="24"/>
              </w:rPr>
              <w:t xml:space="preserve">įmonių </w:t>
            </w:r>
            <w:r w:rsidR="00E678B6">
              <w:rPr>
                <w:rFonts w:ascii="Times New Roman" w:hAnsi="Times New Roman"/>
                <w:iCs/>
                <w:sz w:val="24"/>
                <w:szCs w:val="24"/>
              </w:rPr>
              <w:t>grupės pajamas)</w:t>
            </w:r>
            <w:r w:rsidR="00B55F4C" w:rsidRPr="00F33CEA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="00B55F4C">
              <w:rPr>
                <w:rFonts w:ascii="Times New Roman" w:hAnsi="Times New Roman"/>
                <w:iCs/>
                <w:sz w:val="24"/>
                <w:szCs w:val="24"/>
              </w:rPr>
              <w:t xml:space="preserve"> Tokiu būdu siekiama užtikrinti pareiškėjo finansinį stabilumą ir pajėgumą, kadangi priemonė turi būti įgyvendinama gre</w:t>
            </w:r>
            <w:r w:rsidR="00471228">
              <w:rPr>
                <w:rFonts w:ascii="Times New Roman" w:hAnsi="Times New Roman"/>
                <w:iCs/>
                <w:sz w:val="24"/>
                <w:szCs w:val="24"/>
              </w:rPr>
              <w:t>itai.</w:t>
            </w:r>
            <w:r w:rsidR="005B5615">
              <w:rPr>
                <w:rFonts w:ascii="Times New Roman" w:hAnsi="Times New Roman"/>
                <w:iCs/>
                <w:sz w:val="24"/>
                <w:szCs w:val="24"/>
              </w:rPr>
              <w:t xml:space="preserve"> Taip pat tokiu būdu bus nustatyta takoskyra su priemone „Inostartas“, pagal kurią paraiškas, susijusias su COVID-</w:t>
            </w:r>
            <w:r w:rsidR="005B5615" w:rsidRPr="00435877">
              <w:rPr>
                <w:rFonts w:ascii="Times New Roman" w:hAnsi="Times New Roman"/>
                <w:iCs/>
                <w:sz w:val="24"/>
                <w:szCs w:val="24"/>
              </w:rPr>
              <w:t>19, teikia startuoliai</w:t>
            </w:r>
            <w:r w:rsidR="00B23A3F">
              <w:rPr>
                <w:rFonts w:ascii="Times New Roman" w:hAnsi="Times New Roman"/>
                <w:iCs/>
                <w:sz w:val="24"/>
                <w:szCs w:val="24"/>
              </w:rPr>
              <w:t xml:space="preserve">, veikiantys iki </w:t>
            </w:r>
            <w:r w:rsidR="00B23A3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36 m</w:t>
            </w:r>
            <w:r w:rsidR="00B23A3F">
              <w:rPr>
                <w:rFonts w:ascii="Times New Roman" w:hAnsi="Times New Roman"/>
                <w:iCs/>
                <w:sz w:val="24"/>
                <w:szCs w:val="24"/>
              </w:rPr>
              <w:t>ėnesių</w:t>
            </w:r>
            <w:r w:rsidR="005B5615" w:rsidRPr="0043587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50C608DB" w14:textId="5913457F" w:rsidR="004D56F8" w:rsidRPr="000E3E1B" w:rsidRDefault="004D56F8" w:rsidP="004D56F8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E1B">
              <w:rPr>
                <w:rFonts w:ascii="Times New Roman" w:hAnsi="Times New Roman"/>
                <w:sz w:val="24"/>
                <w:szCs w:val="24"/>
              </w:rPr>
              <w:t>Konkretūs reikalavimai pareiškėjams</w:t>
            </w:r>
            <w:r w:rsidR="004846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3E1B">
              <w:rPr>
                <w:rFonts w:ascii="Times New Roman" w:hAnsi="Times New Roman"/>
                <w:sz w:val="24"/>
                <w:szCs w:val="24"/>
              </w:rPr>
              <w:t>ir projektams bus nustatyti projektų finansavimo sąlygų apraše.</w:t>
            </w:r>
          </w:p>
          <w:p w14:paraId="584EA7EE" w14:textId="77777777" w:rsidR="00FB6137" w:rsidRPr="002C4F8A" w:rsidRDefault="004D56F8" w:rsidP="006D3DAF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F8A">
              <w:rPr>
                <w:rFonts w:ascii="Times New Roman" w:hAnsi="Times New Roman"/>
                <w:sz w:val="24"/>
                <w:szCs w:val="24"/>
              </w:rPr>
              <w:t xml:space="preserve">Taigi bus siekiama atrinkti pareiškėjus, kurie galės efektyviausiai prisidėti prie 2014–2020 metų Europos Sąjungos struktūrinių fondų investicijų veiksmų programos 1 prioriteto „Mokslinių tyrimų, eksperimentinės plėtros ir inovacijų skatinimas“, </w:t>
            </w:r>
            <w:r w:rsidR="002C4F8A" w:rsidRPr="002C4F8A">
              <w:rPr>
                <w:rFonts w:ascii="Times New Roman" w:hAnsi="Times New Roman"/>
                <w:sz w:val="24"/>
                <w:szCs w:val="24"/>
              </w:rPr>
              <w:t>1.2.1 konkretaus uždavinio</w:t>
            </w:r>
            <w:r w:rsidRPr="002C4F8A">
              <w:rPr>
                <w:rFonts w:ascii="Times New Roman" w:hAnsi="Times New Roman"/>
                <w:sz w:val="24"/>
                <w:szCs w:val="24"/>
              </w:rPr>
              <w:t xml:space="preserve"> „Padidinti mokslinių tyrimų, eksperimentinės plėtros ir inovacijų veiklų aktyvumą privačiame sektoriuje“</w:t>
            </w:r>
            <w:r w:rsidR="002C4F8A" w:rsidRPr="002C4F8A">
              <w:rPr>
                <w:rFonts w:ascii="Times New Roman" w:hAnsi="Times New Roman"/>
                <w:sz w:val="24"/>
                <w:szCs w:val="24"/>
              </w:rPr>
              <w:t xml:space="preserve"> įgyvendinimo.</w:t>
            </w:r>
          </w:p>
        </w:tc>
      </w:tr>
      <w:tr w:rsidR="00FB6137" w:rsidRPr="00791ECE" w14:paraId="58033514" w14:textId="77777777" w:rsidTr="00465660">
        <w:tc>
          <w:tcPr>
            <w:tcW w:w="567" w:type="dxa"/>
          </w:tcPr>
          <w:p w14:paraId="3042644D" w14:textId="77777777" w:rsidR="00FB6137" w:rsidRPr="00791ECE" w:rsidRDefault="00FB6137" w:rsidP="00FB6137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E0EA095" w14:textId="77777777" w:rsidR="00FB6137" w:rsidRPr="007F4EF4" w:rsidRDefault="00B706F8" w:rsidP="00465660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Priemonei skiriamo finansavimo sumos pagrindimas</w:t>
            </w:r>
          </w:p>
        </w:tc>
        <w:tc>
          <w:tcPr>
            <w:tcW w:w="6945" w:type="dxa"/>
          </w:tcPr>
          <w:p w14:paraId="12336054" w14:textId="1BF8DC43" w:rsidR="00FB6137" w:rsidRPr="00791ECE" w:rsidRDefault="00233C74" w:rsidP="00F1571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Priemonė bus finansuojama </w:t>
            </w:r>
            <w:r w:rsidRPr="00233C74">
              <w:rPr>
                <w:rFonts w:ascii="Times New Roman" w:hAnsi="Times New Roman"/>
                <w:sz w:val="24"/>
                <w:szCs w:val="24"/>
              </w:rPr>
              <w:t>Europos regioninės plėtros fondo lėšomis, viršijant ES lėšas dėl Ateities ekonomikos DNR plano, kuriam pritarta Lietuvos Respublikos Vyriausybės 2020 m. birželio 10 d. pasi</w:t>
            </w:r>
            <w:r w:rsidR="00F1571C">
              <w:rPr>
                <w:rFonts w:ascii="Times New Roman" w:hAnsi="Times New Roman"/>
                <w:sz w:val="24"/>
                <w:szCs w:val="24"/>
              </w:rPr>
              <w:t>tarimo protokolu Nr. 28, veiksmų ir projektų</w:t>
            </w:r>
            <w:r w:rsidRPr="00233C74">
              <w:rPr>
                <w:rFonts w:ascii="Times New Roman" w:hAnsi="Times New Roman"/>
                <w:sz w:val="24"/>
                <w:szCs w:val="24"/>
              </w:rPr>
              <w:t xml:space="preserve"> įgyvendinimo, kaip numatyta Lietuvos Respublikos Vyriausybės 2020 m. liepos 8 d. nutarime Nr. 744 „Dėl Lietuvos Respublikos Vyriausybės 2014 m. lapkričio 26 d. nutarimo Nr. 1326 „Dėl 2014–2020 m. Europos Sąjungos fondų investicijų veiksmų programos priedo patvirtinimo“ pakeitimo.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F8A">
              <w:rPr>
                <w:rFonts w:ascii="Times New Roman" w:hAnsi="Times New Roman"/>
                <w:sz w:val="24"/>
                <w:szCs w:val="24"/>
              </w:rPr>
              <w:t xml:space="preserve">Šiai priemonei </w:t>
            </w:r>
            <w:r w:rsidR="007D2B25">
              <w:rPr>
                <w:rFonts w:ascii="Times New Roman" w:hAnsi="Times New Roman"/>
                <w:sz w:val="24"/>
                <w:szCs w:val="24"/>
              </w:rPr>
              <w:t xml:space="preserve">Ateities ekonomikos DNR plane </w:t>
            </w:r>
            <w:r>
              <w:rPr>
                <w:rFonts w:ascii="Times New Roman" w:hAnsi="Times New Roman"/>
                <w:sz w:val="24"/>
                <w:szCs w:val="24"/>
              </w:rPr>
              <w:t>numatyta</w:t>
            </w:r>
            <w:r w:rsidR="002C4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615" w:rsidRPr="00435877">
              <w:rPr>
                <w:rFonts w:ascii="Times New Roman" w:hAnsi="Times New Roman"/>
                <w:sz w:val="24"/>
                <w:szCs w:val="24"/>
              </w:rPr>
              <w:t>30</w:t>
            </w:r>
            <w:r w:rsidR="002C4F8A">
              <w:rPr>
                <w:rFonts w:ascii="Times New Roman" w:hAnsi="Times New Roman"/>
                <w:sz w:val="24"/>
                <w:szCs w:val="24"/>
              </w:rPr>
              <w:t xml:space="preserve"> mln. </w:t>
            </w:r>
            <w:r w:rsidR="00A50448">
              <w:rPr>
                <w:rFonts w:ascii="Times New Roman" w:hAnsi="Times New Roman"/>
                <w:sz w:val="24"/>
                <w:szCs w:val="24"/>
              </w:rPr>
              <w:t>Eur.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E1833CF" w14:textId="77777777" w:rsidR="006943E0" w:rsidRDefault="00A50305"/>
    <w:sectPr w:rsidR="006943E0" w:rsidSect="00065753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470C" w14:textId="77777777" w:rsidR="00360F77" w:rsidRDefault="00360F77" w:rsidP="00065753">
      <w:pPr>
        <w:spacing w:after="0" w:line="240" w:lineRule="auto"/>
      </w:pPr>
      <w:r>
        <w:separator/>
      </w:r>
    </w:p>
  </w:endnote>
  <w:endnote w:type="continuationSeparator" w:id="0">
    <w:p w14:paraId="516BADC9" w14:textId="77777777" w:rsidR="00360F77" w:rsidRDefault="00360F77" w:rsidP="0006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7AFFE" w14:textId="77777777" w:rsidR="00360F77" w:rsidRDefault="00360F77" w:rsidP="00065753">
      <w:pPr>
        <w:spacing w:after="0" w:line="240" w:lineRule="auto"/>
      </w:pPr>
      <w:r>
        <w:separator/>
      </w:r>
    </w:p>
  </w:footnote>
  <w:footnote w:type="continuationSeparator" w:id="0">
    <w:p w14:paraId="1AD06D23" w14:textId="77777777" w:rsidR="00360F77" w:rsidRDefault="00360F77" w:rsidP="0006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187638"/>
      <w:docPartObj>
        <w:docPartGallery w:val="Page Numbers (Top of Page)"/>
        <w:docPartUnique/>
      </w:docPartObj>
    </w:sdtPr>
    <w:sdtEndPr/>
    <w:sdtContent>
      <w:p w14:paraId="5D6210BF" w14:textId="3A24F9F9" w:rsidR="00065753" w:rsidRDefault="0006575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305">
          <w:rPr>
            <w:noProof/>
          </w:rPr>
          <w:t>2</w:t>
        </w:r>
        <w:r>
          <w:fldChar w:fldCharType="end"/>
        </w:r>
      </w:p>
    </w:sdtContent>
  </w:sdt>
  <w:p w14:paraId="16294FD3" w14:textId="77777777" w:rsidR="00065753" w:rsidRDefault="00065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26F8"/>
    <w:multiLevelType w:val="hybridMultilevel"/>
    <w:tmpl w:val="A7A88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B60659"/>
    <w:multiLevelType w:val="hybridMultilevel"/>
    <w:tmpl w:val="9920108C"/>
    <w:lvl w:ilvl="0" w:tplc="6A3A94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F24"/>
    <w:multiLevelType w:val="hybridMultilevel"/>
    <w:tmpl w:val="9B4C21C8"/>
    <w:lvl w:ilvl="0" w:tplc="C01ED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42BDB"/>
    <w:multiLevelType w:val="hybridMultilevel"/>
    <w:tmpl w:val="04F81806"/>
    <w:lvl w:ilvl="0" w:tplc="0427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37"/>
    <w:rsid w:val="00024695"/>
    <w:rsid w:val="000276E0"/>
    <w:rsid w:val="00057142"/>
    <w:rsid w:val="00065753"/>
    <w:rsid w:val="00073C00"/>
    <w:rsid w:val="000C29D7"/>
    <w:rsid w:val="000D7013"/>
    <w:rsid w:val="000E48A8"/>
    <w:rsid w:val="001955B0"/>
    <w:rsid w:val="001C424F"/>
    <w:rsid w:val="001C7671"/>
    <w:rsid w:val="001E44CF"/>
    <w:rsid w:val="00233C74"/>
    <w:rsid w:val="00286445"/>
    <w:rsid w:val="002A6B57"/>
    <w:rsid w:val="002B7656"/>
    <w:rsid w:val="002C4F8A"/>
    <w:rsid w:val="00310EB2"/>
    <w:rsid w:val="0032541C"/>
    <w:rsid w:val="00353382"/>
    <w:rsid w:val="00357583"/>
    <w:rsid w:val="00360F77"/>
    <w:rsid w:val="00363A25"/>
    <w:rsid w:val="004023F5"/>
    <w:rsid w:val="00435877"/>
    <w:rsid w:val="00450A83"/>
    <w:rsid w:val="00463BF3"/>
    <w:rsid w:val="00471228"/>
    <w:rsid w:val="0047213B"/>
    <w:rsid w:val="004846F9"/>
    <w:rsid w:val="004D0E2A"/>
    <w:rsid w:val="004D56F8"/>
    <w:rsid w:val="004F4687"/>
    <w:rsid w:val="00526A09"/>
    <w:rsid w:val="0054192A"/>
    <w:rsid w:val="00543089"/>
    <w:rsid w:val="00556EFF"/>
    <w:rsid w:val="005B23D6"/>
    <w:rsid w:val="005B5615"/>
    <w:rsid w:val="00614FB0"/>
    <w:rsid w:val="00653A3D"/>
    <w:rsid w:val="006566C1"/>
    <w:rsid w:val="00664C1F"/>
    <w:rsid w:val="0067347D"/>
    <w:rsid w:val="00682515"/>
    <w:rsid w:val="006B389B"/>
    <w:rsid w:val="006D3DAF"/>
    <w:rsid w:val="006D47C5"/>
    <w:rsid w:val="007450D6"/>
    <w:rsid w:val="0078013B"/>
    <w:rsid w:val="007D2B25"/>
    <w:rsid w:val="007E2EF7"/>
    <w:rsid w:val="007F1C47"/>
    <w:rsid w:val="00863D5E"/>
    <w:rsid w:val="00925D7B"/>
    <w:rsid w:val="009409B8"/>
    <w:rsid w:val="0099389D"/>
    <w:rsid w:val="00A05D11"/>
    <w:rsid w:val="00A07EF9"/>
    <w:rsid w:val="00A449EB"/>
    <w:rsid w:val="00A50305"/>
    <w:rsid w:val="00A50448"/>
    <w:rsid w:val="00A955E3"/>
    <w:rsid w:val="00AE5B2A"/>
    <w:rsid w:val="00B23A3F"/>
    <w:rsid w:val="00B257ED"/>
    <w:rsid w:val="00B4795C"/>
    <w:rsid w:val="00B532D2"/>
    <w:rsid w:val="00B55F4C"/>
    <w:rsid w:val="00B67602"/>
    <w:rsid w:val="00B706F8"/>
    <w:rsid w:val="00B82F01"/>
    <w:rsid w:val="00C3325A"/>
    <w:rsid w:val="00C37BA4"/>
    <w:rsid w:val="00C40975"/>
    <w:rsid w:val="00C544C6"/>
    <w:rsid w:val="00C76155"/>
    <w:rsid w:val="00C85981"/>
    <w:rsid w:val="00CB6A2B"/>
    <w:rsid w:val="00CD68B9"/>
    <w:rsid w:val="00CF40B5"/>
    <w:rsid w:val="00D14532"/>
    <w:rsid w:val="00D1545C"/>
    <w:rsid w:val="00D226BD"/>
    <w:rsid w:val="00D50D17"/>
    <w:rsid w:val="00D55269"/>
    <w:rsid w:val="00DE2AC0"/>
    <w:rsid w:val="00DF4152"/>
    <w:rsid w:val="00E0229B"/>
    <w:rsid w:val="00E04C14"/>
    <w:rsid w:val="00E241F0"/>
    <w:rsid w:val="00E3422B"/>
    <w:rsid w:val="00E678B6"/>
    <w:rsid w:val="00E75BB4"/>
    <w:rsid w:val="00F1571C"/>
    <w:rsid w:val="00FA4985"/>
    <w:rsid w:val="00FB6137"/>
    <w:rsid w:val="00F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7585"/>
  <w15:docId w15:val="{37037603-CA36-4F32-8179-6A66354C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FB61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6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137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13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A6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1C424F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F0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8013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5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5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3151</Words>
  <Characters>1797</Characters>
  <Application>Microsoft Office Word</Application>
  <DocSecurity>4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Kriščiūnaitė-Kačiuškienė</dc:creator>
  <cp:lastModifiedBy>Petrauskaite Agne</cp:lastModifiedBy>
  <cp:revision>2</cp:revision>
  <cp:lastPrinted>2019-04-16T04:43:00Z</cp:lastPrinted>
  <dcterms:created xsi:type="dcterms:W3CDTF">2020-07-30T10:46:00Z</dcterms:created>
  <dcterms:modified xsi:type="dcterms:W3CDTF">2020-07-30T10:46:00Z</dcterms:modified>
</cp:coreProperties>
</file>