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888" w:tblpY="1261"/>
        <w:tblW w:w="0" w:type="auto"/>
        <w:tblLook w:val="0000" w:firstRow="0" w:lastRow="0" w:firstColumn="0" w:lastColumn="0" w:noHBand="0" w:noVBand="0"/>
      </w:tblPr>
      <w:tblGrid>
        <w:gridCol w:w="4640"/>
      </w:tblGrid>
      <w:tr w:rsidR="001B6F78" w:rsidRPr="00C436B6" w:rsidTr="001B6F78">
        <w:tc>
          <w:tcPr>
            <w:tcW w:w="4640" w:type="dxa"/>
          </w:tcPr>
          <w:p w:rsidR="001B6F78" w:rsidRDefault="001B6F78" w:rsidP="001B6F78">
            <w:pPr>
              <w:pStyle w:val="Pavadinimas"/>
              <w:jc w:val="left"/>
              <w:rPr>
                <w:bCs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  <w:lang w:val="lt-LT"/>
              </w:rPr>
              <w:t xml:space="preserve">Iš Europos Sąjungos struktūrinių fondų lėšų bendrai finansuojamų valstybės projektų atrankos tvarkos aprašo </w:t>
            </w:r>
          </w:p>
          <w:p w:rsidR="001B6F78" w:rsidRPr="00C436B6" w:rsidRDefault="001B6F78" w:rsidP="001B6F78">
            <w:pPr>
              <w:pStyle w:val="Pavadinimas"/>
              <w:jc w:val="left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priedas</w:t>
            </w:r>
          </w:p>
        </w:tc>
      </w:tr>
    </w:tbl>
    <w:p w:rsidR="000C7E54" w:rsidRPr="00691BA0" w:rsidRDefault="000C7E54" w:rsidP="000C7E54">
      <w:pPr>
        <w:ind w:left="5330"/>
        <w:rPr>
          <w:sz w:val="18"/>
          <w:szCs w:val="18"/>
        </w:rPr>
      </w:pPr>
    </w:p>
    <w:p w:rsidR="000C7E54" w:rsidRPr="00691BA0" w:rsidRDefault="000C7E54" w:rsidP="000C7E54">
      <w:pPr>
        <w:jc w:val="center"/>
        <w:rPr>
          <w:bCs/>
        </w:rPr>
      </w:pPr>
      <w:r w:rsidRPr="00691BA0">
        <w:rPr>
          <w:bCs/>
        </w:rPr>
        <w:t xml:space="preserve">(Projektinio pasiūlymo vertinimo išvados </w:t>
      </w:r>
      <w:r w:rsidR="0065109B">
        <w:rPr>
          <w:bCs/>
        </w:rPr>
        <w:t xml:space="preserve">formos </w:t>
      </w:r>
      <w:r w:rsidR="00AF52A4">
        <w:rPr>
          <w:bCs/>
        </w:rPr>
        <w:t>pavyzdys</w:t>
      </w:r>
      <w:r w:rsidRPr="00691BA0">
        <w:rPr>
          <w:bCs/>
        </w:rPr>
        <w:t>)</w:t>
      </w:r>
    </w:p>
    <w:p w:rsidR="000C7E54" w:rsidRPr="00691BA0" w:rsidRDefault="000C7E54" w:rsidP="000C7E54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C7E54" w:rsidRPr="00691BA0" w:rsidTr="00F32798">
        <w:tc>
          <w:tcPr>
            <w:tcW w:w="9854" w:type="dxa"/>
            <w:shd w:val="clear" w:color="auto" w:fill="auto"/>
          </w:tcPr>
          <w:p w:rsidR="000C7E54" w:rsidRPr="002D7188" w:rsidRDefault="000C7E54" w:rsidP="00F32798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Lietuvos Respublikos Susisiekimo ministerija</w:t>
            </w:r>
          </w:p>
        </w:tc>
      </w:tr>
      <w:tr w:rsidR="000C7E54" w:rsidRPr="00691BA0" w:rsidTr="00F32798">
        <w:tc>
          <w:tcPr>
            <w:tcW w:w="9854" w:type="dxa"/>
            <w:shd w:val="clear" w:color="auto" w:fill="auto"/>
          </w:tcPr>
          <w:p w:rsidR="000C7E54" w:rsidRDefault="000C7E54" w:rsidP="00F32798">
            <w:pPr>
              <w:jc w:val="center"/>
              <w:rPr>
                <w:b/>
                <w:bCs/>
              </w:rPr>
            </w:pPr>
          </w:p>
          <w:p w:rsidR="000C7E54" w:rsidRDefault="000C7E54" w:rsidP="00F32798">
            <w:pPr>
              <w:jc w:val="center"/>
              <w:rPr>
                <w:b/>
                <w:bCs/>
              </w:rPr>
            </w:pPr>
          </w:p>
          <w:p w:rsidR="000C7E54" w:rsidRPr="00691BA0" w:rsidRDefault="000C7E54" w:rsidP="00F32798">
            <w:pPr>
              <w:jc w:val="center"/>
              <w:rPr>
                <w:b/>
                <w:bCs/>
              </w:rPr>
            </w:pPr>
          </w:p>
        </w:tc>
      </w:tr>
    </w:tbl>
    <w:p w:rsidR="000C7E54" w:rsidRPr="00691BA0" w:rsidRDefault="000C7E54" w:rsidP="000C7E54">
      <w:pPr>
        <w:jc w:val="center"/>
        <w:rPr>
          <w:b/>
        </w:rPr>
      </w:pPr>
      <w:r w:rsidRPr="00691BA0">
        <w:rPr>
          <w:b/>
        </w:rPr>
        <w:t xml:space="preserve">PROJEKTINIO PASIŪLYMO VERTINIMO IŠVADA </w:t>
      </w:r>
    </w:p>
    <w:p w:rsidR="000C7E54" w:rsidRPr="00691BA0" w:rsidRDefault="000C7E54" w:rsidP="000C7E54">
      <w:pPr>
        <w:jc w:val="center"/>
        <w:rPr>
          <w:b/>
        </w:rPr>
      </w:pPr>
    </w:p>
    <w:p w:rsidR="000C7E54" w:rsidRPr="00691BA0" w:rsidRDefault="000C7E54" w:rsidP="000C7E54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2015 m. </w:t>
      </w:r>
      <w:r w:rsidRPr="00691BA0">
        <w:rPr>
          <w:kern w:val="28"/>
          <w:sz w:val="22"/>
          <w:szCs w:val="22"/>
        </w:rPr>
        <w:t xml:space="preserve">_____________ </w:t>
      </w:r>
      <w:r>
        <w:rPr>
          <w:kern w:val="28"/>
          <w:sz w:val="22"/>
          <w:szCs w:val="22"/>
        </w:rPr>
        <w:t>Nr. ______</w:t>
      </w:r>
    </w:p>
    <w:p w:rsidR="000C7E54" w:rsidRPr="00691BA0" w:rsidRDefault="000C7E54" w:rsidP="000C7E54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Vilnius</w:t>
      </w:r>
      <w:r w:rsidRPr="00691BA0">
        <w:rPr>
          <w:kern w:val="28"/>
          <w:sz w:val="22"/>
          <w:szCs w:val="22"/>
        </w:rPr>
        <w:t xml:space="preserve"> </w:t>
      </w:r>
    </w:p>
    <w:p w:rsidR="000C7E54" w:rsidRDefault="000C7E54" w:rsidP="000C7E54">
      <w:pPr>
        <w:keepNext/>
        <w:ind w:left="1069" w:hanging="360"/>
        <w:rPr>
          <w:b/>
        </w:rPr>
      </w:pPr>
    </w:p>
    <w:p w:rsidR="000C7E54" w:rsidRDefault="000C7E54" w:rsidP="000C7E54">
      <w:pPr>
        <w:keepNext/>
        <w:ind w:left="1069" w:hanging="360"/>
        <w:rPr>
          <w:b/>
        </w:rPr>
      </w:pPr>
    </w:p>
    <w:p w:rsidR="000C7E54" w:rsidRPr="00691BA0" w:rsidRDefault="000C7E54" w:rsidP="000C7E54">
      <w:pPr>
        <w:keepNext/>
        <w:ind w:left="1069" w:hanging="360"/>
        <w:rPr>
          <w:b/>
        </w:rPr>
      </w:pPr>
      <w:r w:rsidRPr="00691BA0">
        <w:rPr>
          <w:b/>
        </w:rPr>
        <w:t>1. Projektinio pasiūlymo duomenys</w:t>
      </w:r>
    </w:p>
    <w:p w:rsidR="000C7E54" w:rsidRPr="00691BA0" w:rsidRDefault="000C7E54" w:rsidP="000C7E54">
      <w:pPr>
        <w:rPr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4"/>
        <w:gridCol w:w="4504"/>
      </w:tblGrid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>
              <w:rPr>
                <w:b/>
              </w:rPr>
              <w:t>P</w:t>
            </w:r>
            <w:r w:rsidRPr="00691BA0">
              <w:rPr>
                <w:b/>
              </w:rPr>
              <w:t>rojekto pavadinimas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  <w:sz w:val="22"/>
                <w:szCs w:val="22"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Pareiškėjo pavadinimas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  <w:sz w:val="22"/>
                <w:szCs w:val="22"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Preliminari projekto tinkamų finansuoti išlaidų suma (eurais)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>
              <w:rPr>
                <w:b/>
              </w:rPr>
              <w:t>P</w:t>
            </w:r>
            <w:r w:rsidRPr="00691BA0">
              <w:rPr>
                <w:b/>
              </w:rPr>
              <w:t>riemonės pavadinimas ir numeris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</w:rPr>
            </w:pPr>
          </w:p>
        </w:tc>
      </w:tr>
      <w:tr w:rsidR="000C7E54" w:rsidRPr="00691BA0" w:rsidTr="00F32798">
        <w:trPr>
          <w:cantSplit/>
          <w:trHeight w:val="435"/>
        </w:trPr>
        <w:tc>
          <w:tcPr>
            <w:tcW w:w="2661" w:type="pct"/>
            <w:tcBorders>
              <w:bottom w:val="single" w:sz="4" w:space="0" w:color="auto"/>
            </w:tcBorders>
            <w:shd w:val="clear" w:color="auto" w:fill="DEEAF6"/>
          </w:tcPr>
          <w:p w:rsidR="000C7E54" w:rsidRPr="00691BA0" w:rsidRDefault="000C7E54" w:rsidP="00F32798">
            <w:pPr>
              <w:rPr>
                <w:b/>
              </w:rPr>
            </w:pPr>
            <w:r w:rsidRPr="00691BA0">
              <w:rPr>
                <w:b/>
              </w:rPr>
              <w:t>Projektinio pasiūlymo gavimo data ir registravimo numeris</w:t>
            </w:r>
          </w:p>
        </w:tc>
        <w:tc>
          <w:tcPr>
            <w:tcW w:w="2339" w:type="pct"/>
          </w:tcPr>
          <w:p w:rsidR="000C7E54" w:rsidRPr="00691BA0" w:rsidRDefault="000C7E54" w:rsidP="00F32798">
            <w:pPr>
              <w:rPr>
                <w:sz w:val="10"/>
                <w:szCs w:val="10"/>
              </w:rPr>
            </w:pPr>
          </w:p>
          <w:p w:rsidR="000C7E54" w:rsidRPr="00691BA0" w:rsidRDefault="000C7E54" w:rsidP="00F32798">
            <w:pPr>
              <w:rPr>
                <w:i/>
              </w:rPr>
            </w:pPr>
          </w:p>
        </w:tc>
      </w:tr>
    </w:tbl>
    <w:p w:rsidR="000C7E54" w:rsidRPr="00691BA0" w:rsidRDefault="000C7E54" w:rsidP="000C7E54">
      <w:pPr>
        <w:rPr>
          <w:b/>
        </w:rPr>
      </w:pPr>
    </w:p>
    <w:p w:rsidR="000C7E54" w:rsidRPr="00691BA0" w:rsidRDefault="000C7E54" w:rsidP="000C7E54">
      <w:pPr>
        <w:ind w:firstLine="720"/>
        <w:rPr>
          <w:b/>
        </w:rPr>
      </w:pPr>
      <w:r w:rsidRPr="00691BA0">
        <w:rPr>
          <w:b/>
        </w:rPr>
        <w:t>2. Projektinio pasiūlymo įvertinimas</w:t>
      </w:r>
    </w:p>
    <w:p w:rsidR="000C7E54" w:rsidRPr="00691BA0" w:rsidRDefault="000C7E54" w:rsidP="000C7E54">
      <w:pPr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455"/>
        <w:gridCol w:w="1418"/>
        <w:gridCol w:w="3147"/>
      </w:tblGrid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b/>
              </w:rPr>
            </w:pPr>
            <w:r w:rsidRPr="00691BA0">
              <w:rPr>
                <w:b/>
              </w:rPr>
              <w:t>Nr.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b/>
              </w:rPr>
            </w:pPr>
            <w:r w:rsidRPr="00691BA0">
              <w:rPr>
                <w:b/>
              </w:rPr>
              <w:t>Vertinimo aspektas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  <w:rPr>
                <w:b/>
              </w:rPr>
            </w:pPr>
            <w:r w:rsidRPr="00691BA0">
              <w:rPr>
                <w:b/>
              </w:rPr>
              <w:t>Taip / Ne / Netaikoma</w:t>
            </w: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  <w:rPr>
                <w:b/>
              </w:rPr>
            </w:pPr>
            <w:r w:rsidRPr="00691BA0">
              <w:rPr>
                <w:b/>
              </w:rPr>
              <w:t>Pastabos / paaiškinimai</w:t>
            </w:r>
          </w:p>
          <w:p w:rsidR="000C7E54" w:rsidRPr="00691BA0" w:rsidRDefault="000C7E54" w:rsidP="00F32798">
            <w:pPr>
              <w:tabs>
                <w:tab w:val="left" w:pos="1908"/>
              </w:tabs>
              <w:jc w:val="center"/>
              <w:rPr>
                <w:i/>
              </w:rPr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2.1.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>
              <w:t xml:space="preserve">Projekto tikslai, </w:t>
            </w:r>
            <w:r w:rsidRPr="00691BA0">
              <w:t>uždaviniai</w:t>
            </w:r>
            <w:r>
              <w:t>,</w:t>
            </w:r>
            <w:r w:rsidRPr="00691BA0">
              <w:t xml:space="preserve"> </w:t>
            </w:r>
            <w:r>
              <w:t xml:space="preserve">veiklos, laukiami rezultatai ir prašomas finansavimas </w:t>
            </w:r>
            <w:r w:rsidRPr="00691BA0">
              <w:t xml:space="preserve">atitinka </w:t>
            </w:r>
            <w:r>
              <w:t>priemonės aprašymą, finansavimo šaltinius, prisideda prie priemonės įgyvendinimo stebėsenos rodiklių</w:t>
            </w:r>
            <w:r w:rsidRPr="00691BA0">
              <w:t>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2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Projektas atitinka projektų finansavimo sąlygų apraše nurodyto (-ų) strateginio planavimo dokumento (-ų) nuostatas.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/>
        </w:tc>
      </w:tr>
      <w:tr w:rsidR="000C7E54" w:rsidRPr="00691BA0" w:rsidTr="00F3279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3</w:t>
            </w:r>
            <w:r w:rsidRPr="00691BA0"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Projektas atitinka specialiuosius projektų atrankos kriterijus.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i/>
              </w:rPr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4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 xml:space="preserve">Projekto </w:t>
            </w:r>
            <w:proofErr w:type="spellStart"/>
            <w:r w:rsidRPr="00691BA0">
              <w:t>parengtumas</w:t>
            </w:r>
            <w:proofErr w:type="spellEnd"/>
            <w:r w:rsidRPr="00691BA0">
              <w:t xml:space="preserve"> atitinka projektų finansavimo sąlygų apraše nustatytus reikalavimus arba gali tenkinti tokį reikalavimą suėjus paraiškos pateikimo terminui.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i/>
              </w:rPr>
            </w:pPr>
            <w:r w:rsidRPr="00691BA0">
              <w:rPr>
                <w:i/>
              </w:rPr>
              <w:t xml:space="preserve"> </w:t>
            </w:r>
          </w:p>
        </w:tc>
      </w:tr>
      <w:tr w:rsidR="000C7E54" w:rsidRPr="00691BA0" w:rsidTr="00F32798">
        <w:tc>
          <w:tcPr>
            <w:tcW w:w="756" w:type="dxa"/>
            <w:vMerge w:val="restart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5</w:t>
            </w:r>
            <w:r w:rsidRPr="00691BA0">
              <w:t xml:space="preserve">. </w:t>
            </w:r>
          </w:p>
        </w:tc>
        <w:tc>
          <w:tcPr>
            <w:tcW w:w="4455" w:type="dxa"/>
            <w:shd w:val="clear" w:color="auto" w:fill="DEEAF6"/>
          </w:tcPr>
          <w:p w:rsidR="000C7E54" w:rsidRDefault="000C7E54" w:rsidP="00F32798">
            <w:pPr>
              <w:tabs>
                <w:tab w:val="left" w:pos="1908"/>
              </w:tabs>
            </w:pPr>
            <w:r w:rsidRPr="00691BA0">
              <w:t xml:space="preserve">Projekto įgyvendinimo alternatyvos pasirinkimas pagrįstas sąnaudų </w:t>
            </w:r>
            <w:r>
              <w:t>ir naudos analizės rezultatais:</w:t>
            </w:r>
          </w:p>
          <w:p w:rsidR="000C7E54" w:rsidRPr="00722F45" w:rsidRDefault="000C7E54" w:rsidP="00F32798">
            <w:pPr>
              <w:tabs>
                <w:tab w:val="left" w:pos="1908"/>
              </w:tabs>
            </w:pPr>
          </w:p>
        </w:tc>
        <w:tc>
          <w:tcPr>
            <w:tcW w:w="1418" w:type="dxa"/>
            <w:shd w:val="clear" w:color="auto" w:fill="FFFFFF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FFFFFF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1D6C9C">
              <w:t>2.5.1. projekto įgyvendinimo alternatyvoms įvertinti naudojamos pajamų, sąnaudų, finansavimo šaltinių, sukuriamos naudos prielaidos yra pagrįstos;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691BA0">
              <w:t>2.</w:t>
            </w:r>
            <w:r>
              <w:t>5</w:t>
            </w:r>
            <w:r w:rsidRPr="00691BA0">
              <w:t>.2. projekto įgyvendinimo alternatyvoms įvertinti naudojamas vienodas pagrįstos trukmės analizės laikotarpis;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691BA0">
              <w:t>2.</w:t>
            </w:r>
            <w:r>
              <w:t>5</w:t>
            </w:r>
            <w:r w:rsidRPr="00691BA0">
              <w:t>.3. projekto įgyvendinimo alternatyvoms įvertinti naudojama vienoda pagrįsto dydžio diskonto norma;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691BA0">
              <w:t>2.</w:t>
            </w:r>
            <w:r>
              <w:t>5</w:t>
            </w:r>
            <w:r w:rsidRPr="00691BA0">
              <w:t>.4. optimali projekto įgyvendinimo alternatyva pasirinkta pagal projekto įgyvendinimo alternatyvų finansinių ir (arba) ekonominių rodiklių (grynosios dabartinės vertės, vidinės grąžos normos, naudos ir sąnaudų santykio) reikšmes;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vMerge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691BA0">
              <w:t>2.</w:t>
            </w:r>
            <w:r>
              <w:t>5</w:t>
            </w:r>
            <w:r w:rsidRPr="00691BA0">
              <w:t>.5. pasirinktai projekto įgyvendinimo alternatyvai realizuoti nėra žinomų teisinių, techninių ir socialinių apribojimų.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>
              <w:t>2.6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 w:rsidRPr="00691BA0">
              <w:t xml:space="preserve">Projekte nėra nustatyta dvigubo tos pačios veiklos tų pačių išlaidų finansavimo rizika. 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i/>
              </w:rPr>
            </w:pPr>
          </w:p>
        </w:tc>
      </w:tr>
      <w:tr w:rsidR="000C7E54" w:rsidRPr="00691BA0" w:rsidTr="00F32798">
        <w:tc>
          <w:tcPr>
            <w:tcW w:w="756" w:type="dxa"/>
            <w:shd w:val="clear" w:color="auto" w:fill="DEEAF6"/>
          </w:tcPr>
          <w:p w:rsidR="000C7E54" w:rsidRPr="00691BA0" w:rsidRDefault="000C7E54" w:rsidP="00F32798">
            <w:pPr>
              <w:tabs>
                <w:tab w:val="left" w:pos="1908"/>
              </w:tabs>
            </w:pPr>
            <w:r w:rsidRPr="00691BA0">
              <w:t>2.</w:t>
            </w:r>
            <w:r>
              <w:t>7</w:t>
            </w:r>
            <w:r w:rsidRPr="00691BA0">
              <w:t>.</w:t>
            </w:r>
          </w:p>
        </w:tc>
        <w:tc>
          <w:tcPr>
            <w:tcW w:w="4455" w:type="dxa"/>
            <w:shd w:val="clear" w:color="auto" w:fill="DEEAF6"/>
          </w:tcPr>
          <w:p w:rsidR="000C7E54" w:rsidRPr="00691BA0" w:rsidRDefault="000C7E54" w:rsidP="00F32798">
            <w:r>
              <w:t>P</w:t>
            </w:r>
            <w:r w:rsidRPr="00691BA0">
              <w:t>rojektini</w:t>
            </w:r>
            <w:r>
              <w:t>ame</w:t>
            </w:r>
            <w:r w:rsidRPr="00691BA0">
              <w:t xml:space="preserve"> pasiūlym</w:t>
            </w:r>
            <w:r>
              <w:t>e</w:t>
            </w:r>
            <w:r w:rsidRPr="00691BA0">
              <w:t xml:space="preserve"> </w:t>
            </w:r>
            <w:r>
              <w:t>ir jo prieduose pateikta visa vertinimo išvadai parengti reikalinga informacija</w:t>
            </w:r>
            <w:r w:rsidRPr="00691BA0">
              <w:t>.</w:t>
            </w:r>
          </w:p>
        </w:tc>
        <w:tc>
          <w:tcPr>
            <w:tcW w:w="1418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0C7E54" w:rsidRPr="00691BA0" w:rsidRDefault="000C7E54" w:rsidP="00F32798">
            <w:pPr>
              <w:tabs>
                <w:tab w:val="left" w:pos="1908"/>
              </w:tabs>
              <w:rPr>
                <w:i/>
              </w:rPr>
            </w:pPr>
          </w:p>
        </w:tc>
      </w:tr>
    </w:tbl>
    <w:p w:rsidR="000C7E54" w:rsidRPr="00691BA0" w:rsidRDefault="000C7E54" w:rsidP="000C7E54">
      <w:pPr>
        <w:rPr>
          <w:sz w:val="22"/>
          <w:szCs w:val="22"/>
        </w:rPr>
      </w:pPr>
    </w:p>
    <w:p w:rsidR="000C7E54" w:rsidRPr="00691BA0" w:rsidRDefault="000C7E54" w:rsidP="000C7E54">
      <w:pPr>
        <w:ind w:firstLine="900"/>
        <w:jc w:val="both"/>
        <w:rPr>
          <w:b/>
        </w:rPr>
      </w:pPr>
      <w:r w:rsidRPr="00691BA0">
        <w:rPr>
          <w:b/>
        </w:rPr>
        <w:t xml:space="preserve">3. </w:t>
      </w:r>
      <w:r>
        <w:rPr>
          <w:b/>
        </w:rPr>
        <w:t>P</w:t>
      </w:r>
      <w:r w:rsidRPr="00691BA0">
        <w:rPr>
          <w:b/>
        </w:rPr>
        <w:t xml:space="preserve">rojektinio pasiūlymo </w:t>
      </w:r>
      <w:r>
        <w:rPr>
          <w:b/>
        </w:rPr>
        <w:t>vertinimo išvada:</w:t>
      </w:r>
    </w:p>
    <w:p w:rsidR="000C7E54" w:rsidRPr="00691BA0" w:rsidRDefault="000C7E54" w:rsidP="000C7E54">
      <w:pPr>
        <w:jc w:val="both"/>
      </w:pPr>
    </w:p>
    <w:p w:rsidR="000C7E54" w:rsidRDefault="000C7E54" w:rsidP="000C7E54">
      <w:pPr>
        <w:ind w:firstLine="900"/>
        <w:jc w:val="both"/>
      </w:pPr>
      <w:r>
        <w:t>□ Projektinis pasiūlymas atitinka visus 2 punkte nustatytus vertinimo aspektus ir gali būti įtrauktas į valstybės projektų sąrašą.</w:t>
      </w:r>
    </w:p>
    <w:p w:rsidR="000C7E54" w:rsidRDefault="000C7E54" w:rsidP="000C7E54">
      <w:pPr>
        <w:ind w:firstLine="900"/>
        <w:jc w:val="both"/>
      </w:pPr>
    </w:p>
    <w:p w:rsidR="000C7E54" w:rsidRDefault="000C7E54" w:rsidP="000C7E54">
      <w:pPr>
        <w:ind w:firstLine="900"/>
        <w:jc w:val="both"/>
      </w:pPr>
      <w:r>
        <w:t>□ Projektinis pasiūlymas neatitinka bent vieno iš 2 punkte nustatytų vertinimo aspektų, todėl negali būti įtrauktas į valstybės projektų sąrašą.</w:t>
      </w:r>
    </w:p>
    <w:p w:rsidR="000C7E54" w:rsidRDefault="000C7E54" w:rsidP="000C7E54">
      <w:pPr>
        <w:rPr>
          <w:b/>
        </w:rPr>
      </w:pPr>
    </w:p>
    <w:p w:rsidR="000C7E54" w:rsidRDefault="000C7E54" w:rsidP="000C7E54">
      <w:r>
        <w:t>__________________________</w:t>
      </w:r>
      <w:proofErr w:type="gramStart"/>
      <w:r>
        <w:t xml:space="preserve">                  </w:t>
      </w:r>
      <w:proofErr w:type="gramEnd"/>
      <w:r>
        <w:tab/>
      </w:r>
      <w:r>
        <w:tab/>
        <w:t>____________________</w:t>
      </w:r>
    </w:p>
    <w:p w:rsidR="000C7E54" w:rsidRDefault="000C7E54" w:rsidP="000C7E54">
      <w:r>
        <w:t xml:space="preserve">1-ojo vertintojo vardas, pavardė </w:t>
      </w:r>
      <w:r>
        <w:tab/>
      </w:r>
      <w:r>
        <w:tab/>
      </w:r>
      <w:r>
        <w:tab/>
      </w:r>
      <w:proofErr w:type="gramStart"/>
      <w:r>
        <w:t xml:space="preserve">        </w:t>
      </w:r>
      <w:proofErr w:type="gramEnd"/>
      <w:r>
        <w:t>parašas, data</w:t>
      </w:r>
    </w:p>
    <w:p w:rsidR="000C7E54" w:rsidRDefault="000C7E54" w:rsidP="000C7E54"/>
    <w:p w:rsidR="000C7E54" w:rsidRDefault="000C7E54" w:rsidP="000C7E54">
      <w:r>
        <w:t>__________________________</w:t>
      </w:r>
      <w:proofErr w:type="gramStart"/>
      <w:r>
        <w:t xml:space="preserve">                  </w:t>
      </w:r>
      <w:proofErr w:type="gramEnd"/>
      <w:r>
        <w:tab/>
      </w:r>
      <w:r>
        <w:tab/>
        <w:t>____________________</w:t>
      </w:r>
    </w:p>
    <w:p w:rsidR="000C7E54" w:rsidRDefault="000C7E54" w:rsidP="000C7E54">
      <w:r>
        <w:t xml:space="preserve">2-ojo vertintojo vardas, pavardė </w:t>
      </w:r>
      <w:r>
        <w:tab/>
      </w:r>
      <w:r>
        <w:tab/>
      </w:r>
      <w:r>
        <w:tab/>
      </w:r>
      <w:proofErr w:type="gramStart"/>
      <w:r>
        <w:t xml:space="preserve">        </w:t>
      </w:r>
      <w:proofErr w:type="gramEnd"/>
      <w:r>
        <w:t>parašas, data</w:t>
      </w:r>
    </w:p>
    <w:p w:rsidR="000C7E54" w:rsidRPr="00691BA0" w:rsidRDefault="000C7E54" w:rsidP="000C7E54">
      <w:pPr>
        <w:rPr>
          <w:b/>
        </w:rPr>
      </w:pPr>
    </w:p>
    <w:p w:rsidR="000C7E54" w:rsidRPr="00691BA0" w:rsidRDefault="000C7E54" w:rsidP="000C7E54">
      <w:pPr>
        <w:jc w:val="center"/>
      </w:pPr>
    </w:p>
    <w:p w:rsidR="000C7E54" w:rsidRPr="00691BA0" w:rsidRDefault="000C7E54" w:rsidP="000C7E54">
      <w:pPr>
        <w:jc w:val="center"/>
      </w:pPr>
      <w:r w:rsidRPr="00691BA0">
        <w:t>_______________________</w:t>
      </w:r>
    </w:p>
    <w:p w:rsidR="000C7E54" w:rsidRDefault="000C7E54" w:rsidP="000C7E54"/>
    <w:p w:rsidR="000C7E54" w:rsidRPr="00691BA0" w:rsidRDefault="000C7E54" w:rsidP="000C7E54">
      <w:pPr>
        <w:rPr>
          <w:rFonts w:ascii="Calibri" w:hAnsi="Calibri"/>
          <w:sz w:val="22"/>
          <w:szCs w:val="22"/>
        </w:rPr>
      </w:pPr>
    </w:p>
    <w:p w:rsidR="00E26A4E" w:rsidRDefault="00E26A4E"/>
    <w:sectPr w:rsidR="00E26A4E" w:rsidSect="0001760F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C2" w:rsidRDefault="00F67DC2" w:rsidP="0001760F">
      <w:r>
        <w:separator/>
      </w:r>
    </w:p>
  </w:endnote>
  <w:endnote w:type="continuationSeparator" w:id="0">
    <w:p w:rsidR="00F67DC2" w:rsidRDefault="00F67DC2" w:rsidP="000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C2" w:rsidRDefault="00F67DC2" w:rsidP="0001760F">
      <w:r>
        <w:separator/>
      </w:r>
    </w:p>
  </w:footnote>
  <w:footnote w:type="continuationSeparator" w:id="0">
    <w:p w:rsidR="00F67DC2" w:rsidRDefault="00F67DC2" w:rsidP="0001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867686"/>
      <w:docPartObj>
        <w:docPartGallery w:val="Page Numbers (Top of Page)"/>
        <w:docPartUnique/>
      </w:docPartObj>
    </w:sdtPr>
    <w:sdtEndPr/>
    <w:sdtContent>
      <w:p w:rsidR="0001760F" w:rsidRDefault="000176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564">
          <w:rPr>
            <w:noProof/>
          </w:rPr>
          <w:t>2</w:t>
        </w:r>
        <w:r>
          <w:fldChar w:fldCharType="end"/>
        </w:r>
      </w:p>
    </w:sdtContent>
  </w:sdt>
  <w:p w:rsidR="0001760F" w:rsidRDefault="000176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54"/>
    <w:rsid w:val="0001760F"/>
    <w:rsid w:val="000C7E54"/>
    <w:rsid w:val="001B6F78"/>
    <w:rsid w:val="0065109B"/>
    <w:rsid w:val="009641F2"/>
    <w:rsid w:val="00AF52A4"/>
    <w:rsid w:val="00B50564"/>
    <w:rsid w:val="00E26A4E"/>
    <w:rsid w:val="00F6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3DB8-6381-4D75-8769-C5B53892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C7E54"/>
    <w:pPr>
      <w:jc w:val="center"/>
    </w:pPr>
    <w:rPr>
      <w:sz w:val="22"/>
      <w:szCs w:val="20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0C7E54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atvirtinta">
    <w:name w:val="Patvirtinta"/>
    <w:semiHidden/>
    <w:rsid w:val="000C7E5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176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60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176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60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52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52A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Skarulskis</dc:creator>
  <cp:keywords/>
  <dc:description/>
  <cp:lastModifiedBy>Jonas Skarulskis</cp:lastModifiedBy>
  <cp:revision>2</cp:revision>
  <cp:lastPrinted>2015-06-10T08:28:00Z</cp:lastPrinted>
  <dcterms:created xsi:type="dcterms:W3CDTF">2015-07-13T07:19:00Z</dcterms:created>
  <dcterms:modified xsi:type="dcterms:W3CDTF">2015-07-13T07:19:00Z</dcterms:modified>
</cp:coreProperties>
</file>