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A547" w14:textId="53B85253" w:rsidR="0036662A" w:rsidRPr="00E74302" w:rsidRDefault="0036662A" w:rsidP="0036662A">
      <w:pPr>
        <w:jc w:val="center"/>
        <w:rPr>
          <w:b/>
          <w:bCs/>
          <w:szCs w:val="24"/>
        </w:rPr>
      </w:pPr>
      <w:r w:rsidRPr="00E74302">
        <w:rPr>
          <w:b/>
          <w:bCs/>
          <w:szCs w:val="24"/>
        </w:rPr>
        <w:t xml:space="preserve">LIETUVOS RESPUBLIKOS </w:t>
      </w:r>
      <w:r w:rsidR="00451686" w:rsidRPr="00E74302">
        <w:rPr>
          <w:b/>
          <w:bCs/>
          <w:szCs w:val="24"/>
        </w:rPr>
        <w:t>ENERGETIKOS</w:t>
      </w:r>
      <w:r w:rsidRPr="00E74302">
        <w:rPr>
          <w:b/>
          <w:bCs/>
          <w:szCs w:val="24"/>
        </w:rPr>
        <w:t xml:space="preserve"> MINISTERIJA</w:t>
      </w:r>
    </w:p>
    <w:p w14:paraId="62136E55" w14:textId="77777777" w:rsidR="0036662A" w:rsidRPr="00E74302" w:rsidRDefault="0036662A" w:rsidP="0036662A">
      <w:pPr>
        <w:jc w:val="center"/>
        <w:rPr>
          <w:b/>
          <w:bCs/>
          <w:szCs w:val="24"/>
        </w:rPr>
      </w:pPr>
    </w:p>
    <w:p w14:paraId="1E7C8F0B" w14:textId="4FDAD2D4" w:rsidR="0036662A" w:rsidRPr="00E74302" w:rsidRDefault="0036662A" w:rsidP="0036662A">
      <w:pPr>
        <w:jc w:val="center"/>
        <w:rPr>
          <w:b/>
          <w:bCs/>
          <w:szCs w:val="24"/>
        </w:rPr>
      </w:pPr>
      <w:r w:rsidRPr="00E74302">
        <w:rPr>
          <w:b/>
          <w:bCs/>
          <w:szCs w:val="24"/>
        </w:rPr>
        <w:t xml:space="preserve">SOCIALINIŲ IR EKONOMINIŲ PARTNERIŲ PATEIKTŲ PASTABŲ IR PASIŪLYMŲ DĖL </w:t>
      </w:r>
      <w:r w:rsidR="00774B36" w:rsidRPr="00C40EE6">
        <w:rPr>
          <w:b/>
          <w:bCs/>
          <w:szCs w:val="24"/>
        </w:rPr>
        <w:t>2014–2020 METŲ EUROPOS SĄJUNGOS FONDŲ INVESTICIJŲ VEIKSMŲ PROGRAMOS 4 PRIORITETO „ENERGIJOS EFEKTYVUMO IR ATSINAUJINANČIŲ IŠTEKLIŲ ENERGIJOS GAMYBOS IR NAUDOJIMO SKATINIMAS“ 04.1.1-LVPA-V-114 PRIEMONĖS „ELEKTROS ENERGIJOS IŠ ATSINAUJINANČIŲ IŠTEKLIŲ GAMYBOS ĮRENGINIŲ ĮRENGIMAS NAMŲ ŪKIUOSE“ PROJEKTŲ FINANSAVIMO SĄLYGŲ APRAŠO NR. 2</w:t>
      </w:r>
      <w:r w:rsidR="00774B3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74B36" w:rsidRPr="00583623">
        <w:rPr>
          <w:b/>
          <w:bCs/>
          <w:szCs w:val="24"/>
        </w:rPr>
        <w:t xml:space="preserve">PATVIRTINIMO </w:t>
      </w:r>
      <w:r w:rsidRPr="00E74302">
        <w:rPr>
          <w:b/>
          <w:bCs/>
          <w:szCs w:val="24"/>
        </w:rPr>
        <w:t>DERINIMAS</w:t>
      </w:r>
    </w:p>
    <w:p w14:paraId="2B885C82" w14:textId="77777777" w:rsidR="0036662A" w:rsidRPr="00E74302" w:rsidRDefault="0036662A" w:rsidP="0036662A">
      <w:pPr>
        <w:rPr>
          <w:b/>
          <w:bCs/>
          <w:szCs w:val="24"/>
        </w:rPr>
      </w:pPr>
    </w:p>
    <w:tbl>
      <w:tblPr>
        <w:tblStyle w:val="Lentelstinklelis"/>
        <w:tblW w:w="15055" w:type="dxa"/>
        <w:tblInd w:w="108" w:type="dxa"/>
        <w:tblLook w:val="04A0" w:firstRow="1" w:lastRow="0" w:firstColumn="1" w:lastColumn="0" w:noHBand="0" w:noVBand="1"/>
      </w:tblPr>
      <w:tblGrid>
        <w:gridCol w:w="6804"/>
        <w:gridCol w:w="8251"/>
      </w:tblGrid>
      <w:tr w:rsidR="0036662A" w:rsidRPr="00E74302" w14:paraId="211B4D5C" w14:textId="77777777" w:rsidTr="00A4316D">
        <w:tc>
          <w:tcPr>
            <w:tcW w:w="6804" w:type="dxa"/>
          </w:tcPr>
          <w:p w14:paraId="2951B3F4" w14:textId="77777777" w:rsidR="0036662A" w:rsidRPr="00E74302" w:rsidRDefault="0036662A" w:rsidP="00335D39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 xml:space="preserve">Paskelbimo </w:t>
            </w:r>
            <w:r w:rsidRPr="00E74302">
              <w:rPr>
                <w:szCs w:val="24"/>
              </w:rPr>
              <w:t>www.esinvesticijos.lt</w:t>
            </w:r>
            <w:r w:rsidRPr="00E74302">
              <w:rPr>
                <w:b/>
                <w:szCs w:val="24"/>
              </w:rPr>
              <w:t xml:space="preserve"> data</w:t>
            </w:r>
          </w:p>
        </w:tc>
        <w:tc>
          <w:tcPr>
            <w:tcW w:w="8251" w:type="dxa"/>
          </w:tcPr>
          <w:p w14:paraId="3E71717B" w14:textId="083B3E8B" w:rsidR="0036662A" w:rsidRPr="00E74302" w:rsidRDefault="00F20610" w:rsidP="00335D39">
            <w:pPr>
              <w:rPr>
                <w:szCs w:val="24"/>
              </w:rPr>
            </w:pPr>
            <w:r>
              <w:rPr>
                <w:szCs w:val="24"/>
              </w:rPr>
              <w:t>2020-</w:t>
            </w:r>
            <w:r w:rsidR="00774B36">
              <w:rPr>
                <w:szCs w:val="24"/>
              </w:rPr>
              <w:t>07-03</w:t>
            </w:r>
          </w:p>
        </w:tc>
      </w:tr>
      <w:tr w:rsidR="0036662A" w:rsidRPr="00E74302" w14:paraId="585257F3" w14:textId="77777777" w:rsidTr="00A4316D">
        <w:tc>
          <w:tcPr>
            <w:tcW w:w="6804" w:type="dxa"/>
          </w:tcPr>
          <w:p w14:paraId="2F737573" w14:textId="77777777" w:rsidR="0036662A" w:rsidRPr="00E74302" w:rsidRDefault="0036662A" w:rsidP="00335D39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>Ar gauta pastabų ir (ar) pasiūlymų?</w:t>
            </w:r>
          </w:p>
          <w:p w14:paraId="7B6D8B00" w14:textId="77777777" w:rsidR="0036662A" w:rsidRPr="00E74302" w:rsidRDefault="0036662A" w:rsidP="0036662A">
            <w:pPr>
              <w:rPr>
                <w:i/>
                <w:szCs w:val="24"/>
              </w:rPr>
            </w:pPr>
            <w:r w:rsidRPr="00E74302">
              <w:rPr>
                <w:i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8251" w:type="dxa"/>
          </w:tcPr>
          <w:p w14:paraId="347A711E" w14:textId="619A8AD8" w:rsidR="0036662A" w:rsidRPr="00E74302" w:rsidRDefault="00B32BBA" w:rsidP="003666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0" w:name="Check1"/>
                <w:r w:rsidR="00DB52DD" w:rsidRPr="00E7430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DB52DD" w:rsidRPr="00E7430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DB52DD" w:rsidRPr="00E74302">
                  <w:rPr>
                    <w:szCs w:val="24"/>
                  </w:rPr>
                  <w:fldChar w:fldCharType="end"/>
                </w:r>
                <w:bookmarkEnd w:id="0"/>
                <w:r w:rsidR="0036662A" w:rsidRPr="00E74302">
                  <w:rPr>
                    <w:szCs w:val="24"/>
                  </w:rPr>
                  <w:t xml:space="preserve"> </w:t>
                </w:r>
              </w:sdtContent>
            </w:sdt>
            <w:r w:rsidR="0036662A" w:rsidRPr="00E74302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36662A" w:rsidRPr="00E7430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E7430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E74302">
                  <w:rPr>
                    <w:szCs w:val="24"/>
                  </w:rPr>
                  <w:fldChar w:fldCharType="end"/>
                </w:r>
                <w:r w:rsidR="0036662A" w:rsidRPr="00E74302">
                  <w:rPr>
                    <w:szCs w:val="24"/>
                  </w:rPr>
                  <w:t xml:space="preserve"> </w:t>
                </w:r>
              </w:sdtContent>
            </w:sdt>
            <w:r w:rsidR="0036662A" w:rsidRPr="00E74302">
              <w:rPr>
                <w:szCs w:val="24"/>
              </w:rPr>
              <w:t xml:space="preserve"> Ne</w:t>
            </w:r>
            <w:r w:rsidR="0036662A" w:rsidRPr="00E74302">
              <w:rPr>
                <w:szCs w:val="24"/>
              </w:rPr>
              <w:fldChar w:fldCharType="begin"/>
            </w:r>
            <w:r w:rsidR="0036662A" w:rsidRPr="00E74302">
              <w:rPr>
                <w:szCs w:val="24"/>
              </w:rPr>
              <w:instrText xml:space="preserve"> FILLIN   \* MERGEFORMAT </w:instrText>
            </w:r>
            <w:r w:rsidR="0036662A" w:rsidRPr="00E74302">
              <w:rPr>
                <w:szCs w:val="24"/>
              </w:rPr>
              <w:fldChar w:fldCharType="end"/>
            </w:r>
          </w:p>
        </w:tc>
      </w:tr>
      <w:tr w:rsidR="0036662A" w:rsidRPr="00E74302" w14:paraId="6D0D9D1A" w14:textId="77777777" w:rsidTr="00A4316D">
        <w:tc>
          <w:tcPr>
            <w:tcW w:w="6804" w:type="dxa"/>
          </w:tcPr>
          <w:p w14:paraId="6A04ED20" w14:textId="77777777" w:rsidR="0036662A" w:rsidRPr="00E74302" w:rsidRDefault="0036662A" w:rsidP="00335D39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>Ar į visas pastabas ir (ar) pasiūlymus atsižvelgta?</w:t>
            </w:r>
          </w:p>
          <w:p w14:paraId="5A09DB63" w14:textId="77777777" w:rsidR="0036662A" w:rsidRPr="00E74302" w:rsidRDefault="0036662A" w:rsidP="00335D39">
            <w:pPr>
              <w:rPr>
                <w:i/>
                <w:szCs w:val="24"/>
              </w:rPr>
            </w:pPr>
            <w:r w:rsidRPr="00E74302">
              <w:rPr>
                <w:i/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8251" w:type="dxa"/>
          </w:tcPr>
          <w:p w14:paraId="47323AFB" w14:textId="558F15E7" w:rsidR="0036662A" w:rsidRPr="00E74302" w:rsidRDefault="00B32BBA" w:rsidP="00335D39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36662A" w:rsidRPr="00E7430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E7430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E74302">
                  <w:rPr>
                    <w:szCs w:val="24"/>
                  </w:rPr>
                  <w:fldChar w:fldCharType="end"/>
                </w:r>
              </w:sdtContent>
            </w:sdt>
            <w:r w:rsidR="0036662A" w:rsidRPr="00E74302">
              <w:rPr>
                <w:szCs w:val="24"/>
              </w:rPr>
              <w:t xml:space="preserve"> </w:t>
            </w:r>
            <w:r w:rsidR="0036662A" w:rsidRPr="00F20610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9E00E1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9E00E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9E00E1">
                  <w:rPr>
                    <w:szCs w:val="24"/>
                  </w:rPr>
                  <w:fldChar w:fldCharType="end"/>
                </w:r>
              </w:sdtContent>
            </w:sdt>
            <w:r w:rsidR="0036662A" w:rsidRPr="00F20610">
              <w:rPr>
                <w:szCs w:val="24"/>
              </w:rPr>
              <w:t xml:space="preserve"> Ne</w:t>
            </w:r>
            <w:r w:rsidR="0036662A" w:rsidRPr="00E74302">
              <w:rPr>
                <w:szCs w:val="24"/>
              </w:rPr>
              <w:t xml:space="preserve"> </w:t>
            </w:r>
          </w:p>
        </w:tc>
      </w:tr>
    </w:tbl>
    <w:p w14:paraId="3E50DA31" w14:textId="77777777" w:rsidR="0036662A" w:rsidRPr="00E74302" w:rsidRDefault="0036662A" w:rsidP="0036662A">
      <w:pPr>
        <w:rPr>
          <w:szCs w:val="24"/>
        </w:rPr>
      </w:pPr>
    </w:p>
    <w:tbl>
      <w:tblPr>
        <w:tblStyle w:val="Lentelstinklelis"/>
        <w:tblW w:w="149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5812"/>
        <w:gridCol w:w="5527"/>
      </w:tblGrid>
      <w:tr w:rsidR="0036662A" w:rsidRPr="006002A7" w14:paraId="309321F7" w14:textId="77777777" w:rsidTr="00737DF3">
        <w:tc>
          <w:tcPr>
            <w:tcW w:w="596" w:type="dxa"/>
          </w:tcPr>
          <w:p w14:paraId="3ECF6B6F" w14:textId="77777777" w:rsidR="0036662A" w:rsidRPr="006002A7" w:rsidRDefault="0036662A" w:rsidP="008F5081">
            <w:pPr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Nr.</w:t>
            </w:r>
          </w:p>
        </w:tc>
        <w:tc>
          <w:tcPr>
            <w:tcW w:w="2977" w:type="dxa"/>
          </w:tcPr>
          <w:p w14:paraId="36594ECD" w14:textId="77777777" w:rsidR="0036662A" w:rsidRPr="006002A7" w:rsidRDefault="0036662A" w:rsidP="00335D39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Institucija</w:t>
            </w:r>
          </w:p>
        </w:tc>
        <w:tc>
          <w:tcPr>
            <w:tcW w:w="5812" w:type="dxa"/>
          </w:tcPr>
          <w:p w14:paraId="1B30E145" w14:textId="77777777" w:rsidR="0036662A" w:rsidRPr="006002A7" w:rsidRDefault="0036662A" w:rsidP="00335D39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Pastabos ir pasiūlymai</w:t>
            </w:r>
          </w:p>
        </w:tc>
        <w:tc>
          <w:tcPr>
            <w:tcW w:w="5527" w:type="dxa"/>
          </w:tcPr>
          <w:p w14:paraId="3D3EE2E4" w14:textId="77777777" w:rsidR="0036662A" w:rsidRPr="006002A7" w:rsidRDefault="0036662A" w:rsidP="00335D39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BD601A" w:rsidRPr="00E74302" w14:paraId="03646310" w14:textId="77777777" w:rsidTr="00737DF3">
        <w:tc>
          <w:tcPr>
            <w:tcW w:w="596" w:type="dxa"/>
          </w:tcPr>
          <w:p w14:paraId="29153D07" w14:textId="77E9ECFF" w:rsidR="00BD601A" w:rsidRPr="007E64B4" w:rsidRDefault="006B26AA" w:rsidP="00BD601A">
            <w:pPr>
              <w:ind w:left="-76"/>
            </w:pPr>
            <w:r>
              <w:t>1.</w:t>
            </w:r>
          </w:p>
        </w:tc>
        <w:tc>
          <w:tcPr>
            <w:tcW w:w="2977" w:type="dxa"/>
          </w:tcPr>
          <w:p w14:paraId="2ED2FB9A" w14:textId="211AB619" w:rsidR="00BD601A" w:rsidRPr="00E74302" w:rsidRDefault="006B26AA" w:rsidP="00BD601A">
            <w:pPr>
              <w:rPr>
                <w:szCs w:val="24"/>
              </w:rPr>
            </w:pPr>
            <w:r w:rsidRPr="006B26AA">
              <w:rPr>
                <w:szCs w:val="24"/>
              </w:rPr>
              <w:t>Lietuvos Respublikos aplinkos ministerijos Aplinkos projektų valdymo agentūra</w:t>
            </w:r>
            <w:r>
              <w:rPr>
                <w:szCs w:val="24"/>
              </w:rPr>
              <w:t xml:space="preserve">  (2020-07-20 raštas Nr. </w:t>
            </w:r>
            <w:r w:rsidRPr="006B26AA">
              <w:rPr>
                <w:szCs w:val="24"/>
              </w:rPr>
              <w:t>(29-2-9)-APVA-1134</w:t>
            </w:r>
            <w:r>
              <w:rPr>
                <w:szCs w:val="24"/>
              </w:rPr>
              <w:t>)</w:t>
            </w:r>
          </w:p>
        </w:tc>
        <w:tc>
          <w:tcPr>
            <w:tcW w:w="5812" w:type="dxa"/>
          </w:tcPr>
          <w:p w14:paraId="570A6F27" w14:textId="1888C052" w:rsidR="006B26AA" w:rsidRPr="009003B0" w:rsidRDefault="006B26AA" w:rsidP="006B26AA">
            <w:pPr>
              <w:widowControl w:val="0"/>
              <w:tabs>
                <w:tab w:val="left" w:pos="851"/>
                <w:tab w:val="left" w:pos="993"/>
              </w:tabs>
              <w:suppressAutoHyphens/>
              <w:jc w:val="both"/>
            </w:pPr>
            <w:r>
              <w:rPr>
                <w:rFonts w:eastAsia="Calibri"/>
              </w:rPr>
              <w:t>S</w:t>
            </w:r>
            <w:r w:rsidRPr="006B26AA">
              <w:rPr>
                <w:rFonts w:eastAsia="Calibri"/>
              </w:rPr>
              <w:t>iūlome iš aprašo 2 priedo 5.1. punkto išbraukti paaiškinimą, kur gali būti įrengta saulės elektrinė, kadangi jis prieštarauja aprašo 4 punktui.</w:t>
            </w:r>
          </w:p>
          <w:p w14:paraId="6F0B166A" w14:textId="50D98008" w:rsidR="00BD601A" w:rsidRPr="00E74302" w:rsidRDefault="00BD601A" w:rsidP="006B26AA">
            <w:pPr>
              <w:jc w:val="both"/>
              <w:rPr>
                <w:szCs w:val="24"/>
              </w:rPr>
            </w:pPr>
          </w:p>
        </w:tc>
        <w:tc>
          <w:tcPr>
            <w:tcW w:w="5527" w:type="dxa"/>
          </w:tcPr>
          <w:p w14:paraId="6129550D" w14:textId="1EA25CD7" w:rsidR="00BD601A" w:rsidRDefault="00A1031A" w:rsidP="00BD601A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</w:t>
            </w:r>
            <w:r w:rsidR="009102FB" w:rsidRPr="009102FB">
              <w:rPr>
                <w:b/>
                <w:bCs/>
                <w:szCs w:val="24"/>
              </w:rPr>
              <w:t>tsižvelgta.</w:t>
            </w:r>
          </w:p>
          <w:p w14:paraId="55D06FDB" w14:textId="31F86529" w:rsidR="0090203F" w:rsidRPr="00D266E6" w:rsidRDefault="00000BBF" w:rsidP="00BD60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Aprašo </w:t>
            </w:r>
            <w:r w:rsidR="00D266E6">
              <w:rPr>
                <w:szCs w:val="24"/>
              </w:rPr>
              <w:t xml:space="preserve">2 priedo 5.1 p. </w:t>
            </w:r>
            <w:r w:rsidR="003B4FE4">
              <w:rPr>
                <w:szCs w:val="24"/>
              </w:rPr>
              <w:t>formuluotė</w:t>
            </w:r>
            <w:r>
              <w:rPr>
                <w:szCs w:val="24"/>
              </w:rPr>
              <w:t xml:space="preserve"> </w:t>
            </w:r>
            <w:r w:rsidR="00D266E6">
              <w:rPr>
                <w:szCs w:val="24"/>
              </w:rPr>
              <w:t xml:space="preserve">suvienodinta su </w:t>
            </w:r>
            <w:r>
              <w:rPr>
                <w:szCs w:val="24"/>
              </w:rPr>
              <w:t>10.1 p.</w:t>
            </w:r>
            <w:r w:rsidR="003B4FE4">
              <w:rPr>
                <w:szCs w:val="24"/>
              </w:rPr>
              <w:t xml:space="preserve"> formuluote.</w:t>
            </w:r>
          </w:p>
          <w:p w14:paraId="48CD348D" w14:textId="6536139C" w:rsidR="00376E0A" w:rsidRDefault="00376E0A" w:rsidP="001B3E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Aprašo 2 priedo 5.1 p</w:t>
            </w:r>
            <w:r w:rsidR="001B3E98">
              <w:rPr>
                <w:szCs w:val="24"/>
              </w:rPr>
              <w:t>. išdėstomas taip:</w:t>
            </w:r>
          </w:p>
          <w:p w14:paraId="1767C7B0" w14:textId="493C0541" w:rsidR="00683641" w:rsidRPr="009102FB" w:rsidRDefault="00376E0A" w:rsidP="00CD3264">
            <w:pPr>
              <w:jc w:val="both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5.1. </w:t>
            </w:r>
            <w:r w:rsidRPr="0090203F">
              <w:rPr>
                <w:strike/>
                <w:szCs w:val="24"/>
              </w:rPr>
              <w:t>elektros energijos</w:t>
            </w:r>
            <w:r>
              <w:rPr>
                <w:szCs w:val="24"/>
              </w:rPr>
              <w:t xml:space="preserve"> </w:t>
            </w:r>
            <w:r w:rsidRPr="00056EFF">
              <w:rPr>
                <w:szCs w:val="24"/>
              </w:rPr>
              <w:t>vartojimo vietoje</w:t>
            </w:r>
            <w:r w:rsidRPr="00AA2DF0">
              <w:rPr>
                <w:rFonts w:eastAsia="Calibri"/>
                <w:szCs w:val="24"/>
              </w:rPr>
              <w:t>;</w:t>
            </w:r>
          </w:p>
        </w:tc>
      </w:tr>
      <w:tr w:rsidR="006B26AA" w:rsidRPr="00E74302" w14:paraId="0B5ACDEC" w14:textId="77777777" w:rsidTr="00737DF3">
        <w:tc>
          <w:tcPr>
            <w:tcW w:w="596" w:type="dxa"/>
          </w:tcPr>
          <w:p w14:paraId="3B4D6C27" w14:textId="04D19282" w:rsidR="006B26AA" w:rsidRPr="007E64B4" w:rsidRDefault="006B26AA" w:rsidP="006B26AA">
            <w:pPr>
              <w:ind w:left="-76"/>
            </w:pPr>
            <w:r>
              <w:t>2.</w:t>
            </w:r>
          </w:p>
        </w:tc>
        <w:tc>
          <w:tcPr>
            <w:tcW w:w="2977" w:type="dxa"/>
          </w:tcPr>
          <w:p w14:paraId="243AD4FC" w14:textId="25566459" w:rsidR="006B26AA" w:rsidRPr="00E74302" w:rsidRDefault="006B26AA" w:rsidP="006B26AA">
            <w:pPr>
              <w:rPr>
                <w:szCs w:val="24"/>
              </w:rPr>
            </w:pPr>
            <w:r w:rsidRPr="006B26AA">
              <w:rPr>
                <w:szCs w:val="24"/>
              </w:rPr>
              <w:t>Lietuvos Respublikos aplinkos ministerijos Aplinkos projektų valdymo agentūra</w:t>
            </w:r>
            <w:r>
              <w:rPr>
                <w:szCs w:val="24"/>
              </w:rPr>
              <w:t xml:space="preserve">  (2020-07-20 raštas Nr. </w:t>
            </w:r>
            <w:r w:rsidRPr="006B26AA">
              <w:rPr>
                <w:szCs w:val="24"/>
              </w:rPr>
              <w:t>(29-2-9)-APVA-1134</w:t>
            </w:r>
            <w:r>
              <w:rPr>
                <w:szCs w:val="24"/>
              </w:rPr>
              <w:t>)</w:t>
            </w:r>
          </w:p>
        </w:tc>
        <w:tc>
          <w:tcPr>
            <w:tcW w:w="5812" w:type="dxa"/>
          </w:tcPr>
          <w:p w14:paraId="00097F99" w14:textId="649A4258" w:rsidR="006B26AA" w:rsidRDefault="006B26AA" w:rsidP="006B26AA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6B26AA">
              <w:rPr>
                <w:rFonts w:eastAsia="Calibri"/>
              </w:rPr>
              <w:t>iūlome aprašo 2 priedo 6 punktą išdėstyti taip:</w:t>
            </w:r>
            <w:r w:rsidRPr="00EC4BB6">
              <w:t xml:space="preserve"> </w:t>
            </w:r>
            <w:r>
              <w:t>„</w:t>
            </w:r>
            <w:r w:rsidRPr="008B3EDB">
              <w:t xml:space="preserve">Jei </w:t>
            </w:r>
            <w:r>
              <w:t>f</w:t>
            </w:r>
            <w:r w:rsidRPr="008B3EDB">
              <w:t xml:space="preserve">izinis asmuo vykdo ūkinę – komercinę veiklą, finansavimas neskiriamas, išskyrus atvejus, kai fizinis asmuo gali pateikti įrodymus, kad ūkinė – komercinė veikla nėra vykdoma šios tvarkos </w:t>
            </w:r>
            <w:r>
              <w:t xml:space="preserve">3 </w:t>
            </w:r>
            <w:r w:rsidRPr="006B26AA">
              <w:rPr>
                <w:b/>
                <w:bCs/>
              </w:rPr>
              <w:t>ir 4</w:t>
            </w:r>
            <w:r w:rsidRPr="00D253CE">
              <w:t xml:space="preserve"> </w:t>
            </w:r>
            <w:r w:rsidRPr="008B3EDB">
              <w:t xml:space="preserve"> punkt</w:t>
            </w:r>
            <w:r>
              <w:t>uose</w:t>
            </w:r>
            <w:r w:rsidRPr="008B3EDB">
              <w:t xml:space="preserve"> nurodyt</w:t>
            </w:r>
            <w:r>
              <w:t>uose</w:t>
            </w:r>
            <w:r w:rsidRPr="008B3EDB">
              <w:t xml:space="preserve"> pastat</w:t>
            </w:r>
            <w:r>
              <w:t xml:space="preserve">uose (butuose). </w:t>
            </w:r>
            <w:r w:rsidRPr="006B26AA">
              <w:rPr>
                <w:b/>
                <w:bCs/>
              </w:rPr>
              <w:t xml:space="preserve">Jeigu elektros energija, pagaminta elektrinės įrengimo objekte, nukreipta į vieną ar kelis vartojimo objektus ir viename iš jų yra vykdoma ūkinė – komercinė veikla, finansavimas skiriamas tik už objektą (-us), kuriame (-iuose) ūkinė – komercinė veikla nevykdoma. </w:t>
            </w:r>
          </w:p>
        </w:tc>
        <w:tc>
          <w:tcPr>
            <w:tcW w:w="5527" w:type="dxa"/>
          </w:tcPr>
          <w:p w14:paraId="26459AD6" w14:textId="77777777" w:rsidR="00B40FBC" w:rsidRDefault="00C71D0E" w:rsidP="00B40FBC">
            <w:pPr>
              <w:jc w:val="both"/>
              <w:rPr>
                <w:b/>
                <w:bCs/>
                <w:szCs w:val="24"/>
              </w:rPr>
            </w:pPr>
            <w:r w:rsidRPr="009102FB">
              <w:rPr>
                <w:b/>
                <w:bCs/>
                <w:szCs w:val="24"/>
              </w:rPr>
              <w:t>Atsižvelgta.</w:t>
            </w:r>
          </w:p>
          <w:p w14:paraId="7FEF048A" w14:textId="77777777" w:rsidR="00B40FBC" w:rsidRDefault="00B40FBC" w:rsidP="00B40FBC">
            <w:pPr>
              <w:jc w:val="both"/>
            </w:pPr>
            <w:r>
              <w:rPr>
                <w:rFonts w:eastAsia="Calibri"/>
              </w:rPr>
              <w:t>A</w:t>
            </w:r>
            <w:r w:rsidRPr="006B26AA">
              <w:rPr>
                <w:rFonts w:eastAsia="Calibri"/>
              </w:rPr>
              <w:t>prašo 2 priedo 6 punktą išdėst</w:t>
            </w:r>
            <w:r>
              <w:rPr>
                <w:rFonts w:eastAsia="Calibri"/>
              </w:rPr>
              <w:t>omas</w:t>
            </w:r>
            <w:r w:rsidRPr="006B26AA">
              <w:rPr>
                <w:rFonts w:eastAsia="Calibri"/>
              </w:rPr>
              <w:t xml:space="preserve"> taip:</w:t>
            </w:r>
            <w:r w:rsidRPr="00EC4BB6">
              <w:t xml:space="preserve"> </w:t>
            </w:r>
          </w:p>
          <w:p w14:paraId="0770BEF7" w14:textId="4C5DA1A9" w:rsidR="00B40FBC" w:rsidRPr="007A7ADC" w:rsidRDefault="00B40FBC" w:rsidP="00B40FBC">
            <w:pPr>
              <w:jc w:val="both"/>
              <w:rPr>
                <w:szCs w:val="24"/>
              </w:rPr>
            </w:pPr>
            <w:r>
              <w:t xml:space="preserve">„6. </w:t>
            </w:r>
            <w:r w:rsidRPr="008B3EDB">
              <w:t xml:space="preserve">Jei </w:t>
            </w:r>
            <w:r>
              <w:t>f</w:t>
            </w:r>
            <w:r w:rsidRPr="008B3EDB">
              <w:t xml:space="preserve">izinis asmuo vykdo ūkinę – komercinę veiklą, finansavimas neskiriamas, išskyrus atvejus, kai fizinis asmuo gali pateikti įrodymus, kad ūkinė – komercinė veikla nėra vykdoma šios tvarkos </w:t>
            </w:r>
            <w:r>
              <w:t xml:space="preserve">3 </w:t>
            </w:r>
            <w:r w:rsidRPr="006B26AA">
              <w:rPr>
                <w:b/>
                <w:bCs/>
              </w:rPr>
              <w:t>ir 4</w:t>
            </w:r>
            <w:r w:rsidRPr="00D253CE">
              <w:t xml:space="preserve"> </w:t>
            </w:r>
            <w:r w:rsidRPr="008B3EDB">
              <w:t xml:space="preserve"> punkt</w:t>
            </w:r>
            <w:r>
              <w:t>uose</w:t>
            </w:r>
            <w:r w:rsidRPr="008B3EDB">
              <w:t xml:space="preserve"> nurodyt</w:t>
            </w:r>
            <w:r>
              <w:t>uose</w:t>
            </w:r>
            <w:r w:rsidRPr="008B3EDB">
              <w:t xml:space="preserve"> pastat</w:t>
            </w:r>
            <w:r>
              <w:t xml:space="preserve">uose (butuose). </w:t>
            </w:r>
            <w:r w:rsidRPr="006B26AA">
              <w:rPr>
                <w:b/>
                <w:bCs/>
              </w:rPr>
              <w:t>Jeigu elektros energija, pagaminta elektrinės įrengimo objekte, nukreipta į vieną ar kelis vartojimo objektus ir viename iš jų yra vykdoma ūkinė – komercinė veikla, finansavimas skiriamas tik už objektą (-us), kuriame (-iuose) ūkinė – komercinė veikla nevykdoma.</w:t>
            </w:r>
            <w:r w:rsidRPr="00B40FBC">
              <w:t>“</w:t>
            </w:r>
          </w:p>
        </w:tc>
      </w:tr>
      <w:tr w:rsidR="006B26AA" w:rsidRPr="00E74302" w14:paraId="1B786E48" w14:textId="77777777" w:rsidTr="00737DF3">
        <w:tc>
          <w:tcPr>
            <w:tcW w:w="596" w:type="dxa"/>
          </w:tcPr>
          <w:p w14:paraId="3F5219E1" w14:textId="2CFC37D0" w:rsidR="006B26AA" w:rsidRPr="007E64B4" w:rsidRDefault="006B26AA" w:rsidP="006B26AA">
            <w:pPr>
              <w:ind w:left="-76"/>
            </w:pPr>
            <w:r>
              <w:lastRenderedPageBreak/>
              <w:t>3.</w:t>
            </w:r>
          </w:p>
        </w:tc>
        <w:tc>
          <w:tcPr>
            <w:tcW w:w="2977" w:type="dxa"/>
          </w:tcPr>
          <w:p w14:paraId="4BB79B6A" w14:textId="05CF0E30" w:rsidR="006B26AA" w:rsidRPr="00E74302" w:rsidRDefault="006B26AA" w:rsidP="006B26AA">
            <w:pPr>
              <w:rPr>
                <w:szCs w:val="24"/>
              </w:rPr>
            </w:pPr>
            <w:r w:rsidRPr="006B26AA">
              <w:rPr>
                <w:szCs w:val="24"/>
              </w:rPr>
              <w:t>Lietuvos Respublikos aplinkos ministerijos Aplinkos projektų valdymo agentūra</w:t>
            </w:r>
            <w:r>
              <w:rPr>
                <w:szCs w:val="24"/>
              </w:rPr>
              <w:t xml:space="preserve">  (2020-07-20 raštas Nr. </w:t>
            </w:r>
            <w:r w:rsidRPr="006B26AA">
              <w:rPr>
                <w:szCs w:val="24"/>
              </w:rPr>
              <w:t>(29-2-9)-APVA-1134</w:t>
            </w:r>
            <w:r>
              <w:rPr>
                <w:szCs w:val="24"/>
              </w:rPr>
              <w:t>)</w:t>
            </w:r>
          </w:p>
        </w:tc>
        <w:tc>
          <w:tcPr>
            <w:tcW w:w="5812" w:type="dxa"/>
          </w:tcPr>
          <w:p w14:paraId="5DD200B5" w14:textId="4E863862" w:rsidR="006B26AA" w:rsidRPr="006B26AA" w:rsidRDefault="006B26AA" w:rsidP="006B26AA">
            <w:pPr>
              <w:widowControl w:val="0"/>
              <w:tabs>
                <w:tab w:val="left" w:pos="851"/>
                <w:tab w:val="left" w:pos="993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6B26AA">
              <w:rPr>
                <w:rFonts w:eastAsia="Calibri"/>
              </w:rPr>
              <w:t>iūlome aprašo 2 priedo 17.7 punktą išdėstyti taip:</w:t>
            </w:r>
            <w:r w:rsidRPr="00EC4BB6">
              <w:t xml:space="preserve"> </w:t>
            </w:r>
            <w:r>
              <w:t xml:space="preserve">„pateikti laisvos formos </w:t>
            </w:r>
            <w:r w:rsidRPr="006B26AA">
              <w:rPr>
                <w:b/>
              </w:rPr>
              <w:t>elektrinės įrengimo objekto</w:t>
            </w:r>
            <w:r w:rsidRPr="006B26AA">
              <w:rPr>
                <w:bCs/>
              </w:rPr>
              <w:t xml:space="preserve"> </w:t>
            </w:r>
            <w:r>
              <w:t xml:space="preserve">bendrasavininkų (bendraturčių) sutikimą įgyvendinti projektą, jei jų yra. </w:t>
            </w:r>
            <w:r w:rsidRPr="006B26AA">
              <w:rPr>
                <w:b/>
                <w:bCs/>
              </w:rPr>
              <w:t>Daugiabučio namo daugumos butų ir kitų patalpų savininkų sutikimą arba daugiabučio žemės sklypo bendraturčių sutikimą pateikti privaloma kartu su išlaidų kompensavimo prašymu“.</w:t>
            </w:r>
          </w:p>
        </w:tc>
        <w:tc>
          <w:tcPr>
            <w:tcW w:w="5527" w:type="dxa"/>
          </w:tcPr>
          <w:p w14:paraId="5B1428E1" w14:textId="77777777" w:rsidR="006B26AA" w:rsidRDefault="00C71D0E" w:rsidP="006B26AA">
            <w:pPr>
              <w:jc w:val="both"/>
              <w:rPr>
                <w:b/>
                <w:bCs/>
                <w:szCs w:val="24"/>
              </w:rPr>
            </w:pPr>
            <w:r w:rsidRPr="009102FB">
              <w:rPr>
                <w:b/>
                <w:bCs/>
                <w:szCs w:val="24"/>
              </w:rPr>
              <w:t>Atsižvelgta.</w:t>
            </w:r>
          </w:p>
          <w:p w14:paraId="78F347C7" w14:textId="6878AD59" w:rsidR="007D793E" w:rsidRDefault="007D793E" w:rsidP="006B26AA">
            <w:pPr>
              <w:jc w:val="both"/>
            </w:pPr>
            <w:r>
              <w:rPr>
                <w:rFonts w:eastAsia="Calibri"/>
              </w:rPr>
              <w:t>A</w:t>
            </w:r>
            <w:r w:rsidRPr="006B26AA">
              <w:rPr>
                <w:rFonts w:eastAsia="Calibri"/>
              </w:rPr>
              <w:t xml:space="preserve">prašo 2 priedo 17.7 </w:t>
            </w:r>
            <w:r w:rsidR="00722A5B">
              <w:rPr>
                <w:rFonts w:eastAsia="Calibri"/>
              </w:rPr>
              <w:t>papunktis</w:t>
            </w:r>
            <w:r w:rsidRPr="006B26AA">
              <w:rPr>
                <w:rFonts w:eastAsia="Calibri"/>
              </w:rPr>
              <w:t xml:space="preserve"> išdėst</w:t>
            </w:r>
            <w:r>
              <w:rPr>
                <w:rFonts w:eastAsia="Calibri"/>
              </w:rPr>
              <w:t>omas</w:t>
            </w:r>
            <w:r w:rsidRPr="006B26AA">
              <w:rPr>
                <w:rFonts w:eastAsia="Calibri"/>
              </w:rPr>
              <w:t xml:space="preserve"> taip:</w:t>
            </w:r>
            <w:r w:rsidRPr="00EC4BB6">
              <w:t xml:space="preserve"> </w:t>
            </w:r>
          </w:p>
          <w:p w14:paraId="5C71F95E" w14:textId="37C33BF4" w:rsidR="007D793E" w:rsidRPr="007A7ADC" w:rsidRDefault="007D793E" w:rsidP="006B26AA">
            <w:pPr>
              <w:jc w:val="both"/>
              <w:rPr>
                <w:szCs w:val="24"/>
              </w:rPr>
            </w:pPr>
            <w:r>
              <w:t xml:space="preserve">„17.7. pateikti laisvos formos </w:t>
            </w:r>
            <w:r w:rsidRPr="006B26AA">
              <w:rPr>
                <w:b/>
              </w:rPr>
              <w:t>elektrinės įrengimo objekto</w:t>
            </w:r>
            <w:r w:rsidRPr="006B26AA">
              <w:rPr>
                <w:bCs/>
              </w:rPr>
              <w:t xml:space="preserve"> </w:t>
            </w:r>
            <w:r>
              <w:t xml:space="preserve">bendrasavininkų (bendraturčių) sutikimą įgyvendinti projektą, jei jų yra. </w:t>
            </w:r>
            <w:r w:rsidRPr="006B26AA">
              <w:rPr>
                <w:b/>
                <w:bCs/>
              </w:rPr>
              <w:t>Daugiabučio namo daugumos butų ir kitų patalpų savininkų sutikimą arba daugiabučio žemės sklypo bendraturčių sutikimą pateikti privaloma kartu su išlaidų kompensavimo prašymu</w:t>
            </w:r>
            <w:r w:rsidRPr="007D793E">
              <w:t>“.</w:t>
            </w:r>
          </w:p>
        </w:tc>
      </w:tr>
      <w:tr w:rsidR="006B26AA" w:rsidRPr="00E74302" w14:paraId="1F6EEA3A" w14:textId="77777777" w:rsidTr="00737DF3">
        <w:tc>
          <w:tcPr>
            <w:tcW w:w="596" w:type="dxa"/>
          </w:tcPr>
          <w:p w14:paraId="16C2F164" w14:textId="106F18A1" w:rsidR="006B26AA" w:rsidRPr="007E64B4" w:rsidRDefault="006B26AA" w:rsidP="006B26AA">
            <w:pPr>
              <w:ind w:left="-76"/>
            </w:pPr>
            <w:r>
              <w:t>4.</w:t>
            </w:r>
          </w:p>
        </w:tc>
        <w:tc>
          <w:tcPr>
            <w:tcW w:w="2977" w:type="dxa"/>
          </w:tcPr>
          <w:p w14:paraId="4FB34233" w14:textId="093DAAB9" w:rsidR="006B26AA" w:rsidRPr="00E74302" w:rsidRDefault="006B26AA" w:rsidP="006B26AA">
            <w:pPr>
              <w:rPr>
                <w:szCs w:val="24"/>
              </w:rPr>
            </w:pPr>
            <w:r w:rsidRPr="006B26AA">
              <w:rPr>
                <w:szCs w:val="24"/>
              </w:rPr>
              <w:t>Lietuvos Respublikos aplinkos ministerijos Aplinkos projektų valdymo agentūra</w:t>
            </w:r>
            <w:r>
              <w:rPr>
                <w:szCs w:val="24"/>
              </w:rPr>
              <w:t xml:space="preserve">  (2020-07-20 raštas Nr. </w:t>
            </w:r>
            <w:r w:rsidRPr="006B26AA">
              <w:rPr>
                <w:szCs w:val="24"/>
              </w:rPr>
              <w:t>(29-2-9)-APVA-1134</w:t>
            </w:r>
            <w:r>
              <w:rPr>
                <w:szCs w:val="24"/>
              </w:rPr>
              <w:t>)</w:t>
            </w:r>
          </w:p>
        </w:tc>
        <w:tc>
          <w:tcPr>
            <w:tcW w:w="5812" w:type="dxa"/>
          </w:tcPr>
          <w:p w14:paraId="2AFF7333" w14:textId="21C2F037" w:rsidR="006B26AA" w:rsidRPr="006B26AA" w:rsidRDefault="006B26AA" w:rsidP="006B26AA">
            <w:pPr>
              <w:widowControl w:val="0"/>
              <w:tabs>
                <w:tab w:val="left" w:pos="851"/>
                <w:tab w:val="left" w:pos="993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6B26AA">
              <w:rPr>
                <w:rFonts w:eastAsia="Calibri"/>
              </w:rPr>
              <w:t>iūlome aprašo 2 priedo 32 punktą išdėstyti taip: „</w:t>
            </w:r>
            <w:r>
              <w:t>32</w:t>
            </w:r>
            <w:r w:rsidRPr="00304F03">
              <w:t xml:space="preserve">. Fizinis asmuo gali įsigyti ir didesnės nei 10 kW galios elektrinę, tačiau finansavimas, tuo atveju, bus </w:t>
            </w:r>
            <w:r>
              <w:t>išmokamas</w:t>
            </w:r>
            <w:r w:rsidRPr="00304F03">
              <w:t xml:space="preserve"> tik už 10 kW. </w:t>
            </w:r>
            <w:r w:rsidRPr="001B42DD">
              <w:t xml:space="preserve">Jei pagal Klimato kaitos programą, 04.1.1-LVPA-V-114 priemonės „Elektros energijos iš atsinaujinančių išteklių gamybos įrenginių įrengimas namų ūkiuose“ projektų finansavimo sąlygų aprašą Nr.1, 04.1.1-LVPA-V-115 priemonės „AIE namų ūkiams“ finansavimas buvo išmokėtas </w:t>
            </w:r>
            <w:r w:rsidRPr="006B26AA">
              <w:rPr>
                <w:bCs/>
              </w:rPr>
              <w:t>10 kW saulės elektrinei įrengti</w:t>
            </w:r>
            <w:r w:rsidRPr="001B42DD">
              <w:t xml:space="preserve">, ar pagal šios Priemonės veiklas finansavimas buvo išmokėtas 10 kW įrangos įsigijimui, </w:t>
            </w:r>
            <w:bookmarkStart w:id="1" w:name="_Hlk45711095"/>
            <w:r w:rsidRPr="001B42DD">
              <w:t xml:space="preserve">tam pačiam </w:t>
            </w:r>
            <w:r w:rsidRPr="006B26AA">
              <w:rPr>
                <w:b/>
                <w:bCs/>
              </w:rPr>
              <w:t xml:space="preserve">įrengimo ar </w:t>
            </w:r>
            <w:r w:rsidRPr="001B42DD">
              <w:t xml:space="preserve">vartojimo objektui </w:t>
            </w:r>
            <w:bookmarkEnd w:id="1"/>
            <w:r w:rsidRPr="001B42DD">
              <w:t xml:space="preserve">finansavimas pagal Priemonę daugiau neišmokamas. Jei pagal Klimato kaitos programą, 04.1.1-LVPA-V-114 priemonės „Elektros energijos iš atsinaujinančių išteklių gamybos įrenginių įrengimas namų ūkiuose“ projektų finansavimo sąlygų aprašą Nr.1, </w:t>
            </w:r>
            <w:r w:rsidRPr="006B26AA">
              <w:rPr>
                <w:color w:val="000000"/>
              </w:rPr>
              <w:t>04.1.1-LVPA-V-115 priemonės „</w:t>
            </w:r>
            <w:r w:rsidRPr="001B42DD">
              <w:t>AIE namų ūkiams</w:t>
            </w:r>
            <w:r w:rsidRPr="006B26AA">
              <w:rPr>
                <w:color w:val="000000"/>
              </w:rPr>
              <w:t>“</w:t>
            </w:r>
            <w:r w:rsidRPr="001B42DD">
              <w:t xml:space="preserve"> ar šią Priemonę finansavimas buvo išmokėtas iki </w:t>
            </w:r>
            <w:r w:rsidRPr="006B26AA">
              <w:rPr>
                <w:bCs/>
              </w:rPr>
              <w:t>10 kW saulės elektrinei įrengti</w:t>
            </w:r>
            <w:r w:rsidRPr="001B42DD">
              <w:t xml:space="preserve"> finansavimas, tam pačiam </w:t>
            </w:r>
            <w:r w:rsidRPr="006B26AA">
              <w:rPr>
                <w:b/>
                <w:bCs/>
              </w:rPr>
              <w:t>įrengimo ar</w:t>
            </w:r>
            <w:r w:rsidRPr="001B42DD">
              <w:t xml:space="preserve"> vartojimo objektui gali būti išmokėtas, tačiau ne didesnei nei 10 kW suminei galiai pasiekti.</w:t>
            </w:r>
            <w:r w:rsidRPr="006B26AA">
              <w:rPr>
                <w:b/>
                <w:bCs/>
              </w:rPr>
              <w:t xml:space="preserve"> Suminis elektrinės galingumas vertinamas pagal gaminančio vartotojo sutartį. </w:t>
            </w:r>
          </w:p>
        </w:tc>
        <w:tc>
          <w:tcPr>
            <w:tcW w:w="5527" w:type="dxa"/>
          </w:tcPr>
          <w:p w14:paraId="146D881D" w14:textId="77777777" w:rsidR="006B26AA" w:rsidRDefault="00722A5B" w:rsidP="006B26AA">
            <w:pPr>
              <w:jc w:val="both"/>
              <w:rPr>
                <w:szCs w:val="24"/>
              </w:rPr>
            </w:pPr>
            <w:r w:rsidRPr="00722A5B">
              <w:rPr>
                <w:szCs w:val="24"/>
              </w:rPr>
              <w:t>Atsižvelgta.</w:t>
            </w:r>
          </w:p>
          <w:p w14:paraId="490B6C98" w14:textId="22E56E87" w:rsidR="00722A5B" w:rsidRDefault="00722A5B" w:rsidP="00722A5B">
            <w:pPr>
              <w:jc w:val="both"/>
            </w:pPr>
            <w:r>
              <w:rPr>
                <w:rFonts w:eastAsia="Calibri"/>
              </w:rPr>
              <w:t>A</w:t>
            </w:r>
            <w:r w:rsidRPr="006B26AA">
              <w:rPr>
                <w:rFonts w:eastAsia="Calibri"/>
              </w:rPr>
              <w:t xml:space="preserve">prašo 2 priedo </w:t>
            </w:r>
            <w:r>
              <w:rPr>
                <w:rFonts w:eastAsia="Calibri"/>
              </w:rPr>
              <w:t>32</w:t>
            </w:r>
            <w:r w:rsidRPr="006B26A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punkt</w:t>
            </w:r>
            <w:r w:rsidR="00BC561D">
              <w:rPr>
                <w:rFonts w:eastAsia="Calibri"/>
              </w:rPr>
              <w:t>a</w:t>
            </w:r>
            <w:r>
              <w:rPr>
                <w:rFonts w:eastAsia="Calibri"/>
              </w:rPr>
              <w:t>s</w:t>
            </w:r>
            <w:r w:rsidRPr="006B26AA">
              <w:rPr>
                <w:rFonts w:eastAsia="Calibri"/>
              </w:rPr>
              <w:t xml:space="preserve"> išdėst</w:t>
            </w:r>
            <w:r>
              <w:rPr>
                <w:rFonts w:eastAsia="Calibri"/>
              </w:rPr>
              <w:t>omas</w:t>
            </w:r>
            <w:r w:rsidRPr="006B26AA">
              <w:rPr>
                <w:rFonts w:eastAsia="Calibri"/>
              </w:rPr>
              <w:t xml:space="preserve"> taip:</w:t>
            </w:r>
            <w:r w:rsidRPr="00EC4BB6">
              <w:t xml:space="preserve"> </w:t>
            </w:r>
          </w:p>
          <w:p w14:paraId="24F328BF" w14:textId="6B529C59" w:rsidR="00722A5B" w:rsidRPr="007A7ADC" w:rsidRDefault="00074FB5" w:rsidP="006B26AA">
            <w:pPr>
              <w:jc w:val="both"/>
              <w:rPr>
                <w:szCs w:val="24"/>
              </w:rPr>
            </w:pPr>
            <w:r>
              <w:t>„32</w:t>
            </w:r>
            <w:r w:rsidRPr="00304F03">
              <w:t xml:space="preserve">. Fizinis asmuo gali įsigyti ir didesnės nei 10 kW galios elektrinę, tačiau finansavimas, tuo atveju, bus </w:t>
            </w:r>
            <w:r>
              <w:t>išmokamas</w:t>
            </w:r>
            <w:r w:rsidRPr="00304F03">
              <w:t xml:space="preserve"> tik už 10 kW. Jei pagal Klimato kaitos programą, 04.1.1-LVPA-V-114 priemon</w:t>
            </w:r>
            <w:r>
              <w:t>ės</w:t>
            </w:r>
            <w:r w:rsidRPr="00304F03">
              <w:t xml:space="preserve"> „Elektros energijos iš atsinaujinančių išteklių gamybos įrenginių įrengimas namų ūkiuose“</w:t>
            </w:r>
            <w:r w:rsidRPr="00331AF3">
              <w:t xml:space="preserve"> projektų finansavimo sąlygų aprašą Nr.1</w:t>
            </w:r>
            <w:r>
              <w:t xml:space="preserve">, </w:t>
            </w:r>
            <w:r w:rsidRPr="00FB440D">
              <w:t>04.1.1-LVPA-V-115 priemonės „AIE namų ūkiams“</w:t>
            </w:r>
            <w:r w:rsidRPr="00304F03">
              <w:t xml:space="preserve"> finansavimas buvo išmokėtas </w:t>
            </w:r>
            <w:r w:rsidRPr="00304F03">
              <w:rPr>
                <w:bCs/>
              </w:rPr>
              <w:t>10 kW saulės elektrinei įrengti</w:t>
            </w:r>
            <w:r w:rsidRPr="00304F03">
              <w:t xml:space="preserve">, ar pagal šios </w:t>
            </w:r>
            <w:r w:rsidRPr="004B0175">
              <w:t xml:space="preserve">Priemonės veiklas finansavimas buvo išmokėtas 10 kW įrangos įsigijimui, tam pačiam </w:t>
            </w:r>
            <w:r w:rsidR="007F4945" w:rsidRPr="006B26AA">
              <w:rPr>
                <w:b/>
                <w:bCs/>
              </w:rPr>
              <w:t>įrengimo ar</w:t>
            </w:r>
            <w:r w:rsidR="007F4945" w:rsidRPr="00A87803">
              <w:t xml:space="preserve"> </w:t>
            </w:r>
            <w:r w:rsidRPr="00A87803">
              <w:t>vartojimo</w:t>
            </w:r>
            <w:r>
              <w:t xml:space="preserve"> </w:t>
            </w:r>
            <w:r w:rsidRPr="004B0175">
              <w:t>objektui</w:t>
            </w:r>
            <w:r w:rsidRPr="00304F03">
              <w:t xml:space="preserve"> finansavimas pagal </w:t>
            </w:r>
            <w:r w:rsidRPr="00172612">
              <w:t>Priemonę daugiau ne</w:t>
            </w:r>
            <w:r>
              <w:t>išmoka</w:t>
            </w:r>
            <w:r w:rsidRPr="00172612">
              <w:t>mas</w:t>
            </w:r>
            <w:r w:rsidRPr="00304F03">
              <w:t>. Jei pagal Klimato kaitos programą, 04.1.1-LVPA-V-114 priemon</w:t>
            </w:r>
            <w:r>
              <w:t>ės</w:t>
            </w:r>
            <w:r w:rsidRPr="00304F03">
              <w:t xml:space="preserve"> „Elektros energijos iš atsinaujinančių išteklių gamybos įrenginių įrengimas namų ūkiuose“</w:t>
            </w:r>
            <w:r>
              <w:t xml:space="preserve"> projektų finansavimo sąlygų aprašą Nr.1, </w:t>
            </w:r>
            <w:r>
              <w:rPr>
                <w:color w:val="000000"/>
              </w:rPr>
              <w:t>04.1.1-LVPA-V-115 priemonės „</w:t>
            </w:r>
            <w:r>
              <w:t>AIE namų ūkiams</w:t>
            </w:r>
            <w:r>
              <w:rPr>
                <w:color w:val="000000"/>
              </w:rPr>
              <w:t>“</w:t>
            </w:r>
            <w:r w:rsidRPr="00304F03">
              <w:t xml:space="preserve"> ar šią Priemonę finansavimas buvo išmokėtas iki </w:t>
            </w:r>
            <w:r w:rsidRPr="00304F03">
              <w:rPr>
                <w:bCs/>
              </w:rPr>
              <w:t>10 kW saulės elektrinei įrengti</w:t>
            </w:r>
            <w:r w:rsidRPr="00304F03">
              <w:t xml:space="preserve"> finansavimas, tam pačiam </w:t>
            </w:r>
            <w:r w:rsidR="00D9786D" w:rsidRPr="006B26AA">
              <w:rPr>
                <w:b/>
                <w:bCs/>
              </w:rPr>
              <w:t>įrengimo ar</w:t>
            </w:r>
            <w:r>
              <w:t xml:space="preserve"> </w:t>
            </w:r>
            <w:r w:rsidRPr="00A87803">
              <w:t>vartojimo</w:t>
            </w:r>
            <w:r>
              <w:t xml:space="preserve"> </w:t>
            </w:r>
            <w:r w:rsidRPr="00304F03">
              <w:t xml:space="preserve">objektui gali būti </w:t>
            </w:r>
            <w:r>
              <w:t>išmokėt</w:t>
            </w:r>
            <w:r w:rsidRPr="00304F03">
              <w:t>as, tačiau ne didesnei nei 10 kW suminei galiai pasiekti</w:t>
            </w:r>
            <w:r w:rsidR="002E5566">
              <w:t>.</w:t>
            </w:r>
            <w:r w:rsidR="002E5566" w:rsidRPr="006B26AA">
              <w:rPr>
                <w:b/>
                <w:bCs/>
              </w:rPr>
              <w:t xml:space="preserve"> Suminis elektrinės galingumas vertinamas pagal gaminančio vartotojo sutartį.</w:t>
            </w:r>
          </w:p>
        </w:tc>
      </w:tr>
      <w:tr w:rsidR="006B26AA" w:rsidRPr="00E74302" w14:paraId="55DF5717" w14:textId="77777777" w:rsidTr="00737DF3">
        <w:tc>
          <w:tcPr>
            <w:tcW w:w="596" w:type="dxa"/>
          </w:tcPr>
          <w:p w14:paraId="155D475B" w14:textId="45EFB0B5" w:rsidR="006B26AA" w:rsidRPr="007E64B4" w:rsidRDefault="006B26AA" w:rsidP="006B26AA">
            <w:pPr>
              <w:ind w:left="-76"/>
            </w:pPr>
            <w:r>
              <w:t>5.</w:t>
            </w:r>
          </w:p>
        </w:tc>
        <w:tc>
          <w:tcPr>
            <w:tcW w:w="2977" w:type="dxa"/>
          </w:tcPr>
          <w:p w14:paraId="368737A4" w14:textId="71E60E63" w:rsidR="006B26AA" w:rsidRPr="00E74302" w:rsidRDefault="006B26AA" w:rsidP="006B26AA">
            <w:pPr>
              <w:rPr>
                <w:szCs w:val="24"/>
              </w:rPr>
            </w:pPr>
            <w:r w:rsidRPr="006B26AA">
              <w:rPr>
                <w:szCs w:val="24"/>
              </w:rPr>
              <w:t xml:space="preserve">Lietuvos Respublikos aplinkos ministerijos Aplinkos projektų valdymo </w:t>
            </w:r>
            <w:r w:rsidRPr="006B26AA">
              <w:rPr>
                <w:szCs w:val="24"/>
              </w:rPr>
              <w:lastRenderedPageBreak/>
              <w:t>agentūra</w:t>
            </w:r>
            <w:r>
              <w:rPr>
                <w:szCs w:val="24"/>
              </w:rPr>
              <w:t xml:space="preserve">  (2020-07-20 raštas Nr. </w:t>
            </w:r>
            <w:r w:rsidRPr="006B26AA">
              <w:rPr>
                <w:szCs w:val="24"/>
              </w:rPr>
              <w:t>(29-2-9)-APVA-1134</w:t>
            </w:r>
            <w:r>
              <w:rPr>
                <w:szCs w:val="24"/>
              </w:rPr>
              <w:t>)</w:t>
            </w:r>
          </w:p>
        </w:tc>
        <w:tc>
          <w:tcPr>
            <w:tcW w:w="5812" w:type="dxa"/>
          </w:tcPr>
          <w:p w14:paraId="7C6E5049" w14:textId="4084031A" w:rsidR="006B26AA" w:rsidRPr="006B26AA" w:rsidRDefault="006B26AA" w:rsidP="006B26AA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asciiTheme="majorBidi" w:hAnsiTheme="majorBidi" w:cstheme="majorBidi"/>
              </w:rPr>
              <w:lastRenderedPageBreak/>
              <w:t>V</w:t>
            </w:r>
            <w:r w:rsidRPr="00EC4BB6">
              <w:rPr>
                <w:rFonts w:asciiTheme="majorBidi" w:hAnsiTheme="majorBidi" w:cstheme="majorBidi"/>
              </w:rPr>
              <w:t xml:space="preserve">ertindami išlaidų kompensavimo prašymus pastebime, kad dažnu atveju įrangos įsigijimo kainos yra mažesnės nei nustatyti fiksuotieji įkainiai, o kai kuriais atvejais </w:t>
            </w:r>
            <w:r w:rsidRPr="00EC4BB6">
              <w:rPr>
                <w:rFonts w:asciiTheme="majorBidi" w:hAnsiTheme="majorBidi" w:cstheme="majorBidi"/>
              </w:rPr>
              <w:lastRenderedPageBreak/>
              <w:t xml:space="preserve">kompensacinės išmokos net viršija patirtas išlaidas, </w:t>
            </w:r>
            <w:r>
              <w:rPr>
                <w:rFonts w:asciiTheme="majorBidi" w:hAnsiTheme="majorBidi" w:cstheme="majorBidi"/>
              </w:rPr>
              <w:t xml:space="preserve">todėl </w:t>
            </w:r>
            <w:r>
              <w:t>s</w:t>
            </w:r>
            <w:r w:rsidRPr="00282283">
              <w:t xml:space="preserve">iūlome aprašo 2 priedą papildyti </w:t>
            </w:r>
            <w:r>
              <w:t>punktu „</w:t>
            </w:r>
            <w:r w:rsidRPr="00DF789E">
              <w:t>Kompensacijos suma negali būti didesnė už faktiškai patirtas įrangos įsigijimo išlaidas.</w:t>
            </w:r>
            <w:r>
              <w:t xml:space="preserve"> Jei kompensacijos suma yra didesnė už įrangos (nurodytos </w:t>
            </w:r>
            <w:r w:rsidRPr="00501385">
              <w:t>13</w:t>
            </w:r>
            <w:r>
              <w:t xml:space="preserve">.1 ir 13.2 punktuose) įsigijimo patirtas išlaidas, tokios išlaidos pripažįstamos netinkamomis finansuoti ir kompensacinė išmoka neskiriama“ arba  </w:t>
            </w:r>
            <w:r w:rsidRPr="007A7E7E">
              <w:t>įvertinti</w:t>
            </w:r>
            <w:r>
              <w:t>,</w:t>
            </w:r>
            <w:r w:rsidRPr="007A7E7E">
              <w:t xml:space="preserve"> ar nėra poreikio atnaujinti fiksuoto įkainio tyrimo ataskaitų ir naudojamų įkainių</w:t>
            </w:r>
          </w:p>
        </w:tc>
        <w:tc>
          <w:tcPr>
            <w:tcW w:w="5527" w:type="dxa"/>
          </w:tcPr>
          <w:p w14:paraId="2596AFBA" w14:textId="77777777" w:rsidR="00FE10EF" w:rsidRDefault="00FE10EF" w:rsidP="006B26AA">
            <w:pPr>
              <w:jc w:val="both"/>
              <w:rPr>
                <w:b/>
                <w:bCs/>
                <w:szCs w:val="24"/>
              </w:rPr>
            </w:pPr>
            <w:r w:rsidRPr="00FE10EF">
              <w:rPr>
                <w:b/>
                <w:bCs/>
                <w:szCs w:val="24"/>
              </w:rPr>
              <w:lastRenderedPageBreak/>
              <w:t>Neatsižvelgta.</w:t>
            </w:r>
          </w:p>
          <w:p w14:paraId="2F0B0C30" w14:textId="05EEB0DA" w:rsidR="006B26AA" w:rsidRPr="007A7ADC" w:rsidRDefault="000814F8" w:rsidP="006B26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Vadovaujantis</w:t>
            </w:r>
            <w:r w:rsidR="00DC37F9">
              <w:rPr>
                <w:szCs w:val="24"/>
              </w:rPr>
              <w:t xml:space="preserve"> Projektų fina</w:t>
            </w:r>
            <w:r w:rsidR="00933C01">
              <w:rPr>
                <w:szCs w:val="24"/>
              </w:rPr>
              <w:t>n</w:t>
            </w:r>
            <w:r w:rsidR="00DC37F9">
              <w:rPr>
                <w:szCs w:val="24"/>
              </w:rPr>
              <w:t>savimo ir administra</w:t>
            </w:r>
            <w:r w:rsidR="00933C01">
              <w:rPr>
                <w:szCs w:val="24"/>
              </w:rPr>
              <w:t>vimo</w:t>
            </w:r>
            <w:r w:rsidR="001A1B02">
              <w:rPr>
                <w:szCs w:val="24"/>
              </w:rPr>
              <w:t xml:space="preserve"> taisyklių</w:t>
            </w:r>
            <w:r w:rsidR="002F61BC">
              <w:rPr>
                <w:szCs w:val="24"/>
              </w:rPr>
              <w:t xml:space="preserve"> nuostatomis</w:t>
            </w:r>
            <w:r w:rsidR="00D45EEC">
              <w:rPr>
                <w:szCs w:val="24"/>
              </w:rPr>
              <w:t>,</w:t>
            </w:r>
            <w:r w:rsidR="002F61BC">
              <w:rPr>
                <w:szCs w:val="24"/>
              </w:rPr>
              <w:t xml:space="preserve"> </w:t>
            </w:r>
            <w:r w:rsidR="00ED674D">
              <w:rPr>
                <w:szCs w:val="24"/>
              </w:rPr>
              <w:t xml:space="preserve">apmokant pagal fiksuotuosius </w:t>
            </w:r>
            <w:r w:rsidR="00ED674D">
              <w:rPr>
                <w:szCs w:val="24"/>
              </w:rPr>
              <w:lastRenderedPageBreak/>
              <w:t>įkainius</w:t>
            </w:r>
            <w:r w:rsidR="00C10F95">
              <w:rPr>
                <w:szCs w:val="24"/>
              </w:rPr>
              <w:t xml:space="preserve">, </w:t>
            </w:r>
            <w:r w:rsidR="00ED674D" w:rsidRPr="00ED674D">
              <w:rPr>
                <w:szCs w:val="24"/>
              </w:rPr>
              <w:t>prašo</w:t>
            </w:r>
            <w:r w:rsidR="00C10F95">
              <w:rPr>
                <w:szCs w:val="24"/>
              </w:rPr>
              <w:t>ma</w:t>
            </w:r>
            <w:r w:rsidR="00ED674D" w:rsidRPr="00ED674D">
              <w:rPr>
                <w:szCs w:val="24"/>
              </w:rPr>
              <w:t xml:space="preserve"> pateikti dokumentus ar jų kopijas, kuriais įrodomas projekto kiekybinio rezultato pasiekimas</w:t>
            </w:r>
            <w:r w:rsidR="00957DD6">
              <w:rPr>
                <w:szCs w:val="24"/>
              </w:rPr>
              <w:t xml:space="preserve">, </w:t>
            </w:r>
            <w:r w:rsidR="003D7F49">
              <w:rPr>
                <w:szCs w:val="24"/>
              </w:rPr>
              <w:t xml:space="preserve">šios priemonės atveju, tai </w:t>
            </w:r>
            <w:r w:rsidR="00210B6D">
              <w:rPr>
                <w:szCs w:val="24"/>
              </w:rPr>
              <w:t>yra sąskait</w:t>
            </w:r>
            <w:r w:rsidR="004E5F29">
              <w:rPr>
                <w:szCs w:val="24"/>
              </w:rPr>
              <w:t>a už įsigytą įrangą</w:t>
            </w:r>
            <w:r w:rsidR="00963323">
              <w:rPr>
                <w:szCs w:val="24"/>
              </w:rPr>
              <w:t xml:space="preserve">, </w:t>
            </w:r>
            <w:r w:rsidR="004E5F29">
              <w:rPr>
                <w:szCs w:val="24"/>
              </w:rPr>
              <w:t>b</w:t>
            </w:r>
            <w:r w:rsidR="00963323">
              <w:rPr>
                <w:szCs w:val="24"/>
              </w:rPr>
              <w:t xml:space="preserve">et pagal </w:t>
            </w:r>
            <w:r w:rsidR="004E5F29">
              <w:rPr>
                <w:szCs w:val="24"/>
              </w:rPr>
              <w:t>joje nurodytą sumą neapmokama</w:t>
            </w:r>
            <w:r w:rsidR="008500DA">
              <w:rPr>
                <w:szCs w:val="24"/>
              </w:rPr>
              <w:t xml:space="preserve">. Energetikos ministerija svarstys </w:t>
            </w:r>
            <w:r w:rsidR="00D83249">
              <w:rPr>
                <w:szCs w:val="24"/>
              </w:rPr>
              <w:t>įkainių tikslinimo klausimą ir</w:t>
            </w:r>
            <w:r w:rsidR="00FA5C10">
              <w:rPr>
                <w:szCs w:val="24"/>
              </w:rPr>
              <w:t>,</w:t>
            </w:r>
            <w:r w:rsidR="00D83249">
              <w:rPr>
                <w:szCs w:val="24"/>
              </w:rPr>
              <w:t xml:space="preserve"> jei bus nutart</w:t>
            </w:r>
            <w:r w:rsidR="00FA5C10">
              <w:rPr>
                <w:szCs w:val="24"/>
              </w:rPr>
              <w:t>a</w:t>
            </w:r>
            <w:r w:rsidR="00DF099B">
              <w:rPr>
                <w:szCs w:val="24"/>
              </w:rPr>
              <w:t xml:space="preserve"> įkainius tikslinti</w:t>
            </w:r>
            <w:r w:rsidR="00FA5C10">
              <w:rPr>
                <w:szCs w:val="24"/>
              </w:rPr>
              <w:t>, kreipsis į Europos socialinio fondo agentūrą</w:t>
            </w:r>
            <w:r w:rsidR="00FE10EF">
              <w:rPr>
                <w:szCs w:val="24"/>
              </w:rPr>
              <w:t xml:space="preserve"> dėl fiksuotojo įkainio tyrimo tikslinimo.</w:t>
            </w:r>
          </w:p>
        </w:tc>
      </w:tr>
      <w:tr w:rsidR="006B26AA" w:rsidRPr="00E74302" w14:paraId="0C02D777" w14:textId="77777777" w:rsidTr="00737DF3">
        <w:tc>
          <w:tcPr>
            <w:tcW w:w="596" w:type="dxa"/>
          </w:tcPr>
          <w:p w14:paraId="7E46ABD5" w14:textId="17B46764" w:rsidR="006B26AA" w:rsidRPr="007E64B4" w:rsidRDefault="006B26AA" w:rsidP="006B26AA">
            <w:pPr>
              <w:ind w:left="-76"/>
            </w:pPr>
            <w:r>
              <w:lastRenderedPageBreak/>
              <w:t>6.</w:t>
            </w:r>
          </w:p>
        </w:tc>
        <w:tc>
          <w:tcPr>
            <w:tcW w:w="2977" w:type="dxa"/>
          </w:tcPr>
          <w:p w14:paraId="783AFD04" w14:textId="7E31C7EC" w:rsidR="006B26AA" w:rsidRPr="00E74302" w:rsidRDefault="006B26AA" w:rsidP="006B26AA">
            <w:pPr>
              <w:rPr>
                <w:szCs w:val="24"/>
              </w:rPr>
            </w:pPr>
            <w:r w:rsidRPr="006B26AA">
              <w:rPr>
                <w:szCs w:val="24"/>
              </w:rPr>
              <w:t>VšĮ Lietuvos verslo paramos agentūra</w:t>
            </w:r>
            <w:r>
              <w:rPr>
                <w:szCs w:val="24"/>
              </w:rPr>
              <w:t xml:space="preserve"> (2020-07-21 raštas Nr. </w:t>
            </w:r>
            <w:r w:rsidRPr="006B26AA">
              <w:rPr>
                <w:szCs w:val="24"/>
              </w:rPr>
              <w:t>R4-3060</w:t>
            </w:r>
            <w:r>
              <w:rPr>
                <w:szCs w:val="24"/>
              </w:rPr>
              <w:t>)</w:t>
            </w:r>
          </w:p>
        </w:tc>
        <w:tc>
          <w:tcPr>
            <w:tcW w:w="5812" w:type="dxa"/>
          </w:tcPr>
          <w:p w14:paraId="0A097F5D" w14:textId="6B6DCB4A" w:rsidR="006B26AA" w:rsidRPr="006B26AA" w:rsidRDefault="006B26AA" w:rsidP="006B26AA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eastAsia="Calibri"/>
              </w:rPr>
            </w:pPr>
            <w:r>
              <w:t xml:space="preserve">Pagal Aprašą remiama ši veikla – mažos galios atsinaujinančių išteklių energiją naudojančių technologijų, skirtų elektros energijos gamybai namų ūkių reikmėms, įrengimas. Siūlome patikslinti formuluotę, nurodant, kas yra maža galia. „10. Pagal Aprašą remiama ši veikla – mažos </w:t>
            </w:r>
            <w:r w:rsidRPr="00621929">
              <w:rPr>
                <w:b/>
                <w:bCs/>
              </w:rPr>
              <w:t>iki 10 kW</w:t>
            </w:r>
            <w:r>
              <w:t xml:space="preserve"> galios atsinaujinančių išteklių energiją naudojančių technologijų, skirtų elektros energijos gamybai namų ūkių reikmėms, įrengimas“.</w:t>
            </w:r>
          </w:p>
        </w:tc>
        <w:tc>
          <w:tcPr>
            <w:tcW w:w="5527" w:type="dxa"/>
          </w:tcPr>
          <w:p w14:paraId="3661B93C" w14:textId="77777777" w:rsidR="006B26AA" w:rsidRPr="008A754E" w:rsidRDefault="007559F5" w:rsidP="006B26AA">
            <w:pPr>
              <w:jc w:val="both"/>
              <w:rPr>
                <w:b/>
                <w:bCs/>
                <w:szCs w:val="24"/>
              </w:rPr>
            </w:pPr>
            <w:r w:rsidRPr="008A754E">
              <w:rPr>
                <w:b/>
                <w:bCs/>
                <w:szCs w:val="24"/>
              </w:rPr>
              <w:t>Neatsižvelgta.</w:t>
            </w:r>
          </w:p>
          <w:p w14:paraId="2967BE78" w14:textId="5671F1E2" w:rsidR="007559F5" w:rsidRPr="007A7ADC" w:rsidRDefault="00621929" w:rsidP="006B26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Apraše </w:t>
            </w:r>
            <w:r w:rsidR="00A52E41">
              <w:rPr>
                <w:szCs w:val="24"/>
              </w:rPr>
              <w:t>naudojama veiklos formuluotė p</w:t>
            </w:r>
            <w:r w:rsidR="007559F5">
              <w:rPr>
                <w:szCs w:val="24"/>
              </w:rPr>
              <w:t xml:space="preserve">agal </w:t>
            </w:r>
            <w:r w:rsidR="00EF5079" w:rsidRPr="00EF5079">
              <w:rPr>
                <w:szCs w:val="24"/>
              </w:rPr>
              <w:t xml:space="preserve">2014 m. gruodžio 2 d. </w:t>
            </w:r>
            <w:r w:rsidR="00EF5079">
              <w:rPr>
                <w:szCs w:val="24"/>
              </w:rPr>
              <w:t xml:space="preserve">LR energetikos ministro </w:t>
            </w:r>
            <w:r w:rsidR="00F77208">
              <w:rPr>
                <w:szCs w:val="24"/>
              </w:rPr>
              <w:t xml:space="preserve">įsakymu </w:t>
            </w:r>
            <w:r w:rsidR="00EF5079" w:rsidRPr="00EF5079">
              <w:rPr>
                <w:szCs w:val="24"/>
              </w:rPr>
              <w:t>Nr. 1-298</w:t>
            </w:r>
            <w:r w:rsidR="00F77208">
              <w:rPr>
                <w:szCs w:val="24"/>
              </w:rPr>
              <w:t xml:space="preserve"> „</w:t>
            </w:r>
            <w:r w:rsidR="00F77208" w:rsidRPr="00F77208">
              <w:rPr>
                <w:szCs w:val="24"/>
              </w:rPr>
              <w:t>Dėl 2014–2020 metų Europos Sąjungos fondų investicijų veiksmų programos prioritetų įgyvendinimo priemonių įgyvendinimo plano ir 2014–2020 metų Europos Sąjungos fondų investicijų veiksmų programos nacionalinių stebėsenos rodiklių skaičiavimo aprašo patvirtinimo</w:t>
            </w:r>
            <w:r w:rsidR="00F77208">
              <w:rPr>
                <w:szCs w:val="24"/>
              </w:rPr>
              <w:t xml:space="preserve">“ </w:t>
            </w:r>
            <w:r w:rsidR="001330E4" w:rsidRPr="001330E4">
              <w:rPr>
                <w:szCs w:val="24"/>
              </w:rPr>
              <w:t xml:space="preserve">04.1.1-LVPA-V-114 </w:t>
            </w:r>
            <w:r w:rsidR="001330E4">
              <w:rPr>
                <w:szCs w:val="24"/>
              </w:rPr>
              <w:t xml:space="preserve">priemonės </w:t>
            </w:r>
            <w:r w:rsidR="008A754E">
              <w:rPr>
                <w:szCs w:val="24"/>
              </w:rPr>
              <w:t>aprašymo 1.3 punktą.</w:t>
            </w:r>
          </w:p>
        </w:tc>
      </w:tr>
      <w:tr w:rsidR="008977A4" w:rsidRPr="00E74302" w14:paraId="2E7FCA2A" w14:textId="77777777" w:rsidTr="00737DF3">
        <w:tc>
          <w:tcPr>
            <w:tcW w:w="596" w:type="dxa"/>
          </w:tcPr>
          <w:p w14:paraId="61C848C6" w14:textId="56E6D3AE" w:rsidR="008977A4" w:rsidRDefault="008977A4" w:rsidP="006B26AA">
            <w:pPr>
              <w:ind w:left="-76"/>
            </w:pPr>
            <w:r>
              <w:t>7.</w:t>
            </w:r>
          </w:p>
        </w:tc>
        <w:tc>
          <w:tcPr>
            <w:tcW w:w="2977" w:type="dxa"/>
          </w:tcPr>
          <w:p w14:paraId="5B9CCBF7" w14:textId="65E8A7B4" w:rsidR="008977A4" w:rsidRPr="006B26AA" w:rsidRDefault="00320F52" w:rsidP="006B26AA">
            <w:pPr>
              <w:rPr>
                <w:szCs w:val="24"/>
              </w:rPr>
            </w:pPr>
            <w:r>
              <w:rPr>
                <w:szCs w:val="24"/>
              </w:rPr>
              <w:t>LR finansų ministerij</w:t>
            </w:r>
            <w:r w:rsidR="00541B35">
              <w:rPr>
                <w:szCs w:val="24"/>
              </w:rPr>
              <w:t>a</w:t>
            </w:r>
            <w:r>
              <w:rPr>
                <w:szCs w:val="24"/>
              </w:rPr>
              <w:t xml:space="preserve"> </w:t>
            </w:r>
            <w:r w:rsidR="00541B35">
              <w:rPr>
                <w:szCs w:val="24"/>
              </w:rPr>
              <w:t>(</w:t>
            </w:r>
            <w:r w:rsidR="00541B35" w:rsidRPr="00541B35">
              <w:rPr>
                <w:szCs w:val="24"/>
              </w:rPr>
              <w:t xml:space="preserve">2020-07-10 </w:t>
            </w:r>
            <w:r w:rsidR="00541B35">
              <w:rPr>
                <w:szCs w:val="24"/>
              </w:rPr>
              <w:t>raštas</w:t>
            </w:r>
            <w:r w:rsidR="00541B35" w:rsidRPr="00541B35">
              <w:rPr>
                <w:szCs w:val="24"/>
              </w:rPr>
              <w:t xml:space="preserve"> Nr. (24.36E)-6K-2003984</w:t>
            </w:r>
            <w:r w:rsidR="00541B35">
              <w:rPr>
                <w:szCs w:val="24"/>
              </w:rPr>
              <w:t>)</w:t>
            </w:r>
          </w:p>
        </w:tc>
        <w:tc>
          <w:tcPr>
            <w:tcW w:w="5812" w:type="dxa"/>
          </w:tcPr>
          <w:p w14:paraId="29499C1F" w14:textId="615FCC9F" w:rsidR="008977A4" w:rsidRDefault="00D8471B" w:rsidP="00637995">
            <w:pPr>
              <w:widowControl w:val="0"/>
              <w:tabs>
                <w:tab w:val="left" w:pos="851"/>
              </w:tabs>
              <w:suppressAutoHyphens/>
              <w:jc w:val="both"/>
            </w:pPr>
            <w:r>
              <w:t>Siekiant kuo greičiau pradėti įgyvendinti DNR plano veiksmus ir projektus, kuriuos planuojama finansuoti React-EU lėšomis, tačiau kurie šiuo metu nėra tinkami finansuoti ES fondų lėšomis (pvz.: Lietuvos sveikatos priežiūros specialistų kompetencijų platforma) prašome jau dabar</w:t>
            </w:r>
            <w:r w:rsidR="00637995">
              <w:t xml:space="preserve"> </w:t>
            </w:r>
            <w:r>
              <w:t>atlikti parengiamuosius darbus (PĮP, PFSA ir kt. rengimas). Tinkami finansuoti ES fondų lėšomis</w:t>
            </w:r>
            <w:r w:rsidR="00637995">
              <w:t xml:space="preserve"> </w:t>
            </w:r>
            <w:r>
              <w:t>DNR plano veiksmai ir projektai, kuriuos vėliau planuojama priskirti React-EU projektams, gali</w:t>
            </w:r>
            <w:r w:rsidR="00637995">
              <w:t xml:space="preserve"> </w:t>
            </w:r>
            <w:r>
              <w:t>būti pradėti įgyvendinti iš karto po nutarimo patvirtinimo. Atsižvelgiant į tai, kad nėra aiški</w:t>
            </w:r>
            <w:r w:rsidR="00637995">
              <w:t xml:space="preserve"> </w:t>
            </w:r>
            <w:r>
              <w:t>galimybė jau įgyvendinamus ES fondų projektus finansuoti React-EU lėšomis, siūlome, DNR plano</w:t>
            </w:r>
            <w:r w:rsidR="00637995">
              <w:t xml:space="preserve"> </w:t>
            </w:r>
            <w:r>
              <w:t>veiksmams ir projektams įgyvendinti skirtą finansavimą skirti ne kaip papildomą finansavimą jau</w:t>
            </w:r>
            <w:r w:rsidR="00637995">
              <w:t xml:space="preserve"> </w:t>
            </w:r>
            <w:r>
              <w:t>įgyvendinamiems ES fondų projektams, o formuoti naujus projektus.</w:t>
            </w:r>
          </w:p>
        </w:tc>
        <w:tc>
          <w:tcPr>
            <w:tcW w:w="5527" w:type="dxa"/>
          </w:tcPr>
          <w:p w14:paraId="34B6FBB4" w14:textId="77777777" w:rsidR="008977A4" w:rsidRDefault="00637995" w:rsidP="006B26AA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Atsižvelgta. </w:t>
            </w:r>
          </w:p>
          <w:p w14:paraId="309C0810" w14:textId="05E12AA7" w:rsidR="00912FAF" w:rsidRDefault="00704532" w:rsidP="0070453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Pr="006B26AA">
              <w:rPr>
                <w:rFonts w:eastAsia="Calibri"/>
              </w:rPr>
              <w:t xml:space="preserve">prašo </w:t>
            </w:r>
            <w:r>
              <w:rPr>
                <w:rFonts w:eastAsia="Calibri"/>
              </w:rPr>
              <w:t>8</w:t>
            </w:r>
            <w:r w:rsidRPr="006B26AA">
              <w:rPr>
                <w:rFonts w:eastAsia="Calibri"/>
              </w:rPr>
              <w:t xml:space="preserve"> punkt</w:t>
            </w:r>
            <w:r w:rsidR="00E341FA">
              <w:rPr>
                <w:rFonts w:eastAsia="Calibri"/>
              </w:rPr>
              <w:t xml:space="preserve">as </w:t>
            </w:r>
            <w:r w:rsidR="00AB236E">
              <w:rPr>
                <w:rFonts w:eastAsia="Calibri"/>
              </w:rPr>
              <w:t xml:space="preserve">išdėstytas </w:t>
            </w:r>
            <w:r w:rsidR="00DE4407">
              <w:rPr>
                <w:rFonts w:eastAsia="Calibri"/>
              </w:rPr>
              <w:t>vadovaujantis</w:t>
            </w:r>
            <w:r w:rsidR="00DE4407" w:rsidRPr="00DE4407">
              <w:rPr>
                <w:rFonts w:eastAsia="Calibri"/>
              </w:rPr>
              <w:t xml:space="preserve"> Ateities ekonomikos DNR plano </w:t>
            </w:r>
            <w:r w:rsidR="00EA71F3">
              <w:rPr>
                <w:rFonts w:eastAsia="Calibri"/>
              </w:rPr>
              <w:t>„</w:t>
            </w:r>
            <w:r w:rsidR="00DE4407" w:rsidRPr="00DE4407">
              <w:rPr>
                <w:rFonts w:eastAsia="Calibri"/>
              </w:rPr>
              <w:t>2020.07.01–2021.12.31 laikotarpio naujos ir papildomos investicijos“ (1 priedas) sąraš</w:t>
            </w:r>
            <w:r w:rsidR="00DE4407">
              <w:rPr>
                <w:rFonts w:eastAsia="Calibri"/>
              </w:rPr>
              <w:t>u</w:t>
            </w:r>
            <w:r w:rsidR="00EA71F3">
              <w:rPr>
                <w:rFonts w:eastAsia="Calibri"/>
              </w:rPr>
              <w:t>, kuriame</w:t>
            </w:r>
            <w:r w:rsidR="00841A39">
              <w:rPr>
                <w:rFonts w:eastAsia="Calibri"/>
              </w:rPr>
              <w:t xml:space="preserve"> numatyta</w:t>
            </w:r>
            <w:r w:rsidR="00DE4407" w:rsidRPr="00DE4407">
              <w:rPr>
                <w:rFonts w:eastAsia="Calibri"/>
              </w:rPr>
              <w:t xml:space="preserve"> priemonė „Saulės jėgainių diegimas namų ūkių reikmėms (gaminančių vartotojų skatinimas)“ </w:t>
            </w:r>
            <w:r w:rsidR="00841A39">
              <w:rPr>
                <w:rFonts w:eastAsia="Calibri"/>
              </w:rPr>
              <w:t>i</w:t>
            </w:r>
            <w:r w:rsidR="00DE4407" w:rsidRPr="00DE4407">
              <w:rPr>
                <w:rFonts w:eastAsia="Calibri"/>
              </w:rPr>
              <w:t>r jai numatytas 13 mln. eurų finansavimas</w:t>
            </w:r>
            <w:r w:rsidR="00841A39">
              <w:rPr>
                <w:rFonts w:eastAsia="Calibri"/>
              </w:rPr>
              <w:t xml:space="preserve"> bei </w:t>
            </w:r>
            <w:r w:rsidR="006F13E7" w:rsidRPr="006F13E7">
              <w:rPr>
                <w:rFonts w:eastAsia="Calibri"/>
              </w:rPr>
              <w:t>2014–2020 metų Europos Sąjungos fondų investicijų veiksmų programos prioritetų įgyvendinimo priemonių įgyvendinimo plan</w:t>
            </w:r>
            <w:r w:rsidR="006E79AD">
              <w:rPr>
                <w:rFonts w:eastAsia="Calibri"/>
              </w:rPr>
              <w:t>u</w:t>
            </w:r>
            <w:r w:rsidR="006F13E7" w:rsidRPr="006F13E7">
              <w:rPr>
                <w:rFonts w:eastAsia="Calibri"/>
              </w:rPr>
              <w:t>, patvirtint</w:t>
            </w:r>
            <w:r w:rsidR="006E79AD">
              <w:rPr>
                <w:rFonts w:eastAsia="Calibri"/>
              </w:rPr>
              <w:t>u</w:t>
            </w:r>
            <w:r w:rsidR="006F13E7" w:rsidRPr="006F13E7">
              <w:rPr>
                <w:rFonts w:eastAsia="Calibri"/>
              </w:rPr>
              <w:t xml:space="preserve"> Lietuvos Respublikos energetikos ministro 2014 m. gruodžio 2 d. įsakymu Nr. 1-298 „Dėl 2014–2020 metų Europos Sąjungos fondų investicijų veiksmų programos prioritetų įgyvendinimo priemonių įgyvendinimo plano ir 2014–2020 metų Europos Sąjungos fondų investicijų veiksmų programos nacionalinių stebėsenos rodiklių skaičiavimo aprašo </w:t>
            </w:r>
            <w:r w:rsidR="006F13E7" w:rsidRPr="006F13E7">
              <w:rPr>
                <w:rFonts w:eastAsia="Calibri"/>
              </w:rPr>
              <w:lastRenderedPageBreak/>
              <w:t>patvirtinimo</w:t>
            </w:r>
            <w:r w:rsidR="006E79AD">
              <w:rPr>
                <w:rFonts w:eastAsia="Calibri"/>
              </w:rPr>
              <w:t>“ (aktuali 2020 m. rugpjūčio 1</w:t>
            </w:r>
            <w:r w:rsidR="00B32BBA">
              <w:rPr>
                <w:rFonts w:eastAsia="Calibri"/>
              </w:rPr>
              <w:t>1</w:t>
            </w:r>
            <w:bookmarkStart w:id="2" w:name="_GoBack"/>
            <w:bookmarkEnd w:id="2"/>
            <w:r w:rsidR="006E79AD">
              <w:rPr>
                <w:rFonts w:eastAsia="Calibri"/>
              </w:rPr>
              <w:t xml:space="preserve"> d. </w:t>
            </w:r>
            <w:r w:rsidR="000237C4">
              <w:rPr>
                <w:rFonts w:eastAsia="Calibri"/>
              </w:rPr>
              <w:t xml:space="preserve">įsakymu Nr. 1- </w:t>
            </w:r>
            <w:r w:rsidR="00B32BBA">
              <w:rPr>
                <w:rFonts w:eastAsia="Calibri"/>
              </w:rPr>
              <w:t>249</w:t>
            </w:r>
            <w:r w:rsidR="000237C4">
              <w:rPr>
                <w:rFonts w:eastAsia="Calibri"/>
              </w:rPr>
              <w:t xml:space="preserve"> patvirtint</w:t>
            </w:r>
            <w:r w:rsidR="009670CF">
              <w:rPr>
                <w:rFonts w:eastAsia="Calibri"/>
              </w:rPr>
              <w:t>a</w:t>
            </w:r>
            <w:r w:rsidR="000237C4">
              <w:rPr>
                <w:rFonts w:eastAsia="Calibri"/>
              </w:rPr>
              <w:t xml:space="preserve"> </w:t>
            </w:r>
            <w:r w:rsidR="006E79AD">
              <w:rPr>
                <w:rFonts w:eastAsia="Calibri"/>
              </w:rPr>
              <w:t>redakcij</w:t>
            </w:r>
            <w:r w:rsidR="009670CF">
              <w:rPr>
                <w:rFonts w:eastAsia="Calibri"/>
              </w:rPr>
              <w:t>a)</w:t>
            </w:r>
          </w:p>
          <w:p w14:paraId="276855BC" w14:textId="04A4F7A8" w:rsidR="00704532" w:rsidRDefault="000237C4" w:rsidP="00704532">
            <w:pPr>
              <w:jc w:val="both"/>
            </w:pPr>
            <w:r>
              <w:rPr>
                <w:rFonts w:eastAsia="Calibri"/>
              </w:rPr>
              <w:t xml:space="preserve"> </w:t>
            </w:r>
            <w:r w:rsidR="00704532" w:rsidRPr="006B26AA">
              <w:rPr>
                <w:rFonts w:eastAsia="Calibri"/>
              </w:rPr>
              <w:t xml:space="preserve"> </w:t>
            </w:r>
            <w:r w:rsidR="00912FAF">
              <w:rPr>
                <w:rFonts w:eastAsia="Calibri"/>
              </w:rPr>
              <w:t>A</w:t>
            </w:r>
            <w:r w:rsidR="00912FAF" w:rsidRPr="006B26AA">
              <w:rPr>
                <w:rFonts w:eastAsia="Calibri"/>
              </w:rPr>
              <w:t xml:space="preserve">prašo </w:t>
            </w:r>
            <w:r w:rsidR="00912FAF">
              <w:rPr>
                <w:rFonts w:eastAsia="Calibri"/>
              </w:rPr>
              <w:t>8</w:t>
            </w:r>
            <w:r w:rsidR="00912FAF" w:rsidRPr="006B26AA">
              <w:rPr>
                <w:rFonts w:eastAsia="Calibri"/>
              </w:rPr>
              <w:t xml:space="preserve"> punkt</w:t>
            </w:r>
            <w:r w:rsidR="00912FAF">
              <w:rPr>
                <w:rFonts w:eastAsia="Calibri"/>
              </w:rPr>
              <w:t xml:space="preserve">as </w:t>
            </w:r>
            <w:r w:rsidR="00704532" w:rsidRPr="006B26AA">
              <w:rPr>
                <w:rFonts w:eastAsia="Calibri"/>
              </w:rPr>
              <w:t>išdėst</w:t>
            </w:r>
            <w:r w:rsidR="00704532">
              <w:rPr>
                <w:rFonts w:eastAsia="Calibri"/>
              </w:rPr>
              <w:t>omas</w:t>
            </w:r>
            <w:r w:rsidR="00704532" w:rsidRPr="006B26AA">
              <w:rPr>
                <w:rFonts w:eastAsia="Calibri"/>
              </w:rPr>
              <w:t xml:space="preserve"> taip:</w:t>
            </w:r>
            <w:r w:rsidR="00704532" w:rsidRPr="00EC4BB6">
              <w:t xml:space="preserve"> </w:t>
            </w:r>
          </w:p>
          <w:p w14:paraId="7F27DE32" w14:textId="5BC324A5" w:rsidR="00637995" w:rsidRDefault="00704532" w:rsidP="006B26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„</w:t>
            </w:r>
            <w:r w:rsidRPr="00704532">
              <w:rPr>
                <w:szCs w:val="24"/>
              </w:rPr>
              <w:t>8. Pagal Aprašą projektams įgyvendinti numatoma skirti iki 9 000 000 (devynių milijonų) eurų, iš ES struktūrinių fondų lėšų (Sanglaudos fondo) lėšų i</w:t>
            </w:r>
            <w:r w:rsidRPr="00704532">
              <w:rPr>
                <w:b/>
                <w:bCs/>
                <w:szCs w:val="24"/>
              </w:rPr>
              <w:t>r iki 13 000 000 (trylikos milijonų) eurų, iš Ateities ekonomikos DNR plano  lėšų.</w:t>
            </w:r>
            <w:r w:rsidRPr="00704532">
              <w:rPr>
                <w:szCs w:val="24"/>
              </w:rPr>
              <w:t>“</w:t>
            </w:r>
          </w:p>
          <w:p w14:paraId="17FB2796" w14:textId="4478EC73" w:rsidR="008842FB" w:rsidRDefault="00A15FC2" w:rsidP="0017562D">
            <w:pPr>
              <w:jc w:val="both"/>
            </w:pPr>
            <w:r w:rsidRPr="00A15FC2">
              <w:rPr>
                <w:szCs w:val="24"/>
              </w:rPr>
              <w:t>Aprašas papildytas 61 punktu</w:t>
            </w:r>
            <w:r>
              <w:rPr>
                <w:szCs w:val="24"/>
              </w:rPr>
              <w:t>, vadovaujantis LR finansų ministerijos raštu</w:t>
            </w:r>
            <w:r w:rsidR="00E3270D">
              <w:rPr>
                <w:szCs w:val="24"/>
              </w:rPr>
              <w:t xml:space="preserve">, kuriame prašoma </w:t>
            </w:r>
            <w:r w:rsidR="00BD2C4E" w:rsidRPr="00BD2C4E">
              <w:rPr>
                <w:szCs w:val="24"/>
              </w:rPr>
              <w:t>projektams</w:t>
            </w:r>
            <w:r w:rsidR="00BD2C4E" w:rsidRPr="00E3270D">
              <w:rPr>
                <w:szCs w:val="24"/>
              </w:rPr>
              <w:t>, kuriuos vėliau planuojama priskirti React-EU</w:t>
            </w:r>
            <w:r w:rsidR="00BD2C4E">
              <w:rPr>
                <w:szCs w:val="24"/>
              </w:rPr>
              <w:t>,</w:t>
            </w:r>
            <w:r w:rsidR="00BD2C4E" w:rsidRPr="00BD2C4E">
              <w:rPr>
                <w:szCs w:val="24"/>
              </w:rPr>
              <w:t xml:space="preserve"> įgyvendinti skirtą finansavimą skirti ne kaip papildomą finansavimą jau įgyvendinamiems ES fondų projektams, o </w:t>
            </w:r>
            <w:r w:rsidR="00E3270D">
              <w:t>formuoti naujus projektus</w:t>
            </w:r>
            <w:r w:rsidR="00D36B29">
              <w:t xml:space="preserve">. </w:t>
            </w:r>
            <w:r w:rsidR="00D72794">
              <w:t>Kadangi priemonė</w:t>
            </w:r>
            <w:r w:rsidR="0017562D">
              <w:t xml:space="preserve"> „Saulės jėgainių diegimas namų ūkių reikmėms (gaminančių vartotojų skatinimas)“</w:t>
            </w:r>
            <w:r w:rsidR="00D72794">
              <w:t xml:space="preserve"> yra  </w:t>
            </w:r>
            <w:r w:rsidR="00D72794" w:rsidRPr="00D72794">
              <w:t>Ateities ekonomikos DNR plano</w:t>
            </w:r>
            <w:r w:rsidR="00813E75">
              <w:t xml:space="preserve"> </w:t>
            </w:r>
            <w:r w:rsidR="0060558E">
              <w:t>„</w:t>
            </w:r>
            <w:r w:rsidR="00813E75" w:rsidRPr="00813E75">
              <w:t>2020.07.01–2021.12.31 laikotarpio naujos ir papildomos investicij</w:t>
            </w:r>
            <w:r w:rsidR="00865A74">
              <w:t>os“</w:t>
            </w:r>
            <w:r w:rsidR="00813E75">
              <w:t xml:space="preserve"> </w:t>
            </w:r>
            <w:r w:rsidR="00E36A09">
              <w:t>(1 priedas) sąraše ir jai numatytas 13 mln. eurų finansavimas</w:t>
            </w:r>
            <w:r w:rsidR="00191CCB">
              <w:t xml:space="preserve">, </w:t>
            </w:r>
            <w:r w:rsidR="008842FB">
              <w:rPr>
                <w:rFonts w:eastAsia="Calibri"/>
              </w:rPr>
              <w:t>A</w:t>
            </w:r>
            <w:r w:rsidR="008842FB" w:rsidRPr="006B26AA">
              <w:rPr>
                <w:rFonts w:eastAsia="Calibri"/>
              </w:rPr>
              <w:t>praš</w:t>
            </w:r>
            <w:r w:rsidR="004C35DA">
              <w:rPr>
                <w:rFonts w:eastAsia="Calibri"/>
              </w:rPr>
              <w:t>as papildytas</w:t>
            </w:r>
            <w:r w:rsidR="008842FB" w:rsidRPr="006B26AA">
              <w:rPr>
                <w:rFonts w:eastAsia="Calibri"/>
              </w:rPr>
              <w:t xml:space="preserve"> </w:t>
            </w:r>
            <w:r w:rsidR="004C35DA">
              <w:rPr>
                <w:rFonts w:eastAsia="Calibri"/>
              </w:rPr>
              <w:t>61</w:t>
            </w:r>
            <w:r w:rsidR="008842FB" w:rsidRPr="006B26AA">
              <w:rPr>
                <w:rFonts w:eastAsia="Calibri"/>
              </w:rPr>
              <w:t xml:space="preserve"> punkt</w:t>
            </w:r>
            <w:r w:rsidR="004C35DA">
              <w:rPr>
                <w:rFonts w:eastAsia="Calibri"/>
              </w:rPr>
              <w:t>u ir</w:t>
            </w:r>
            <w:r w:rsidR="008842FB" w:rsidRPr="006B26AA">
              <w:rPr>
                <w:rFonts w:eastAsia="Calibri"/>
              </w:rPr>
              <w:t xml:space="preserve"> išdėst</w:t>
            </w:r>
            <w:r w:rsidR="008842FB">
              <w:rPr>
                <w:rFonts w:eastAsia="Calibri"/>
              </w:rPr>
              <w:t>omas</w:t>
            </w:r>
            <w:r w:rsidR="008842FB" w:rsidRPr="006B26AA">
              <w:rPr>
                <w:rFonts w:eastAsia="Calibri"/>
              </w:rPr>
              <w:t xml:space="preserve"> taip:</w:t>
            </w:r>
            <w:r w:rsidR="008842FB" w:rsidRPr="00EC4BB6">
              <w:t xml:space="preserve"> </w:t>
            </w:r>
          </w:p>
          <w:p w14:paraId="410604BE" w14:textId="3E268C3B" w:rsidR="008842FB" w:rsidRDefault="008842FB" w:rsidP="008842F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„61. </w:t>
            </w:r>
            <w:r w:rsidRPr="004C35DA">
              <w:rPr>
                <w:b/>
                <w:bCs/>
                <w:szCs w:val="24"/>
              </w:rPr>
              <w:t>Aprašo 8 p. numatytiems projektų finansavimo šaltiniams sudaromos atskiros projektų sutartys</w:t>
            </w:r>
            <w:r>
              <w:rPr>
                <w:szCs w:val="24"/>
              </w:rPr>
              <w:t>.“</w:t>
            </w:r>
          </w:p>
          <w:p w14:paraId="07F71F7E" w14:textId="38B28D87" w:rsidR="00704532" w:rsidRPr="00704532" w:rsidRDefault="00704532" w:rsidP="006B26AA">
            <w:pPr>
              <w:jc w:val="both"/>
              <w:rPr>
                <w:szCs w:val="24"/>
              </w:rPr>
            </w:pPr>
          </w:p>
        </w:tc>
      </w:tr>
    </w:tbl>
    <w:p w14:paraId="3D391229" w14:textId="05091513" w:rsidR="005C5ECB" w:rsidRPr="00E74302" w:rsidRDefault="005C5ECB">
      <w:pPr>
        <w:rPr>
          <w:b/>
          <w:bCs/>
          <w:caps/>
          <w:szCs w:val="24"/>
        </w:rPr>
      </w:pPr>
    </w:p>
    <w:sectPr w:rsidR="005C5ECB" w:rsidRPr="00E74302" w:rsidSect="00977500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321"/>
    <w:multiLevelType w:val="multilevel"/>
    <w:tmpl w:val="9E022328"/>
    <w:lvl w:ilvl="0">
      <w:start w:val="33"/>
      <w:numFmt w:val="decimal"/>
      <w:lvlText w:val="%1"/>
      <w:lvlJc w:val="left"/>
      <w:pPr>
        <w:ind w:left="392" w:hanging="60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392" w:hanging="600"/>
      </w:pPr>
      <w:rPr>
        <w:color w:val="000000"/>
      </w:rPr>
    </w:lvl>
    <w:lvl w:ilvl="2">
      <w:start w:val="5"/>
      <w:numFmt w:val="decimal"/>
      <w:lvlText w:val="%1.%2.%3"/>
      <w:lvlJc w:val="left"/>
      <w:pPr>
        <w:ind w:left="51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51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872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872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32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232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92" w:hanging="1800"/>
      </w:pPr>
      <w:rPr>
        <w:color w:val="000000"/>
      </w:rPr>
    </w:lvl>
  </w:abstractNum>
  <w:abstractNum w:abstractNumId="1" w15:restartNumberingAfterBreak="0">
    <w:nsid w:val="1B8858BE"/>
    <w:multiLevelType w:val="hybridMultilevel"/>
    <w:tmpl w:val="BAAABBDA"/>
    <w:lvl w:ilvl="0" w:tplc="13A614D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DB7FBE"/>
    <w:multiLevelType w:val="hybridMultilevel"/>
    <w:tmpl w:val="B0B80C82"/>
    <w:lvl w:ilvl="0" w:tplc="A1303A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871F01"/>
    <w:multiLevelType w:val="hybridMultilevel"/>
    <w:tmpl w:val="BAAABBDA"/>
    <w:lvl w:ilvl="0" w:tplc="13A614D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A632D0"/>
    <w:multiLevelType w:val="multilevel"/>
    <w:tmpl w:val="32F89A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33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00BBF"/>
    <w:rsid w:val="00002299"/>
    <w:rsid w:val="00007EAA"/>
    <w:rsid w:val="00011263"/>
    <w:rsid w:val="00011B34"/>
    <w:rsid w:val="00012078"/>
    <w:rsid w:val="00012543"/>
    <w:rsid w:val="00013135"/>
    <w:rsid w:val="0001428A"/>
    <w:rsid w:val="00016435"/>
    <w:rsid w:val="000210AF"/>
    <w:rsid w:val="000237C4"/>
    <w:rsid w:val="000240C4"/>
    <w:rsid w:val="000243F8"/>
    <w:rsid w:val="00024C36"/>
    <w:rsid w:val="00025BD7"/>
    <w:rsid w:val="000268FC"/>
    <w:rsid w:val="00027063"/>
    <w:rsid w:val="00032985"/>
    <w:rsid w:val="000431FB"/>
    <w:rsid w:val="00046DFE"/>
    <w:rsid w:val="00050427"/>
    <w:rsid w:val="00053083"/>
    <w:rsid w:val="00053D41"/>
    <w:rsid w:val="00057FB0"/>
    <w:rsid w:val="0006040B"/>
    <w:rsid w:val="0006261E"/>
    <w:rsid w:val="00064EF6"/>
    <w:rsid w:val="00067BD6"/>
    <w:rsid w:val="00070ED6"/>
    <w:rsid w:val="00072985"/>
    <w:rsid w:val="00074FB5"/>
    <w:rsid w:val="000770EC"/>
    <w:rsid w:val="00077B7B"/>
    <w:rsid w:val="00080DE8"/>
    <w:rsid w:val="00081305"/>
    <w:rsid w:val="000814F8"/>
    <w:rsid w:val="000836F3"/>
    <w:rsid w:val="0008773B"/>
    <w:rsid w:val="000906C3"/>
    <w:rsid w:val="000A3FD2"/>
    <w:rsid w:val="000A47CA"/>
    <w:rsid w:val="000A5B24"/>
    <w:rsid w:val="000B01EB"/>
    <w:rsid w:val="000B1AF5"/>
    <w:rsid w:val="000B2D7C"/>
    <w:rsid w:val="000B48AF"/>
    <w:rsid w:val="000B726E"/>
    <w:rsid w:val="000C50F6"/>
    <w:rsid w:val="000D1245"/>
    <w:rsid w:val="000D27B6"/>
    <w:rsid w:val="000D3EFE"/>
    <w:rsid w:val="000E0BC8"/>
    <w:rsid w:val="000E1F0C"/>
    <w:rsid w:val="000E275C"/>
    <w:rsid w:val="000E7A99"/>
    <w:rsid w:val="000F1B59"/>
    <w:rsid w:val="000F5CE6"/>
    <w:rsid w:val="001004F6"/>
    <w:rsid w:val="001005D8"/>
    <w:rsid w:val="00102C97"/>
    <w:rsid w:val="00103906"/>
    <w:rsid w:val="00103BA5"/>
    <w:rsid w:val="00105F91"/>
    <w:rsid w:val="00114492"/>
    <w:rsid w:val="00115372"/>
    <w:rsid w:val="00116EED"/>
    <w:rsid w:val="00123470"/>
    <w:rsid w:val="0012434F"/>
    <w:rsid w:val="0013077B"/>
    <w:rsid w:val="0013255A"/>
    <w:rsid w:val="00132EC6"/>
    <w:rsid w:val="001330E4"/>
    <w:rsid w:val="00136503"/>
    <w:rsid w:val="001368AD"/>
    <w:rsid w:val="00140206"/>
    <w:rsid w:val="0014026A"/>
    <w:rsid w:val="001425DF"/>
    <w:rsid w:val="001447DD"/>
    <w:rsid w:val="00146ED6"/>
    <w:rsid w:val="0015397F"/>
    <w:rsid w:val="00156AD4"/>
    <w:rsid w:val="001577E4"/>
    <w:rsid w:val="001637C6"/>
    <w:rsid w:val="00167B7F"/>
    <w:rsid w:val="0017562D"/>
    <w:rsid w:val="0018373E"/>
    <w:rsid w:val="00184372"/>
    <w:rsid w:val="00184FC3"/>
    <w:rsid w:val="00191CCB"/>
    <w:rsid w:val="00194702"/>
    <w:rsid w:val="001A1B02"/>
    <w:rsid w:val="001A2645"/>
    <w:rsid w:val="001A5935"/>
    <w:rsid w:val="001B1D93"/>
    <w:rsid w:val="001B3E98"/>
    <w:rsid w:val="001B6178"/>
    <w:rsid w:val="001C2D61"/>
    <w:rsid w:val="001C2F60"/>
    <w:rsid w:val="001C444E"/>
    <w:rsid w:val="001D3C5F"/>
    <w:rsid w:val="001D41B9"/>
    <w:rsid w:val="001D4AE1"/>
    <w:rsid w:val="001D6507"/>
    <w:rsid w:val="001E27E9"/>
    <w:rsid w:val="001E4CE7"/>
    <w:rsid w:val="001E4F91"/>
    <w:rsid w:val="001E6748"/>
    <w:rsid w:val="001E67A5"/>
    <w:rsid w:val="001F0987"/>
    <w:rsid w:val="00203553"/>
    <w:rsid w:val="0020434A"/>
    <w:rsid w:val="00210B6D"/>
    <w:rsid w:val="00213964"/>
    <w:rsid w:val="002152D9"/>
    <w:rsid w:val="00230366"/>
    <w:rsid w:val="0023337A"/>
    <w:rsid w:val="00234670"/>
    <w:rsid w:val="00234AE2"/>
    <w:rsid w:val="00241C69"/>
    <w:rsid w:val="002468E8"/>
    <w:rsid w:val="00247BB5"/>
    <w:rsid w:val="00253EDD"/>
    <w:rsid w:val="00255191"/>
    <w:rsid w:val="00261272"/>
    <w:rsid w:val="00265190"/>
    <w:rsid w:val="00270AE5"/>
    <w:rsid w:val="00276EBE"/>
    <w:rsid w:val="002832A4"/>
    <w:rsid w:val="002877A8"/>
    <w:rsid w:val="002923A6"/>
    <w:rsid w:val="00294BDE"/>
    <w:rsid w:val="00294C19"/>
    <w:rsid w:val="002955AE"/>
    <w:rsid w:val="00295B12"/>
    <w:rsid w:val="002A0A19"/>
    <w:rsid w:val="002A1421"/>
    <w:rsid w:val="002A27A2"/>
    <w:rsid w:val="002A78BE"/>
    <w:rsid w:val="002B6D16"/>
    <w:rsid w:val="002C24D0"/>
    <w:rsid w:val="002C79BA"/>
    <w:rsid w:val="002C7A14"/>
    <w:rsid w:val="002D078A"/>
    <w:rsid w:val="002D2A8E"/>
    <w:rsid w:val="002D3260"/>
    <w:rsid w:val="002D395F"/>
    <w:rsid w:val="002D4D56"/>
    <w:rsid w:val="002D70C7"/>
    <w:rsid w:val="002E00C4"/>
    <w:rsid w:val="002E0E02"/>
    <w:rsid w:val="002E1B28"/>
    <w:rsid w:val="002E2520"/>
    <w:rsid w:val="002E367D"/>
    <w:rsid w:val="002E5566"/>
    <w:rsid w:val="002E651E"/>
    <w:rsid w:val="002F0A66"/>
    <w:rsid w:val="002F61BC"/>
    <w:rsid w:val="00301474"/>
    <w:rsid w:val="00303E04"/>
    <w:rsid w:val="003040A4"/>
    <w:rsid w:val="00305F8D"/>
    <w:rsid w:val="0030627F"/>
    <w:rsid w:val="00316855"/>
    <w:rsid w:val="00320F52"/>
    <w:rsid w:val="00330EC9"/>
    <w:rsid w:val="00334545"/>
    <w:rsid w:val="003405EF"/>
    <w:rsid w:val="0034675B"/>
    <w:rsid w:val="00346804"/>
    <w:rsid w:val="00351B9B"/>
    <w:rsid w:val="003529B3"/>
    <w:rsid w:val="00357B6E"/>
    <w:rsid w:val="00362E11"/>
    <w:rsid w:val="00365C49"/>
    <w:rsid w:val="00366151"/>
    <w:rsid w:val="0036662A"/>
    <w:rsid w:val="00376E0A"/>
    <w:rsid w:val="00384DF3"/>
    <w:rsid w:val="003865B8"/>
    <w:rsid w:val="003938E8"/>
    <w:rsid w:val="0039445F"/>
    <w:rsid w:val="0039489E"/>
    <w:rsid w:val="003971CB"/>
    <w:rsid w:val="00397EF1"/>
    <w:rsid w:val="003A1AD9"/>
    <w:rsid w:val="003B0515"/>
    <w:rsid w:val="003B0795"/>
    <w:rsid w:val="003B2FAE"/>
    <w:rsid w:val="003B3AAA"/>
    <w:rsid w:val="003B3D89"/>
    <w:rsid w:val="003B4FE4"/>
    <w:rsid w:val="003C2EAC"/>
    <w:rsid w:val="003C5119"/>
    <w:rsid w:val="003C55D2"/>
    <w:rsid w:val="003C576D"/>
    <w:rsid w:val="003D4115"/>
    <w:rsid w:val="003D7F49"/>
    <w:rsid w:val="003E076A"/>
    <w:rsid w:val="003E3904"/>
    <w:rsid w:val="003E77A4"/>
    <w:rsid w:val="003F393E"/>
    <w:rsid w:val="003F3BEB"/>
    <w:rsid w:val="003F5676"/>
    <w:rsid w:val="003F6B85"/>
    <w:rsid w:val="00402451"/>
    <w:rsid w:val="00410025"/>
    <w:rsid w:val="00412F2C"/>
    <w:rsid w:val="004136A8"/>
    <w:rsid w:val="00414717"/>
    <w:rsid w:val="00417E1D"/>
    <w:rsid w:val="00422435"/>
    <w:rsid w:val="00436C98"/>
    <w:rsid w:val="004378EE"/>
    <w:rsid w:val="00441CA5"/>
    <w:rsid w:val="00442D8F"/>
    <w:rsid w:val="00445316"/>
    <w:rsid w:val="00451686"/>
    <w:rsid w:val="00452AAF"/>
    <w:rsid w:val="00452FEB"/>
    <w:rsid w:val="00462A66"/>
    <w:rsid w:val="004636E2"/>
    <w:rsid w:val="0047017E"/>
    <w:rsid w:val="00474CF2"/>
    <w:rsid w:val="00475E13"/>
    <w:rsid w:val="00477387"/>
    <w:rsid w:val="00482B56"/>
    <w:rsid w:val="00483D2A"/>
    <w:rsid w:val="00487226"/>
    <w:rsid w:val="0049290E"/>
    <w:rsid w:val="004937A4"/>
    <w:rsid w:val="004A14B3"/>
    <w:rsid w:val="004A3732"/>
    <w:rsid w:val="004A5F41"/>
    <w:rsid w:val="004B1150"/>
    <w:rsid w:val="004B6E9B"/>
    <w:rsid w:val="004C0E84"/>
    <w:rsid w:val="004C35DA"/>
    <w:rsid w:val="004C44BD"/>
    <w:rsid w:val="004C480F"/>
    <w:rsid w:val="004D0E9D"/>
    <w:rsid w:val="004D11D5"/>
    <w:rsid w:val="004D6E7F"/>
    <w:rsid w:val="004E5F29"/>
    <w:rsid w:val="004E6B69"/>
    <w:rsid w:val="004F52FC"/>
    <w:rsid w:val="004F78A6"/>
    <w:rsid w:val="005004F3"/>
    <w:rsid w:val="005010C7"/>
    <w:rsid w:val="00502F1D"/>
    <w:rsid w:val="0050324A"/>
    <w:rsid w:val="0050553F"/>
    <w:rsid w:val="00514FF5"/>
    <w:rsid w:val="005169F5"/>
    <w:rsid w:val="00517574"/>
    <w:rsid w:val="00521336"/>
    <w:rsid w:val="00526CD9"/>
    <w:rsid w:val="00533BEC"/>
    <w:rsid w:val="005358E4"/>
    <w:rsid w:val="00535F6A"/>
    <w:rsid w:val="00541B35"/>
    <w:rsid w:val="00543463"/>
    <w:rsid w:val="0054453C"/>
    <w:rsid w:val="00547C74"/>
    <w:rsid w:val="005516A5"/>
    <w:rsid w:val="005533C2"/>
    <w:rsid w:val="005557FC"/>
    <w:rsid w:val="00555B83"/>
    <w:rsid w:val="00556FE0"/>
    <w:rsid w:val="005602C1"/>
    <w:rsid w:val="00561E76"/>
    <w:rsid w:val="00563864"/>
    <w:rsid w:val="0056489D"/>
    <w:rsid w:val="00566DA2"/>
    <w:rsid w:val="005705CA"/>
    <w:rsid w:val="00571253"/>
    <w:rsid w:val="0057351A"/>
    <w:rsid w:val="00581B51"/>
    <w:rsid w:val="0058636F"/>
    <w:rsid w:val="0059363B"/>
    <w:rsid w:val="00593EE0"/>
    <w:rsid w:val="005940B7"/>
    <w:rsid w:val="00594A80"/>
    <w:rsid w:val="005B1293"/>
    <w:rsid w:val="005B1875"/>
    <w:rsid w:val="005B38AF"/>
    <w:rsid w:val="005B79FB"/>
    <w:rsid w:val="005C2ACE"/>
    <w:rsid w:val="005C5B4A"/>
    <w:rsid w:val="005C5ECB"/>
    <w:rsid w:val="005C7FFC"/>
    <w:rsid w:val="005D4FBE"/>
    <w:rsid w:val="005D72CC"/>
    <w:rsid w:val="005E0604"/>
    <w:rsid w:val="005E52C6"/>
    <w:rsid w:val="005F038F"/>
    <w:rsid w:val="005F0F88"/>
    <w:rsid w:val="005F59AB"/>
    <w:rsid w:val="006002A7"/>
    <w:rsid w:val="00602AEA"/>
    <w:rsid w:val="0060558E"/>
    <w:rsid w:val="006106A7"/>
    <w:rsid w:val="00617062"/>
    <w:rsid w:val="006206E6"/>
    <w:rsid w:val="00620E66"/>
    <w:rsid w:val="00621929"/>
    <w:rsid w:val="00624704"/>
    <w:rsid w:val="0063119E"/>
    <w:rsid w:val="0063435F"/>
    <w:rsid w:val="00637995"/>
    <w:rsid w:val="00637D49"/>
    <w:rsid w:val="00651DE0"/>
    <w:rsid w:val="00664227"/>
    <w:rsid w:val="00665BE2"/>
    <w:rsid w:val="00666A1F"/>
    <w:rsid w:val="00677B1E"/>
    <w:rsid w:val="006824CC"/>
    <w:rsid w:val="006835E7"/>
    <w:rsid w:val="00683641"/>
    <w:rsid w:val="00683B52"/>
    <w:rsid w:val="006851F8"/>
    <w:rsid w:val="0069304B"/>
    <w:rsid w:val="006934C5"/>
    <w:rsid w:val="006945CE"/>
    <w:rsid w:val="00695A99"/>
    <w:rsid w:val="006A1E78"/>
    <w:rsid w:val="006A22E2"/>
    <w:rsid w:val="006A2B36"/>
    <w:rsid w:val="006A65EA"/>
    <w:rsid w:val="006B0D85"/>
    <w:rsid w:val="006B26AA"/>
    <w:rsid w:val="006B526A"/>
    <w:rsid w:val="006B75D2"/>
    <w:rsid w:val="006C0163"/>
    <w:rsid w:val="006C6326"/>
    <w:rsid w:val="006D2133"/>
    <w:rsid w:val="006D6D52"/>
    <w:rsid w:val="006E15A0"/>
    <w:rsid w:val="006E16C9"/>
    <w:rsid w:val="006E79AD"/>
    <w:rsid w:val="006F0CB2"/>
    <w:rsid w:val="006F13E7"/>
    <w:rsid w:val="006F271F"/>
    <w:rsid w:val="006F2C10"/>
    <w:rsid w:val="00704532"/>
    <w:rsid w:val="00705008"/>
    <w:rsid w:val="007053E6"/>
    <w:rsid w:val="007073B2"/>
    <w:rsid w:val="00707C95"/>
    <w:rsid w:val="00715DEF"/>
    <w:rsid w:val="00722A5B"/>
    <w:rsid w:val="0072623F"/>
    <w:rsid w:val="007352A0"/>
    <w:rsid w:val="007354C9"/>
    <w:rsid w:val="00737DF3"/>
    <w:rsid w:val="00740056"/>
    <w:rsid w:val="00741780"/>
    <w:rsid w:val="00741B87"/>
    <w:rsid w:val="00741C32"/>
    <w:rsid w:val="00742585"/>
    <w:rsid w:val="00743B16"/>
    <w:rsid w:val="00747BC9"/>
    <w:rsid w:val="007537EC"/>
    <w:rsid w:val="007559F5"/>
    <w:rsid w:val="0076014B"/>
    <w:rsid w:val="00761496"/>
    <w:rsid w:val="007628D9"/>
    <w:rsid w:val="00764EE5"/>
    <w:rsid w:val="0077275B"/>
    <w:rsid w:val="00772DA1"/>
    <w:rsid w:val="00774B36"/>
    <w:rsid w:val="007769FC"/>
    <w:rsid w:val="00785695"/>
    <w:rsid w:val="00790707"/>
    <w:rsid w:val="00790D1B"/>
    <w:rsid w:val="00795195"/>
    <w:rsid w:val="007A2343"/>
    <w:rsid w:val="007A4436"/>
    <w:rsid w:val="007A63E7"/>
    <w:rsid w:val="007A7ADC"/>
    <w:rsid w:val="007B3331"/>
    <w:rsid w:val="007B3E81"/>
    <w:rsid w:val="007C4A9C"/>
    <w:rsid w:val="007D3038"/>
    <w:rsid w:val="007D6024"/>
    <w:rsid w:val="007D7925"/>
    <w:rsid w:val="007D793E"/>
    <w:rsid w:val="007E0560"/>
    <w:rsid w:val="007E64B4"/>
    <w:rsid w:val="007F1BE0"/>
    <w:rsid w:val="007F2F6F"/>
    <w:rsid w:val="007F3DB0"/>
    <w:rsid w:val="007F4945"/>
    <w:rsid w:val="007F541E"/>
    <w:rsid w:val="007F5F38"/>
    <w:rsid w:val="0080172F"/>
    <w:rsid w:val="008039CE"/>
    <w:rsid w:val="008042B3"/>
    <w:rsid w:val="00807CA9"/>
    <w:rsid w:val="00812573"/>
    <w:rsid w:val="00813E75"/>
    <w:rsid w:val="008140B0"/>
    <w:rsid w:val="008214CA"/>
    <w:rsid w:val="00821EF1"/>
    <w:rsid w:val="0083325E"/>
    <w:rsid w:val="008359DC"/>
    <w:rsid w:val="00840A60"/>
    <w:rsid w:val="00841A39"/>
    <w:rsid w:val="008456B0"/>
    <w:rsid w:val="008500DA"/>
    <w:rsid w:val="0085384B"/>
    <w:rsid w:val="00856800"/>
    <w:rsid w:val="00856EDA"/>
    <w:rsid w:val="008576A6"/>
    <w:rsid w:val="00857B76"/>
    <w:rsid w:val="008610F1"/>
    <w:rsid w:val="00861FC7"/>
    <w:rsid w:val="0086280A"/>
    <w:rsid w:val="00865A74"/>
    <w:rsid w:val="00865C80"/>
    <w:rsid w:val="008663E3"/>
    <w:rsid w:val="00867B29"/>
    <w:rsid w:val="00870668"/>
    <w:rsid w:val="00873FAD"/>
    <w:rsid w:val="008745FC"/>
    <w:rsid w:val="0087670F"/>
    <w:rsid w:val="00876D47"/>
    <w:rsid w:val="008836F1"/>
    <w:rsid w:val="008842FB"/>
    <w:rsid w:val="008856FA"/>
    <w:rsid w:val="00885C3D"/>
    <w:rsid w:val="00886B36"/>
    <w:rsid w:val="00892A86"/>
    <w:rsid w:val="00895B41"/>
    <w:rsid w:val="008977A4"/>
    <w:rsid w:val="008A0B00"/>
    <w:rsid w:val="008A4E8E"/>
    <w:rsid w:val="008A53CB"/>
    <w:rsid w:val="008A740E"/>
    <w:rsid w:val="008A754E"/>
    <w:rsid w:val="008B39EE"/>
    <w:rsid w:val="008B7C1A"/>
    <w:rsid w:val="008C053A"/>
    <w:rsid w:val="008C3DAE"/>
    <w:rsid w:val="008D50FF"/>
    <w:rsid w:val="008D5F38"/>
    <w:rsid w:val="008E3C68"/>
    <w:rsid w:val="008E79FB"/>
    <w:rsid w:val="008F38C3"/>
    <w:rsid w:val="008F5081"/>
    <w:rsid w:val="0090203F"/>
    <w:rsid w:val="00902EFA"/>
    <w:rsid w:val="00903416"/>
    <w:rsid w:val="00905327"/>
    <w:rsid w:val="009102FB"/>
    <w:rsid w:val="009121C5"/>
    <w:rsid w:val="00912FAF"/>
    <w:rsid w:val="00914A49"/>
    <w:rsid w:val="00917330"/>
    <w:rsid w:val="009258CB"/>
    <w:rsid w:val="00926630"/>
    <w:rsid w:val="00933886"/>
    <w:rsid w:val="00933947"/>
    <w:rsid w:val="00933C01"/>
    <w:rsid w:val="0093453F"/>
    <w:rsid w:val="00946572"/>
    <w:rsid w:val="00947C9D"/>
    <w:rsid w:val="00954EEB"/>
    <w:rsid w:val="00956C1E"/>
    <w:rsid w:val="00957DD6"/>
    <w:rsid w:val="0096313B"/>
    <w:rsid w:val="00963323"/>
    <w:rsid w:val="009670CF"/>
    <w:rsid w:val="00967DBF"/>
    <w:rsid w:val="009724F5"/>
    <w:rsid w:val="0097341D"/>
    <w:rsid w:val="00977500"/>
    <w:rsid w:val="0099342A"/>
    <w:rsid w:val="009947A1"/>
    <w:rsid w:val="00995F88"/>
    <w:rsid w:val="009A06F9"/>
    <w:rsid w:val="009A2EE5"/>
    <w:rsid w:val="009A439D"/>
    <w:rsid w:val="009A662F"/>
    <w:rsid w:val="009B1134"/>
    <w:rsid w:val="009B2F3C"/>
    <w:rsid w:val="009B3957"/>
    <w:rsid w:val="009B4714"/>
    <w:rsid w:val="009C06E5"/>
    <w:rsid w:val="009C60EA"/>
    <w:rsid w:val="009D3B8E"/>
    <w:rsid w:val="009D3BAD"/>
    <w:rsid w:val="009D6372"/>
    <w:rsid w:val="009D67B6"/>
    <w:rsid w:val="009E00E1"/>
    <w:rsid w:val="009E1857"/>
    <w:rsid w:val="009E254C"/>
    <w:rsid w:val="009E5E60"/>
    <w:rsid w:val="009E698A"/>
    <w:rsid w:val="009E69E2"/>
    <w:rsid w:val="009E6A00"/>
    <w:rsid w:val="009F6197"/>
    <w:rsid w:val="00A00DB1"/>
    <w:rsid w:val="00A07014"/>
    <w:rsid w:val="00A1031A"/>
    <w:rsid w:val="00A15FC2"/>
    <w:rsid w:val="00A164FB"/>
    <w:rsid w:val="00A170E4"/>
    <w:rsid w:val="00A24DB0"/>
    <w:rsid w:val="00A2721F"/>
    <w:rsid w:val="00A27806"/>
    <w:rsid w:val="00A348B9"/>
    <w:rsid w:val="00A34E59"/>
    <w:rsid w:val="00A35603"/>
    <w:rsid w:val="00A4128B"/>
    <w:rsid w:val="00A42EC4"/>
    <w:rsid w:val="00A4316D"/>
    <w:rsid w:val="00A4566D"/>
    <w:rsid w:val="00A45C57"/>
    <w:rsid w:val="00A47552"/>
    <w:rsid w:val="00A47E71"/>
    <w:rsid w:val="00A51287"/>
    <w:rsid w:val="00A52C00"/>
    <w:rsid w:val="00A52E41"/>
    <w:rsid w:val="00A53613"/>
    <w:rsid w:val="00A54BBD"/>
    <w:rsid w:val="00A56E30"/>
    <w:rsid w:val="00A60FC1"/>
    <w:rsid w:val="00A62BCC"/>
    <w:rsid w:val="00A64C78"/>
    <w:rsid w:val="00A65400"/>
    <w:rsid w:val="00A6632E"/>
    <w:rsid w:val="00A663A8"/>
    <w:rsid w:val="00A80ADA"/>
    <w:rsid w:val="00A845D7"/>
    <w:rsid w:val="00A853FF"/>
    <w:rsid w:val="00A86628"/>
    <w:rsid w:val="00A900D4"/>
    <w:rsid w:val="00A91F0C"/>
    <w:rsid w:val="00A93766"/>
    <w:rsid w:val="00A94DA6"/>
    <w:rsid w:val="00A94EEF"/>
    <w:rsid w:val="00A95849"/>
    <w:rsid w:val="00AA2430"/>
    <w:rsid w:val="00AA2C2B"/>
    <w:rsid w:val="00AA2DF0"/>
    <w:rsid w:val="00AA363A"/>
    <w:rsid w:val="00AA416B"/>
    <w:rsid w:val="00AB236E"/>
    <w:rsid w:val="00AB256C"/>
    <w:rsid w:val="00AB4006"/>
    <w:rsid w:val="00AB5841"/>
    <w:rsid w:val="00AB79AD"/>
    <w:rsid w:val="00AC06CA"/>
    <w:rsid w:val="00AC10F2"/>
    <w:rsid w:val="00AC1C4B"/>
    <w:rsid w:val="00AC1F2E"/>
    <w:rsid w:val="00AC415F"/>
    <w:rsid w:val="00AC4B6C"/>
    <w:rsid w:val="00AD28B3"/>
    <w:rsid w:val="00AD3978"/>
    <w:rsid w:val="00AD4ED6"/>
    <w:rsid w:val="00AD5789"/>
    <w:rsid w:val="00AF0A0D"/>
    <w:rsid w:val="00AF174D"/>
    <w:rsid w:val="00AF25D0"/>
    <w:rsid w:val="00AF2A89"/>
    <w:rsid w:val="00AF357F"/>
    <w:rsid w:val="00AF57E0"/>
    <w:rsid w:val="00AF74BF"/>
    <w:rsid w:val="00B0458D"/>
    <w:rsid w:val="00B0591B"/>
    <w:rsid w:val="00B06DF8"/>
    <w:rsid w:val="00B11E27"/>
    <w:rsid w:val="00B14AA0"/>
    <w:rsid w:val="00B14C93"/>
    <w:rsid w:val="00B16CAB"/>
    <w:rsid w:val="00B25B79"/>
    <w:rsid w:val="00B26628"/>
    <w:rsid w:val="00B32BBA"/>
    <w:rsid w:val="00B35371"/>
    <w:rsid w:val="00B40FBC"/>
    <w:rsid w:val="00B45A78"/>
    <w:rsid w:val="00B46548"/>
    <w:rsid w:val="00B51BB9"/>
    <w:rsid w:val="00B541E3"/>
    <w:rsid w:val="00B5727E"/>
    <w:rsid w:val="00B7236A"/>
    <w:rsid w:val="00B73208"/>
    <w:rsid w:val="00B7378D"/>
    <w:rsid w:val="00B75709"/>
    <w:rsid w:val="00B76607"/>
    <w:rsid w:val="00B76874"/>
    <w:rsid w:val="00B80E49"/>
    <w:rsid w:val="00B83BA3"/>
    <w:rsid w:val="00B874C0"/>
    <w:rsid w:val="00B925E9"/>
    <w:rsid w:val="00B92A6D"/>
    <w:rsid w:val="00B943AD"/>
    <w:rsid w:val="00B94E94"/>
    <w:rsid w:val="00B9676C"/>
    <w:rsid w:val="00BA38B8"/>
    <w:rsid w:val="00BA3F54"/>
    <w:rsid w:val="00BA5D6C"/>
    <w:rsid w:val="00BA6A66"/>
    <w:rsid w:val="00BB0E2C"/>
    <w:rsid w:val="00BB138B"/>
    <w:rsid w:val="00BB775F"/>
    <w:rsid w:val="00BC20DB"/>
    <w:rsid w:val="00BC561D"/>
    <w:rsid w:val="00BC5BDA"/>
    <w:rsid w:val="00BC6905"/>
    <w:rsid w:val="00BD17AE"/>
    <w:rsid w:val="00BD2C4E"/>
    <w:rsid w:val="00BD5BCB"/>
    <w:rsid w:val="00BD601A"/>
    <w:rsid w:val="00BD70FE"/>
    <w:rsid w:val="00BD7C3D"/>
    <w:rsid w:val="00BE1E8F"/>
    <w:rsid w:val="00BE28B3"/>
    <w:rsid w:val="00BE562F"/>
    <w:rsid w:val="00BE6468"/>
    <w:rsid w:val="00BE6CC1"/>
    <w:rsid w:val="00BF587A"/>
    <w:rsid w:val="00BF5E9A"/>
    <w:rsid w:val="00C00BC2"/>
    <w:rsid w:val="00C05717"/>
    <w:rsid w:val="00C06E95"/>
    <w:rsid w:val="00C10F95"/>
    <w:rsid w:val="00C113E8"/>
    <w:rsid w:val="00C129A3"/>
    <w:rsid w:val="00C12B5C"/>
    <w:rsid w:val="00C2177C"/>
    <w:rsid w:val="00C25B44"/>
    <w:rsid w:val="00C2754E"/>
    <w:rsid w:val="00C27CDD"/>
    <w:rsid w:val="00C30454"/>
    <w:rsid w:val="00C3317D"/>
    <w:rsid w:val="00C33232"/>
    <w:rsid w:val="00C33E49"/>
    <w:rsid w:val="00C35591"/>
    <w:rsid w:val="00C417F4"/>
    <w:rsid w:val="00C41BD5"/>
    <w:rsid w:val="00C41EDB"/>
    <w:rsid w:val="00C535B1"/>
    <w:rsid w:val="00C55EB2"/>
    <w:rsid w:val="00C5662A"/>
    <w:rsid w:val="00C6260A"/>
    <w:rsid w:val="00C70209"/>
    <w:rsid w:val="00C716B1"/>
    <w:rsid w:val="00C7184F"/>
    <w:rsid w:val="00C71D0E"/>
    <w:rsid w:val="00C75B47"/>
    <w:rsid w:val="00C80317"/>
    <w:rsid w:val="00C82F8B"/>
    <w:rsid w:val="00C85E4F"/>
    <w:rsid w:val="00C916C8"/>
    <w:rsid w:val="00C94354"/>
    <w:rsid w:val="00C94B40"/>
    <w:rsid w:val="00C96CED"/>
    <w:rsid w:val="00C97E60"/>
    <w:rsid w:val="00CA082D"/>
    <w:rsid w:val="00CA0DA6"/>
    <w:rsid w:val="00CA2E85"/>
    <w:rsid w:val="00CA3C84"/>
    <w:rsid w:val="00CA425B"/>
    <w:rsid w:val="00CA6AE7"/>
    <w:rsid w:val="00CB2790"/>
    <w:rsid w:val="00CB505F"/>
    <w:rsid w:val="00CC4471"/>
    <w:rsid w:val="00CC4786"/>
    <w:rsid w:val="00CD017F"/>
    <w:rsid w:val="00CD3264"/>
    <w:rsid w:val="00CD4207"/>
    <w:rsid w:val="00CE53AB"/>
    <w:rsid w:val="00CE55F7"/>
    <w:rsid w:val="00CF2C5D"/>
    <w:rsid w:val="00CF3740"/>
    <w:rsid w:val="00CF3F2D"/>
    <w:rsid w:val="00CF43CA"/>
    <w:rsid w:val="00CF5B52"/>
    <w:rsid w:val="00CF7C87"/>
    <w:rsid w:val="00D13012"/>
    <w:rsid w:val="00D266E6"/>
    <w:rsid w:val="00D311D0"/>
    <w:rsid w:val="00D322BA"/>
    <w:rsid w:val="00D3587C"/>
    <w:rsid w:val="00D36B29"/>
    <w:rsid w:val="00D4370C"/>
    <w:rsid w:val="00D45EEC"/>
    <w:rsid w:val="00D548C8"/>
    <w:rsid w:val="00D54ED4"/>
    <w:rsid w:val="00D60868"/>
    <w:rsid w:val="00D62021"/>
    <w:rsid w:val="00D62630"/>
    <w:rsid w:val="00D647B8"/>
    <w:rsid w:val="00D64D43"/>
    <w:rsid w:val="00D6625E"/>
    <w:rsid w:val="00D66763"/>
    <w:rsid w:val="00D72794"/>
    <w:rsid w:val="00D7489E"/>
    <w:rsid w:val="00D76379"/>
    <w:rsid w:val="00D76626"/>
    <w:rsid w:val="00D77B76"/>
    <w:rsid w:val="00D83249"/>
    <w:rsid w:val="00D8471B"/>
    <w:rsid w:val="00D8544F"/>
    <w:rsid w:val="00D9447A"/>
    <w:rsid w:val="00D9457C"/>
    <w:rsid w:val="00D9786D"/>
    <w:rsid w:val="00DA09EA"/>
    <w:rsid w:val="00DA4622"/>
    <w:rsid w:val="00DA6CF4"/>
    <w:rsid w:val="00DB3586"/>
    <w:rsid w:val="00DB52DD"/>
    <w:rsid w:val="00DC37F9"/>
    <w:rsid w:val="00DC43DA"/>
    <w:rsid w:val="00DC5385"/>
    <w:rsid w:val="00DC591B"/>
    <w:rsid w:val="00DC7728"/>
    <w:rsid w:val="00DC7AB7"/>
    <w:rsid w:val="00DE1BD0"/>
    <w:rsid w:val="00DE4407"/>
    <w:rsid w:val="00DE5B71"/>
    <w:rsid w:val="00DE693B"/>
    <w:rsid w:val="00DF06C8"/>
    <w:rsid w:val="00DF099B"/>
    <w:rsid w:val="00E07503"/>
    <w:rsid w:val="00E15CA2"/>
    <w:rsid w:val="00E16938"/>
    <w:rsid w:val="00E21152"/>
    <w:rsid w:val="00E24E58"/>
    <w:rsid w:val="00E256AB"/>
    <w:rsid w:val="00E307F8"/>
    <w:rsid w:val="00E314FC"/>
    <w:rsid w:val="00E3270D"/>
    <w:rsid w:val="00E341FA"/>
    <w:rsid w:val="00E365AD"/>
    <w:rsid w:val="00E36A09"/>
    <w:rsid w:val="00E4262C"/>
    <w:rsid w:val="00E431EE"/>
    <w:rsid w:val="00E47926"/>
    <w:rsid w:val="00E47F8A"/>
    <w:rsid w:val="00E504BB"/>
    <w:rsid w:val="00E53DCA"/>
    <w:rsid w:val="00E6227B"/>
    <w:rsid w:val="00E6399A"/>
    <w:rsid w:val="00E71844"/>
    <w:rsid w:val="00E72CB2"/>
    <w:rsid w:val="00E74302"/>
    <w:rsid w:val="00E82AFD"/>
    <w:rsid w:val="00E8305E"/>
    <w:rsid w:val="00E9404B"/>
    <w:rsid w:val="00E95B1A"/>
    <w:rsid w:val="00E962B2"/>
    <w:rsid w:val="00E96AB2"/>
    <w:rsid w:val="00EA525D"/>
    <w:rsid w:val="00EA6A28"/>
    <w:rsid w:val="00EA71F3"/>
    <w:rsid w:val="00EB2039"/>
    <w:rsid w:val="00EB3699"/>
    <w:rsid w:val="00EB7C9E"/>
    <w:rsid w:val="00EC036E"/>
    <w:rsid w:val="00EC0748"/>
    <w:rsid w:val="00EC0828"/>
    <w:rsid w:val="00EC221A"/>
    <w:rsid w:val="00EC6B07"/>
    <w:rsid w:val="00ED0118"/>
    <w:rsid w:val="00ED0731"/>
    <w:rsid w:val="00ED1754"/>
    <w:rsid w:val="00ED191E"/>
    <w:rsid w:val="00ED674D"/>
    <w:rsid w:val="00ED6C02"/>
    <w:rsid w:val="00EF0A83"/>
    <w:rsid w:val="00EF20C6"/>
    <w:rsid w:val="00EF404C"/>
    <w:rsid w:val="00EF5079"/>
    <w:rsid w:val="00EF5D3D"/>
    <w:rsid w:val="00F004EA"/>
    <w:rsid w:val="00F0701D"/>
    <w:rsid w:val="00F11A9B"/>
    <w:rsid w:val="00F16535"/>
    <w:rsid w:val="00F16636"/>
    <w:rsid w:val="00F17A0F"/>
    <w:rsid w:val="00F17B22"/>
    <w:rsid w:val="00F20610"/>
    <w:rsid w:val="00F22C6D"/>
    <w:rsid w:val="00F25FE4"/>
    <w:rsid w:val="00F37B62"/>
    <w:rsid w:val="00F43952"/>
    <w:rsid w:val="00F449CA"/>
    <w:rsid w:val="00F45F44"/>
    <w:rsid w:val="00F46B15"/>
    <w:rsid w:val="00F511BB"/>
    <w:rsid w:val="00F56078"/>
    <w:rsid w:val="00F7485C"/>
    <w:rsid w:val="00F74AD4"/>
    <w:rsid w:val="00F76F5D"/>
    <w:rsid w:val="00F77208"/>
    <w:rsid w:val="00F7759E"/>
    <w:rsid w:val="00F808FD"/>
    <w:rsid w:val="00F8394C"/>
    <w:rsid w:val="00F84553"/>
    <w:rsid w:val="00F9039D"/>
    <w:rsid w:val="00F91271"/>
    <w:rsid w:val="00F916E6"/>
    <w:rsid w:val="00F93FA6"/>
    <w:rsid w:val="00FA1956"/>
    <w:rsid w:val="00FA1C73"/>
    <w:rsid w:val="00FA2FE9"/>
    <w:rsid w:val="00FA5C10"/>
    <w:rsid w:val="00FB0222"/>
    <w:rsid w:val="00FB302F"/>
    <w:rsid w:val="00FB429A"/>
    <w:rsid w:val="00FB4E8E"/>
    <w:rsid w:val="00FB5F99"/>
    <w:rsid w:val="00FC2A20"/>
    <w:rsid w:val="00FC38A9"/>
    <w:rsid w:val="00FC3DDE"/>
    <w:rsid w:val="00FD0EAB"/>
    <w:rsid w:val="00FD4A85"/>
    <w:rsid w:val="00FD4C1F"/>
    <w:rsid w:val="00FE10EF"/>
    <w:rsid w:val="00FE2A36"/>
    <w:rsid w:val="00FE4394"/>
    <w:rsid w:val="00FE4B53"/>
    <w:rsid w:val="00FE5B41"/>
    <w:rsid w:val="00FE711C"/>
    <w:rsid w:val="00FE79C5"/>
    <w:rsid w:val="00FF227C"/>
    <w:rsid w:val="00FF2491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321D"/>
  <w15:docId w15:val="{0B141029-BD0C-4CB2-828A-74BC2182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B1134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00BC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00BC2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04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04F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004F6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04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04F6"/>
    <w:rPr>
      <w:rFonts w:eastAsia="Times New Roman"/>
      <w:b/>
      <w:bCs/>
      <w:sz w:val="20"/>
      <w:szCs w:val="20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C07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847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76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2CE0A-8685-4232-8DEE-D8ADBD6F819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deab130-d940-4d97-9580-ffa5dfe3e0c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6A3970-ADE1-48F8-AD1A-4A50375B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06007B-1DB8-4E22-9681-13264C5B6A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2321A4-E14E-4054-BDF1-82B798B5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4</Pages>
  <Words>1657</Words>
  <Characters>9449</Characters>
  <Application>Microsoft Office Word</Application>
  <DocSecurity>0</DocSecurity>
  <Lines>78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Reda Lichadziauskienė</cp:lastModifiedBy>
  <cp:revision>87</cp:revision>
  <cp:lastPrinted>2019-11-14T09:01:00Z</cp:lastPrinted>
  <dcterms:created xsi:type="dcterms:W3CDTF">2020-07-22T05:07:00Z</dcterms:created>
  <dcterms:modified xsi:type="dcterms:W3CDTF">2020-08-11T05:25:00Z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