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91AAF8" w14:textId="0A157081" w:rsidR="0036662A" w:rsidRDefault="0036662A" w:rsidP="0036662A">
      <w:pPr>
        <w:jc w:val="center"/>
        <w:rPr>
          <w:b/>
          <w:bCs/>
        </w:rPr>
      </w:pPr>
      <w:r>
        <w:rPr>
          <w:b/>
          <w:bCs/>
        </w:rPr>
        <w:t xml:space="preserve">LIETUVOS RESPUBLIKOS </w:t>
      </w:r>
      <w:r w:rsidR="003D7F08">
        <w:rPr>
          <w:b/>
          <w:bCs/>
        </w:rPr>
        <w:t>EKONOMIKOS IR INOVACIJŲ</w:t>
      </w:r>
      <w:r>
        <w:rPr>
          <w:b/>
          <w:bCs/>
        </w:rPr>
        <w:t xml:space="preserve"> MINISTERIJA</w:t>
      </w:r>
    </w:p>
    <w:p w14:paraId="7A91AAF9" w14:textId="77777777" w:rsidR="0036662A" w:rsidRDefault="0036662A" w:rsidP="0036662A">
      <w:pPr>
        <w:jc w:val="center"/>
        <w:rPr>
          <w:b/>
          <w:bCs/>
        </w:rPr>
      </w:pPr>
    </w:p>
    <w:p w14:paraId="7A91AAFA" w14:textId="41CEBA79" w:rsidR="0036662A" w:rsidRPr="00547B73" w:rsidRDefault="0036662A" w:rsidP="0036662A">
      <w:pPr>
        <w:jc w:val="center"/>
        <w:rPr>
          <w:b/>
          <w:bCs/>
        </w:rPr>
      </w:pPr>
      <w:r>
        <w:rPr>
          <w:b/>
          <w:bCs/>
        </w:rPr>
        <w:t xml:space="preserve">SOCIALINIŲ IR EKONOMINIŲ PARTNERIŲ PATEIKTŲ PASTABŲ IR PASIŪLYMŲ DĖL 2014–2020 METŲ EUROPOS SĄJUNGOS FONDŲ INVESTICIJŲ VEIKSMŲ PROGRAMOS </w:t>
      </w:r>
      <w:r w:rsidR="00547B73" w:rsidRPr="00547B73">
        <w:rPr>
          <w:b/>
          <w:szCs w:val="24"/>
        </w:rPr>
        <w:t xml:space="preserve">3 PRIORITETO „SMULKIOJO IR VIDUTINIO VERSLO KONKURENCINGUMO SKATINIMAS“ </w:t>
      </w:r>
      <w:r w:rsidR="00547B73" w:rsidRPr="00547B73">
        <w:rPr>
          <w:b/>
          <w:kern w:val="16"/>
          <w:szCs w:val="24"/>
        </w:rPr>
        <w:t>PRIEMONĖS N</w:t>
      </w:r>
      <w:r w:rsidR="00547B73" w:rsidRPr="00547B73">
        <w:rPr>
          <w:b/>
          <w:szCs w:val="24"/>
        </w:rPr>
        <w:t xml:space="preserve">R. </w:t>
      </w:r>
      <w:r w:rsidR="00547B73" w:rsidRPr="00547B73">
        <w:rPr>
          <w:b/>
          <w:bCs/>
          <w:szCs w:val="24"/>
        </w:rPr>
        <w:t>03.3.1-LVPA-T-859 „COVID-19 PRODUKTAI“</w:t>
      </w:r>
      <w:r w:rsidR="007F7B87">
        <w:rPr>
          <w:b/>
          <w:bCs/>
          <w:szCs w:val="24"/>
        </w:rPr>
        <w:t xml:space="preserve"> ĮGYVENDINIMO PLANO IR KRITERIJŲ </w:t>
      </w:r>
      <w:r w:rsidR="00547B73" w:rsidRPr="00547B73">
        <w:rPr>
          <w:b/>
          <w:bCs/>
        </w:rPr>
        <w:t>DERINIMAS</w:t>
      </w:r>
    </w:p>
    <w:p w14:paraId="7A91AAFB" w14:textId="77777777" w:rsidR="0036662A"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14:paraId="7A91AAFE" w14:textId="77777777" w:rsidTr="00335D39">
        <w:tc>
          <w:tcPr>
            <w:tcW w:w="6804" w:type="dxa"/>
          </w:tcPr>
          <w:p w14:paraId="7A91AAFC" w14:textId="77777777" w:rsidR="0036662A" w:rsidRPr="00DC6A9A" w:rsidRDefault="0036662A" w:rsidP="00335D39">
            <w:pPr>
              <w:rPr>
                <w:b/>
                <w:szCs w:val="24"/>
              </w:rPr>
            </w:pPr>
            <w:r w:rsidRPr="00DC6A9A">
              <w:rPr>
                <w:b/>
                <w:szCs w:val="24"/>
              </w:rPr>
              <w:t xml:space="preserve">Paskelbimo </w:t>
            </w:r>
            <w:r w:rsidRPr="00171818">
              <w:t>www.esinvesticijos.lt</w:t>
            </w:r>
            <w:r>
              <w:rPr>
                <w:b/>
                <w:szCs w:val="24"/>
              </w:rPr>
              <w:t xml:space="preserve"> </w:t>
            </w:r>
            <w:r w:rsidRPr="00DC6A9A">
              <w:rPr>
                <w:b/>
                <w:szCs w:val="24"/>
              </w:rPr>
              <w:t>data</w:t>
            </w:r>
          </w:p>
        </w:tc>
        <w:tc>
          <w:tcPr>
            <w:tcW w:w="7938" w:type="dxa"/>
          </w:tcPr>
          <w:p w14:paraId="7A91AAFD" w14:textId="3BEB105D" w:rsidR="0036662A" w:rsidRDefault="00653AC2" w:rsidP="00335D39">
            <w:pPr>
              <w:rPr>
                <w:szCs w:val="24"/>
              </w:rPr>
            </w:pPr>
            <w:r>
              <w:rPr>
                <w:szCs w:val="24"/>
              </w:rPr>
              <w:t>2020-0</w:t>
            </w:r>
            <w:r w:rsidR="007F7B87">
              <w:rPr>
                <w:szCs w:val="24"/>
                <w:lang w:val="en-GB"/>
              </w:rPr>
              <w:t>7</w:t>
            </w:r>
            <w:r w:rsidR="007F7B87">
              <w:rPr>
                <w:szCs w:val="24"/>
              </w:rPr>
              <w:t>-30</w:t>
            </w:r>
          </w:p>
        </w:tc>
      </w:tr>
      <w:tr w:rsidR="0036662A" w14:paraId="7A91AB02" w14:textId="77777777" w:rsidTr="00335D39">
        <w:tc>
          <w:tcPr>
            <w:tcW w:w="6804" w:type="dxa"/>
          </w:tcPr>
          <w:p w14:paraId="7A91AAFF" w14:textId="77777777" w:rsidR="0036662A" w:rsidRDefault="0036662A" w:rsidP="00335D39">
            <w:pPr>
              <w:rPr>
                <w:b/>
                <w:szCs w:val="24"/>
              </w:rPr>
            </w:pPr>
            <w:r w:rsidRPr="00DC6A9A">
              <w:rPr>
                <w:b/>
                <w:szCs w:val="24"/>
              </w:rPr>
              <w:t>Ar gauta pastabų</w:t>
            </w:r>
            <w:r>
              <w:rPr>
                <w:b/>
                <w:szCs w:val="24"/>
              </w:rPr>
              <w:t xml:space="preserve"> ir (ar) pasiūlymų</w:t>
            </w:r>
            <w:r w:rsidRPr="00DC6A9A">
              <w:rPr>
                <w:b/>
                <w:szCs w:val="24"/>
              </w:rPr>
              <w:t>?</w:t>
            </w:r>
          </w:p>
          <w:p w14:paraId="7A91AB00" w14:textId="77777777" w:rsidR="0036662A" w:rsidRPr="0036662A" w:rsidRDefault="0036662A" w:rsidP="0036662A">
            <w:pPr>
              <w:rPr>
                <w:i/>
                <w:sz w:val="20"/>
              </w:rPr>
            </w:pPr>
            <w:r w:rsidRPr="0036662A">
              <w:rPr>
                <w:i/>
                <w:sz w:val="20"/>
              </w:rPr>
              <w:t xml:space="preserve">Jei pastabų ir pasiūlymų nebuvo gauta, </w:t>
            </w:r>
            <w:r>
              <w:rPr>
                <w:i/>
                <w:sz w:val="20"/>
              </w:rPr>
              <w:t>į kitą klausimą neatsakoma ir žemiau esanti lentelė nepildoma</w:t>
            </w:r>
          </w:p>
        </w:tc>
        <w:tc>
          <w:tcPr>
            <w:tcW w:w="7938" w:type="dxa"/>
          </w:tcPr>
          <w:p w14:paraId="7A91AB01" w14:textId="02072E7A" w:rsidR="0036662A" w:rsidRPr="007070FE" w:rsidRDefault="00800781" w:rsidP="00F63807">
            <w:sdt>
              <w:sdtPr>
                <w:id w:val="1312749902"/>
              </w:sdtPr>
              <w:sdtEndPr/>
              <w:sdtContent>
                <w:bookmarkStart w:id="0" w:name="Check1"/>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bookmarkEnd w:id="0"/>
                <w:r w:rsidR="0036662A">
                  <w:t xml:space="preserve"> </w:t>
                </w:r>
              </w:sdtContent>
            </w:sdt>
            <w:r w:rsidR="0036662A">
              <w:rPr>
                <w:szCs w:val="24"/>
              </w:rPr>
              <w:t xml:space="preserve">Taip </w:t>
            </w:r>
            <w:sdt>
              <w:sdtPr>
                <w:rPr>
                  <w:szCs w:val="24"/>
                </w:rPr>
                <w:id w:val="164368749"/>
              </w:sdtPr>
              <w:sdtEndPr/>
              <w:sdtContent>
                <w:r w:rsidR="00F63807">
                  <w:rPr>
                    <w:szCs w:val="24"/>
                  </w:rPr>
                  <w:fldChar w:fldCharType="begin">
                    <w:ffData>
                      <w:name w:val=""/>
                      <w:enabled/>
                      <w:calcOnExit w:val="0"/>
                      <w:checkBox>
                        <w:sizeAuto/>
                        <w:default w:val="1"/>
                      </w:checkBox>
                    </w:ffData>
                  </w:fldChar>
                </w:r>
                <w:r w:rsidR="00F63807">
                  <w:rPr>
                    <w:szCs w:val="24"/>
                  </w:rPr>
                  <w:instrText xml:space="preserve"> FORMCHECKBOX </w:instrText>
                </w:r>
                <w:r>
                  <w:rPr>
                    <w:szCs w:val="24"/>
                  </w:rPr>
                </w:r>
                <w:r>
                  <w:rPr>
                    <w:szCs w:val="24"/>
                  </w:rPr>
                  <w:fldChar w:fldCharType="separate"/>
                </w:r>
                <w:r w:rsidR="00F63807">
                  <w:rPr>
                    <w:szCs w:val="24"/>
                  </w:rPr>
                  <w:fldChar w:fldCharType="end"/>
                </w:r>
                <w:r w:rsidR="0036662A" w:rsidRPr="0036662A">
                  <w:rPr>
                    <w:szCs w:val="24"/>
                  </w:rPr>
                  <w:t xml:space="preserve"> </w:t>
                </w:r>
              </w:sdtContent>
            </w:sdt>
            <w:r w:rsidR="0036662A">
              <w:rPr>
                <w:szCs w:val="24"/>
              </w:rPr>
              <w:t xml:space="preserve"> Ne</w:t>
            </w:r>
            <w:r w:rsidR="0036662A">
              <w:rPr>
                <w:szCs w:val="24"/>
              </w:rPr>
              <w:fldChar w:fldCharType="begin"/>
            </w:r>
            <w:r w:rsidR="0036662A">
              <w:rPr>
                <w:szCs w:val="24"/>
              </w:rPr>
              <w:instrText xml:space="preserve"> FILLIN   \* MERGEFORMAT </w:instrText>
            </w:r>
            <w:r w:rsidR="0036662A">
              <w:rPr>
                <w:szCs w:val="24"/>
              </w:rPr>
              <w:fldChar w:fldCharType="end"/>
            </w:r>
          </w:p>
        </w:tc>
      </w:tr>
      <w:tr w:rsidR="0036662A" w14:paraId="7A91AB06" w14:textId="77777777" w:rsidTr="00335D39">
        <w:tc>
          <w:tcPr>
            <w:tcW w:w="6804" w:type="dxa"/>
          </w:tcPr>
          <w:p w14:paraId="7A91AB03" w14:textId="77777777" w:rsidR="0036662A" w:rsidRDefault="0036662A" w:rsidP="00335D39">
            <w:pPr>
              <w:rPr>
                <w:b/>
                <w:szCs w:val="24"/>
              </w:rPr>
            </w:pPr>
            <w:r w:rsidRPr="00DC6A9A">
              <w:rPr>
                <w:b/>
                <w:szCs w:val="24"/>
              </w:rPr>
              <w:t xml:space="preserve">Ar į visas pastabas </w:t>
            </w:r>
            <w:r>
              <w:rPr>
                <w:b/>
                <w:szCs w:val="24"/>
              </w:rPr>
              <w:t xml:space="preserve">ir (ar) pasiūlymus </w:t>
            </w:r>
            <w:r w:rsidRPr="00DC6A9A">
              <w:rPr>
                <w:b/>
                <w:szCs w:val="24"/>
              </w:rPr>
              <w:t>atsižvelgta?</w:t>
            </w:r>
          </w:p>
          <w:p w14:paraId="7A91AB04" w14:textId="77777777" w:rsidR="0036662A" w:rsidRPr="00E7584D" w:rsidRDefault="0036662A" w:rsidP="00335D39">
            <w:pPr>
              <w:rPr>
                <w:i/>
                <w:sz w:val="20"/>
              </w:rPr>
            </w:pPr>
            <w:r w:rsidRPr="00E7584D">
              <w:rPr>
                <w:i/>
                <w:sz w:val="20"/>
              </w:rPr>
              <w:t>Jei atsižvelgta į visas pastabas</w:t>
            </w:r>
            <w:r>
              <w:rPr>
                <w:i/>
                <w:sz w:val="20"/>
              </w:rPr>
              <w:t xml:space="preserve"> ir (ar) pasiūlymus,</w:t>
            </w:r>
            <w:r w:rsidRPr="00E7584D">
              <w:rPr>
                <w:i/>
                <w:sz w:val="20"/>
              </w:rPr>
              <w:t xml:space="preserve"> žemiau esanti lentelė nepildoma</w:t>
            </w:r>
          </w:p>
        </w:tc>
        <w:tc>
          <w:tcPr>
            <w:tcW w:w="7938" w:type="dxa"/>
          </w:tcPr>
          <w:p w14:paraId="7A91AB05" w14:textId="6C2BCBDB" w:rsidR="0036662A" w:rsidRDefault="00800781" w:rsidP="00701BD8">
            <w:pPr>
              <w:rPr>
                <w:szCs w:val="24"/>
              </w:rPr>
            </w:pPr>
            <w:sdt>
              <w:sdtPr>
                <w:id w:val="-1548671976"/>
              </w:sdtPr>
              <w:sdtEndPr/>
              <w:sdtContent>
                <w:r w:rsidR="0036662A">
                  <w:fldChar w:fldCharType="begin">
                    <w:ffData>
                      <w:name w:val="Check1"/>
                      <w:enabled/>
                      <w:calcOnExit w:val="0"/>
                      <w:checkBox>
                        <w:sizeAuto/>
                        <w:default w:val="0"/>
                      </w:checkBox>
                    </w:ffData>
                  </w:fldChar>
                </w:r>
                <w:r w:rsidR="0036662A">
                  <w:instrText xml:space="preserve"> FORMCHECKBOX </w:instrText>
                </w:r>
                <w:r>
                  <w:fldChar w:fldCharType="separate"/>
                </w:r>
                <w:r w:rsidR="0036662A">
                  <w:fldChar w:fldCharType="end"/>
                </w:r>
              </w:sdtContent>
            </w:sdt>
            <w:r w:rsidR="0036662A">
              <w:rPr>
                <w:szCs w:val="24"/>
              </w:rPr>
              <w:t xml:space="preserve"> Taip </w:t>
            </w:r>
            <w:sdt>
              <w:sdtPr>
                <w:id w:val="-338542889"/>
              </w:sdtPr>
              <w:sdtEndPr/>
              <w:sdtContent>
                <w:r w:rsidR="00701BD8">
                  <w:fldChar w:fldCharType="begin">
                    <w:ffData>
                      <w:name w:val=""/>
                      <w:enabled/>
                      <w:calcOnExit w:val="0"/>
                      <w:checkBox>
                        <w:sizeAuto/>
                        <w:default w:val="1"/>
                      </w:checkBox>
                    </w:ffData>
                  </w:fldChar>
                </w:r>
                <w:r w:rsidR="00701BD8">
                  <w:instrText xml:space="preserve"> FORMCHECKBOX </w:instrText>
                </w:r>
                <w:r>
                  <w:fldChar w:fldCharType="separate"/>
                </w:r>
                <w:r w:rsidR="00701BD8">
                  <w:fldChar w:fldCharType="end"/>
                </w:r>
              </w:sdtContent>
            </w:sdt>
            <w:r w:rsidR="0036662A">
              <w:rPr>
                <w:szCs w:val="24"/>
              </w:rPr>
              <w:t xml:space="preserve"> Ne </w:t>
            </w:r>
          </w:p>
        </w:tc>
      </w:tr>
    </w:tbl>
    <w:p w14:paraId="7A91AB07" w14:textId="77777777" w:rsidR="0036662A" w:rsidRPr="00781CA4" w:rsidRDefault="0036662A" w:rsidP="0036662A">
      <w:pPr>
        <w:rPr>
          <w:szCs w:val="24"/>
        </w:rPr>
      </w:pPr>
    </w:p>
    <w:tbl>
      <w:tblPr>
        <w:tblStyle w:val="TableGrid"/>
        <w:tblW w:w="14742" w:type="dxa"/>
        <w:tblInd w:w="108" w:type="dxa"/>
        <w:tblLayout w:type="fixed"/>
        <w:tblLook w:val="04A0" w:firstRow="1" w:lastRow="0" w:firstColumn="1" w:lastColumn="0" w:noHBand="0" w:noVBand="1"/>
      </w:tblPr>
      <w:tblGrid>
        <w:gridCol w:w="567"/>
        <w:gridCol w:w="1985"/>
        <w:gridCol w:w="5386"/>
        <w:gridCol w:w="6804"/>
      </w:tblGrid>
      <w:tr w:rsidR="0036662A" w:rsidRPr="00781CA4" w14:paraId="7A91AB0C" w14:textId="77777777" w:rsidTr="00335D39">
        <w:tc>
          <w:tcPr>
            <w:tcW w:w="567" w:type="dxa"/>
          </w:tcPr>
          <w:p w14:paraId="7A91AB08" w14:textId="77777777" w:rsidR="0036662A" w:rsidRPr="00781CA4" w:rsidRDefault="0036662A" w:rsidP="00335D39">
            <w:pPr>
              <w:jc w:val="center"/>
              <w:rPr>
                <w:b/>
                <w:szCs w:val="24"/>
              </w:rPr>
            </w:pPr>
            <w:r w:rsidRPr="00781CA4">
              <w:rPr>
                <w:b/>
                <w:szCs w:val="24"/>
              </w:rPr>
              <w:t>Nr.</w:t>
            </w:r>
          </w:p>
        </w:tc>
        <w:tc>
          <w:tcPr>
            <w:tcW w:w="1985" w:type="dxa"/>
          </w:tcPr>
          <w:p w14:paraId="7A91AB09" w14:textId="77777777" w:rsidR="0036662A" w:rsidRPr="00781CA4" w:rsidRDefault="0036662A" w:rsidP="00335D39">
            <w:pPr>
              <w:jc w:val="center"/>
              <w:rPr>
                <w:b/>
                <w:szCs w:val="24"/>
              </w:rPr>
            </w:pPr>
            <w:r w:rsidRPr="00781CA4">
              <w:rPr>
                <w:b/>
                <w:szCs w:val="24"/>
              </w:rPr>
              <w:t>Institucija</w:t>
            </w:r>
          </w:p>
        </w:tc>
        <w:tc>
          <w:tcPr>
            <w:tcW w:w="5386" w:type="dxa"/>
          </w:tcPr>
          <w:p w14:paraId="7A91AB0A" w14:textId="77777777" w:rsidR="0036662A" w:rsidRPr="00781CA4" w:rsidRDefault="0036662A" w:rsidP="00335D39">
            <w:pPr>
              <w:jc w:val="center"/>
              <w:rPr>
                <w:b/>
                <w:szCs w:val="24"/>
              </w:rPr>
            </w:pPr>
            <w:r>
              <w:rPr>
                <w:b/>
                <w:bCs/>
              </w:rPr>
              <w:t>Pastabos ir pasiūlymai</w:t>
            </w:r>
          </w:p>
        </w:tc>
        <w:tc>
          <w:tcPr>
            <w:tcW w:w="6804" w:type="dxa"/>
          </w:tcPr>
          <w:p w14:paraId="7A91AB0B" w14:textId="77777777" w:rsidR="0036662A" w:rsidRPr="00781CA4" w:rsidRDefault="0036662A" w:rsidP="00335D39">
            <w:pPr>
              <w:jc w:val="center"/>
              <w:rPr>
                <w:b/>
                <w:szCs w:val="24"/>
              </w:rPr>
            </w:pPr>
            <w:r>
              <w:rPr>
                <w:b/>
                <w:bCs/>
              </w:rPr>
              <w:t>Pastabų ir pasiūlymų vertinimas ir (jei taikoma) argumentai, kodėl neatsižvelgta į pastabas ar pasiūlymus</w:t>
            </w:r>
          </w:p>
        </w:tc>
      </w:tr>
      <w:tr w:rsidR="0036662A" w:rsidRPr="00AA2403" w14:paraId="7A91AB11" w14:textId="77777777" w:rsidTr="00335D39">
        <w:tc>
          <w:tcPr>
            <w:tcW w:w="567" w:type="dxa"/>
          </w:tcPr>
          <w:p w14:paraId="7A91AB0D" w14:textId="77777777" w:rsidR="0036662A" w:rsidRPr="00AA2403" w:rsidRDefault="0036662A" w:rsidP="00AA2403">
            <w:pPr>
              <w:pStyle w:val="ListParagraph"/>
              <w:numPr>
                <w:ilvl w:val="0"/>
                <w:numId w:val="1"/>
              </w:numPr>
              <w:jc w:val="both"/>
              <w:rPr>
                <w:szCs w:val="24"/>
              </w:rPr>
            </w:pPr>
          </w:p>
        </w:tc>
        <w:tc>
          <w:tcPr>
            <w:tcW w:w="1985" w:type="dxa"/>
          </w:tcPr>
          <w:p w14:paraId="007AB8AF" w14:textId="77777777" w:rsidR="00701BD8" w:rsidRPr="00AA2403" w:rsidRDefault="00701BD8" w:rsidP="00AA2403">
            <w:pPr>
              <w:jc w:val="both"/>
              <w:rPr>
                <w:color w:val="000000"/>
                <w:szCs w:val="24"/>
              </w:rPr>
            </w:pPr>
            <w:r w:rsidRPr="00AA2403">
              <w:rPr>
                <w:color w:val="000000"/>
                <w:szCs w:val="24"/>
              </w:rPr>
              <w:t xml:space="preserve">UAB </w:t>
            </w:r>
            <w:proofErr w:type="spellStart"/>
            <w:r w:rsidRPr="00AA2403">
              <w:rPr>
                <w:color w:val="000000"/>
                <w:szCs w:val="24"/>
              </w:rPr>
              <w:t>Polivektris</w:t>
            </w:r>
            <w:proofErr w:type="spellEnd"/>
          </w:p>
          <w:p w14:paraId="7A91AB0E" w14:textId="77777777" w:rsidR="0036662A" w:rsidRPr="00AA2403" w:rsidRDefault="0036662A" w:rsidP="00AA2403">
            <w:pPr>
              <w:jc w:val="both"/>
              <w:rPr>
                <w:szCs w:val="24"/>
              </w:rPr>
            </w:pPr>
          </w:p>
        </w:tc>
        <w:tc>
          <w:tcPr>
            <w:tcW w:w="5386" w:type="dxa"/>
          </w:tcPr>
          <w:p w14:paraId="7FA78A49" w14:textId="77777777" w:rsidR="00701BD8" w:rsidRPr="00AA2403" w:rsidRDefault="00701BD8" w:rsidP="00AA2403">
            <w:pPr>
              <w:jc w:val="both"/>
              <w:rPr>
                <w:rFonts w:eastAsia="Arial Unicode MS"/>
                <w:bCs/>
                <w:color w:val="000000"/>
                <w:szCs w:val="24"/>
              </w:rPr>
            </w:pPr>
            <w:r w:rsidRPr="00AA2403">
              <w:rPr>
                <w:rFonts w:eastAsia="Arial Unicode MS"/>
                <w:bCs/>
                <w:color w:val="000000"/>
                <w:szCs w:val="24"/>
              </w:rPr>
              <w:t>Norėjau pasidomėti, gal jau žinoma koks % bus kompensuojamas vienai įmonei?</w:t>
            </w:r>
          </w:p>
          <w:p w14:paraId="597105AF" w14:textId="77777777" w:rsidR="00701BD8" w:rsidRPr="00AA2403" w:rsidRDefault="00701BD8" w:rsidP="00AA2403">
            <w:pPr>
              <w:jc w:val="both"/>
              <w:rPr>
                <w:rFonts w:eastAsia="Arial Unicode MS"/>
                <w:bCs/>
                <w:color w:val="000000"/>
                <w:szCs w:val="24"/>
              </w:rPr>
            </w:pPr>
            <w:r w:rsidRPr="00AA2403">
              <w:rPr>
                <w:rFonts w:eastAsia="Arial Unicode MS"/>
                <w:bCs/>
                <w:color w:val="000000"/>
                <w:szCs w:val="24"/>
              </w:rPr>
              <w:t>Kiek suprantu LVPA-T-859 galės pasinaudoti 31 įmonė, ar teisingai?</w:t>
            </w:r>
          </w:p>
          <w:p w14:paraId="7A91AB0F" w14:textId="3B301EE0" w:rsidR="0036662A" w:rsidRPr="00AA2403" w:rsidRDefault="00701BD8" w:rsidP="00AA2403">
            <w:pPr>
              <w:jc w:val="both"/>
              <w:rPr>
                <w:rFonts w:eastAsia="Arial Unicode MS"/>
                <w:bCs/>
                <w:color w:val="000000"/>
                <w:szCs w:val="24"/>
              </w:rPr>
            </w:pPr>
            <w:r w:rsidRPr="00AA2403">
              <w:rPr>
                <w:rFonts w:eastAsia="Arial Unicode MS"/>
                <w:bCs/>
                <w:color w:val="000000"/>
                <w:szCs w:val="24"/>
              </w:rPr>
              <w:t xml:space="preserve">Ar teisingai suprantu, kad įmonė, norinti pasinaudoti šiuo projektu turės investuoti savo lėšų 4mln eurų o likusią dalį galima bus gauti su šios priemonės pagalbą? Ar yra lubos kiek lėšų bus skiriama viena įmonei? Kada planuojama jau </w:t>
            </w:r>
            <w:r w:rsidRPr="00AA2403">
              <w:rPr>
                <w:rFonts w:eastAsia="Arial Unicode MS"/>
                <w:bCs/>
                <w:color w:val="000000"/>
                <w:szCs w:val="24"/>
                <w:lang w:val="en-US"/>
              </w:rPr>
              <w:t>„</w:t>
            </w:r>
            <w:r w:rsidRPr="00AA2403">
              <w:rPr>
                <w:rFonts w:eastAsia="Arial Unicode MS"/>
                <w:bCs/>
                <w:color w:val="000000"/>
                <w:szCs w:val="24"/>
              </w:rPr>
              <w:t>paleisti</w:t>
            </w:r>
            <w:r w:rsidRPr="00AA2403">
              <w:rPr>
                <w:rFonts w:eastAsia="Arial Unicode MS"/>
                <w:bCs/>
                <w:color w:val="000000"/>
                <w:szCs w:val="24"/>
                <w:lang w:val="en-US"/>
              </w:rPr>
              <w:t>“</w:t>
            </w:r>
            <w:r w:rsidRPr="00AA2403">
              <w:rPr>
                <w:rFonts w:eastAsia="Arial Unicode MS"/>
                <w:bCs/>
                <w:color w:val="000000"/>
                <w:szCs w:val="24"/>
              </w:rPr>
              <w:t xml:space="preserve"> šią priemonę? Nes kiek suprantu įgyvendinti ją reikės iki šių metų pabaigos?</w:t>
            </w:r>
          </w:p>
        </w:tc>
        <w:tc>
          <w:tcPr>
            <w:tcW w:w="6804" w:type="dxa"/>
          </w:tcPr>
          <w:p w14:paraId="7A91AB10" w14:textId="5A5CC422" w:rsidR="0036662A" w:rsidRPr="00AA2403" w:rsidRDefault="00600E32" w:rsidP="00EB6FBF">
            <w:pPr>
              <w:jc w:val="both"/>
              <w:rPr>
                <w:szCs w:val="24"/>
              </w:rPr>
            </w:pPr>
            <w:r>
              <w:rPr>
                <w:szCs w:val="24"/>
              </w:rPr>
              <w:t xml:space="preserve">Priemonės „COVID-19 produktai“ dokumentacija yra rengiama  vadovaujantis </w:t>
            </w:r>
            <w:r w:rsidRPr="0087707C">
              <w:rPr>
                <w:szCs w:val="24"/>
              </w:rPr>
              <w:t>2020 m. kovo 19 d. Europos Komisijos komunikato „Laikinoji valstybės pagalbos priemonių, skirtų ekonomikai remti reaguojant į dabartinį COVID-19 protrūkį, sistema“ su paskutiniais pakeitimais, padarytais 2020 m. balandžio 3 d. Europos Komisijos komunikatu „Laikinosios valstybės pagalbos priemonių, skirtų ekonomikai remti reaguojant į dabartinį COVID-19 protrūkį, sistemos pakeitimas“ (toliau – Komunikatas), 3.8 skirsnį ir 1 ir 2 skyrių nuostatas</w:t>
            </w:r>
            <w:r>
              <w:rPr>
                <w:szCs w:val="24"/>
              </w:rPr>
              <w:t xml:space="preserve">. Komunikate yra numatyta, kad </w:t>
            </w:r>
            <w:r w:rsidR="00EB6FBF">
              <w:rPr>
                <w:szCs w:val="24"/>
              </w:rPr>
              <w:t>d</w:t>
            </w:r>
            <w:r w:rsidR="00EB6FBF" w:rsidRPr="0087707C">
              <w:rPr>
                <w:szCs w:val="24"/>
              </w:rPr>
              <w:t>idžiausia galima projekto finansuojamoji dalis</w:t>
            </w:r>
            <w:r w:rsidR="00EB6FBF">
              <w:rPr>
                <w:szCs w:val="24"/>
              </w:rPr>
              <w:t xml:space="preserve"> yra iki 80 proc. Priemonei numatoma skirti iki 31 mln. </w:t>
            </w:r>
            <w:proofErr w:type="spellStart"/>
            <w:r w:rsidR="00EB6FBF">
              <w:rPr>
                <w:szCs w:val="24"/>
              </w:rPr>
              <w:t>Eur</w:t>
            </w:r>
            <w:proofErr w:type="spellEnd"/>
            <w:r w:rsidR="00EB6FBF">
              <w:rPr>
                <w:szCs w:val="24"/>
              </w:rPr>
              <w:t>, d</w:t>
            </w:r>
            <w:r w:rsidR="00EB6FBF" w:rsidRPr="0087707C">
              <w:rPr>
                <w:szCs w:val="24"/>
              </w:rPr>
              <w:t>idžiausia projektui ir vienai įmonei galima skirti finansavimo lėšų suma yra 1</w:t>
            </w:r>
            <w:r w:rsidR="002B5882">
              <w:rPr>
                <w:szCs w:val="24"/>
              </w:rPr>
              <w:t xml:space="preserve"> mln. </w:t>
            </w:r>
            <w:proofErr w:type="spellStart"/>
            <w:r w:rsidR="002B5882">
              <w:rPr>
                <w:szCs w:val="24"/>
              </w:rPr>
              <w:t>Eur</w:t>
            </w:r>
            <w:proofErr w:type="spellEnd"/>
            <w:r w:rsidR="00EB6FBF">
              <w:rPr>
                <w:szCs w:val="24"/>
              </w:rPr>
              <w:t>, tad ir įmonių skaičius įvertintas atitinkamai pagal numatytą finansavimą</w:t>
            </w:r>
            <w:r w:rsidR="00124EC9">
              <w:rPr>
                <w:szCs w:val="24"/>
              </w:rPr>
              <w:t>, o įmonės indėlis atiti</w:t>
            </w:r>
            <w:r w:rsidR="001C48AC">
              <w:rPr>
                <w:szCs w:val="24"/>
              </w:rPr>
              <w:t>nkamai turės siekti iki 20 proc. Kvietimas teikti paraiškas numatomas</w:t>
            </w:r>
            <w:r w:rsidR="00395496">
              <w:rPr>
                <w:szCs w:val="24"/>
              </w:rPr>
              <w:t xml:space="preserve"> III ketvirtyje, sutartys turės būti pasirašomos iki 2020 m. pabaigos, įgyvendinimo terminas nuo sutarties pasirašymo – 6 mėnesiai.</w:t>
            </w:r>
          </w:p>
        </w:tc>
      </w:tr>
      <w:tr w:rsidR="0036662A" w:rsidRPr="00AA2403" w14:paraId="7A91AB16" w14:textId="77777777" w:rsidTr="00335D39">
        <w:tc>
          <w:tcPr>
            <w:tcW w:w="567" w:type="dxa"/>
          </w:tcPr>
          <w:p w14:paraId="7A91AB12" w14:textId="77777777" w:rsidR="0036662A" w:rsidRPr="00AA2403" w:rsidRDefault="0036662A" w:rsidP="00AA2403">
            <w:pPr>
              <w:pStyle w:val="ListParagraph"/>
              <w:numPr>
                <w:ilvl w:val="0"/>
                <w:numId w:val="1"/>
              </w:numPr>
              <w:jc w:val="both"/>
              <w:rPr>
                <w:szCs w:val="24"/>
              </w:rPr>
            </w:pPr>
          </w:p>
        </w:tc>
        <w:tc>
          <w:tcPr>
            <w:tcW w:w="1985" w:type="dxa"/>
          </w:tcPr>
          <w:p w14:paraId="7A91AB13" w14:textId="52ECCE70" w:rsidR="0036662A" w:rsidRPr="00AA2403" w:rsidRDefault="00701BD8" w:rsidP="00AA2403">
            <w:pPr>
              <w:jc w:val="both"/>
              <w:rPr>
                <w:szCs w:val="24"/>
              </w:rPr>
            </w:pPr>
            <w:r w:rsidRPr="00AA2403">
              <w:rPr>
                <w:szCs w:val="24"/>
              </w:rPr>
              <w:t>Mokslo, inovacijų ir technologijų agentūra</w:t>
            </w:r>
          </w:p>
        </w:tc>
        <w:tc>
          <w:tcPr>
            <w:tcW w:w="5386" w:type="dxa"/>
          </w:tcPr>
          <w:p w14:paraId="5D772B42" w14:textId="77777777" w:rsidR="00701BD8" w:rsidRPr="00AA2403" w:rsidRDefault="00701BD8" w:rsidP="00AA2403">
            <w:pPr>
              <w:pStyle w:val="Heading1"/>
              <w:numPr>
                <w:ilvl w:val="0"/>
                <w:numId w:val="2"/>
              </w:numPr>
              <w:jc w:val="both"/>
              <w:outlineLvl w:val="0"/>
              <w:rPr>
                <w:rFonts w:ascii="Times New Roman" w:eastAsia="Times New Roman" w:hAnsi="Times New Roman"/>
                <w:color w:val="000000"/>
                <w:sz w:val="24"/>
                <w:szCs w:val="24"/>
              </w:rPr>
            </w:pPr>
            <w:r w:rsidRPr="00AA2403">
              <w:rPr>
                <w:rFonts w:ascii="Times New Roman" w:eastAsia="Times New Roman" w:hAnsi="Times New Roman"/>
                <w:color w:val="000000"/>
                <w:sz w:val="24"/>
                <w:szCs w:val="24"/>
                <w:lang w:eastAsia="lt-LT"/>
              </w:rPr>
              <w:t xml:space="preserve">kuo remiantis buvo apskaičiuotas planuojamų finansuoti projektų skaičius? Ar buvo įvertinta, kad būtent tiek Lietuvos įmonių (ne mažiau nei 31), veikiančių ne trumpiau nei 1 metus, kuria kovai su Covid-19 ir panašiais virusais susijusius sprendimus? </w:t>
            </w:r>
          </w:p>
          <w:p w14:paraId="3FC35E8A" w14:textId="77777777" w:rsidR="00701BD8" w:rsidRPr="00AA2403" w:rsidRDefault="00701BD8" w:rsidP="00AA2403">
            <w:pPr>
              <w:pStyle w:val="Heading1"/>
              <w:numPr>
                <w:ilvl w:val="0"/>
                <w:numId w:val="2"/>
              </w:numPr>
              <w:jc w:val="both"/>
              <w:outlineLvl w:val="0"/>
              <w:rPr>
                <w:rFonts w:ascii="Times New Roman" w:eastAsia="Times New Roman" w:hAnsi="Times New Roman"/>
                <w:color w:val="000000"/>
                <w:sz w:val="24"/>
                <w:szCs w:val="24"/>
              </w:rPr>
            </w:pPr>
            <w:r w:rsidRPr="00AA2403">
              <w:rPr>
                <w:rFonts w:ascii="Times New Roman" w:eastAsia="Times New Roman" w:hAnsi="Times New Roman"/>
                <w:color w:val="000000"/>
                <w:sz w:val="24"/>
                <w:szCs w:val="24"/>
                <w:lang w:eastAsia="lt-LT"/>
              </w:rPr>
              <w:t xml:space="preserve">Numatytas reikalavimas „Pareiškėjai yra MVĮ, veikiančios ne trumpiau kaip </w:t>
            </w:r>
            <w:r w:rsidRPr="00AA2403">
              <w:rPr>
                <w:rFonts w:ascii="Times New Roman" w:eastAsia="Times New Roman" w:hAnsi="Times New Roman"/>
                <w:bCs/>
                <w:color w:val="000000"/>
                <w:sz w:val="24"/>
                <w:szCs w:val="24"/>
                <w:lang w:eastAsia="lt-LT"/>
              </w:rPr>
              <w:t>vienerius metus ir kurios vidutinės pačios MVĮ pagamintos produkcijos metinės pajamos (</w:t>
            </w:r>
            <w:r w:rsidRPr="00AA2403">
              <w:rPr>
                <w:rFonts w:ascii="Times New Roman" w:eastAsia="Times New Roman" w:hAnsi="Times New Roman"/>
                <w:color w:val="000000"/>
                <w:sz w:val="24"/>
                <w:szCs w:val="24"/>
                <w:lang w:eastAsia="lt-LT"/>
              </w:rPr>
              <w:t xml:space="preserve">įskaitant įmonių grupės pajamas) per pastaruosius 3 finansinius metus arba per laiką nuo MVĮ įregistravimo dienos (jeigu MVĮ vykdė veiklą mažiau nei 3 finansinius pastaruosius metus) yra ne mažesnės kaip 145 000 </w:t>
            </w:r>
            <w:proofErr w:type="spellStart"/>
            <w:r w:rsidRPr="00AA2403">
              <w:rPr>
                <w:rFonts w:ascii="Times New Roman" w:eastAsia="Times New Roman" w:hAnsi="Times New Roman"/>
                <w:color w:val="000000"/>
                <w:sz w:val="24"/>
                <w:szCs w:val="24"/>
                <w:lang w:eastAsia="lt-LT"/>
              </w:rPr>
              <w:t>Eur</w:t>
            </w:r>
            <w:proofErr w:type="spellEnd"/>
            <w:r w:rsidRPr="00AA2403">
              <w:rPr>
                <w:rFonts w:ascii="Times New Roman" w:eastAsia="Times New Roman" w:hAnsi="Times New Roman"/>
                <w:color w:val="000000"/>
                <w:sz w:val="24"/>
                <w:szCs w:val="24"/>
                <w:lang w:eastAsia="lt-LT"/>
              </w:rPr>
              <w:t xml:space="preserve"> (šimtas keturiasdešimt penki tūkstančiai eurų).“ Kelia abejonių ar tikrai tokių įmonių Lietuvoje yra daug ir nebus apribojantis reikalavimas?</w:t>
            </w:r>
          </w:p>
          <w:p w14:paraId="450EACA0" w14:textId="77777777" w:rsidR="00701BD8" w:rsidRPr="00AA2403" w:rsidRDefault="00701BD8" w:rsidP="00AA2403">
            <w:pPr>
              <w:pStyle w:val="Heading1"/>
              <w:numPr>
                <w:ilvl w:val="0"/>
                <w:numId w:val="2"/>
              </w:numPr>
              <w:jc w:val="both"/>
              <w:outlineLvl w:val="0"/>
              <w:rPr>
                <w:rFonts w:ascii="Times New Roman" w:eastAsia="Times New Roman" w:hAnsi="Times New Roman"/>
                <w:color w:val="000000"/>
                <w:sz w:val="24"/>
                <w:szCs w:val="24"/>
              </w:rPr>
            </w:pPr>
            <w:r w:rsidRPr="00AA2403">
              <w:rPr>
                <w:rFonts w:ascii="Times New Roman" w:eastAsia="Times New Roman" w:hAnsi="Times New Roman"/>
                <w:color w:val="000000"/>
                <w:sz w:val="24"/>
                <w:szCs w:val="24"/>
                <w:lang w:eastAsia="lt-LT"/>
              </w:rPr>
              <w:t>Nėra aišku, koks nuosavo indėlio reikalavimas bus prašomas ir kokia forma? Kokie minimalūs projektams keliami etapai TPL? Koks projektų finansavimo intensyvumas?</w:t>
            </w:r>
          </w:p>
          <w:p w14:paraId="5F013D75" w14:textId="77777777" w:rsidR="00701BD8" w:rsidRPr="00AA2403" w:rsidRDefault="00701BD8" w:rsidP="00AA2403">
            <w:pPr>
              <w:pStyle w:val="Heading1"/>
              <w:numPr>
                <w:ilvl w:val="0"/>
                <w:numId w:val="2"/>
              </w:numPr>
              <w:jc w:val="both"/>
              <w:outlineLvl w:val="0"/>
              <w:rPr>
                <w:rFonts w:ascii="Times New Roman" w:eastAsia="Times New Roman" w:hAnsi="Times New Roman"/>
                <w:color w:val="000000"/>
                <w:sz w:val="24"/>
                <w:szCs w:val="24"/>
              </w:rPr>
            </w:pPr>
            <w:r w:rsidRPr="00AA2403">
              <w:rPr>
                <w:rFonts w:ascii="Times New Roman" w:eastAsia="Times New Roman" w:hAnsi="Times New Roman"/>
                <w:color w:val="000000"/>
                <w:spacing w:val="4"/>
                <w:sz w:val="24"/>
                <w:szCs w:val="24"/>
                <w:lang w:eastAsia="lt-LT"/>
              </w:rPr>
              <w:t>Priemonės pagrindimas – „Geriausiai prisidedantys prie priemonės įgyvendinimo pareiškėjai bus atrenkami vadovaujantis projektų atrankos kriterijais.“ Kadangi planuojamas projektų atrankos būdas tęstinė projektų atranka – visi atitikę kriterijus projektai būtų tinkami finansuoti. Pagrindime nėra įvardintų kriterijų.</w:t>
            </w:r>
          </w:p>
          <w:p w14:paraId="7A91AB14" w14:textId="548D1ECE" w:rsidR="0036662A" w:rsidRPr="002A7CE6" w:rsidRDefault="00701BD8" w:rsidP="00AA2403">
            <w:pPr>
              <w:pStyle w:val="Heading1"/>
              <w:numPr>
                <w:ilvl w:val="0"/>
                <w:numId w:val="2"/>
              </w:numPr>
              <w:jc w:val="both"/>
              <w:outlineLvl w:val="0"/>
              <w:rPr>
                <w:rFonts w:ascii="Times New Roman" w:eastAsia="Times New Roman" w:hAnsi="Times New Roman"/>
                <w:color w:val="000000"/>
                <w:sz w:val="24"/>
                <w:szCs w:val="24"/>
              </w:rPr>
            </w:pPr>
            <w:r w:rsidRPr="00AA2403">
              <w:rPr>
                <w:rFonts w:ascii="Times New Roman" w:eastAsia="Times New Roman" w:hAnsi="Times New Roman"/>
                <w:color w:val="000000"/>
                <w:spacing w:val="4"/>
                <w:sz w:val="24"/>
                <w:szCs w:val="24"/>
                <w:lang w:eastAsia="lt-LT"/>
              </w:rPr>
              <w:t xml:space="preserve">Specialusis projektų atrankos kriterijus – „Projektas atitinka Lietuvos inovacijų plėtros 2014–2020 metų programos, patvirtintos Lietuvos Respublikos Vyriausybės 2013 m. </w:t>
            </w:r>
            <w:r w:rsidRPr="00AA2403">
              <w:rPr>
                <w:rFonts w:ascii="Times New Roman" w:eastAsia="Times New Roman" w:hAnsi="Times New Roman"/>
                <w:color w:val="000000"/>
                <w:spacing w:val="4"/>
                <w:sz w:val="24"/>
                <w:szCs w:val="24"/>
                <w:lang w:eastAsia="lt-LT"/>
              </w:rPr>
              <w:lastRenderedPageBreak/>
              <w:t>gruodžio 18 d. nutarimu Nr. 1281 „Dėl Lietuvos inovacijų plėtros 2014–2020 metų programos patvirtinimo“ (toliau – Lietuvos inovacijų plėtros 2014–2020 metų programa), nuostatas“. Kiek laiko truks tęstinė projektų atranka? Paraiškos pateiktos nuo 2021 m. neatitiks šio kriterijaus.</w:t>
            </w:r>
          </w:p>
        </w:tc>
        <w:tc>
          <w:tcPr>
            <w:tcW w:w="6804" w:type="dxa"/>
          </w:tcPr>
          <w:p w14:paraId="1B6B0A8A" w14:textId="77777777" w:rsidR="0036662A" w:rsidRDefault="002B5882" w:rsidP="002B5882">
            <w:pPr>
              <w:pStyle w:val="ListParagraph"/>
              <w:numPr>
                <w:ilvl w:val="0"/>
                <w:numId w:val="2"/>
              </w:numPr>
              <w:jc w:val="both"/>
              <w:rPr>
                <w:szCs w:val="24"/>
              </w:rPr>
            </w:pPr>
            <w:r>
              <w:rPr>
                <w:szCs w:val="24"/>
              </w:rPr>
              <w:lastRenderedPageBreak/>
              <w:t>Projektų skaičius paskaičiuotas atitinkamai pagal priemonei skirtą sumą ir vienai įmonei galimą didžiausią finansavimo lėšų sumą.</w:t>
            </w:r>
          </w:p>
          <w:p w14:paraId="3B76EE66" w14:textId="77777777" w:rsidR="002B5882" w:rsidRDefault="002B5882" w:rsidP="002B5882">
            <w:pPr>
              <w:jc w:val="both"/>
              <w:rPr>
                <w:szCs w:val="24"/>
              </w:rPr>
            </w:pPr>
          </w:p>
          <w:p w14:paraId="32E90B16" w14:textId="77777777" w:rsidR="002B5882" w:rsidRDefault="002B5882" w:rsidP="002B5882">
            <w:pPr>
              <w:jc w:val="both"/>
              <w:rPr>
                <w:szCs w:val="24"/>
              </w:rPr>
            </w:pPr>
          </w:p>
          <w:p w14:paraId="0FF458D0" w14:textId="77777777" w:rsidR="002B5882" w:rsidRDefault="002B5882" w:rsidP="002B5882">
            <w:pPr>
              <w:jc w:val="both"/>
              <w:rPr>
                <w:szCs w:val="24"/>
              </w:rPr>
            </w:pPr>
          </w:p>
          <w:p w14:paraId="034C1451" w14:textId="77777777" w:rsidR="002B5882" w:rsidRDefault="004B7E07" w:rsidP="002B5882">
            <w:pPr>
              <w:pStyle w:val="ListParagraph"/>
              <w:numPr>
                <w:ilvl w:val="0"/>
                <w:numId w:val="2"/>
              </w:numPr>
              <w:jc w:val="both"/>
              <w:rPr>
                <w:szCs w:val="24"/>
              </w:rPr>
            </w:pPr>
            <w:r>
              <w:rPr>
                <w:szCs w:val="24"/>
              </w:rPr>
              <w:t>Reikalavimas yra nustatytas atsižvelgiant į labai ribotą priemonės trukmę ir siekiant užtikrinti, kad pareiškėjai gebės kokybiškai ir greitai įgyvendinti projektą.</w:t>
            </w:r>
          </w:p>
          <w:p w14:paraId="7A2BC282" w14:textId="77777777" w:rsidR="004B7E07" w:rsidRDefault="004B7E07" w:rsidP="004B7E07">
            <w:pPr>
              <w:jc w:val="both"/>
              <w:rPr>
                <w:szCs w:val="24"/>
              </w:rPr>
            </w:pPr>
          </w:p>
          <w:p w14:paraId="4011F6AC" w14:textId="77777777" w:rsidR="004B7E07" w:rsidRDefault="004B7E07" w:rsidP="004B7E07">
            <w:pPr>
              <w:jc w:val="both"/>
              <w:rPr>
                <w:szCs w:val="24"/>
              </w:rPr>
            </w:pPr>
          </w:p>
          <w:p w14:paraId="4E0F8E08" w14:textId="77777777" w:rsidR="004B7E07" w:rsidRDefault="004B7E07" w:rsidP="004B7E07">
            <w:pPr>
              <w:jc w:val="both"/>
              <w:rPr>
                <w:szCs w:val="24"/>
              </w:rPr>
            </w:pPr>
          </w:p>
          <w:p w14:paraId="3DED017D" w14:textId="77777777" w:rsidR="004B7E07" w:rsidRDefault="004B7E07" w:rsidP="004B7E07">
            <w:pPr>
              <w:jc w:val="both"/>
              <w:rPr>
                <w:szCs w:val="24"/>
              </w:rPr>
            </w:pPr>
          </w:p>
          <w:p w14:paraId="7DB9D055" w14:textId="77777777" w:rsidR="004B7E07" w:rsidRDefault="004B7E07" w:rsidP="004B7E07">
            <w:pPr>
              <w:jc w:val="both"/>
              <w:rPr>
                <w:szCs w:val="24"/>
              </w:rPr>
            </w:pPr>
          </w:p>
          <w:p w14:paraId="5A003AFB" w14:textId="77777777" w:rsidR="004B7E07" w:rsidRDefault="004B7E07" w:rsidP="004B7E07">
            <w:pPr>
              <w:jc w:val="both"/>
              <w:rPr>
                <w:szCs w:val="24"/>
              </w:rPr>
            </w:pPr>
          </w:p>
          <w:p w14:paraId="14ECDE47" w14:textId="77777777" w:rsidR="004B7E07" w:rsidRDefault="004B7E07" w:rsidP="004B7E07">
            <w:pPr>
              <w:jc w:val="both"/>
              <w:rPr>
                <w:szCs w:val="24"/>
              </w:rPr>
            </w:pPr>
          </w:p>
          <w:p w14:paraId="5A56267C" w14:textId="77777777" w:rsidR="004B7E07" w:rsidRDefault="004B7E07" w:rsidP="004B7E07">
            <w:pPr>
              <w:jc w:val="both"/>
              <w:rPr>
                <w:szCs w:val="24"/>
              </w:rPr>
            </w:pPr>
          </w:p>
          <w:p w14:paraId="05515798" w14:textId="77777777" w:rsidR="004B7E07" w:rsidRDefault="004B7E07" w:rsidP="004B7E07">
            <w:pPr>
              <w:jc w:val="both"/>
              <w:rPr>
                <w:szCs w:val="24"/>
              </w:rPr>
            </w:pPr>
          </w:p>
          <w:p w14:paraId="2BE77E6D" w14:textId="77777777" w:rsidR="004B7E07" w:rsidRDefault="004B7E07" w:rsidP="004B7E07">
            <w:pPr>
              <w:pStyle w:val="ListParagraph"/>
              <w:numPr>
                <w:ilvl w:val="0"/>
                <w:numId w:val="2"/>
              </w:numPr>
              <w:jc w:val="both"/>
              <w:rPr>
                <w:szCs w:val="24"/>
              </w:rPr>
            </w:pPr>
            <w:r>
              <w:rPr>
                <w:szCs w:val="24"/>
              </w:rPr>
              <w:t>Šie reikalavimai bus nustatyti finansavimo sąlygų apraše ir turės atitikti Komunikato nuostatas (žr. atsakymą į UAB „</w:t>
            </w:r>
            <w:proofErr w:type="spellStart"/>
            <w:r>
              <w:rPr>
                <w:szCs w:val="24"/>
              </w:rPr>
              <w:t>Polivektris</w:t>
            </w:r>
            <w:proofErr w:type="spellEnd"/>
            <w:r>
              <w:rPr>
                <w:szCs w:val="24"/>
              </w:rPr>
              <w:t>“ klausimus.)</w:t>
            </w:r>
          </w:p>
          <w:p w14:paraId="6DDBE7D3" w14:textId="77777777" w:rsidR="00F279E6" w:rsidRDefault="00F279E6" w:rsidP="00F279E6">
            <w:pPr>
              <w:jc w:val="both"/>
              <w:rPr>
                <w:szCs w:val="24"/>
              </w:rPr>
            </w:pPr>
          </w:p>
          <w:p w14:paraId="0F37009A" w14:textId="5DB116DD" w:rsidR="00F279E6" w:rsidRDefault="00F279E6" w:rsidP="00F279E6">
            <w:pPr>
              <w:pStyle w:val="ListParagraph"/>
              <w:numPr>
                <w:ilvl w:val="0"/>
                <w:numId w:val="2"/>
              </w:numPr>
              <w:jc w:val="both"/>
              <w:rPr>
                <w:szCs w:val="24"/>
              </w:rPr>
            </w:pPr>
            <w:r>
              <w:rPr>
                <w:szCs w:val="24"/>
              </w:rPr>
              <w:t xml:space="preserve">Kriterijai </w:t>
            </w:r>
            <w:r w:rsidR="00800781">
              <w:rPr>
                <w:szCs w:val="24"/>
              </w:rPr>
              <w:t xml:space="preserve">buvo </w:t>
            </w:r>
            <w:r>
              <w:rPr>
                <w:szCs w:val="24"/>
              </w:rPr>
              <w:t xml:space="preserve">paskelbti viešam aptarimui kartu </w:t>
            </w:r>
            <w:r w:rsidR="00800781">
              <w:rPr>
                <w:szCs w:val="24"/>
              </w:rPr>
              <w:t>su priemonės įgyvendinimo planu ir priemonės pagrindimu.</w:t>
            </w:r>
          </w:p>
          <w:p w14:paraId="4C1EC446" w14:textId="77777777" w:rsidR="00F279E6" w:rsidRPr="00F279E6" w:rsidRDefault="00F279E6" w:rsidP="00F279E6">
            <w:pPr>
              <w:pStyle w:val="ListParagraph"/>
              <w:rPr>
                <w:szCs w:val="24"/>
              </w:rPr>
            </w:pPr>
          </w:p>
          <w:p w14:paraId="57949DF7" w14:textId="77777777" w:rsidR="00F279E6" w:rsidRDefault="00F279E6" w:rsidP="00F279E6">
            <w:pPr>
              <w:jc w:val="both"/>
              <w:rPr>
                <w:szCs w:val="24"/>
              </w:rPr>
            </w:pPr>
          </w:p>
          <w:p w14:paraId="05D0B0BC" w14:textId="77777777" w:rsidR="00F279E6" w:rsidRDefault="00F279E6" w:rsidP="00F279E6">
            <w:pPr>
              <w:jc w:val="both"/>
              <w:rPr>
                <w:szCs w:val="24"/>
              </w:rPr>
            </w:pPr>
          </w:p>
          <w:p w14:paraId="7DB0E78C" w14:textId="77777777" w:rsidR="00F279E6" w:rsidRDefault="00F279E6" w:rsidP="00F279E6">
            <w:pPr>
              <w:jc w:val="both"/>
              <w:rPr>
                <w:szCs w:val="24"/>
              </w:rPr>
            </w:pPr>
          </w:p>
          <w:p w14:paraId="220BE8BD" w14:textId="77777777" w:rsidR="00F279E6" w:rsidRDefault="00F279E6" w:rsidP="00F279E6">
            <w:pPr>
              <w:jc w:val="both"/>
              <w:rPr>
                <w:szCs w:val="24"/>
              </w:rPr>
            </w:pPr>
          </w:p>
          <w:p w14:paraId="2FBA6CA7" w14:textId="77777777" w:rsidR="00F279E6" w:rsidRDefault="00F279E6" w:rsidP="00F279E6">
            <w:pPr>
              <w:jc w:val="both"/>
              <w:rPr>
                <w:szCs w:val="24"/>
              </w:rPr>
            </w:pPr>
          </w:p>
          <w:p w14:paraId="7A91AB15" w14:textId="47F228B0" w:rsidR="00F279E6" w:rsidRPr="002A7CE6" w:rsidRDefault="00800781" w:rsidP="00800781">
            <w:pPr>
              <w:pStyle w:val="CommentText"/>
              <w:numPr>
                <w:ilvl w:val="0"/>
                <w:numId w:val="2"/>
              </w:numPr>
              <w:jc w:val="both"/>
            </w:pPr>
            <w:r w:rsidRPr="00800781">
              <w:rPr>
                <w:sz w:val="24"/>
                <w:szCs w:val="24"/>
              </w:rPr>
              <w:t>Atkreipiame dėmesį, kad priemonės specialiuoju kriterijumi siūloma nustatyt</w:t>
            </w:r>
            <w:r>
              <w:rPr>
                <w:sz w:val="24"/>
                <w:szCs w:val="24"/>
              </w:rPr>
              <w:t>i</w:t>
            </w:r>
            <w:bookmarkStart w:id="1" w:name="_GoBack"/>
            <w:bookmarkEnd w:id="1"/>
            <w:r w:rsidRPr="00800781">
              <w:rPr>
                <w:sz w:val="24"/>
                <w:szCs w:val="24"/>
              </w:rPr>
              <w:t xml:space="preserve">, kad Projektas atitinka ne </w:t>
            </w:r>
            <w:r w:rsidRPr="00800781">
              <w:rPr>
                <w:color w:val="000000"/>
                <w:spacing w:val="4"/>
                <w:sz w:val="24"/>
                <w:szCs w:val="24"/>
              </w:rPr>
              <w:t>Lietuvos inovacijų plėtros 2014–2020 metų programos, bet</w:t>
            </w:r>
            <w:r w:rsidRPr="00800781">
              <w:rPr>
                <w:sz w:val="24"/>
                <w:szCs w:val="24"/>
              </w:rPr>
              <w:t xml:space="preserve"> </w:t>
            </w:r>
            <w:hyperlink r:id="rId5" w:history="1">
              <w:r w:rsidRPr="00800781">
                <w:rPr>
                  <w:rStyle w:val="Hyperlink"/>
                  <w:sz w:val="24"/>
                  <w:szCs w:val="24"/>
                </w:rPr>
                <w:t>Investicijų skatinimo ir pramonės plėtros 2014-2020 metų programos</w:t>
              </w:r>
            </w:hyperlink>
            <w:r w:rsidRPr="00800781">
              <w:rPr>
                <w:sz w:val="24"/>
                <w:szCs w:val="24"/>
              </w:rPr>
              <w:t xml:space="preserve">, patvirtintos </w:t>
            </w:r>
            <w:r w:rsidRPr="00800781">
              <w:rPr>
                <w:sz w:val="24"/>
                <w:szCs w:val="24"/>
              </w:rPr>
              <w:lastRenderedPageBreak/>
              <w:t>Lietuvos Respublikos Vyriausybės 2014-09-17 nutarimu Nr. 986 „Dėl investicijų skatinimo ir pramonės plėtros 2014-2020 metų programos patvirtinimo“, nuostatas</w:t>
            </w:r>
            <w:r>
              <w:rPr>
                <w:sz w:val="24"/>
                <w:szCs w:val="24"/>
              </w:rPr>
              <w:t xml:space="preserve">. </w:t>
            </w:r>
            <w:r w:rsidR="002A7CE6" w:rsidRPr="00DE124C">
              <w:rPr>
                <w:sz w:val="24"/>
                <w:szCs w:val="24"/>
              </w:rPr>
              <w:t>Pagal Komunikatą sprendimai dėl finansavimo skyrimo turi būti priimti iki 2020 m. pabaigos, tad kvietimas galiotų 1-2 mėn. ir iki metų pabaigos projektai turi būti ir įvertinti. Pažymėtina, kad tęstinė atranka būtų vykdoma tik tuo atveju, jei bus atlikti tam būtini keitimai Projektų administravimo ir finansavimo taisyklėse, patvirtintose Lietuvos Respublikos finansų ministro 2014 m. spalio 8 d. įsakymu Nr. 1K-316</w:t>
            </w:r>
            <w:r w:rsidR="002A7CE6">
              <w:rPr>
                <w:sz w:val="24"/>
                <w:szCs w:val="24"/>
              </w:rPr>
              <w:t>.</w:t>
            </w:r>
          </w:p>
        </w:tc>
      </w:tr>
      <w:tr w:rsidR="0036662A" w:rsidRPr="00AA2403" w14:paraId="7A91AB1B" w14:textId="77777777" w:rsidTr="00335D39">
        <w:tc>
          <w:tcPr>
            <w:tcW w:w="567" w:type="dxa"/>
          </w:tcPr>
          <w:p w14:paraId="7A91AB17" w14:textId="77777777" w:rsidR="0036662A" w:rsidRPr="00AA2403" w:rsidRDefault="0036662A" w:rsidP="00AA2403">
            <w:pPr>
              <w:pStyle w:val="ListParagraph"/>
              <w:numPr>
                <w:ilvl w:val="0"/>
                <w:numId w:val="1"/>
              </w:numPr>
              <w:jc w:val="both"/>
              <w:rPr>
                <w:szCs w:val="24"/>
              </w:rPr>
            </w:pPr>
          </w:p>
        </w:tc>
        <w:tc>
          <w:tcPr>
            <w:tcW w:w="1985" w:type="dxa"/>
          </w:tcPr>
          <w:p w14:paraId="1915F990" w14:textId="0A609437" w:rsidR="00AA2403" w:rsidRPr="00AA2403" w:rsidRDefault="00AA2403" w:rsidP="00AA2403">
            <w:pPr>
              <w:jc w:val="both"/>
              <w:rPr>
                <w:szCs w:val="24"/>
              </w:rPr>
            </w:pPr>
            <w:r w:rsidRPr="00AA2403">
              <w:rPr>
                <w:szCs w:val="24"/>
              </w:rPr>
              <w:t>Lietuvos SVV Tarybos Valdyba</w:t>
            </w:r>
          </w:p>
          <w:p w14:paraId="3622A5CC" w14:textId="77777777" w:rsidR="00AA2403" w:rsidRPr="00AA2403" w:rsidRDefault="00AA2403" w:rsidP="00AA2403">
            <w:pPr>
              <w:jc w:val="both"/>
              <w:rPr>
                <w:szCs w:val="24"/>
              </w:rPr>
            </w:pPr>
          </w:p>
          <w:p w14:paraId="7A91AB18" w14:textId="6BF4BCE3" w:rsidR="0036662A" w:rsidRPr="00AA2403" w:rsidRDefault="00AA2403" w:rsidP="00AA2403">
            <w:pPr>
              <w:jc w:val="both"/>
              <w:rPr>
                <w:szCs w:val="24"/>
              </w:rPr>
            </w:pPr>
            <w:r w:rsidRPr="00AA2403">
              <w:rPr>
                <w:szCs w:val="24"/>
              </w:rPr>
              <w:t>Lietuvos nacionalinio verslo konfederacija</w:t>
            </w:r>
          </w:p>
        </w:tc>
        <w:tc>
          <w:tcPr>
            <w:tcW w:w="5386" w:type="dxa"/>
          </w:tcPr>
          <w:p w14:paraId="5E42FF77" w14:textId="77777777" w:rsidR="00AA2403" w:rsidRPr="00AA2403" w:rsidRDefault="00AA2403" w:rsidP="00AA2403">
            <w:pPr>
              <w:jc w:val="both"/>
              <w:rPr>
                <w:szCs w:val="24"/>
              </w:rPr>
            </w:pPr>
            <w:r w:rsidRPr="00AA2403">
              <w:rPr>
                <w:iCs/>
                <w:szCs w:val="24"/>
              </w:rPr>
              <w:t>COVID-19 MTEP tyrimai </w:t>
            </w:r>
            <w:r w:rsidRPr="00AA2403">
              <w:rPr>
                <w:szCs w:val="24"/>
              </w:rPr>
              <w:t>tiek </w:t>
            </w:r>
            <w:r w:rsidRPr="00AA2403">
              <w:rPr>
                <w:iCs/>
                <w:szCs w:val="24"/>
              </w:rPr>
              <w:t>COVID-19 produktai </w:t>
            </w:r>
            <w:r w:rsidRPr="00AA2403">
              <w:rPr>
                <w:szCs w:val="24"/>
              </w:rPr>
              <w:t> turėtų užtekti 50 tūkst.</w:t>
            </w:r>
          </w:p>
          <w:p w14:paraId="4B4F6B65" w14:textId="77777777" w:rsidR="00AA2403" w:rsidRPr="00AA2403" w:rsidRDefault="00AA2403" w:rsidP="00AA2403">
            <w:pPr>
              <w:jc w:val="both"/>
              <w:rPr>
                <w:szCs w:val="24"/>
              </w:rPr>
            </w:pPr>
            <w:r w:rsidRPr="00AA2403">
              <w:rPr>
                <w:szCs w:val="24"/>
              </w:rPr>
              <w:t>apyvartos.</w:t>
            </w:r>
          </w:p>
          <w:p w14:paraId="7A91AB19" w14:textId="77777777" w:rsidR="0036662A" w:rsidRPr="00AA2403" w:rsidRDefault="0036662A" w:rsidP="00AA2403">
            <w:pPr>
              <w:jc w:val="both"/>
              <w:rPr>
                <w:szCs w:val="24"/>
              </w:rPr>
            </w:pPr>
          </w:p>
        </w:tc>
        <w:tc>
          <w:tcPr>
            <w:tcW w:w="6804" w:type="dxa"/>
          </w:tcPr>
          <w:p w14:paraId="5B7DDC0B" w14:textId="77777777" w:rsidR="00F63625" w:rsidRPr="00F63625" w:rsidRDefault="00F63625" w:rsidP="00F63625">
            <w:pPr>
              <w:jc w:val="both"/>
              <w:rPr>
                <w:szCs w:val="24"/>
              </w:rPr>
            </w:pPr>
            <w:r w:rsidRPr="00F63625">
              <w:rPr>
                <w:szCs w:val="24"/>
              </w:rPr>
              <w:t>Reikalavimas yra nustatytas atsižvelgiant į labai ribotą priemonės trukmę ir siekiant užtikrinti, kad pareiškėjai gebės kokybiškai ir greitai įgyvendinti projektą.</w:t>
            </w:r>
          </w:p>
          <w:p w14:paraId="7A91AB1A" w14:textId="77777777" w:rsidR="0036662A" w:rsidRPr="00AA2403" w:rsidRDefault="0036662A" w:rsidP="00AA2403">
            <w:pPr>
              <w:jc w:val="both"/>
              <w:rPr>
                <w:szCs w:val="24"/>
              </w:rPr>
            </w:pPr>
          </w:p>
        </w:tc>
      </w:tr>
    </w:tbl>
    <w:p w14:paraId="7A91AB1C" w14:textId="77777777" w:rsidR="005C5ECB" w:rsidRPr="00AA2403" w:rsidRDefault="005C5ECB" w:rsidP="00AA2403">
      <w:pPr>
        <w:jc w:val="both"/>
        <w:rPr>
          <w:bCs/>
          <w:caps/>
          <w:szCs w:val="24"/>
        </w:rPr>
      </w:pPr>
    </w:p>
    <w:sectPr w:rsidR="005C5ECB" w:rsidRPr="00AA2403" w:rsidSect="0036662A">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D7B3F"/>
    <w:multiLevelType w:val="hybridMultilevel"/>
    <w:tmpl w:val="1304E73A"/>
    <w:lvl w:ilvl="0" w:tplc="A33CA596">
      <w:start w:val="1"/>
      <w:numFmt w:val="bullet"/>
      <w:lvlText w:val="-"/>
      <w:lvlJc w:val="left"/>
      <w:pPr>
        <w:ind w:left="405" w:hanging="360"/>
      </w:pPr>
      <w:rPr>
        <w:rFonts w:ascii="Calibri" w:eastAsia="Times New Roman" w:hAnsi="Calibri" w:hint="default"/>
      </w:rPr>
    </w:lvl>
    <w:lvl w:ilvl="1" w:tplc="08090003">
      <w:start w:val="1"/>
      <w:numFmt w:val="bullet"/>
      <w:lvlText w:val="o"/>
      <w:lvlJc w:val="left"/>
      <w:pPr>
        <w:ind w:left="1125" w:hanging="360"/>
      </w:pPr>
      <w:rPr>
        <w:rFonts w:ascii="Courier New" w:hAnsi="Courier New" w:cs="Courier New" w:hint="default"/>
      </w:rPr>
    </w:lvl>
    <w:lvl w:ilvl="2" w:tplc="08090005">
      <w:start w:val="1"/>
      <w:numFmt w:val="bullet"/>
      <w:lvlText w:val=""/>
      <w:lvlJc w:val="left"/>
      <w:pPr>
        <w:ind w:left="1845" w:hanging="360"/>
      </w:pPr>
      <w:rPr>
        <w:rFonts w:ascii="Wingdings" w:hAnsi="Wingdings" w:hint="default"/>
      </w:rPr>
    </w:lvl>
    <w:lvl w:ilvl="3" w:tplc="08090001">
      <w:start w:val="1"/>
      <w:numFmt w:val="bullet"/>
      <w:lvlText w:val=""/>
      <w:lvlJc w:val="left"/>
      <w:pPr>
        <w:ind w:left="2565" w:hanging="360"/>
      </w:pPr>
      <w:rPr>
        <w:rFonts w:ascii="Symbol" w:hAnsi="Symbol" w:hint="default"/>
      </w:rPr>
    </w:lvl>
    <w:lvl w:ilvl="4" w:tplc="08090003">
      <w:start w:val="1"/>
      <w:numFmt w:val="bullet"/>
      <w:lvlText w:val="o"/>
      <w:lvlJc w:val="left"/>
      <w:pPr>
        <w:ind w:left="3285" w:hanging="360"/>
      </w:pPr>
      <w:rPr>
        <w:rFonts w:ascii="Courier New" w:hAnsi="Courier New" w:cs="Courier New" w:hint="default"/>
      </w:rPr>
    </w:lvl>
    <w:lvl w:ilvl="5" w:tplc="08090005">
      <w:start w:val="1"/>
      <w:numFmt w:val="bullet"/>
      <w:lvlText w:val=""/>
      <w:lvlJc w:val="left"/>
      <w:pPr>
        <w:ind w:left="4005" w:hanging="360"/>
      </w:pPr>
      <w:rPr>
        <w:rFonts w:ascii="Wingdings" w:hAnsi="Wingdings" w:hint="default"/>
      </w:rPr>
    </w:lvl>
    <w:lvl w:ilvl="6" w:tplc="08090001">
      <w:start w:val="1"/>
      <w:numFmt w:val="bullet"/>
      <w:lvlText w:val=""/>
      <w:lvlJc w:val="left"/>
      <w:pPr>
        <w:ind w:left="4725" w:hanging="360"/>
      </w:pPr>
      <w:rPr>
        <w:rFonts w:ascii="Symbol" w:hAnsi="Symbol" w:hint="default"/>
      </w:rPr>
    </w:lvl>
    <w:lvl w:ilvl="7" w:tplc="08090003">
      <w:start w:val="1"/>
      <w:numFmt w:val="bullet"/>
      <w:lvlText w:val="o"/>
      <w:lvlJc w:val="left"/>
      <w:pPr>
        <w:ind w:left="5445" w:hanging="360"/>
      </w:pPr>
      <w:rPr>
        <w:rFonts w:ascii="Courier New" w:hAnsi="Courier New" w:cs="Courier New" w:hint="default"/>
      </w:rPr>
    </w:lvl>
    <w:lvl w:ilvl="8" w:tplc="08090005">
      <w:start w:val="1"/>
      <w:numFmt w:val="bullet"/>
      <w:lvlText w:val=""/>
      <w:lvlJc w:val="left"/>
      <w:pPr>
        <w:ind w:left="6165" w:hanging="360"/>
      </w:pPr>
      <w:rPr>
        <w:rFonts w:ascii="Wingdings" w:hAnsi="Wingdings" w:hint="default"/>
      </w:rPr>
    </w:lvl>
  </w:abstractNum>
  <w:abstractNum w:abstractNumId="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62A"/>
    <w:rsid w:val="0001428A"/>
    <w:rsid w:val="00016435"/>
    <w:rsid w:val="000240C4"/>
    <w:rsid w:val="00032985"/>
    <w:rsid w:val="00046DFE"/>
    <w:rsid w:val="00050427"/>
    <w:rsid w:val="00053D41"/>
    <w:rsid w:val="00070ED6"/>
    <w:rsid w:val="000A3FD2"/>
    <w:rsid w:val="000B1AF5"/>
    <w:rsid w:val="000B2D7C"/>
    <w:rsid w:val="000D3EFE"/>
    <w:rsid w:val="000E1F0C"/>
    <w:rsid w:val="000E275C"/>
    <w:rsid w:val="000E7A99"/>
    <w:rsid w:val="000F5CE6"/>
    <w:rsid w:val="00105F91"/>
    <w:rsid w:val="00115372"/>
    <w:rsid w:val="00124EC9"/>
    <w:rsid w:val="001577E4"/>
    <w:rsid w:val="0018373E"/>
    <w:rsid w:val="00184FC3"/>
    <w:rsid w:val="00194702"/>
    <w:rsid w:val="001A5935"/>
    <w:rsid w:val="001C2F60"/>
    <w:rsid w:val="001C48AC"/>
    <w:rsid w:val="001D6507"/>
    <w:rsid w:val="001E4CE7"/>
    <w:rsid w:val="001E6748"/>
    <w:rsid w:val="001E67A5"/>
    <w:rsid w:val="0020434A"/>
    <w:rsid w:val="00234AE2"/>
    <w:rsid w:val="00241C69"/>
    <w:rsid w:val="00247BB5"/>
    <w:rsid w:val="00270AE5"/>
    <w:rsid w:val="00285814"/>
    <w:rsid w:val="002923A6"/>
    <w:rsid w:val="002A27A2"/>
    <w:rsid w:val="002A7CE6"/>
    <w:rsid w:val="002B5882"/>
    <w:rsid w:val="002C79BA"/>
    <w:rsid w:val="002D4D56"/>
    <w:rsid w:val="002E1B28"/>
    <w:rsid w:val="00330EC9"/>
    <w:rsid w:val="003529B3"/>
    <w:rsid w:val="00366151"/>
    <w:rsid w:val="0036662A"/>
    <w:rsid w:val="003865B8"/>
    <w:rsid w:val="00395496"/>
    <w:rsid w:val="003A1AD9"/>
    <w:rsid w:val="003B2FAE"/>
    <w:rsid w:val="003D7F08"/>
    <w:rsid w:val="003E77A4"/>
    <w:rsid w:val="003F5676"/>
    <w:rsid w:val="004136A8"/>
    <w:rsid w:val="004378EE"/>
    <w:rsid w:val="00452AAF"/>
    <w:rsid w:val="00475E13"/>
    <w:rsid w:val="00482B56"/>
    <w:rsid w:val="004A5F41"/>
    <w:rsid w:val="004B7E07"/>
    <w:rsid w:val="004C44BD"/>
    <w:rsid w:val="004D11D5"/>
    <w:rsid w:val="004E6B69"/>
    <w:rsid w:val="005004F3"/>
    <w:rsid w:val="0054453C"/>
    <w:rsid w:val="00547B73"/>
    <w:rsid w:val="00547C74"/>
    <w:rsid w:val="005516A5"/>
    <w:rsid w:val="005533C2"/>
    <w:rsid w:val="00571253"/>
    <w:rsid w:val="00581B51"/>
    <w:rsid w:val="00593EE0"/>
    <w:rsid w:val="005B1293"/>
    <w:rsid w:val="005B79FB"/>
    <w:rsid w:val="005C5B4A"/>
    <w:rsid w:val="005C5ECB"/>
    <w:rsid w:val="005E0604"/>
    <w:rsid w:val="005F038F"/>
    <w:rsid w:val="005F0F88"/>
    <w:rsid w:val="00600E32"/>
    <w:rsid w:val="006106A7"/>
    <w:rsid w:val="00653AC2"/>
    <w:rsid w:val="00665BE2"/>
    <w:rsid w:val="00677B1E"/>
    <w:rsid w:val="006824CC"/>
    <w:rsid w:val="006A1E78"/>
    <w:rsid w:val="006A22E2"/>
    <w:rsid w:val="006B0D85"/>
    <w:rsid w:val="006B526A"/>
    <w:rsid w:val="006B75D2"/>
    <w:rsid w:val="006C0163"/>
    <w:rsid w:val="006E16C9"/>
    <w:rsid w:val="00701BD8"/>
    <w:rsid w:val="00707C95"/>
    <w:rsid w:val="0072623F"/>
    <w:rsid w:val="00741C32"/>
    <w:rsid w:val="00742585"/>
    <w:rsid w:val="00747BC9"/>
    <w:rsid w:val="007537EC"/>
    <w:rsid w:val="00761496"/>
    <w:rsid w:val="007769FC"/>
    <w:rsid w:val="007B3E81"/>
    <w:rsid w:val="007D3038"/>
    <w:rsid w:val="007F5F38"/>
    <w:rsid w:val="007F7B87"/>
    <w:rsid w:val="00800781"/>
    <w:rsid w:val="0080172F"/>
    <w:rsid w:val="008359DC"/>
    <w:rsid w:val="0085384B"/>
    <w:rsid w:val="00856EDA"/>
    <w:rsid w:val="008576A6"/>
    <w:rsid w:val="00865C80"/>
    <w:rsid w:val="008663E3"/>
    <w:rsid w:val="00885C3D"/>
    <w:rsid w:val="008A53CB"/>
    <w:rsid w:val="008C3DAE"/>
    <w:rsid w:val="008D5F38"/>
    <w:rsid w:val="008E3C68"/>
    <w:rsid w:val="008F38C3"/>
    <w:rsid w:val="00926630"/>
    <w:rsid w:val="00933886"/>
    <w:rsid w:val="00947C9D"/>
    <w:rsid w:val="00954EEB"/>
    <w:rsid w:val="00956C1E"/>
    <w:rsid w:val="0097341D"/>
    <w:rsid w:val="0099342A"/>
    <w:rsid w:val="009A662F"/>
    <w:rsid w:val="009B3957"/>
    <w:rsid w:val="009B4714"/>
    <w:rsid w:val="009D3B8E"/>
    <w:rsid w:val="009D3BAD"/>
    <w:rsid w:val="009E1857"/>
    <w:rsid w:val="009E69E2"/>
    <w:rsid w:val="00A00DB1"/>
    <w:rsid w:val="00A24DB0"/>
    <w:rsid w:val="00A2721F"/>
    <w:rsid w:val="00A35603"/>
    <w:rsid w:val="00A4128B"/>
    <w:rsid w:val="00A47552"/>
    <w:rsid w:val="00A47E71"/>
    <w:rsid w:val="00A52C00"/>
    <w:rsid w:val="00A54BBD"/>
    <w:rsid w:val="00A6632E"/>
    <w:rsid w:val="00A70B58"/>
    <w:rsid w:val="00A80ADA"/>
    <w:rsid w:val="00A845D7"/>
    <w:rsid w:val="00A91F0C"/>
    <w:rsid w:val="00AA2403"/>
    <w:rsid w:val="00AC4B6C"/>
    <w:rsid w:val="00AD5789"/>
    <w:rsid w:val="00AF0A0D"/>
    <w:rsid w:val="00AF25D0"/>
    <w:rsid w:val="00AF2A89"/>
    <w:rsid w:val="00B0591B"/>
    <w:rsid w:val="00B06DF8"/>
    <w:rsid w:val="00B14AA0"/>
    <w:rsid w:val="00B26628"/>
    <w:rsid w:val="00B46548"/>
    <w:rsid w:val="00B7378D"/>
    <w:rsid w:val="00B75709"/>
    <w:rsid w:val="00B9676C"/>
    <w:rsid w:val="00BA3F54"/>
    <w:rsid w:val="00BB138B"/>
    <w:rsid w:val="00BC5BDA"/>
    <w:rsid w:val="00BD17AE"/>
    <w:rsid w:val="00BE1E8F"/>
    <w:rsid w:val="00BE6468"/>
    <w:rsid w:val="00BE6CC1"/>
    <w:rsid w:val="00BF587A"/>
    <w:rsid w:val="00C25B44"/>
    <w:rsid w:val="00C3317D"/>
    <w:rsid w:val="00C33E49"/>
    <w:rsid w:val="00C35591"/>
    <w:rsid w:val="00C41BD5"/>
    <w:rsid w:val="00C41EDB"/>
    <w:rsid w:val="00C535B1"/>
    <w:rsid w:val="00C6260A"/>
    <w:rsid w:val="00C72AC6"/>
    <w:rsid w:val="00C916C8"/>
    <w:rsid w:val="00C94B40"/>
    <w:rsid w:val="00C97E60"/>
    <w:rsid w:val="00CA2E85"/>
    <w:rsid w:val="00CA6AE7"/>
    <w:rsid w:val="00CB2790"/>
    <w:rsid w:val="00CB505F"/>
    <w:rsid w:val="00CE53AB"/>
    <w:rsid w:val="00CF2C5D"/>
    <w:rsid w:val="00CF7C87"/>
    <w:rsid w:val="00D548C8"/>
    <w:rsid w:val="00D54ED4"/>
    <w:rsid w:val="00D66763"/>
    <w:rsid w:val="00DB3586"/>
    <w:rsid w:val="00DC5385"/>
    <w:rsid w:val="00DC7728"/>
    <w:rsid w:val="00DC7AB7"/>
    <w:rsid w:val="00DE1BD0"/>
    <w:rsid w:val="00DE693B"/>
    <w:rsid w:val="00E307F8"/>
    <w:rsid w:val="00E314FC"/>
    <w:rsid w:val="00E47926"/>
    <w:rsid w:val="00E53DCA"/>
    <w:rsid w:val="00E6399A"/>
    <w:rsid w:val="00E95B1A"/>
    <w:rsid w:val="00EB6FBF"/>
    <w:rsid w:val="00EC036E"/>
    <w:rsid w:val="00EC0828"/>
    <w:rsid w:val="00EC6B07"/>
    <w:rsid w:val="00EF0A83"/>
    <w:rsid w:val="00EF5D3D"/>
    <w:rsid w:val="00F16636"/>
    <w:rsid w:val="00F17A0F"/>
    <w:rsid w:val="00F279E6"/>
    <w:rsid w:val="00F43952"/>
    <w:rsid w:val="00F449CA"/>
    <w:rsid w:val="00F45F44"/>
    <w:rsid w:val="00F46B15"/>
    <w:rsid w:val="00F56078"/>
    <w:rsid w:val="00F63625"/>
    <w:rsid w:val="00F63807"/>
    <w:rsid w:val="00F74AD4"/>
    <w:rsid w:val="00F7759E"/>
    <w:rsid w:val="00F8394C"/>
    <w:rsid w:val="00FA1C73"/>
    <w:rsid w:val="00FA2FE9"/>
    <w:rsid w:val="00FD0EAB"/>
    <w:rsid w:val="00FE2A3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1AAF8"/>
  <w15:docId w15:val="{9F76ECD1-7C57-443F-A504-BAB795C6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662A"/>
    <w:pPr>
      <w:spacing w:after="0"/>
      <w:jc w:val="left"/>
    </w:pPr>
    <w:rPr>
      <w:rFonts w:eastAsia="Times New Roman"/>
      <w:szCs w:val="20"/>
      <w:lang w:eastAsia="lt-LT"/>
    </w:rPr>
  </w:style>
  <w:style w:type="paragraph" w:styleId="Heading1">
    <w:name w:val="heading 1"/>
    <w:basedOn w:val="Normal"/>
    <w:link w:val="Heading1Char"/>
    <w:uiPriority w:val="9"/>
    <w:qFormat/>
    <w:rsid w:val="00701BD8"/>
    <w:pPr>
      <w:outlineLvl w:val="0"/>
    </w:pPr>
    <w:rPr>
      <w:rFonts w:ascii="Calibri" w:eastAsiaTheme="minorHAnsi" w:hAnsi="Calibri"/>
      <w:kern w:val="36"/>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customStyle="1" w:styleId="Heading1Char">
    <w:name w:val="Heading 1 Char"/>
    <w:basedOn w:val="DefaultParagraphFont"/>
    <w:link w:val="Heading1"/>
    <w:uiPriority w:val="9"/>
    <w:rsid w:val="00701BD8"/>
    <w:rPr>
      <w:rFonts w:ascii="Calibri" w:hAnsi="Calibri"/>
      <w:kern w:val="36"/>
      <w:sz w:val="22"/>
    </w:rPr>
  </w:style>
  <w:style w:type="paragraph" w:styleId="CommentText">
    <w:name w:val="annotation text"/>
    <w:basedOn w:val="Normal"/>
    <w:link w:val="CommentTextChar"/>
    <w:uiPriority w:val="99"/>
    <w:unhideWhenUsed/>
    <w:rsid w:val="002A7CE6"/>
    <w:rPr>
      <w:sz w:val="20"/>
    </w:rPr>
  </w:style>
  <w:style w:type="character" w:customStyle="1" w:styleId="CommentTextChar">
    <w:name w:val="Comment Text Char"/>
    <w:basedOn w:val="DefaultParagraphFont"/>
    <w:link w:val="CommentText"/>
    <w:uiPriority w:val="99"/>
    <w:rsid w:val="002A7CE6"/>
    <w:rPr>
      <w:rFonts w:eastAsia="Times New Roman"/>
      <w:sz w:val="20"/>
      <w:szCs w:val="20"/>
      <w:lang w:eastAsia="lt-LT"/>
    </w:rPr>
  </w:style>
  <w:style w:type="character" w:styleId="Hyperlink">
    <w:name w:val="Hyperlink"/>
    <w:uiPriority w:val="99"/>
    <w:unhideWhenUsed/>
    <w:rsid w:val="008007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0607800">
      <w:bodyDiv w:val="1"/>
      <w:marLeft w:val="0"/>
      <w:marRight w:val="0"/>
      <w:marTop w:val="0"/>
      <w:marBottom w:val="0"/>
      <w:divBdr>
        <w:top w:val="none" w:sz="0" w:space="0" w:color="auto"/>
        <w:left w:val="none" w:sz="0" w:space="0" w:color="auto"/>
        <w:bottom w:val="none" w:sz="0" w:space="0" w:color="auto"/>
        <w:right w:val="none" w:sz="0" w:space="0" w:color="auto"/>
      </w:divBdr>
    </w:div>
    <w:div w:id="920990151">
      <w:bodyDiv w:val="1"/>
      <w:marLeft w:val="0"/>
      <w:marRight w:val="0"/>
      <w:marTop w:val="0"/>
      <w:marBottom w:val="0"/>
      <w:divBdr>
        <w:top w:val="none" w:sz="0" w:space="0" w:color="auto"/>
        <w:left w:val="none" w:sz="0" w:space="0" w:color="auto"/>
        <w:bottom w:val="none" w:sz="0" w:space="0" w:color="auto"/>
        <w:right w:val="none" w:sz="0" w:space="0" w:color="auto"/>
      </w:divBdr>
    </w:div>
    <w:div w:id="986932618">
      <w:bodyDiv w:val="1"/>
      <w:marLeft w:val="0"/>
      <w:marRight w:val="0"/>
      <w:marTop w:val="0"/>
      <w:marBottom w:val="0"/>
      <w:divBdr>
        <w:top w:val="none" w:sz="0" w:space="0" w:color="auto"/>
        <w:left w:val="none" w:sz="0" w:space="0" w:color="auto"/>
        <w:bottom w:val="none" w:sz="0" w:space="0" w:color="auto"/>
        <w:right w:val="none" w:sz="0" w:space="0" w:color="auto"/>
      </w:divBdr>
    </w:div>
    <w:div w:id="990135626">
      <w:bodyDiv w:val="1"/>
      <w:marLeft w:val="0"/>
      <w:marRight w:val="0"/>
      <w:marTop w:val="0"/>
      <w:marBottom w:val="0"/>
      <w:divBdr>
        <w:top w:val="none" w:sz="0" w:space="0" w:color="auto"/>
        <w:left w:val="none" w:sz="0" w:space="0" w:color="auto"/>
        <w:bottom w:val="none" w:sz="0" w:space="0" w:color="auto"/>
        <w:right w:val="none" w:sz="0" w:space="0" w:color="auto"/>
      </w:divBdr>
    </w:div>
    <w:div w:id="1556576485">
      <w:bodyDiv w:val="1"/>
      <w:marLeft w:val="0"/>
      <w:marRight w:val="0"/>
      <w:marTop w:val="0"/>
      <w:marBottom w:val="0"/>
      <w:divBdr>
        <w:top w:val="none" w:sz="0" w:space="0" w:color="auto"/>
        <w:left w:val="none" w:sz="0" w:space="0" w:color="auto"/>
        <w:bottom w:val="none" w:sz="0" w:space="0" w:color="auto"/>
        <w:right w:val="none" w:sz="0" w:space="0" w:color="auto"/>
      </w:divBdr>
    </w:div>
    <w:div w:id="163479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tar.lt/portal/lt/legalAct/89318200457911e483c6e89f9dba57fd/as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3</Pages>
  <Words>3846</Words>
  <Characters>2193</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Božena Zaikovska-Tomkevičienė</dc:creator>
  <cp:lastModifiedBy>Rudakaite-Saukstel Edita</cp:lastModifiedBy>
  <cp:revision>10</cp:revision>
  <dcterms:created xsi:type="dcterms:W3CDTF">2019-10-11T11:30:00Z</dcterms:created>
  <dcterms:modified xsi:type="dcterms:W3CDTF">2020-08-14T05:17:00Z</dcterms:modified>
</cp:coreProperties>
</file>