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CE476" w14:textId="60880236" w:rsidR="003B5BDA" w:rsidRPr="003B5BDA" w:rsidRDefault="003B5BDA" w:rsidP="003B5BDA">
      <w:pPr>
        <w:pStyle w:val="Pagrindinistekstas1"/>
        <w:widowControl/>
        <w:tabs>
          <w:tab w:val="left" w:pos="720"/>
          <w:tab w:val="left" w:pos="1134"/>
          <w:tab w:val="left" w:pos="1276"/>
          <w:tab w:val="left" w:pos="6237"/>
          <w:tab w:val="left" w:pos="9129"/>
        </w:tabs>
        <w:spacing w:line="240" w:lineRule="auto"/>
        <w:ind w:firstLine="8080"/>
        <w:rPr>
          <w:rFonts w:ascii="Times New Roman" w:hAnsi="Times New Roman"/>
          <w:b/>
          <w:sz w:val="24"/>
          <w:szCs w:val="24"/>
          <w:lang w:val="lt-LT"/>
        </w:rPr>
      </w:pPr>
      <w:r w:rsidRPr="003B5BDA">
        <w:rPr>
          <w:rFonts w:ascii="Times New Roman" w:hAnsi="Times New Roman"/>
          <w:b/>
          <w:sz w:val="24"/>
          <w:szCs w:val="24"/>
          <w:lang w:val="lt-LT"/>
        </w:rPr>
        <w:t>Projekto lyginamasis variantas</w:t>
      </w:r>
    </w:p>
    <w:p w14:paraId="75F559EE" w14:textId="77777777" w:rsidR="003B5BDA" w:rsidRDefault="003B5BDA" w:rsidP="003B5BDA">
      <w:pPr>
        <w:pStyle w:val="Pagrindinistekstas1"/>
        <w:widowControl/>
        <w:tabs>
          <w:tab w:val="left" w:pos="720"/>
          <w:tab w:val="left" w:pos="1134"/>
          <w:tab w:val="left" w:pos="1276"/>
          <w:tab w:val="left" w:pos="6237"/>
          <w:tab w:val="left" w:pos="9129"/>
        </w:tabs>
        <w:spacing w:line="240" w:lineRule="auto"/>
        <w:ind w:firstLine="8080"/>
        <w:rPr>
          <w:rFonts w:ascii="Times New Roman" w:hAnsi="Times New Roman"/>
          <w:sz w:val="24"/>
          <w:szCs w:val="24"/>
          <w:lang w:val="lt-LT"/>
        </w:rPr>
      </w:pPr>
    </w:p>
    <w:p w14:paraId="1468F192" w14:textId="77777777" w:rsidR="00A75823" w:rsidRDefault="0085246A" w:rsidP="00A75823">
      <w:pPr>
        <w:pStyle w:val="Pagrindinistekstas1"/>
        <w:widowControl/>
        <w:tabs>
          <w:tab w:val="left" w:pos="720"/>
          <w:tab w:val="left" w:pos="1134"/>
          <w:tab w:val="left" w:pos="1276"/>
          <w:tab w:val="left" w:pos="6237"/>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PATVIRTINTA</w:t>
      </w:r>
    </w:p>
    <w:p w14:paraId="19081A53" w14:textId="77777777" w:rsidR="0085246A" w:rsidRDefault="0085246A" w:rsidP="00A75823">
      <w:pPr>
        <w:pStyle w:val="Pagrindinistekstas1"/>
        <w:widowControl/>
        <w:tabs>
          <w:tab w:val="left" w:pos="720"/>
          <w:tab w:val="left" w:pos="1134"/>
          <w:tab w:val="left" w:pos="1276"/>
          <w:tab w:val="left" w:pos="6237"/>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66E6A30A" w14:textId="77777777" w:rsidR="0085246A" w:rsidRDefault="0085246A" w:rsidP="00A75823">
      <w:pPr>
        <w:pStyle w:val="Pagrindinistekstas1"/>
        <w:widowControl/>
        <w:tabs>
          <w:tab w:val="left" w:pos="1134"/>
          <w:tab w:val="left" w:pos="1276"/>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2014 m. gruodžio 19 d. įsakymu Nr. D1-1050</w:t>
      </w:r>
    </w:p>
    <w:p w14:paraId="39099C03" w14:textId="77777777" w:rsidR="0085246A" w:rsidRDefault="0085246A" w:rsidP="0085246A"/>
    <w:p w14:paraId="40B2EFB7" w14:textId="77777777" w:rsidR="00383E60" w:rsidRDefault="00383E60" w:rsidP="0085246A"/>
    <w:p w14:paraId="2BA3040B" w14:textId="77777777" w:rsidR="0085246A" w:rsidRPr="009858F5" w:rsidRDefault="0085246A" w:rsidP="0085246A">
      <w:pPr>
        <w:jc w:val="center"/>
        <w:rPr>
          <w:szCs w:val="24"/>
        </w:rPr>
      </w:pPr>
      <w:r w:rsidRPr="009858F5">
        <w:rPr>
          <w:b/>
          <w:bCs/>
          <w:szCs w:val="24"/>
          <w:lang w:eastAsia="lt-LT"/>
        </w:rPr>
        <w:t>NACIONALINIŲ STEBĖSENOS RODIKLIŲ SKAIČIAVIMO APRAŠAS</w:t>
      </w:r>
    </w:p>
    <w:p w14:paraId="2AA57F4F" w14:textId="77777777" w:rsidR="0085246A" w:rsidRPr="009858F5" w:rsidRDefault="0085246A">
      <w:pPr>
        <w:rPr>
          <w:szCs w:val="24"/>
        </w:rPr>
      </w:pPr>
    </w:p>
    <w:tbl>
      <w:tblPr>
        <w:tblStyle w:val="TableGrid"/>
        <w:tblW w:w="15255" w:type="dxa"/>
        <w:tblInd w:w="-743" w:type="dxa"/>
        <w:tblLayout w:type="fixed"/>
        <w:tblLook w:val="04A0" w:firstRow="1" w:lastRow="0" w:firstColumn="1" w:lastColumn="0" w:noHBand="0" w:noVBand="1"/>
      </w:tblPr>
      <w:tblGrid>
        <w:gridCol w:w="738"/>
        <w:gridCol w:w="1134"/>
        <w:gridCol w:w="1560"/>
        <w:gridCol w:w="1052"/>
        <w:gridCol w:w="2886"/>
        <w:gridCol w:w="1512"/>
        <w:gridCol w:w="1651"/>
        <w:gridCol w:w="1679"/>
        <w:gridCol w:w="1663"/>
        <w:gridCol w:w="46"/>
        <w:gridCol w:w="1334"/>
      </w:tblGrid>
      <w:tr w:rsidR="0085246A" w:rsidRPr="009858F5" w14:paraId="35BEC0CB" w14:textId="77777777" w:rsidTr="008327E7">
        <w:trPr>
          <w:trHeight w:val="89"/>
        </w:trPr>
        <w:tc>
          <w:tcPr>
            <w:tcW w:w="738" w:type="dxa"/>
            <w:tcBorders>
              <w:top w:val="single" w:sz="4" w:space="0" w:color="auto"/>
              <w:left w:val="single" w:sz="4" w:space="0" w:color="auto"/>
              <w:bottom w:val="single" w:sz="4" w:space="0" w:color="auto"/>
              <w:right w:val="single" w:sz="4" w:space="0" w:color="auto"/>
            </w:tcBorders>
            <w:vAlign w:val="center"/>
          </w:tcPr>
          <w:p w14:paraId="2A11D09E" w14:textId="77777777" w:rsidR="0085246A" w:rsidRPr="009858F5" w:rsidRDefault="0085246A" w:rsidP="00E37E6A">
            <w:pPr>
              <w:suppressAutoHyphens/>
              <w:jc w:val="center"/>
              <w:rPr>
                <w:iCs/>
                <w:szCs w:val="24"/>
                <w:lang w:eastAsia="lt-LT"/>
              </w:rPr>
            </w:pPr>
            <w:r w:rsidRPr="009858F5">
              <w:rPr>
                <w:iCs/>
                <w:szCs w:val="24"/>
                <w:lang w:eastAsia="lt-LT"/>
              </w:rPr>
              <w:t>Eil. Nr.</w:t>
            </w:r>
          </w:p>
        </w:tc>
        <w:tc>
          <w:tcPr>
            <w:tcW w:w="1134" w:type="dxa"/>
            <w:tcBorders>
              <w:top w:val="single" w:sz="4" w:space="0" w:color="auto"/>
              <w:left w:val="single" w:sz="4" w:space="0" w:color="auto"/>
              <w:bottom w:val="single" w:sz="4" w:space="0" w:color="auto"/>
              <w:right w:val="single" w:sz="4" w:space="0" w:color="auto"/>
            </w:tcBorders>
            <w:vAlign w:val="center"/>
          </w:tcPr>
          <w:p w14:paraId="087D0BDA" w14:textId="1D54F03C" w:rsidR="0085246A" w:rsidRPr="009858F5" w:rsidRDefault="0085246A" w:rsidP="00E37E6A">
            <w:pPr>
              <w:suppressAutoHyphens/>
              <w:jc w:val="center"/>
              <w:rPr>
                <w:iCs/>
                <w:szCs w:val="24"/>
                <w:lang w:eastAsia="lt-LT"/>
              </w:rPr>
            </w:pPr>
            <w:proofErr w:type="spellStart"/>
            <w:r w:rsidRPr="009858F5">
              <w:rPr>
                <w:iCs/>
                <w:szCs w:val="24"/>
                <w:lang w:eastAsia="lt-LT"/>
              </w:rPr>
              <w:t>Rodik</w:t>
            </w:r>
            <w:r w:rsidR="008327E7" w:rsidRPr="009858F5">
              <w:rPr>
                <w:iCs/>
                <w:szCs w:val="24"/>
                <w:lang w:eastAsia="lt-LT"/>
              </w:rPr>
              <w:t>-</w:t>
            </w:r>
            <w:r w:rsidRPr="009858F5">
              <w:rPr>
                <w:iCs/>
                <w:szCs w:val="24"/>
                <w:lang w:eastAsia="lt-LT"/>
              </w:rPr>
              <w:t>lio</w:t>
            </w:r>
            <w:proofErr w:type="spellEnd"/>
            <w:r w:rsidRPr="009858F5">
              <w:rPr>
                <w:iCs/>
                <w:szCs w:val="24"/>
                <w:lang w:eastAsia="lt-LT"/>
              </w:rPr>
              <w:t xml:space="preserve"> kodas</w:t>
            </w:r>
          </w:p>
        </w:tc>
        <w:tc>
          <w:tcPr>
            <w:tcW w:w="1560" w:type="dxa"/>
            <w:tcBorders>
              <w:top w:val="single" w:sz="4" w:space="0" w:color="auto"/>
              <w:left w:val="single" w:sz="4" w:space="0" w:color="auto"/>
              <w:bottom w:val="single" w:sz="4" w:space="0" w:color="auto"/>
              <w:right w:val="single" w:sz="4" w:space="0" w:color="auto"/>
            </w:tcBorders>
            <w:vAlign w:val="center"/>
          </w:tcPr>
          <w:p w14:paraId="403C647D" w14:textId="3AB017C2" w:rsidR="0085246A" w:rsidRPr="009858F5" w:rsidRDefault="0085246A" w:rsidP="00E37E6A">
            <w:pPr>
              <w:widowControl w:val="0"/>
              <w:suppressAutoHyphens/>
              <w:jc w:val="center"/>
              <w:rPr>
                <w:szCs w:val="24"/>
                <w:lang w:eastAsia="lt-LT"/>
              </w:rPr>
            </w:pPr>
            <w:r w:rsidRPr="009858F5">
              <w:rPr>
                <w:szCs w:val="24"/>
                <w:lang w:eastAsia="lt-LT"/>
              </w:rPr>
              <w:t>Rodiklio pavadinimas</w:t>
            </w:r>
          </w:p>
        </w:tc>
        <w:tc>
          <w:tcPr>
            <w:tcW w:w="1052" w:type="dxa"/>
            <w:tcBorders>
              <w:top w:val="single" w:sz="4" w:space="0" w:color="auto"/>
              <w:left w:val="single" w:sz="4" w:space="0" w:color="auto"/>
              <w:bottom w:val="single" w:sz="4" w:space="0" w:color="auto"/>
              <w:right w:val="single" w:sz="4" w:space="0" w:color="auto"/>
            </w:tcBorders>
            <w:vAlign w:val="center"/>
          </w:tcPr>
          <w:p w14:paraId="67E7F563" w14:textId="77777777" w:rsidR="0085246A" w:rsidRPr="009858F5" w:rsidRDefault="0085246A" w:rsidP="00E37E6A">
            <w:pPr>
              <w:widowControl w:val="0"/>
              <w:tabs>
                <w:tab w:val="left" w:pos="622"/>
              </w:tabs>
              <w:suppressAutoHyphens/>
              <w:jc w:val="center"/>
              <w:rPr>
                <w:rFonts w:eastAsia="AngsanaUPC"/>
                <w:bCs/>
                <w:szCs w:val="24"/>
                <w:lang w:eastAsia="lt-LT"/>
              </w:rPr>
            </w:pPr>
            <w:proofErr w:type="spellStart"/>
            <w:r w:rsidRPr="009858F5">
              <w:rPr>
                <w:rFonts w:eastAsia="AngsanaUPC"/>
                <w:bCs/>
                <w:szCs w:val="24"/>
                <w:lang w:eastAsia="lt-LT"/>
              </w:rPr>
              <w:t>Matavi</w:t>
            </w:r>
            <w:proofErr w:type="spellEnd"/>
            <w:r w:rsidRPr="009858F5">
              <w:rPr>
                <w:rFonts w:eastAsia="AngsanaUPC"/>
                <w:bCs/>
                <w:szCs w:val="24"/>
                <w:lang w:eastAsia="lt-LT"/>
              </w:rPr>
              <w:t>-</w:t>
            </w:r>
          </w:p>
          <w:p w14:paraId="48BDB8F9" w14:textId="77777777" w:rsidR="0085246A" w:rsidRPr="009858F5" w:rsidRDefault="0085246A" w:rsidP="00E37E6A">
            <w:pPr>
              <w:widowControl w:val="0"/>
              <w:tabs>
                <w:tab w:val="left" w:pos="622"/>
              </w:tabs>
              <w:suppressAutoHyphens/>
              <w:jc w:val="center"/>
              <w:rPr>
                <w:rFonts w:eastAsia="AngsanaUPC"/>
                <w:bCs/>
                <w:szCs w:val="24"/>
                <w:lang w:eastAsia="lt-LT"/>
              </w:rPr>
            </w:pPr>
            <w:proofErr w:type="spellStart"/>
            <w:r w:rsidRPr="009858F5">
              <w:rPr>
                <w:rFonts w:eastAsia="AngsanaUPC"/>
                <w:bCs/>
                <w:szCs w:val="24"/>
                <w:lang w:eastAsia="lt-LT"/>
              </w:rPr>
              <w:t>mo</w:t>
            </w:r>
            <w:proofErr w:type="spellEnd"/>
            <w:r w:rsidRPr="009858F5">
              <w:rPr>
                <w:rFonts w:eastAsia="AngsanaUPC"/>
                <w:bCs/>
                <w:szCs w:val="24"/>
                <w:lang w:eastAsia="lt-LT"/>
              </w:rPr>
              <w:t xml:space="preserve"> vienetai</w:t>
            </w:r>
          </w:p>
        </w:tc>
        <w:tc>
          <w:tcPr>
            <w:tcW w:w="2886" w:type="dxa"/>
            <w:tcBorders>
              <w:top w:val="single" w:sz="4" w:space="0" w:color="auto"/>
              <w:left w:val="single" w:sz="4" w:space="0" w:color="auto"/>
              <w:bottom w:val="single" w:sz="4" w:space="0" w:color="auto"/>
              <w:right w:val="single" w:sz="4" w:space="0" w:color="auto"/>
            </w:tcBorders>
            <w:vAlign w:val="center"/>
          </w:tcPr>
          <w:p w14:paraId="316DF26A" w14:textId="77777777" w:rsidR="0085246A" w:rsidRPr="009858F5" w:rsidRDefault="0085246A" w:rsidP="00E37E6A">
            <w:pPr>
              <w:widowControl w:val="0"/>
              <w:tabs>
                <w:tab w:val="left" w:pos="622"/>
              </w:tabs>
              <w:suppressAutoHyphens/>
              <w:jc w:val="center"/>
              <w:rPr>
                <w:rFonts w:eastAsia="AngsanaUPC"/>
                <w:bCs/>
                <w:szCs w:val="24"/>
                <w:lang w:eastAsia="lt-LT"/>
              </w:rPr>
            </w:pPr>
            <w:r w:rsidRPr="009858F5">
              <w:rPr>
                <w:rFonts w:eastAsia="AngsanaUPC"/>
                <w:bCs/>
                <w:szCs w:val="24"/>
                <w:lang w:eastAsia="lt-LT"/>
              </w:rPr>
              <w:t>Sąvokų apibrėžtys</w:t>
            </w:r>
          </w:p>
        </w:tc>
        <w:tc>
          <w:tcPr>
            <w:tcW w:w="1512" w:type="dxa"/>
            <w:tcBorders>
              <w:top w:val="single" w:sz="4" w:space="0" w:color="auto"/>
              <w:left w:val="single" w:sz="4" w:space="0" w:color="auto"/>
              <w:bottom w:val="single" w:sz="4" w:space="0" w:color="auto"/>
              <w:right w:val="single" w:sz="4" w:space="0" w:color="auto"/>
            </w:tcBorders>
            <w:vAlign w:val="center"/>
          </w:tcPr>
          <w:p w14:paraId="61F98AB2" w14:textId="77777777" w:rsidR="0085246A" w:rsidRPr="009858F5" w:rsidRDefault="0085246A" w:rsidP="00E37E6A">
            <w:pPr>
              <w:suppressAutoHyphens/>
              <w:jc w:val="center"/>
              <w:rPr>
                <w:iCs/>
                <w:szCs w:val="24"/>
                <w:lang w:eastAsia="lt-LT"/>
              </w:rPr>
            </w:pPr>
            <w:proofErr w:type="spellStart"/>
            <w:r w:rsidRPr="009858F5">
              <w:rPr>
                <w:iCs/>
                <w:szCs w:val="24"/>
                <w:lang w:eastAsia="lt-LT"/>
              </w:rPr>
              <w:t>Apskaičiavi-mo</w:t>
            </w:r>
            <w:proofErr w:type="spellEnd"/>
            <w:r w:rsidRPr="009858F5">
              <w:rPr>
                <w:iCs/>
                <w:szCs w:val="24"/>
                <w:lang w:eastAsia="lt-LT"/>
              </w:rPr>
              <w:t xml:space="preserve"> tipas</w:t>
            </w:r>
          </w:p>
        </w:tc>
        <w:tc>
          <w:tcPr>
            <w:tcW w:w="1651" w:type="dxa"/>
            <w:tcBorders>
              <w:top w:val="single" w:sz="4" w:space="0" w:color="auto"/>
              <w:left w:val="single" w:sz="4" w:space="0" w:color="auto"/>
              <w:bottom w:val="single" w:sz="4" w:space="0" w:color="auto"/>
              <w:right w:val="single" w:sz="4" w:space="0" w:color="auto"/>
            </w:tcBorders>
            <w:vAlign w:val="center"/>
          </w:tcPr>
          <w:p w14:paraId="3D4AC5BA" w14:textId="77777777" w:rsidR="0085246A" w:rsidRPr="009858F5" w:rsidRDefault="0085246A" w:rsidP="00E37E6A">
            <w:pPr>
              <w:suppressAutoHyphens/>
              <w:jc w:val="center"/>
              <w:rPr>
                <w:iCs/>
                <w:szCs w:val="24"/>
                <w:lang w:eastAsia="lt-LT"/>
              </w:rPr>
            </w:pPr>
            <w:r w:rsidRPr="009858F5">
              <w:rPr>
                <w:iCs/>
                <w:szCs w:val="24"/>
                <w:lang w:eastAsia="lt-LT"/>
              </w:rPr>
              <w:t>Skaičiavimo būdas</w:t>
            </w:r>
          </w:p>
        </w:tc>
        <w:tc>
          <w:tcPr>
            <w:tcW w:w="1679" w:type="dxa"/>
            <w:tcBorders>
              <w:top w:val="single" w:sz="4" w:space="0" w:color="auto"/>
              <w:left w:val="single" w:sz="4" w:space="0" w:color="auto"/>
              <w:bottom w:val="single" w:sz="4" w:space="0" w:color="auto"/>
              <w:right w:val="single" w:sz="4" w:space="0" w:color="auto"/>
            </w:tcBorders>
            <w:vAlign w:val="center"/>
          </w:tcPr>
          <w:p w14:paraId="78903C18" w14:textId="77777777" w:rsidR="0085246A" w:rsidRPr="009858F5" w:rsidRDefault="0085246A" w:rsidP="00E37E6A">
            <w:pPr>
              <w:suppressAutoHyphens/>
              <w:jc w:val="center"/>
              <w:rPr>
                <w:iCs/>
                <w:szCs w:val="24"/>
                <w:lang w:eastAsia="lt-LT"/>
              </w:rPr>
            </w:pPr>
            <w:r w:rsidRPr="009858F5">
              <w:rPr>
                <w:iCs/>
                <w:szCs w:val="24"/>
                <w:lang w:eastAsia="lt-LT"/>
              </w:rPr>
              <w:t>Duomenų šaltinis</w:t>
            </w:r>
          </w:p>
        </w:tc>
        <w:tc>
          <w:tcPr>
            <w:tcW w:w="1663" w:type="dxa"/>
            <w:tcBorders>
              <w:top w:val="single" w:sz="4" w:space="0" w:color="auto"/>
              <w:left w:val="single" w:sz="4" w:space="0" w:color="auto"/>
              <w:bottom w:val="single" w:sz="4" w:space="0" w:color="auto"/>
              <w:right w:val="single" w:sz="4" w:space="0" w:color="auto"/>
            </w:tcBorders>
            <w:vAlign w:val="center"/>
          </w:tcPr>
          <w:p w14:paraId="505E6884" w14:textId="77777777" w:rsidR="0085246A" w:rsidRPr="009858F5" w:rsidRDefault="0085246A" w:rsidP="00E3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Cs w:val="24"/>
                <w:lang w:eastAsia="lt-LT"/>
              </w:rPr>
            </w:pPr>
            <w:r w:rsidRPr="009858F5">
              <w:rPr>
                <w:iCs/>
                <w:szCs w:val="24"/>
                <w:lang w:eastAsia="lt-LT"/>
              </w:rPr>
              <w:t>Pasiekimo momentas</w:t>
            </w:r>
          </w:p>
        </w:tc>
        <w:tc>
          <w:tcPr>
            <w:tcW w:w="1380" w:type="dxa"/>
            <w:gridSpan w:val="2"/>
            <w:tcBorders>
              <w:top w:val="single" w:sz="4" w:space="0" w:color="auto"/>
              <w:left w:val="single" w:sz="4" w:space="0" w:color="auto"/>
              <w:bottom w:val="single" w:sz="4" w:space="0" w:color="auto"/>
              <w:right w:val="single" w:sz="4" w:space="0" w:color="auto"/>
            </w:tcBorders>
            <w:vAlign w:val="center"/>
          </w:tcPr>
          <w:p w14:paraId="50DC7D46" w14:textId="77777777" w:rsidR="0085246A" w:rsidRPr="009858F5" w:rsidRDefault="0085246A" w:rsidP="00E37E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szCs w:val="24"/>
                <w:lang w:eastAsia="lt-LT"/>
              </w:rPr>
            </w:pPr>
            <w:r w:rsidRPr="009858F5">
              <w:rPr>
                <w:iCs/>
                <w:szCs w:val="24"/>
                <w:lang w:eastAsia="lt-LT"/>
              </w:rPr>
              <w:t>Institucija</w:t>
            </w:r>
          </w:p>
        </w:tc>
      </w:tr>
      <w:tr w:rsidR="008327E7" w:rsidRPr="009858F5" w14:paraId="3512165E" w14:textId="77777777" w:rsidTr="008327E7">
        <w:trPr>
          <w:trHeight w:val="562"/>
        </w:trPr>
        <w:tc>
          <w:tcPr>
            <w:tcW w:w="738" w:type="dxa"/>
            <w:tcBorders>
              <w:top w:val="single" w:sz="4" w:space="0" w:color="auto"/>
              <w:left w:val="single" w:sz="4" w:space="0" w:color="auto"/>
              <w:bottom w:val="single" w:sz="4" w:space="0" w:color="auto"/>
              <w:right w:val="single" w:sz="4" w:space="0" w:color="auto"/>
            </w:tcBorders>
            <w:vAlign w:val="center"/>
          </w:tcPr>
          <w:p w14:paraId="71F707D5" w14:textId="417D09E3" w:rsidR="008327E7" w:rsidRPr="009858F5" w:rsidRDefault="008327E7" w:rsidP="008327E7">
            <w:pPr>
              <w:widowControl w:val="0"/>
              <w:tabs>
                <w:tab w:val="left" w:pos="622"/>
              </w:tabs>
              <w:suppressAutoHyphens/>
              <w:jc w:val="center"/>
              <w:rPr>
                <w:rFonts w:eastAsia="AngsanaUPC"/>
                <w:bCs/>
                <w:szCs w:val="24"/>
                <w:lang w:eastAsia="lt-LT"/>
              </w:rPr>
            </w:pPr>
            <w:r w:rsidRPr="009858F5">
              <w:rPr>
                <w:iCs/>
                <w:szCs w:val="24"/>
              </w:rPr>
              <w:t>2.</w:t>
            </w:r>
          </w:p>
        </w:tc>
        <w:tc>
          <w:tcPr>
            <w:tcW w:w="14517" w:type="dxa"/>
            <w:gridSpan w:val="10"/>
            <w:tcBorders>
              <w:top w:val="single" w:sz="4" w:space="0" w:color="auto"/>
              <w:left w:val="single" w:sz="4" w:space="0" w:color="auto"/>
              <w:bottom w:val="single" w:sz="4" w:space="0" w:color="auto"/>
              <w:right w:val="single" w:sz="4" w:space="0" w:color="auto"/>
            </w:tcBorders>
          </w:tcPr>
          <w:p w14:paraId="2CF45949" w14:textId="74F1107E" w:rsidR="008327E7" w:rsidRPr="009858F5" w:rsidRDefault="008327E7" w:rsidP="008327E7">
            <w:pPr>
              <w:jc w:val="center"/>
              <w:rPr>
                <w:iCs/>
                <w:szCs w:val="24"/>
              </w:rPr>
            </w:pPr>
            <w:r w:rsidRPr="009858F5">
              <w:rPr>
                <w:iCs/>
                <w:szCs w:val="24"/>
              </w:rPr>
              <w:t xml:space="preserve">Priemonės: </w:t>
            </w:r>
            <w:r w:rsidRPr="009858F5">
              <w:rPr>
                <w:szCs w:val="24"/>
              </w:rPr>
              <w:t>Nr. 05.3.2-APVA</w:t>
            </w:r>
            <w:proofErr w:type="gramStart"/>
            <w:r w:rsidRPr="009858F5">
              <w:rPr>
                <w:szCs w:val="24"/>
              </w:rPr>
              <w:t>-</w:t>
            </w:r>
            <w:proofErr w:type="gramEnd"/>
            <w:r w:rsidRPr="009858F5">
              <w:rPr>
                <w:szCs w:val="24"/>
              </w:rPr>
              <w:t>V-013 „Vandens tiekimo ir nuotekų tvarkymo ūkio gerinimas“ ir Nr. 05.3.2-APVA-R-014 „Geriamojo vandens tiekimo ir nuotekų tvarkymo sistemų renovavimas ir plėtra, įmonių valdymo tobulinimas“</w:t>
            </w:r>
          </w:p>
        </w:tc>
      </w:tr>
      <w:tr w:rsidR="008327E7" w:rsidRPr="009858F5" w14:paraId="610F66AD" w14:textId="77777777" w:rsidTr="00705C78">
        <w:trPr>
          <w:trHeight w:val="562"/>
        </w:trPr>
        <w:tc>
          <w:tcPr>
            <w:tcW w:w="738" w:type="dxa"/>
            <w:tcBorders>
              <w:top w:val="single" w:sz="4" w:space="0" w:color="auto"/>
              <w:left w:val="single" w:sz="4" w:space="0" w:color="auto"/>
              <w:right w:val="single" w:sz="4" w:space="0" w:color="auto"/>
            </w:tcBorders>
          </w:tcPr>
          <w:p w14:paraId="11F0ED9E" w14:textId="0BA03994" w:rsidR="008327E7" w:rsidRPr="009858F5" w:rsidRDefault="008327E7" w:rsidP="008327E7">
            <w:pPr>
              <w:widowControl w:val="0"/>
              <w:tabs>
                <w:tab w:val="left" w:pos="622"/>
              </w:tabs>
              <w:suppressAutoHyphens/>
              <w:jc w:val="left"/>
              <w:rPr>
                <w:rFonts w:eastAsia="AngsanaUPC"/>
                <w:bCs/>
                <w:szCs w:val="24"/>
                <w:lang w:eastAsia="lt-LT"/>
              </w:rPr>
            </w:pPr>
            <w:r w:rsidRPr="009858F5">
              <w:rPr>
                <w:iCs/>
                <w:szCs w:val="24"/>
              </w:rPr>
              <w:t>2.2.</w:t>
            </w:r>
          </w:p>
        </w:tc>
        <w:tc>
          <w:tcPr>
            <w:tcW w:w="1134" w:type="dxa"/>
            <w:tcBorders>
              <w:top w:val="single" w:sz="4" w:space="0" w:color="auto"/>
              <w:left w:val="single" w:sz="4" w:space="0" w:color="auto"/>
              <w:right w:val="single" w:sz="4" w:space="0" w:color="auto"/>
            </w:tcBorders>
          </w:tcPr>
          <w:p w14:paraId="62D8753A" w14:textId="1CCDA022" w:rsidR="008327E7" w:rsidRPr="009858F5" w:rsidRDefault="008327E7" w:rsidP="008327E7">
            <w:pPr>
              <w:widowControl w:val="0"/>
              <w:tabs>
                <w:tab w:val="left" w:pos="622"/>
              </w:tabs>
              <w:suppressAutoHyphens/>
              <w:jc w:val="left"/>
              <w:rPr>
                <w:rFonts w:eastAsia="AngsanaUPC"/>
                <w:bCs/>
                <w:szCs w:val="24"/>
                <w:lang w:eastAsia="lt-LT"/>
              </w:rPr>
            </w:pPr>
            <w:r w:rsidRPr="009858F5">
              <w:rPr>
                <w:szCs w:val="24"/>
              </w:rPr>
              <w:t>P.N.051</w:t>
            </w:r>
          </w:p>
        </w:tc>
        <w:tc>
          <w:tcPr>
            <w:tcW w:w="1560" w:type="dxa"/>
            <w:tcBorders>
              <w:top w:val="single" w:sz="4" w:space="0" w:color="auto"/>
              <w:left w:val="single" w:sz="4" w:space="0" w:color="auto"/>
              <w:right w:val="single" w:sz="4" w:space="0" w:color="auto"/>
            </w:tcBorders>
          </w:tcPr>
          <w:p w14:paraId="25162011" w14:textId="71F05488" w:rsidR="008327E7" w:rsidRPr="009858F5" w:rsidRDefault="008327E7" w:rsidP="008327E7">
            <w:pPr>
              <w:widowControl w:val="0"/>
              <w:tabs>
                <w:tab w:val="left" w:pos="622"/>
              </w:tabs>
              <w:suppressAutoHyphens/>
              <w:jc w:val="left"/>
              <w:rPr>
                <w:rFonts w:eastAsia="AngsanaUPC"/>
                <w:szCs w:val="24"/>
                <w:lang w:eastAsia="lt-LT"/>
              </w:rPr>
            </w:pPr>
            <w:r w:rsidRPr="009858F5">
              <w:rPr>
                <w:szCs w:val="24"/>
                <w:lang w:eastAsia="lt-LT"/>
              </w:rPr>
              <w:t>„Gyventojai, kuriems teikiamos vandens tiekimo paslaugos iš naujai pastatytų ir (arba) rekonstruotų geriamojo vandens gerinimo įrenginių“</w:t>
            </w:r>
          </w:p>
        </w:tc>
        <w:tc>
          <w:tcPr>
            <w:tcW w:w="1052" w:type="dxa"/>
            <w:tcBorders>
              <w:top w:val="single" w:sz="4" w:space="0" w:color="auto"/>
              <w:left w:val="single" w:sz="4" w:space="0" w:color="auto"/>
              <w:right w:val="single" w:sz="4" w:space="0" w:color="auto"/>
            </w:tcBorders>
          </w:tcPr>
          <w:p w14:paraId="5CD8F887" w14:textId="37131960" w:rsidR="008327E7" w:rsidRPr="009858F5" w:rsidRDefault="008327E7" w:rsidP="008327E7">
            <w:pPr>
              <w:widowControl w:val="0"/>
              <w:tabs>
                <w:tab w:val="left" w:pos="622"/>
              </w:tabs>
              <w:suppressAutoHyphens/>
              <w:jc w:val="left"/>
              <w:rPr>
                <w:rFonts w:eastAsia="AngsanaUPC"/>
                <w:b/>
                <w:szCs w:val="24"/>
                <w:lang w:eastAsia="lt-LT"/>
              </w:rPr>
            </w:pPr>
            <w:proofErr w:type="spellStart"/>
            <w:r w:rsidRPr="009858F5">
              <w:rPr>
                <w:szCs w:val="24"/>
              </w:rPr>
              <w:t>Gyven</w:t>
            </w:r>
            <w:proofErr w:type="spellEnd"/>
            <w:r w:rsidRPr="009858F5">
              <w:rPr>
                <w:szCs w:val="24"/>
              </w:rPr>
              <w:t xml:space="preserve">-tojų </w:t>
            </w:r>
            <w:proofErr w:type="spellStart"/>
            <w:r w:rsidRPr="009858F5">
              <w:rPr>
                <w:szCs w:val="24"/>
              </w:rPr>
              <w:t>skai-čius</w:t>
            </w:r>
            <w:proofErr w:type="spellEnd"/>
          </w:p>
        </w:tc>
        <w:tc>
          <w:tcPr>
            <w:tcW w:w="2886" w:type="dxa"/>
            <w:tcBorders>
              <w:top w:val="single" w:sz="4" w:space="0" w:color="auto"/>
              <w:left w:val="single" w:sz="4" w:space="0" w:color="auto"/>
              <w:bottom w:val="single" w:sz="4" w:space="0" w:color="auto"/>
              <w:right w:val="single" w:sz="4" w:space="0" w:color="auto"/>
            </w:tcBorders>
          </w:tcPr>
          <w:p w14:paraId="2E2D2A30" w14:textId="77777777" w:rsidR="008327E7" w:rsidRPr="009858F5" w:rsidRDefault="008327E7" w:rsidP="008327E7">
            <w:pPr>
              <w:suppressAutoHyphens/>
              <w:jc w:val="left"/>
              <w:rPr>
                <w:szCs w:val="24"/>
              </w:rPr>
            </w:pPr>
            <w:r w:rsidRPr="009858F5">
              <w:rPr>
                <w:szCs w:val="24"/>
                <w:lang w:eastAsia="lt-LT"/>
              </w:rPr>
              <w:t>Gyventoja</w:t>
            </w:r>
            <w:r w:rsidRPr="000153F5">
              <w:rPr>
                <w:bCs/>
                <w:szCs w:val="24"/>
                <w:lang w:eastAsia="lt-LT"/>
              </w:rPr>
              <w:t>s</w:t>
            </w:r>
            <w:r w:rsidRPr="009858F5">
              <w:rPr>
                <w:szCs w:val="24"/>
                <w:lang w:eastAsia="lt-LT"/>
              </w:rPr>
              <w:t>, kuriam teikiamos vandens tiekimo paslaugos iš naujai pastatytų ir (arba) rekonstruotų geriamojo vandens gerinimo įrenginių – asmuo, gyvenantis būste, kuriam,</w:t>
            </w:r>
            <w:r w:rsidRPr="009858F5">
              <w:rPr>
                <w:b/>
                <w:szCs w:val="24"/>
                <w:lang w:eastAsia="lt-LT"/>
              </w:rPr>
              <w:t xml:space="preserve"> </w:t>
            </w:r>
            <w:r w:rsidRPr="009858F5">
              <w:rPr>
                <w:szCs w:val="24"/>
                <w:lang w:eastAsia="lt-LT"/>
              </w:rPr>
              <w:t xml:space="preserve">kaip vartotojui, pagal vandens tiekimo ir (arba) nuotekų tvarkymo viešąją sutartį, sudarytą asmeninėms, šeimos ar namų ūkio reikmėms, tiekiamas saugos ir kokybės reikalavimus atitinkantis geriamasis vanduo iš naujai pastatytų ir (arba) rekonstruotų geriamojo vandens gerinimo įrenginių arba kuriam esama geriamojo </w:t>
            </w:r>
            <w:r w:rsidRPr="009858F5">
              <w:rPr>
                <w:szCs w:val="24"/>
                <w:lang w:eastAsia="lt-LT"/>
              </w:rPr>
              <w:lastRenderedPageBreak/>
              <w:t>vandens tiekimo infrastruktūra perjungiama prie vandens gerinimo įrenginių, užtikrinančių geriamojo vandens saugos ir kokybės reikalavimus, nutiesiant naujus geriamojo vandens tiekimo tinklus</w:t>
            </w:r>
          </w:p>
          <w:p w14:paraId="15B8505A" w14:textId="77777777" w:rsidR="008327E7" w:rsidRPr="009858F5" w:rsidRDefault="008327E7" w:rsidP="008327E7">
            <w:pPr>
              <w:suppressAutoHyphens/>
              <w:jc w:val="left"/>
              <w:rPr>
                <w:szCs w:val="24"/>
              </w:rPr>
            </w:pPr>
          </w:p>
          <w:p w14:paraId="5AEF4929" w14:textId="77777777" w:rsidR="008327E7" w:rsidRPr="009858F5" w:rsidRDefault="008327E7" w:rsidP="008327E7">
            <w:pPr>
              <w:suppressAutoHyphens/>
              <w:jc w:val="left"/>
              <w:rPr>
                <w:szCs w:val="24"/>
              </w:rPr>
            </w:pPr>
            <w:r w:rsidRPr="009858F5">
              <w:rPr>
                <w:szCs w:val="24"/>
              </w:rPr>
              <w:t xml:space="preserve">Geriamojo vandens gerinimo įrenginys (toliau – VGĮ) – tai stacionarus technikos objektas, kuriame vykdomas </w:t>
            </w:r>
          </w:p>
          <w:p w14:paraId="28D69A24" w14:textId="77777777" w:rsidR="008327E7" w:rsidRPr="009858F5" w:rsidRDefault="008327E7" w:rsidP="008327E7">
            <w:pPr>
              <w:suppressAutoHyphens/>
              <w:jc w:val="left"/>
              <w:rPr>
                <w:szCs w:val="24"/>
              </w:rPr>
            </w:pPr>
            <w:r w:rsidRPr="009858F5">
              <w:rPr>
                <w:szCs w:val="24"/>
              </w:rPr>
              <w:t>gamtinio vandens savybių gerinimas fizikiniais, cheminiais ir biologiniais metodais, kad jis atitiktų teisės aktų nustatytus geriamojo vandens saugos ir kokybės reikalavimus bei tenkintų vandens vartotojų poreikius</w:t>
            </w:r>
          </w:p>
          <w:p w14:paraId="5764C2D5" w14:textId="0762819A" w:rsidR="008327E7" w:rsidRPr="009858F5" w:rsidRDefault="008327E7" w:rsidP="008327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Cs/>
                <w:szCs w:val="24"/>
              </w:rPr>
            </w:pPr>
          </w:p>
        </w:tc>
        <w:tc>
          <w:tcPr>
            <w:tcW w:w="1512" w:type="dxa"/>
            <w:tcBorders>
              <w:top w:val="single" w:sz="4" w:space="0" w:color="auto"/>
              <w:left w:val="single" w:sz="4" w:space="0" w:color="auto"/>
              <w:bottom w:val="single" w:sz="4" w:space="0" w:color="auto"/>
              <w:right w:val="single" w:sz="4" w:space="0" w:color="auto"/>
            </w:tcBorders>
          </w:tcPr>
          <w:p w14:paraId="4F935193" w14:textId="070574CC" w:rsidR="008327E7" w:rsidRPr="009858F5" w:rsidRDefault="008327E7" w:rsidP="008327E7">
            <w:pPr>
              <w:jc w:val="left"/>
              <w:rPr>
                <w:b/>
                <w:iCs/>
                <w:szCs w:val="24"/>
              </w:rPr>
            </w:pPr>
            <w:r w:rsidRPr="009858F5">
              <w:rPr>
                <w:iCs/>
                <w:szCs w:val="24"/>
              </w:rPr>
              <w:lastRenderedPageBreak/>
              <w:t xml:space="preserve">Automatiškai </w:t>
            </w:r>
            <w:proofErr w:type="spellStart"/>
            <w:r w:rsidRPr="009858F5">
              <w:rPr>
                <w:iCs/>
                <w:szCs w:val="24"/>
              </w:rPr>
              <w:t>apskaičiuo</w:t>
            </w:r>
            <w:proofErr w:type="gramStart"/>
            <w:r w:rsidRPr="009858F5">
              <w:rPr>
                <w:iCs/>
                <w:szCs w:val="24"/>
              </w:rPr>
              <w:t>-</w:t>
            </w:r>
            <w:proofErr w:type="gramEnd"/>
            <w:r w:rsidRPr="009858F5">
              <w:rPr>
                <w:iCs/>
                <w:szCs w:val="24"/>
              </w:rPr>
              <w:t>jamas</w:t>
            </w:r>
            <w:proofErr w:type="spellEnd"/>
          </w:p>
        </w:tc>
        <w:tc>
          <w:tcPr>
            <w:tcW w:w="1651" w:type="dxa"/>
            <w:tcBorders>
              <w:top w:val="single" w:sz="4" w:space="0" w:color="auto"/>
              <w:left w:val="single" w:sz="4" w:space="0" w:color="auto"/>
              <w:right w:val="single" w:sz="4" w:space="0" w:color="auto"/>
            </w:tcBorders>
          </w:tcPr>
          <w:p w14:paraId="55D4E30E" w14:textId="201DE626" w:rsidR="003E23FD" w:rsidRPr="009858F5" w:rsidRDefault="008327E7" w:rsidP="008327E7">
            <w:pPr>
              <w:suppressAutoHyphens/>
              <w:jc w:val="left"/>
              <w:rPr>
                <w:szCs w:val="24"/>
              </w:rPr>
            </w:pPr>
            <w:r w:rsidRPr="009858F5">
              <w:rPr>
                <w:szCs w:val="24"/>
                <w:lang w:eastAsia="lt-LT"/>
              </w:rPr>
              <w:t>Skaičiuojama</w:t>
            </w:r>
            <w:r w:rsidR="00446974">
              <w:rPr>
                <w:szCs w:val="24"/>
                <w:lang w:eastAsia="lt-LT"/>
              </w:rPr>
              <w:t>s</w:t>
            </w:r>
            <w:r w:rsidRPr="00446974">
              <w:rPr>
                <w:szCs w:val="24"/>
                <w:lang w:eastAsia="lt-LT"/>
              </w:rPr>
              <w:t xml:space="preserve"> </w:t>
            </w:r>
            <w:r w:rsidRPr="009858F5">
              <w:rPr>
                <w:szCs w:val="24"/>
                <w:lang w:eastAsia="lt-LT"/>
              </w:rPr>
              <w:t xml:space="preserve">būstų/namų ūkių, aptarnaujamų </w:t>
            </w:r>
            <w:r w:rsidRPr="009858F5">
              <w:rPr>
                <w:szCs w:val="24"/>
              </w:rPr>
              <w:t xml:space="preserve">įgyvendinus </w:t>
            </w:r>
            <w:r w:rsidRPr="009858F5">
              <w:rPr>
                <w:szCs w:val="24"/>
                <w:lang w:eastAsia="lt-LT"/>
              </w:rPr>
              <w:t xml:space="preserve">projekto veiklas naujai pastatytais ir (arba) rekonstruotais geriamojo vandens gerinimo įrenginiais arba naujai nutiestais geriamojo vandens tiekimo tinklais (sąvokose </w:t>
            </w:r>
            <w:r w:rsidRPr="009858F5">
              <w:rPr>
                <w:szCs w:val="24"/>
                <w:lang w:eastAsia="lt-LT"/>
              </w:rPr>
              <w:lastRenderedPageBreak/>
              <w:t xml:space="preserve">nurodytu atveju), </w:t>
            </w:r>
          </w:p>
          <w:p w14:paraId="702D5952" w14:textId="631779E2" w:rsidR="008327E7" w:rsidRPr="009858F5" w:rsidRDefault="008327E7" w:rsidP="008327E7">
            <w:pPr>
              <w:suppressAutoHyphens/>
              <w:jc w:val="left"/>
              <w:rPr>
                <w:szCs w:val="24"/>
              </w:rPr>
            </w:pPr>
            <w:r w:rsidRPr="009858F5">
              <w:rPr>
                <w:szCs w:val="24"/>
                <w:lang w:eastAsia="lt-LT"/>
              </w:rPr>
              <w:t xml:space="preserve">skaičių dauginant iš </w:t>
            </w:r>
            <w:r w:rsidRPr="009858F5">
              <w:rPr>
                <w:szCs w:val="24"/>
              </w:rPr>
              <w:t xml:space="preserve">projekto paraiškoje nurodyto gyventojų būste koeficiento </w:t>
            </w:r>
            <w:proofErr w:type="gramStart"/>
            <w:r w:rsidRPr="009858F5">
              <w:rPr>
                <w:szCs w:val="24"/>
              </w:rPr>
              <w:t>(</w:t>
            </w:r>
            <w:proofErr w:type="gramEnd"/>
            <w:r w:rsidRPr="009858F5">
              <w:rPr>
                <w:szCs w:val="24"/>
              </w:rPr>
              <w:t>dešimtosios</w:t>
            </w:r>
          </w:p>
          <w:p w14:paraId="44792D5B" w14:textId="77777777" w:rsidR="00B15C89" w:rsidRPr="009858F5" w:rsidRDefault="00B15C89" w:rsidP="008327E7">
            <w:pPr>
              <w:suppressAutoHyphens/>
              <w:jc w:val="left"/>
              <w:rPr>
                <w:szCs w:val="24"/>
              </w:rPr>
            </w:pPr>
            <w:r w:rsidRPr="009858F5">
              <w:rPr>
                <w:szCs w:val="24"/>
              </w:rPr>
              <w:t>tikslumu).</w:t>
            </w:r>
          </w:p>
          <w:p w14:paraId="2F62A0EB" w14:textId="77777777" w:rsidR="00B15C89" w:rsidRPr="009858F5" w:rsidRDefault="00B15C89" w:rsidP="008327E7">
            <w:pPr>
              <w:suppressAutoHyphens/>
              <w:jc w:val="left"/>
              <w:rPr>
                <w:szCs w:val="24"/>
              </w:rPr>
            </w:pPr>
          </w:p>
          <w:p w14:paraId="16C883B8" w14:textId="14CBEC9C" w:rsidR="008327E7" w:rsidRPr="009858F5" w:rsidRDefault="008327E7" w:rsidP="008327E7">
            <w:pPr>
              <w:suppressAutoHyphens/>
              <w:jc w:val="left"/>
              <w:rPr>
                <w:szCs w:val="24"/>
              </w:rPr>
            </w:pPr>
            <w:r w:rsidRPr="009858F5">
              <w:rPr>
                <w:szCs w:val="24"/>
              </w:rPr>
              <w:t>Gyventojų būste koeficientas – santykis tarp projektinio pasiūlymo rengimo metu naujausių Lietuvos statistikos departamento oficialiai skelbiamų konkrečios savivaldybės teritorijoje esančių gyventojų ir būstų skaičiaus</w:t>
            </w:r>
            <w:r w:rsidR="00294E88" w:rsidRPr="009858F5">
              <w:rPr>
                <w:szCs w:val="24"/>
              </w:rPr>
              <w:t>.</w:t>
            </w:r>
          </w:p>
          <w:p w14:paraId="5248DF0E" w14:textId="6E40E38D" w:rsidR="008327E7" w:rsidRPr="009858F5" w:rsidRDefault="00294E88" w:rsidP="00294E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rPr>
                <w:iCs/>
                <w:szCs w:val="24"/>
              </w:rPr>
            </w:pPr>
            <w:r w:rsidRPr="009858F5">
              <w:rPr>
                <w:iCs/>
                <w:szCs w:val="24"/>
              </w:rPr>
              <w:t xml:space="preserve">Tais atvejais, kai VGĮ </w:t>
            </w:r>
            <w:proofErr w:type="spellStart"/>
            <w:r w:rsidRPr="009858F5">
              <w:rPr>
                <w:iCs/>
                <w:szCs w:val="24"/>
              </w:rPr>
              <w:t>rekonstruo</w:t>
            </w:r>
            <w:proofErr w:type="gramStart"/>
            <w:r w:rsidRPr="009858F5">
              <w:rPr>
                <w:iCs/>
                <w:szCs w:val="24"/>
              </w:rPr>
              <w:t>-</w:t>
            </w:r>
            <w:proofErr w:type="gramEnd"/>
            <w:r w:rsidRPr="009858F5">
              <w:rPr>
                <w:iCs/>
                <w:szCs w:val="24"/>
              </w:rPr>
              <w:lastRenderedPageBreak/>
              <w:t>jamas</w:t>
            </w:r>
            <w:proofErr w:type="spellEnd"/>
            <w:r w:rsidRPr="009858F5">
              <w:rPr>
                <w:iCs/>
                <w:szCs w:val="24"/>
              </w:rPr>
              <w:t xml:space="preserve"> atskirais projektais, siekiant nesumuoti tų pačių gyventojų kelis kartus, rodiklio reikšmė – gyventojų skaičius – nustatomas proporcingai projekto investicijų dydžiui.</w:t>
            </w:r>
          </w:p>
        </w:tc>
        <w:tc>
          <w:tcPr>
            <w:tcW w:w="1679" w:type="dxa"/>
            <w:tcBorders>
              <w:top w:val="single" w:sz="4" w:space="0" w:color="auto"/>
              <w:left w:val="single" w:sz="4" w:space="0" w:color="auto"/>
              <w:bottom w:val="single" w:sz="4" w:space="0" w:color="auto"/>
              <w:right w:val="single" w:sz="4" w:space="0" w:color="auto"/>
            </w:tcBorders>
          </w:tcPr>
          <w:p w14:paraId="26B370FE" w14:textId="77777777" w:rsidR="008327E7" w:rsidRPr="009858F5" w:rsidRDefault="008327E7" w:rsidP="008327E7">
            <w:pPr>
              <w:jc w:val="left"/>
              <w:rPr>
                <w:rFonts w:eastAsiaTheme="minorEastAsia"/>
                <w:szCs w:val="24"/>
              </w:rPr>
            </w:pPr>
            <w:r w:rsidRPr="009858F5">
              <w:rPr>
                <w:rFonts w:eastAsiaTheme="minorEastAsia"/>
                <w:szCs w:val="24"/>
              </w:rPr>
              <w:lastRenderedPageBreak/>
              <w:t>Pirminiai šaltiniai:</w:t>
            </w:r>
          </w:p>
          <w:p w14:paraId="544E051C" w14:textId="7AD50D1F" w:rsidR="00B15C89" w:rsidRPr="009858F5" w:rsidRDefault="008327E7" w:rsidP="00B15C89">
            <w:pPr>
              <w:jc w:val="left"/>
              <w:rPr>
                <w:rFonts w:eastAsiaTheme="minorEastAsia"/>
                <w:strike/>
                <w:szCs w:val="24"/>
                <w:highlight w:val="yellow"/>
              </w:rPr>
            </w:pPr>
            <w:r w:rsidRPr="009858F5">
              <w:rPr>
                <w:rFonts w:eastAsiaTheme="minorEastAsia"/>
                <w:szCs w:val="24"/>
              </w:rPr>
              <w:t xml:space="preserve">statybos užbaigimo patvirtinimo dokumentai; Aplinkos apsaugos agentūros per informacinę sistemą „Aplinkos informacijos valdymo integruota kompiuterinė sistema“ (toliau – IS AIVIKS) priimtos paskutinės </w:t>
            </w:r>
            <w:r w:rsidRPr="009858F5">
              <w:rPr>
                <w:rFonts w:eastAsiaTheme="minorEastAsia"/>
                <w:szCs w:val="24"/>
              </w:rPr>
              <w:lastRenderedPageBreak/>
              <w:t xml:space="preserve">vandens naudojimo apskaitos metinės ataskaitos, nurodančios rekonstruotais </w:t>
            </w:r>
            <w:r w:rsidR="00B86605" w:rsidRPr="009858F5">
              <w:rPr>
                <w:rFonts w:eastAsiaTheme="minorEastAsia"/>
                <w:b/>
                <w:szCs w:val="24"/>
              </w:rPr>
              <w:t xml:space="preserve">ir (arba) naujai pastatytais </w:t>
            </w:r>
            <w:r w:rsidRPr="009858F5">
              <w:rPr>
                <w:rFonts w:eastAsiaTheme="minorEastAsia"/>
                <w:szCs w:val="24"/>
              </w:rPr>
              <w:t>VGĮ aptarnaujamų namų ūkių skaičių gyvenamo</w:t>
            </w:r>
            <w:proofErr w:type="gramStart"/>
            <w:r w:rsidR="0000286F" w:rsidRPr="009858F5">
              <w:rPr>
                <w:rFonts w:eastAsiaTheme="minorEastAsia"/>
                <w:szCs w:val="24"/>
              </w:rPr>
              <w:t>-</w:t>
            </w:r>
            <w:proofErr w:type="spellStart"/>
            <w:proofErr w:type="gramEnd"/>
            <w:r w:rsidR="003D4499" w:rsidRPr="003D4499">
              <w:rPr>
                <w:rFonts w:eastAsiaTheme="minorEastAsia"/>
                <w:b/>
                <w:bCs/>
                <w:szCs w:val="24"/>
              </w:rPr>
              <w:t>joje</w:t>
            </w:r>
            <w:r w:rsidRPr="003D4499">
              <w:rPr>
                <w:rFonts w:eastAsiaTheme="minorEastAsia"/>
                <w:strike/>
                <w:szCs w:val="24"/>
              </w:rPr>
              <w:t>siose</w:t>
            </w:r>
            <w:proofErr w:type="spellEnd"/>
            <w:r w:rsidRPr="009858F5">
              <w:rPr>
                <w:rFonts w:eastAsiaTheme="minorEastAsia"/>
                <w:szCs w:val="24"/>
              </w:rPr>
              <w:t xml:space="preserve"> </w:t>
            </w:r>
            <w:proofErr w:type="spellStart"/>
            <w:r w:rsidRPr="009858F5">
              <w:rPr>
                <w:rFonts w:eastAsiaTheme="minorEastAsia"/>
                <w:szCs w:val="24"/>
              </w:rPr>
              <w:t>vietovė</w:t>
            </w:r>
            <w:r w:rsidR="003D4499" w:rsidRPr="003D4499">
              <w:rPr>
                <w:rFonts w:eastAsiaTheme="minorEastAsia"/>
                <w:b/>
                <w:bCs/>
                <w:szCs w:val="24"/>
              </w:rPr>
              <w:t>je</w:t>
            </w:r>
            <w:r w:rsidRPr="003D4499">
              <w:rPr>
                <w:rFonts w:eastAsiaTheme="minorEastAsia"/>
                <w:strike/>
                <w:szCs w:val="24"/>
              </w:rPr>
              <w:t>se</w:t>
            </w:r>
            <w:proofErr w:type="spellEnd"/>
            <w:r w:rsidR="00225D55" w:rsidRPr="009858F5">
              <w:rPr>
                <w:rFonts w:eastAsiaTheme="minorEastAsia"/>
                <w:b/>
                <w:szCs w:val="24"/>
              </w:rPr>
              <w:t>.</w:t>
            </w:r>
            <w:r w:rsidR="00225D55" w:rsidRPr="009858F5">
              <w:rPr>
                <w:rFonts w:eastAsiaTheme="minorEastAsia"/>
                <w:szCs w:val="24"/>
              </w:rPr>
              <w:t xml:space="preserve"> </w:t>
            </w:r>
            <w:r w:rsidR="00225D55" w:rsidRPr="009858F5">
              <w:rPr>
                <w:rFonts w:eastAsiaTheme="minorEastAsia"/>
                <w:strike/>
                <w:szCs w:val="24"/>
              </w:rPr>
              <w:t>arba techninė specifikacija, kurioje nurodytas naujai statomais VGĮ planuojamas aptarnauti namų ūkių (būstų) skaičius.</w:t>
            </w:r>
          </w:p>
          <w:p w14:paraId="7752428A" w14:textId="0DA5430F" w:rsidR="008327E7" w:rsidRPr="009858F5" w:rsidRDefault="008327E7" w:rsidP="008327E7">
            <w:pPr>
              <w:jc w:val="left"/>
              <w:rPr>
                <w:rFonts w:eastAsiaTheme="minorEastAsia"/>
                <w:szCs w:val="24"/>
              </w:rPr>
            </w:pPr>
          </w:p>
          <w:p w14:paraId="3B867D2A" w14:textId="7298FBD4" w:rsidR="003E23FD" w:rsidRPr="009858F5" w:rsidRDefault="0087007B" w:rsidP="003E23FD">
            <w:pPr>
              <w:jc w:val="left"/>
              <w:rPr>
                <w:b/>
                <w:szCs w:val="24"/>
              </w:rPr>
            </w:pPr>
            <w:r w:rsidRPr="009858F5">
              <w:rPr>
                <w:rFonts w:eastAsiaTheme="minorEastAsia"/>
                <w:b/>
                <w:szCs w:val="24"/>
              </w:rPr>
              <w:t xml:space="preserve">Tais atvejais, kai </w:t>
            </w:r>
            <w:r w:rsidRPr="009858F5">
              <w:rPr>
                <w:b/>
                <w:szCs w:val="24"/>
              </w:rPr>
              <w:t>rodiklio pasiekimo deklaravimo moment</w:t>
            </w:r>
            <w:r w:rsidR="00215196">
              <w:rPr>
                <w:b/>
                <w:szCs w:val="24"/>
              </w:rPr>
              <w:t>u yra daugiau aptarnauja-</w:t>
            </w:r>
            <w:proofErr w:type="spellStart"/>
            <w:r w:rsidR="00215196">
              <w:rPr>
                <w:b/>
                <w:szCs w:val="24"/>
              </w:rPr>
              <w:lastRenderedPageBreak/>
              <w:t>mų</w:t>
            </w:r>
            <w:proofErr w:type="spellEnd"/>
            <w:r w:rsidR="00215196">
              <w:rPr>
                <w:b/>
                <w:szCs w:val="24"/>
              </w:rPr>
              <w:t xml:space="preserve"> namų ūkių nei nurodyta paskutinėje IS AIVIKS ataskaitoje, teikiamas </w:t>
            </w:r>
            <w:r w:rsidR="003E23FD" w:rsidRPr="009858F5">
              <w:rPr>
                <w:b/>
                <w:szCs w:val="24"/>
              </w:rPr>
              <w:t xml:space="preserve">įmonės vadovo patvirtintas </w:t>
            </w:r>
            <w:r w:rsidR="00215196">
              <w:rPr>
                <w:b/>
                <w:szCs w:val="24"/>
              </w:rPr>
              <w:t xml:space="preserve">papildomai </w:t>
            </w:r>
            <w:r w:rsidR="003E23FD" w:rsidRPr="009858F5">
              <w:rPr>
                <w:b/>
                <w:szCs w:val="24"/>
              </w:rPr>
              <w:t>prijungtų ir šiais įrenginiais aptarnauja</w:t>
            </w:r>
            <w:r w:rsidR="00225D55" w:rsidRPr="009858F5">
              <w:rPr>
                <w:b/>
                <w:szCs w:val="24"/>
              </w:rPr>
              <w:t>-</w:t>
            </w:r>
            <w:proofErr w:type="spellStart"/>
            <w:r w:rsidR="003E23FD" w:rsidRPr="009858F5">
              <w:rPr>
                <w:b/>
                <w:szCs w:val="24"/>
              </w:rPr>
              <w:t>mų</w:t>
            </w:r>
            <w:proofErr w:type="spellEnd"/>
            <w:r w:rsidR="003E23FD" w:rsidRPr="009858F5">
              <w:rPr>
                <w:b/>
                <w:szCs w:val="24"/>
              </w:rPr>
              <w:t xml:space="preserve"> namų ūkių </w:t>
            </w:r>
            <w:r w:rsidR="00215196">
              <w:rPr>
                <w:b/>
                <w:szCs w:val="24"/>
              </w:rPr>
              <w:t>sąrašas</w:t>
            </w:r>
            <w:r w:rsidRPr="009858F5">
              <w:rPr>
                <w:b/>
                <w:szCs w:val="24"/>
              </w:rPr>
              <w:t>.</w:t>
            </w:r>
          </w:p>
          <w:p w14:paraId="29CFB201" w14:textId="1B0F6B36" w:rsidR="008327E7" w:rsidRDefault="008327E7" w:rsidP="008327E7">
            <w:pPr>
              <w:jc w:val="left"/>
              <w:rPr>
                <w:rFonts w:eastAsiaTheme="minorEastAsia"/>
                <w:szCs w:val="24"/>
              </w:rPr>
            </w:pPr>
          </w:p>
          <w:p w14:paraId="7259819E" w14:textId="6B1C9D88" w:rsidR="00BA03E3" w:rsidRPr="001972E2" w:rsidRDefault="006D5173" w:rsidP="008327E7">
            <w:pPr>
              <w:jc w:val="left"/>
              <w:rPr>
                <w:rFonts w:eastAsiaTheme="minorEastAsia"/>
                <w:b/>
                <w:bCs/>
                <w:szCs w:val="24"/>
              </w:rPr>
            </w:pPr>
            <w:r w:rsidRPr="001972E2">
              <w:rPr>
                <w:rFonts w:eastAsiaTheme="minorEastAsia"/>
                <w:b/>
                <w:bCs/>
                <w:szCs w:val="24"/>
              </w:rPr>
              <w:t xml:space="preserve">Tais atvejais, kai </w:t>
            </w:r>
            <w:r w:rsidR="00FC7A47">
              <w:rPr>
                <w:rFonts w:eastAsiaTheme="minorEastAsia"/>
                <w:b/>
                <w:bCs/>
                <w:szCs w:val="24"/>
              </w:rPr>
              <w:t xml:space="preserve">IS </w:t>
            </w:r>
            <w:r w:rsidRPr="001972E2">
              <w:rPr>
                <w:rFonts w:eastAsiaTheme="minorEastAsia"/>
                <w:b/>
                <w:bCs/>
                <w:szCs w:val="24"/>
              </w:rPr>
              <w:t xml:space="preserve">AIVIKS </w:t>
            </w:r>
            <w:r w:rsidR="001F4795" w:rsidRPr="001972E2">
              <w:rPr>
                <w:rFonts w:eastAsiaTheme="minorEastAsia"/>
                <w:b/>
                <w:bCs/>
                <w:szCs w:val="24"/>
              </w:rPr>
              <w:t>ataskaitoje pateiktas</w:t>
            </w:r>
            <w:r w:rsidR="006F15BC" w:rsidRPr="001972E2">
              <w:rPr>
                <w:rFonts w:eastAsiaTheme="minorEastAsia"/>
                <w:b/>
                <w:bCs/>
                <w:szCs w:val="24"/>
              </w:rPr>
              <w:t xml:space="preserve"> </w:t>
            </w:r>
            <w:r w:rsidR="001F4795" w:rsidRPr="001972E2">
              <w:rPr>
                <w:b/>
                <w:bCs/>
                <w:shd w:val="clear" w:color="auto" w:fill="FFFFFF"/>
              </w:rPr>
              <w:t xml:space="preserve">bendras </w:t>
            </w:r>
            <w:r w:rsidR="006F15BC" w:rsidRPr="001972E2">
              <w:rPr>
                <w:b/>
                <w:bCs/>
                <w:shd w:val="clear" w:color="auto" w:fill="FFFFFF"/>
              </w:rPr>
              <w:t>gyvenvietės visų</w:t>
            </w:r>
            <w:r w:rsidR="001F4795" w:rsidRPr="001972E2">
              <w:rPr>
                <w:b/>
                <w:bCs/>
                <w:shd w:val="clear" w:color="auto" w:fill="FFFFFF"/>
              </w:rPr>
              <w:t xml:space="preserve"> </w:t>
            </w:r>
            <w:r w:rsidR="006E2DF9" w:rsidRPr="001972E2">
              <w:rPr>
                <w:b/>
                <w:bCs/>
                <w:shd w:val="clear" w:color="auto" w:fill="FFFFFF"/>
              </w:rPr>
              <w:t>VGĮ</w:t>
            </w:r>
            <w:r w:rsidR="001F4795" w:rsidRPr="001972E2">
              <w:rPr>
                <w:b/>
                <w:bCs/>
                <w:shd w:val="clear" w:color="auto" w:fill="FFFFFF"/>
              </w:rPr>
              <w:t xml:space="preserve"> aptarnauja</w:t>
            </w:r>
            <w:r w:rsidR="00BA03E3" w:rsidRPr="001972E2">
              <w:rPr>
                <w:b/>
                <w:bCs/>
                <w:shd w:val="clear" w:color="auto" w:fill="FFFFFF"/>
              </w:rPr>
              <w:t>-</w:t>
            </w:r>
            <w:proofErr w:type="spellStart"/>
            <w:r w:rsidR="001F4795" w:rsidRPr="001972E2">
              <w:rPr>
                <w:b/>
                <w:bCs/>
                <w:shd w:val="clear" w:color="auto" w:fill="FFFFFF"/>
              </w:rPr>
              <w:t>mų</w:t>
            </w:r>
            <w:proofErr w:type="spellEnd"/>
            <w:r w:rsidR="001F4795" w:rsidRPr="001972E2">
              <w:rPr>
                <w:b/>
                <w:bCs/>
                <w:shd w:val="clear" w:color="auto" w:fill="FFFFFF"/>
              </w:rPr>
              <w:t xml:space="preserve"> </w:t>
            </w:r>
            <w:r w:rsidR="00BA03E3" w:rsidRPr="001972E2">
              <w:rPr>
                <w:b/>
                <w:bCs/>
                <w:shd w:val="clear" w:color="auto" w:fill="FFFFFF"/>
              </w:rPr>
              <w:t>namų ūkių</w:t>
            </w:r>
            <w:r w:rsidR="001F4795" w:rsidRPr="001972E2">
              <w:rPr>
                <w:b/>
                <w:bCs/>
                <w:shd w:val="clear" w:color="auto" w:fill="FFFFFF"/>
              </w:rPr>
              <w:t xml:space="preserve"> skaiči</w:t>
            </w:r>
            <w:r w:rsidR="00BA03E3" w:rsidRPr="001972E2">
              <w:rPr>
                <w:b/>
                <w:bCs/>
                <w:shd w:val="clear" w:color="auto" w:fill="FFFFFF"/>
              </w:rPr>
              <w:t>us</w:t>
            </w:r>
            <w:r w:rsidR="001F4795" w:rsidRPr="001972E2">
              <w:rPr>
                <w:b/>
                <w:bCs/>
                <w:shd w:val="clear" w:color="auto" w:fill="FFFFFF"/>
              </w:rPr>
              <w:t>,</w:t>
            </w:r>
            <w:r w:rsidR="00BA03E3" w:rsidRPr="001972E2">
              <w:rPr>
                <w:b/>
                <w:bCs/>
                <w:shd w:val="clear" w:color="auto" w:fill="FFFFFF"/>
              </w:rPr>
              <w:t xml:space="preserve"> </w:t>
            </w:r>
            <w:r w:rsidR="006F15BC" w:rsidRPr="001972E2">
              <w:rPr>
                <w:b/>
                <w:bCs/>
                <w:shd w:val="clear" w:color="auto" w:fill="FFFFFF"/>
              </w:rPr>
              <w:t>teikiama</w:t>
            </w:r>
          </w:p>
          <w:p w14:paraId="21B63337" w14:textId="09801FCD" w:rsidR="001F4795" w:rsidRPr="001972E2" w:rsidRDefault="00BA03E3" w:rsidP="008327E7">
            <w:pPr>
              <w:jc w:val="left"/>
              <w:rPr>
                <w:rFonts w:eastAsiaTheme="minorEastAsia"/>
                <w:b/>
                <w:szCs w:val="24"/>
              </w:rPr>
            </w:pPr>
            <w:r w:rsidRPr="001972E2">
              <w:rPr>
                <w:b/>
                <w:szCs w:val="24"/>
              </w:rPr>
              <w:t>įmonės vadovo patvirtinta</w:t>
            </w:r>
            <w:r w:rsidR="006F15BC" w:rsidRPr="001972E2">
              <w:rPr>
                <w:b/>
                <w:szCs w:val="24"/>
              </w:rPr>
              <w:t xml:space="preserve"> konkrečios </w:t>
            </w:r>
            <w:r w:rsidRPr="001972E2">
              <w:rPr>
                <w:b/>
                <w:shd w:val="clear" w:color="auto" w:fill="FFFFFF"/>
              </w:rPr>
              <w:t xml:space="preserve">VGĮ </w:t>
            </w:r>
            <w:r w:rsidR="006F15BC" w:rsidRPr="001972E2">
              <w:rPr>
                <w:b/>
                <w:shd w:val="clear" w:color="auto" w:fill="FFFFFF"/>
              </w:rPr>
              <w:t xml:space="preserve">vandens tiekimo </w:t>
            </w:r>
            <w:r w:rsidR="006F15BC" w:rsidRPr="001972E2">
              <w:rPr>
                <w:b/>
                <w:shd w:val="clear" w:color="auto" w:fill="FFFFFF"/>
              </w:rPr>
              <w:lastRenderedPageBreak/>
              <w:t xml:space="preserve">teritorijos schema </w:t>
            </w:r>
          </w:p>
          <w:p w14:paraId="5F762096" w14:textId="1350B578" w:rsidR="009B56FA" w:rsidRDefault="00291094" w:rsidP="00291094">
            <w:pPr>
              <w:jc w:val="left"/>
              <w:rPr>
                <w:rFonts w:eastAsiaTheme="minorEastAsia"/>
                <w:szCs w:val="24"/>
              </w:rPr>
            </w:pPr>
            <w:r w:rsidRPr="001972E2">
              <w:rPr>
                <w:b/>
                <w:shd w:val="clear" w:color="auto" w:fill="FFFFFF"/>
              </w:rPr>
              <w:t>ir aptarnauja-</w:t>
            </w:r>
            <w:proofErr w:type="spellStart"/>
            <w:r w:rsidRPr="001972E2">
              <w:rPr>
                <w:b/>
                <w:shd w:val="clear" w:color="auto" w:fill="FFFFFF"/>
              </w:rPr>
              <w:t>mų</w:t>
            </w:r>
            <w:proofErr w:type="spellEnd"/>
            <w:r w:rsidRPr="001972E2">
              <w:rPr>
                <w:b/>
                <w:shd w:val="clear" w:color="auto" w:fill="FFFFFF"/>
              </w:rPr>
              <w:t xml:space="preserve"> namų ūkių skaičius.</w:t>
            </w:r>
          </w:p>
          <w:p w14:paraId="63C40081" w14:textId="77777777" w:rsidR="00291094" w:rsidRDefault="00291094" w:rsidP="008327E7">
            <w:pPr>
              <w:jc w:val="left"/>
              <w:rPr>
                <w:rFonts w:eastAsiaTheme="minorEastAsia"/>
                <w:szCs w:val="24"/>
              </w:rPr>
            </w:pPr>
          </w:p>
          <w:p w14:paraId="1FEC8C3C" w14:textId="0D6E83D3" w:rsidR="008327E7" w:rsidRPr="009858F5" w:rsidRDefault="008327E7" w:rsidP="008327E7">
            <w:pPr>
              <w:jc w:val="left"/>
              <w:rPr>
                <w:rFonts w:eastAsiaTheme="minorEastAsia"/>
                <w:szCs w:val="24"/>
              </w:rPr>
            </w:pPr>
            <w:r w:rsidRPr="009858F5">
              <w:rPr>
                <w:rFonts w:eastAsiaTheme="minorEastAsia"/>
                <w:szCs w:val="24"/>
              </w:rPr>
              <w:t>Antriniai šaltiniai:</w:t>
            </w:r>
          </w:p>
          <w:p w14:paraId="554166AB" w14:textId="50CC924B" w:rsidR="008327E7" w:rsidRPr="009858F5" w:rsidRDefault="008327E7" w:rsidP="008327E7">
            <w:pPr>
              <w:jc w:val="left"/>
              <w:rPr>
                <w:rFonts w:eastAsiaTheme="minorEastAsia"/>
                <w:szCs w:val="24"/>
              </w:rPr>
            </w:pPr>
            <w:r w:rsidRPr="009858F5">
              <w:rPr>
                <w:rFonts w:eastAsiaTheme="minorEastAsia"/>
                <w:szCs w:val="24"/>
              </w:rPr>
              <w:t>mokėjimo prašymai</w:t>
            </w:r>
          </w:p>
        </w:tc>
        <w:tc>
          <w:tcPr>
            <w:tcW w:w="1709" w:type="dxa"/>
            <w:gridSpan w:val="2"/>
            <w:tcBorders>
              <w:top w:val="single" w:sz="4" w:space="0" w:color="auto"/>
              <w:left w:val="single" w:sz="4" w:space="0" w:color="auto"/>
              <w:bottom w:val="single" w:sz="4" w:space="0" w:color="auto"/>
              <w:right w:val="single" w:sz="4" w:space="0" w:color="auto"/>
            </w:tcBorders>
          </w:tcPr>
          <w:p w14:paraId="49DCDEC9" w14:textId="77777777" w:rsidR="00AB54B3" w:rsidRPr="009858F5" w:rsidRDefault="00AB54B3" w:rsidP="00AB54B3">
            <w:pPr>
              <w:suppressAutoHyphens/>
              <w:ind w:right="-108"/>
              <w:jc w:val="left"/>
              <w:rPr>
                <w:szCs w:val="24"/>
                <w:lang w:eastAsia="lt-LT"/>
              </w:rPr>
            </w:pPr>
            <w:r w:rsidRPr="009858F5">
              <w:rPr>
                <w:szCs w:val="24"/>
                <w:lang w:eastAsia="lt-LT"/>
              </w:rPr>
              <w:lastRenderedPageBreak/>
              <w:t xml:space="preserve">Stebėsenos rodiklis laikomas pasiektu, kai projekto veiklų įgyvendinimo pabaigoje </w:t>
            </w:r>
          </w:p>
          <w:p w14:paraId="5A5654A9" w14:textId="38EABCA7" w:rsidR="003E23FD" w:rsidRPr="009858F5" w:rsidRDefault="00AB54B3" w:rsidP="00AB54B3">
            <w:pPr>
              <w:suppressAutoHyphens/>
              <w:ind w:right="-108"/>
              <w:jc w:val="left"/>
              <w:rPr>
                <w:szCs w:val="24"/>
              </w:rPr>
            </w:pPr>
            <w:r w:rsidRPr="009858F5">
              <w:rPr>
                <w:szCs w:val="24"/>
                <w:lang w:eastAsia="lt-LT"/>
              </w:rPr>
              <w:t>pasirašomi statybos užbaigimo patvirtinimo dokumentai</w:t>
            </w:r>
            <w:r w:rsidR="001972E2">
              <w:rPr>
                <w:szCs w:val="24"/>
                <w:lang w:eastAsia="lt-LT"/>
              </w:rPr>
              <w:t>.</w:t>
            </w:r>
          </w:p>
          <w:p w14:paraId="38A31D01" w14:textId="15253E74" w:rsidR="003E23FD" w:rsidRPr="009858F5" w:rsidRDefault="003E23FD" w:rsidP="00291094">
            <w:pPr>
              <w:suppressAutoHyphens/>
              <w:ind w:right="-108"/>
              <w:jc w:val="left"/>
              <w:rPr>
                <w:b/>
                <w:szCs w:val="24"/>
                <w:lang w:eastAsia="lt-LT"/>
              </w:rPr>
            </w:pPr>
          </w:p>
        </w:tc>
        <w:tc>
          <w:tcPr>
            <w:tcW w:w="1334" w:type="dxa"/>
            <w:tcBorders>
              <w:top w:val="single" w:sz="4" w:space="0" w:color="auto"/>
              <w:left w:val="single" w:sz="4" w:space="0" w:color="auto"/>
              <w:bottom w:val="single" w:sz="4" w:space="0" w:color="auto"/>
              <w:right w:val="single" w:sz="4" w:space="0" w:color="auto"/>
            </w:tcBorders>
          </w:tcPr>
          <w:p w14:paraId="649C73B2" w14:textId="3F9E3085" w:rsidR="008327E7" w:rsidRPr="009858F5" w:rsidRDefault="008327E7" w:rsidP="008327E7">
            <w:pPr>
              <w:rPr>
                <w:iCs/>
                <w:szCs w:val="24"/>
              </w:rPr>
            </w:pPr>
            <w:r w:rsidRPr="009858F5">
              <w:rPr>
                <w:szCs w:val="24"/>
                <w:lang w:eastAsia="lt-LT"/>
              </w:rPr>
              <w:t>Už stebėsenos rodiklio pasiekimą ir duomenų apie pasiektą stebėsenos rodiklio reikšmę teikimą antriniuose šaltiniuose atsakingas projekto vykdytojas</w:t>
            </w:r>
          </w:p>
        </w:tc>
      </w:tr>
    </w:tbl>
    <w:p w14:paraId="26E2F415" w14:textId="77CDDB4A" w:rsidR="0085246A" w:rsidRPr="009858F5" w:rsidRDefault="0085246A" w:rsidP="00B23050">
      <w:pPr>
        <w:rPr>
          <w:szCs w:val="24"/>
        </w:rPr>
      </w:pPr>
    </w:p>
    <w:sectPr w:rsidR="0085246A" w:rsidRPr="009858F5" w:rsidSect="0085246A">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9040B" w14:textId="77777777" w:rsidR="005E7AB6" w:rsidRDefault="005E7AB6" w:rsidP="00122D66">
      <w:r>
        <w:separator/>
      </w:r>
    </w:p>
  </w:endnote>
  <w:endnote w:type="continuationSeparator" w:id="0">
    <w:p w14:paraId="59FF0FB8" w14:textId="77777777" w:rsidR="005E7AB6" w:rsidRDefault="005E7AB6" w:rsidP="0012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80A0" w14:textId="77777777" w:rsidR="005E7AB6" w:rsidRDefault="005E7AB6" w:rsidP="00122D66">
      <w:r>
        <w:separator/>
      </w:r>
    </w:p>
  </w:footnote>
  <w:footnote w:type="continuationSeparator" w:id="0">
    <w:p w14:paraId="7D792930" w14:textId="77777777" w:rsidR="005E7AB6" w:rsidRDefault="005E7AB6" w:rsidP="00122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6A"/>
    <w:rsid w:val="0000286F"/>
    <w:rsid w:val="00007B42"/>
    <w:rsid w:val="00014D5E"/>
    <w:rsid w:val="000153F5"/>
    <w:rsid w:val="00023CDD"/>
    <w:rsid w:val="00030983"/>
    <w:rsid w:val="00045D8E"/>
    <w:rsid w:val="00050484"/>
    <w:rsid w:val="00053210"/>
    <w:rsid w:val="00077075"/>
    <w:rsid w:val="0007750C"/>
    <w:rsid w:val="00090276"/>
    <w:rsid w:val="000905EE"/>
    <w:rsid w:val="00093A97"/>
    <w:rsid w:val="00096CDB"/>
    <w:rsid w:val="000B0FA8"/>
    <w:rsid w:val="000C4E7E"/>
    <w:rsid w:val="000C7638"/>
    <w:rsid w:val="000D0E81"/>
    <w:rsid w:val="000E70CA"/>
    <w:rsid w:val="000F57C2"/>
    <w:rsid w:val="000F6202"/>
    <w:rsid w:val="00105DE1"/>
    <w:rsid w:val="0012127C"/>
    <w:rsid w:val="00122D66"/>
    <w:rsid w:val="001560E1"/>
    <w:rsid w:val="00183714"/>
    <w:rsid w:val="00185894"/>
    <w:rsid w:val="00186CC5"/>
    <w:rsid w:val="001972E2"/>
    <w:rsid w:val="001B684C"/>
    <w:rsid w:val="001E40AE"/>
    <w:rsid w:val="001F4795"/>
    <w:rsid w:val="00207499"/>
    <w:rsid w:val="00215196"/>
    <w:rsid w:val="00221137"/>
    <w:rsid w:val="00225D55"/>
    <w:rsid w:val="00244915"/>
    <w:rsid w:val="002524B3"/>
    <w:rsid w:val="0025667D"/>
    <w:rsid w:val="002755EA"/>
    <w:rsid w:val="002770B6"/>
    <w:rsid w:val="00281488"/>
    <w:rsid w:val="0028336C"/>
    <w:rsid w:val="0028346B"/>
    <w:rsid w:val="00291094"/>
    <w:rsid w:val="00294E88"/>
    <w:rsid w:val="002A3501"/>
    <w:rsid w:val="002D1E08"/>
    <w:rsid w:val="002D641C"/>
    <w:rsid w:val="002E21B6"/>
    <w:rsid w:val="002E2924"/>
    <w:rsid w:val="002F496E"/>
    <w:rsid w:val="00303177"/>
    <w:rsid w:val="00307360"/>
    <w:rsid w:val="00312494"/>
    <w:rsid w:val="00312D9A"/>
    <w:rsid w:val="0033124D"/>
    <w:rsid w:val="0033655B"/>
    <w:rsid w:val="003626FB"/>
    <w:rsid w:val="00376575"/>
    <w:rsid w:val="00376EAD"/>
    <w:rsid w:val="00383084"/>
    <w:rsid w:val="00383E60"/>
    <w:rsid w:val="00384E42"/>
    <w:rsid w:val="0039078D"/>
    <w:rsid w:val="003968C7"/>
    <w:rsid w:val="003A1605"/>
    <w:rsid w:val="003A1D1D"/>
    <w:rsid w:val="003B5BDA"/>
    <w:rsid w:val="003C1866"/>
    <w:rsid w:val="003C4652"/>
    <w:rsid w:val="003C57F4"/>
    <w:rsid w:val="003D25DD"/>
    <w:rsid w:val="003D4499"/>
    <w:rsid w:val="003E23FD"/>
    <w:rsid w:val="00406FEF"/>
    <w:rsid w:val="00410EAE"/>
    <w:rsid w:val="0041743C"/>
    <w:rsid w:val="004338C3"/>
    <w:rsid w:val="00446974"/>
    <w:rsid w:val="00456927"/>
    <w:rsid w:val="0045766D"/>
    <w:rsid w:val="00462F09"/>
    <w:rsid w:val="004755A1"/>
    <w:rsid w:val="00497E8C"/>
    <w:rsid w:val="004C3FD8"/>
    <w:rsid w:val="004D4454"/>
    <w:rsid w:val="004D7165"/>
    <w:rsid w:val="004F1875"/>
    <w:rsid w:val="00520E8F"/>
    <w:rsid w:val="00522B3C"/>
    <w:rsid w:val="005337C3"/>
    <w:rsid w:val="00535F9D"/>
    <w:rsid w:val="0054529C"/>
    <w:rsid w:val="005458D4"/>
    <w:rsid w:val="005509DC"/>
    <w:rsid w:val="0056711E"/>
    <w:rsid w:val="00572FEE"/>
    <w:rsid w:val="00576759"/>
    <w:rsid w:val="005828A4"/>
    <w:rsid w:val="00584FFE"/>
    <w:rsid w:val="005A216D"/>
    <w:rsid w:val="005B543E"/>
    <w:rsid w:val="005B67FE"/>
    <w:rsid w:val="005C5E03"/>
    <w:rsid w:val="005C7FE9"/>
    <w:rsid w:val="005D30D8"/>
    <w:rsid w:val="005D7F78"/>
    <w:rsid w:val="005E4248"/>
    <w:rsid w:val="005E7AB6"/>
    <w:rsid w:val="005F1779"/>
    <w:rsid w:val="005F7A56"/>
    <w:rsid w:val="00617853"/>
    <w:rsid w:val="0062069B"/>
    <w:rsid w:val="00624DDF"/>
    <w:rsid w:val="006339A7"/>
    <w:rsid w:val="00644CD2"/>
    <w:rsid w:val="006506B5"/>
    <w:rsid w:val="00652C14"/>
    <w:rsid w:val="00653B3A"/>
    <w:rsid w:val="00660347"/>
    <w:rsid w:val="006634D2"/>
    <w:rsid w:val="00665C5E"/>
    <w:rsid w:val="00674A9A"/>
    <w:rsid w:val="006802C1"/>
    <w:rsid w:val="00680B7F"/>
    <w:rsid w:val="00685D82"/>
    <w:rsid w:val="006928DE"/>
    <w:rsid w:val="00693B5F"/>
    <w:rsid w:val="0069527F"/>
    <w:rsid w:val="0069591A"/>
    <w:rsid w:val="006B053F"/>
    <w:rsid w:val="006B372B"/>
    <w:rsid w:val="006C5903"/>
    <w:rsid w:val="006C673D"/>
    <w:rsid w:val="006D5173"/>
    <w:rsid w:val="006D62E2"/>
    <w:rsid w:val="006D7BD7"/>
    <w:rsid w:val="006E2DF9"/>
    <w:rsid w:val="006E42AB"/>
    <w:rsid w:val="006F15BC"/>
    <w:rsid w:val="006F3BB9"/>
    <w:rsid w:val="00705C78"/>
    <w:rsid w:val="00707F70"/>
    <w:rsid w:val="00712114"/>
    <w:rsid w:val="00717703"/>
    <w:rsid w:val="00721126"/>
    <w:rsid w:val="00725C1F"/>
    <w:rsid w:val="00732D87"/>
    <w:rsid w:val="00733B93"/>
    <w:rsid w:val="00766645"/>
    <w:rsid w:val="0077104A"/>
    <w:rsid w:val="0077111C"/>
    <w:rsid w:val="00772635"/>
    <w:rsid w:val="00780C39"/>
    <w:rsid w:val="007847A0"/>
    <w:rsid w:val="007A29E8"/>
    <w:rsid w:val="007A6161"/>
    <w:rsid w:val="007B45A9"/>
    <w:rsid w:val="007D4356"/>
    <w:rsid w:val="007E2AC2"/>
    <w:rsid w:val="007E4F39"/>
    <w:rsid w:val="007F0B65"/>
    <w:rsid w:val="007F48F2"/>
    <w:rsid w:val="008028B9"/>
    <w:rsid w:val="00806506"/>
    <w:rsid w:val="008079D8"/>
    <w:rsid w:val="00815D36"/>
    <w:rsid w:val="00820166"/>
    <w:rsid w:val="00821A22"/>
    <w:rsid w:val="008255ED"/>
    <w:rsid w:val="0082643B"/>
    <w:rsid w:val="008327E7"/>
    <w:rsid w:val="0084080E"/>
    <w:rsid w:val="00842F09"/>
    <w:rsid w:val="00846749"/>
    <w:rsid w:val="0085246A"/>
    <w:rsid w:val="00853AC0"/>
    <w:rsid w:val="0087007B"/>
    <w:rsid w:val="008722BC"/>
    <w:rsid w:val="008837DE"/>
    <w:rsid w:val="00884121"/>
    <w:rsid w:val="00886372"/>
    <w:rsid w:val="008957A8"/>
    <w:rsid w:val="008A087D"/>
    <w:rsid w:val="008A3F7A"/>
    <w:rsid w:val="008A5740"/>
    <w:rsid w:val="008A7BEE"/>
    <w:rsid w:val="008B5DBA"/>
    <w:rsid w:val="008B5FBF"/>
    <w:rsid w:val="008C254D"/>
    <w:rsid w:val="008C789F"/>
    <w:rsid w:val="009103BC"/>
    <w:rsid w:val="0091481E"/>
    <w:rsid w:val="0092047E"/>
    <w:rsid w:val="009330A3"/>
    <w:rsid w:val="009333C0"/>
    <w:rsid w:val="00942223"/>
    <w:rsid w:val="009424A0"/>
    <w:rsid w:val="00946ED9"/>
    <w:rsid w:val="009524C1"/>
    <w:rsid w:val="009707E6"/>
    <w:rsid w:val="00984A2C"/>
    <w:rsid w:val="009858F5"/>
    <w:rsid w:val="009A6593"/>
    <w:rsid w:val="009A6897"/>
    <w:rsid w:val="009B0820"/>
    <w:rsid w:val="009B56FA"/>
    <w:rsid w:val="009C7783"/>
    <w:rsid w:val="009F579C"/>
    <w:rsid w:val="00A140F6"/>
    <w:rsid w:val="00A17D60"/>
    <w:rsid w:val="00A34830"/>
    <w:rsid w:val="00A45E48"/>
    <w:rsid w:val="00A642A0"/>
    <w:rsid w:val="00A736E7"/>
    <w:rsid w:val="00A75823"/>
    <w:rsid w:val="00A77F53"/>
    <w:rsid w:val="00A8281B"/>
    <w:rsid w:val="00A8389B"/>
    <w:rsid w:val="00AB54B3"/>
    <w:rsid w:val="00AB6FCE"/>
    <w:rsid w:val="00AC2B39"/>
    <w:rsid w:val="00AD1FC0"/>
    <w:rsid w:val="00AD7A46"/>
    <w:rsid w:val="00AF4B2C"/>
    <w:rsid w:val="00B0154D"/>
    <w:rsid w:val="00B018F8"/>
    <w:rsid w:val="00B03CDA"/>
    <w:rsid w:val="00B050B1"/>
    <w:rsid w:val="00B159BA"/>
    <w:rsid w:val="00B15C89"/>
    <w:rsid w:val="00B23050"/>
    <w:rsid w:val="00B31666"/>
    <w:rsid w:val="00B360DA"/>
    <w:rsid w:val="00B45569"/>
    <w:rsid w:val="00B4650B"/>
    <w:rsid w:val="00B5054D"/>
    <w:rsid w:val="00B5216E"/>
    <w:rsid w:val="00B86605"/>
    <w:rsid w:val="00B96E0D"/>
    <w:rsid w:val="00BA03E3"/>
    <w:rsid w:val="00BB09EF"/>
    <w:rsid w:val="00BC19A1"/>
    <w:rsid w:val="00BC72E5"/>
    <w:rsid w:val="00BD2EE0"/>
    <w:rsid w:val="00BE2CB6"/>
    <w:rsid w:val="00BE4CEF"/>
    <w:rsid w:val="00BF7B82"/>
    <w:rsid w:val="00C05802"/>
    <w:rsid w:val="00C41F19"/>
    <w:rsid w:val="00C46BE3"/>
    <w:rsid w:val="00C47AF9"/>
    <w:rsid w:val="00C542D0"/>
    <w:rsid w:val="00C57C99"/>
    <w:rsid w:val="00C62738"/>
    <w:rsid w:val="00C641DC"/>
    <w:rsid w:val="00C702DA"/>
    <w:rsid w:val="00C71024"/>
    <w:rsid w:val="00CA751F"/>
    <w:rsid w:val="00CB1332"/>
    <w:rsid w:val="00CC1C84"/>
    <w:rsid w:val="00CF2D8F"/>
    <w:rsid w:val="00CF3EEC"/>
    <w:rsid w:val="00CF5F14"/>
    <w:rsid w:val="00D27057"/>
    <w:rsid w:val="00D46585"/>
    <w:rsid w:val="00D52328"/>
    <w:rsid w:val="00D63105"/>
    <w:rsid w:val="00D64A2E"/>
    <w:rsid w:val="00D70741"/>
    <w:rsid w:val="00D70DC1"/>
    <w:rsid w:val="00D866F2"/>
    <w:rsid w:val="00D9454B"/>
    <w:rsid w:val="00DC61E0"/>
    <w:rsid w:val="00DF2BBE"/>
    <w:rsid w:val="00E02E93"/>
    <w:rsid w:val="00E11FF7"/>
    <w:rsid w:val="00E27B5B"/>
    <w:rsid w:val="00E3502D"/>
    <w:rsid w:val="00E36467"/>
    <w:rsid w:val="00E63DA0"/>
    <w:rsid w:val="00E673EC"/>
    <w:rsid w:val="00E70D7D"/>
    <w:rsid w:val="00E715A8"/>
    <w:rsid w:val="00E93CA0"/>
    <w:rsid w:val="00EC016F"/>
    <w:rsid w:val="00EC06DD"/>
    <w:rsid w:val="00ED45BD"/>
    <w:rsid w:val="00EE0B71"/>
    <w:rsid w:val="00EF37D4"/>
    <w:rsid w:val="00F043FE"/>
    <w:rsid w:val="00F11DE8"/>
    <w:rsid w:val="00F31192"/>
    <w:rsid w:val="00F37612"/>
    <w:rsid w:val="00F42A02"/>
    <w:rsid w:val="00F54340"/>
    <w:rsid w:val="00F562A2"/>
    <w:rsid w:val="00F704DA"/>
    <w:rsid w:val="00F7316E"/>
    <w:rsid w:val="00F90BD1"/>
    <w:rsid w:val="00FA379C"/>
    <w:rsid w:val="00FB4104"/>
    <w:rsid w:val="00FC52FB"/>
    <w:rsid w:val="00FC6221"/>
    <w:rsid w:val="00FC7A47"/>
    <w:rsid w:val="00FD3977"/>
    <w:rsid w:val="00FE1591"/>
    <w:rsid w:val="00FE2731"/>
    <w:rsid w:val="00FE70BF"/>
    <w:rsid w:val="00FF16B9"/>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4B35"/>
  <w15:docId w15:val="{5CC82C64-4DCE-4B12-96BC-68CE4F1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6A"/>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46A"/>
    <w:rPr>
      <w:rFonts w:eastAsia="Times New Roman" w:cs="Times New Roman"/>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85246A"/>
    <w:pPr>
      <w:widowControl w:val="0"/>
      <w:autoSpaceDE w:val="0"/>
      <w:autoSpaceDN w:val="0"/>
      <w:adjustRightInd w:val="0"/>
      <w:spacing w:line="360" w:lineRule="atLeast"/>
      <w:ind w:firstLine="312"/>
    </w:pPr>
    <w:rPr>
      <w:rFonts w:ascii="TimesLT" w:eastAsia="Times New Roman" w:hAnsi="TimesLT" w:cs="Times New Roman"/>
      <w:sz w:val="20"/>
      <w:szCs w:val="20"/>
    </w:rPr>
  </w:style>
  <w:style w:type="paragraph" w:styleId="FootnoteText">
    <w:name w:val="footnote text"/>
    <w:basedOn w:val="Normal"/>
    <w:link w:val="FootnoteTextChar"/>
    <w:uiPriority w:val="99"/>
    <w:semiHidden/>
    <w:unhideWhenUsed/>
    <w:rsid w:val="00122D66"/>
    <w:rPr>
      <w:sz w:val="20"/>
    </w:rPr>
  </w:style>
  <w:style w:type="character" w:customStyle="1" w:styleId="FootnoteTextChar">
    <w:name w:val="Footnote Text Char"/>
    <w:basedOn w:val="DefaultParagraphFont"/>
    <w:link w:val="FootnoteText"/>
    <w:uiPriority w:val="99"/>
    <w:semiHidden/>
    <w:rsid w:val="00122D66"/>
    <w:rPr>
      <w:rFonts w:eastAsia="Times New Roman" w:cs="Times New Roman"/>
      <w:sz w:val="20"/>
      <w:szCs w:val="20"/>
      <w:lang w:val="lt-LT"/>
    </w:rPr>
  </w:style>
  <w:style w:type="character" w:styleId="FootnoteReference">
    <w:name w:val="footnote reference"/>
    <w:basedOn w:val="DefaultParagraphFont"/>
    <w:uiPriority w:val="99"/>
    <w:semiHidden/>
    <w:unhideWhenUsed/>
    <w:rsid w:val="00122D66"/>
    <w:rPr>
      <w:vertAlign w:val="superscript"/>
    </w:rPr>
  </w:style>
  <w:style w:type="paragraph" w:styleId="ListParagraph">
    <w:name w:val="List Paragraph"/>
    <w:basedOn w:val="Normal"/>
    <w:uiPriority w:val="34"/>
    <w:qFormat/>
    <w:rsid w:val="00725C1F"/>
    <w:pPr>
      <w:ind w:left="720"/>
      <w:contextualSpacing/>
    </w:pPr>
  </w:style>
  <w:style w:type="paragraph" w:styleId="BalloonText">
    <w:name w:val="Balloon Text"/>
    <w:basedOn w:val="Normal"/>
    <w:link w:val="BalloonTextChar"/>
    <w:uiPriority w:val="99"/>
    <w:semiHidden/>
    <w:unhideWhenUsed/>
    <w:rsid w:val="004D4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54"/>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B86605"/>
    <w:rPr>
      <w:sz w:val="16"/>
      <w:szCs w:val="16"/>
    </w:rPr>
  </w:style>
  <w:style w:type="paragraph" w:styleId="CommentText">
    <w:name w:val="annotation text"/>
    <w:basedOn w:val="Normal"/>
    <w:link w:val="CommentTextChar"/>
    <w:uiPriority w:val="99"/>
    <w:semiHidden/>
    <w:unhideWhenUsed/>
    <w:rsid w:val="00B86605"/>
    <w:rPr>
      <w:sz w:val="20"/>
    </w:rPr>
  </w:style>
  <w:style w:type="character" w:customStyle="1" w:styleId="CommentTextChar">
    <w:name w:val="Comment Text Char"/>
    <w:basedOn w:val="DefaultParagraphFont"/>
    <w:link w:val="CommentText"/>
    <w:uiPriority w:val="99"/>
    <w:semiHidden/>
    <w:rsid w:val="00B86605"/>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86605"/>
    <w:rPr>
      <w:b/>
      <w:bCs/>
    </w:rPr>
  </w:style>
  <w:style w:type="character" w:customStyle="1" w:styleId="CommentSubjectChar">
    <w:name w:val="Comment Subject Char"/>
    <w:basedOn w:val="CommentTextChar"/>
    <w:link w:val="CommentSubject"/>
    <w:uiPriority w:val="99"/>
    <w:semiHidden/>
    <w:rsid w:val="00B86605"/>
    <w:rPr>
      <w:rFonts w:eastAsia="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C548-12D1-4B3E-A53C-D69D7E6C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2476</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Gudaitiene</dc:creator>
  <cp:lastModifiedBy>Dalia Gudaitiene</cp:lastModifiedBy>
  <cp:revision>3</cp:revision>
  <cp:lastPrinted>2020-07-08T06:35:00Z</cp:lastPrinted>
  <dcterms:created xsi:type="dcterms:W3CDTF">2020-07-09T05:26:00Z</dcterms:created>
  <dcterms:modified xsi:type="dcterms:W3CDTF">2020-07-09T07:57:00Z</dcterms:modified>
</cp:coreProperties>
</file>