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5E0F" w14:textId="77777777" w:rsidR="0036662A" w:rsidRDefault="0036662A" w:rsidP="0036662A">
      <w:pPr>
        <w:jc w:val="center"/>
        <w:rPr>
          <w:b/>
          <w:bCs/>
        </w:rPr>
      </w:pPr>
      <w:bookmarkStart w:id="0" w:name="_GoBack"/>
      <w:bookmarkEnd w:id="0"/>
      <w:r>
        <w:rPr>
          <w:b/>
          <w:bCs/>
        </w:rPr>
        <w:t xml:space="preserve">LIETUVOS RESPUBLIKOS </w:t>
      </w:r>
      <w:r w:rsidR="00FC1D93">
        <w:rPr>
          <w:b/>
          <w:bCs/>
        </w:rPr>
        <w:t>EKONOMIKOS IR INOVACIJŲ</w:t>
      </w:r>
      <w:r>
        <w:rPr>
          <w:b/>
          <w:bCs/>
        </w:rPr>
        <w:t xml:space="preserve"> MINISTERIJA</w:t>
      </w:r>
    </w:p>
    <w:p w14:paraId="2B844E20" w14:textId="77777777" w:rsidR="0036662A" w:rsidRDefault="0036662A" w:rsidP="0036662A">
      <w:pPr>
        <w:jc w:val="center"/>
        <w:rPr>
          <w:b/>
          <w:bCs/>
        </w:rPr>
      </w:pPr>
    </w:p>
    <w:p w14:paraId="0DB5F1F4" w14:textId="77777777" w:rsidR="0036662A" w:rsidRDefault="0036662A" w:rsidP="0036662A">
      <w:pPr>
        <w:jc w:val="center"/>
        <w:rPr>
          <w:b/>
          <w:bCs/>
        </w:rPr>
      </w:pPr>
      <w:r>
        <w:rPr>
          <w:b/>
          <w:bCs/>
        </w:rPr>
        <w:t xml:space="preserve">SOCIALINIŲ IR EKONOMINIŲ PARTNERIŲ PATEIKTŲ PASTABŲ IR PASIŪLYMŲ DĖL 2014–2020 METŲ EUROPOS SĄJUNGOS FONDŲ INVESTICIJŲ VEIKSMŲ </w:t>
      </w:r>
      <w:r w:rsidRPr="005E6937">
        <w:rPr>
          <w:b/>
          <w:bCs/>
        </w:rPr>
        <w:t xml:space="preserve">PROGRAMOS </w:t>
      </w:r>
      <w:bookmarkStart w:id="1" w:name="_Toc397069603"/>
      <w:r w:rsidR="00CB62FB" w:rsidRPr="005E6937">
        <w:rPr>
          <w:b/>
          <w:bCs/>
        </w:rPr>
        <w:t xml:space="preserve">13 PRIORITETO </w:t>
      </w:r>
      <w:r w:rsidR="005E6937" w:rsidRPr="005E6937">
        <w:rPr>
          <w:b/>
          <w:bCs/>
        </w:rPr>
        <w:t>„</w:t>
      </w:r>
      <w:r w:rsidR="00CB62FB" w:rsidRPr="005E6937">
        <w:rPr>
          <w:b/>
          <w:bCs/>
        </w:rPr>
        <w:t>EKONOMIKOS ATSIGAVIMAS IR ATSPARUMO DIDINIMAS COVID-19 KRIZĖS METU</w:t>
      </w:r>
      <w:bookmarkEnd w:id="1"/>
      <w:r w:rsidR="00CB62FB" w:rsidRPr="005E6937">
        <w:rPr>
          <w:b/>
          <w:bCs/>
        </w:rPr>
        <w:t>“</w:t>
      </w:r>
      <w:r w:rsidRPr="005E6937">
        <w:rPr>
          <w:b/>
          <w:bCs/>
        </w:rPr>
        <w:t xml:space="preserve"> PRIEMONĖS NR. </w:t>
      </w:r>
      <w:r w:rsidR="00CB62FB" w:rsidRPr="005E6937">
        <w:rPr>
          <w:b/>
          <w:bCs/>
        </w:rPr>
        <w:t>13.1.2-LVPA-T-860</w:t>
      </w:r>
      <w:r w:rsidR="00FC1D93" w:rsidRPr="005E6937">
        <w:rPr>
          <w:b/>
          <w:bCs/>
        </w:rPr>
        <w:t xml:space="preserve"> „</w:t>
      </w:r>
      <w:r w:rsidR="005E6937" w:rsidRPr="005E6937">
        <w:rPr>
          <w:b/>
          <w:bCs/>
        </w:rPr>
        <w:t>E-VERSLO MODELIS COVID-19</w:t>
      </w:r>
      <w:r w:rsidR="00FC1D93" w:rsidRPr="005E6937">
        <w:rPr>
          <w:b/>
          <w:bCs/>
        </w:rPr>
        <w:t xml:space="preserve">“ </w:t>
      </w:r>
      <w:r w:rsidR="005E6937">
        <w:rPr>
          <w:b/>
          <w:bCs/>
        </w:rPr>
        <w:t>ĮGYVENDINIMO PLANO IR PROJEKTŲ ATRANKOS KRITERIJŲ</w:t>
      </w:r>
      <w:r w:rsidR="00FC1D93">
        <w:rPr>
          <w:b/>
          <w:bCs/>
        </w:rPr>
        <w:t xml:space="preserve"> </w:t>
      </w:r>
      <w:r>
        <w:rPr>
          <w:b/>
          <w:bCs/>
        </w:rPr>
        <w:t>DERINIMAS</w:t>
      </w:r>
    </w:p>
    <w:p w14:paraId="180FC654"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2A8A3FE" w14:textId="77777777" w:rsidTr="00335D39">
        <w:tc>
          <w:tcPr>
            <w:tcW w:w="6804" w:type="dxa"/>
          </w:tcPr>
          <w:p w14:paraId="30385032"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B69532B" w14:textId="77777777" w:rsidR="0036662A" w:rsidRDefault="005E6937" w:rsidP="00335D39">
            <w:pPr>
              <w:rPr>
                <w:szCs w:val="24"/>
              </w:rPr>
            </w:pPr>
            <w:r>
              <w:rPr>
                <w:szCs w:val="24"/>
              </w:rPr>
              <w:t>2020-08-21</w:t>
            </w:r>
          </w:p>
        </w:tc>
      </w:tr>
      <w:tr w:rsidR="0036662A" w14:paraId="58F351F0" w14:textId="77777777" w:rsidTr="00335D39">
        <w:tc>
          <w:tcPr>
            <w:tcW w:w="6804" w:type="dxa"/>
          </w:tcPr>
          <w:p w14:paraId="6AA7F50D"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870F34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030BDEF" w14:textId="77777777" w:rsidR="0036662A" w:rsidRPr="007070FE" w:rsidRDefault="00812CE5" w:rsidP="00A96DA7">
            <w:sdt>
              <w:sdtPr>
                <w:id w:val="1312749902"/>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r w:rsidR="0036662A">
                  <w:t xml:space="preserve"> </w:t>
                </w:r>
              </w:sdtContent>
            </w:sdt>
            <w:r w:rsidR="0036662A">
              <w:rPr>
                <w:szCs w:val="24"/>
              </w:rPr>
              <w:t xml:space="preserve">Taip </w:t>
            </w:r>
            <w:sdt>
              <w:sdtPr>
                <w:rPr>
                  <w:szCs w:val="24"/>
                </w:rPr>
                <w:id w:val="164368749"/>
              </w:sdtPr>
              <w:sdtEndPr/>
              <w:sdtContent>
                <w:sdt>
                  <w:sdtPr>
                    <w:rPr>
                      <w:szCs w:val="24"/>
                    </w:rPr>
                    <w:id w:val="-1878914393"/>
                  </w:sdtPr>
                  <w:sdtEndPr/>
                  <w:sdtContent>
                    <w:sdt>
                      <w:sdtPr>
                        <w:id w:val="1602680725"/>
                      </w:sdtPr>
                      <w:sdtEndPr/>
                      <w:sdtContent>
                        <w:r w:rsidR="00A96DA7">
                          <w:fldChar w:fldCharType="begin">
                            <w:ffData>
                              <w:name w:val="Check1"/>
                              <w:enabled/>
                              <w:calcOnExit w:val="0"/>
                              <w:checkBox>
                                <w:sizeAuto/>
                                <w:default w:val="0"/>
                              </w:checkBox>
                            </w:ffData>
                          </w:fldChar>
                        </w:r>
                        <w:r w:rsidR="00A96DA7">
                          <w:instrText xml:space="preserve"> FORMCHECKBOX </w:instrText>
                        </w:r>
                        <w:r>
                          <w:fldChar w:fldCharType="separate"/>
                        </w:r>
                        <w:r w:rsidR="00A96DA7">
                          <w:fldChar w:fldCharType="end"/>
                        </w:r>
                      </w:sdtContent>
                    </w:sdt>
                    <w:r w:rsidR="00FF41B5" w:rsidRPr="0036662A">
                      <w:rPr>
                        <w:szCs w:val="24"/>
                      </w:rPr>
                      <w:t xml:space="preserve"> </w:t>
                    </w:r>
                  </w:sdtContent>
                </w:sdt>
              </w:sdtContent>
            </w:sdt>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771A900" w14:textId="77777777" w:rsidTr="00335D39">
        <w:tc>
          <w:tcPr>
            <w:tcW w:w="6804" w:type="dxa"/>
          </w:tcPr>
          <w:p w14:paraId="099B5568"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27283BDE"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D8D7942" w14:textId="77777777" w:rsidR="0036662A" w:rsidRDefault="00812CE5" w:rsidP="005E693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sdtContent>
            </w:sdt>
            <w:r w:rsidR="0036662A">
              <w:rPr>
                <w:szCs w:val="24"/>
              </w:rPr>
              <w:t xml:space="preserve"> Ne </w:t>
            </w:r>
          </w:p>
        </w:tc>
      </w:tr>
    </w:tbl>
    <w:p w14:paraId="6E6D3E89" w14:textId="77777777" w:rsidR="0036662A" w:rsidRPr="00781CA4" w:rsidRDefault="0036662A" w:rsidP="0036662A">
      <w:pPr>
        <w:rPr>
          <w:szCs w:val="24"/>
        </w:rPr>
      </w:pPr>
    </w:p>
    <w:tbl>
      <w:tblPr>
        <w:tblStyle w:val="TableGrid"/>
        <w:tblW w:w="14913" w:type="dxa"/>
        <w:tblInd w:w="108" w:type="dxa"/>
        <w:tblLayout w:type="fixed"/>
        <w:tblLook w:val="04A0" w:firstRow="1" w:lastRow="0" w:firstColumn="1" w:lastColumn="0" w:noHBand="0" w:noVBand="1"/>
      </w:tblPr>
      <w:tblGrid>
        <w:gridCol w:w="567"/>
        <w:gridCol w:w="1985"/>
        <w:gridCol w:w="5982"/>
        <w:gridCol w:w="6379"/>
      </w:tblGrid>
      <w:tr w:rsidR="0036662A" w:rsidRPr="00781CA4" w14:paraId="730D04B7" w14:textId="77777777" w:rsidTr="00F80CC4">
        <w:tc>
          <w:tcPr>
            <w:tcW w:w="567" w:type="dxa"/>
          </w:tcPr>
          <w:p w14:paraId="7005104B" w14:textId="77777777" w:rsidR="0036662A" w:rsidRPr="00781CA4" w:rsidRDefault="0036662A" w:rsidP="00335D39">
            <w:pPr>
              <w:jc w:val="center"/>
              <w:rPr>
                <w:b/>
                <w:szCs w:val="24"/>
              </w:rPr>
            </w:pPr>
            <w:r w:rsidRPr="00781CA4">
              <w:rPr>
                <w:b/>
                <w:szCs w:val="24"/>
              </w:rPr>
              <w:t>Nr.</w:t>
            </w:r>
          </w:p>
        </w:tc>
        <w:tc>
          <w:tcPr>
            <w:tcW w:w="1985" w:type="dxa"/>
          </w:tcPr>
          <w:p w14:paraId="0D4EF746" w14:textId="77777777" w:rsidR="0036662A" w:rsidRPr="00781CA4" w:rsidRDefault="0036662A" w:rsidP="00335D39">
            <w:pPr>
              <w:jc w:val="center"/>
              <w:rPr>
                <w:b/>
                <w:szCs w:val="24"/>
              </w:rPr>
            </w:pPr>
            <w:r w:rsidRPr="00781CA4">
              <w:rPr>
                <w:b/>
                <w:szCs w:val="24"/>
              </w:rPr>
              <w:t>Institucija</w:t>
            </w:r>
          </w:p>
        </w:tc>
        <w:tc>
          <w:tcPr>
            <w:tcW w:w="5982" w:type="dxa"/>
          </w:tcPr>
          <w:p w14:paraId="2970ECCE" w14:textId="77777777" w:rsidR="0036662A" w:rsidRPr="00781CA4" w:rsidRDefault="0036662A" w:rsidP="00335D39">
            <w:pPr>
              <w:jc w:val="center"/>
              <w:rPr>
                <w:b/>
                <w:szCs w:val="24"/>
              </w:rPr>
            </w:pPr>
            <w:r>
              <w:rPr>
                <w:b/>
                <w:bCs/>
              </w:rPr>
              <w:t>Pastabos ir pasiūlymai</w:t>
            </w:r>
          </w:p>
        </w:tc>
        <w:tc>
          <w:tcPr>
            <w:tcW w:w="6379" w:type="dxa"/>
          </w:tcPr>
          <w:p w14:paraId="6C39736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B84BE2" w:rsidRPr="00781CA4" w14:paraId="2113DDBA" w14:textId="77777777" w:rsidTr="00F80CC4">
        <w:tc>
          <w:tcPr>
            <w:tcW w:w="567" w:type="dxa"/>
            <w:vMerge w:val="restart"/>
          </w:tcPr>
          <w:p w14:paraId="557AD9A3" w14:textId="77777777" w:rsidR="00B84BE2" w:rsidRPr="0038099D" w:rsidRDefault="00B84BE2" w:rsidP="0036662A">
            <w:pPr>
              <w:pStyle w:val="ListParagraph"/>
              <w:numPr>
                <w:ilvl w:val="0"/>
                <w:numId w:val="1"/>
              </w:numPr>
              <w:jc w:val="both"/>
            </w:pPr>
          </w:p>
        </w:tc>
        <w:tc>
          <w:tcPr>
            <w:tcW w:w="1985" w:type="dxa"/>
            <w:vMerge w:val="restart"/>
          </w:tcPr>
          <w:p w14:paraId="64FC377A" w14:textId="77777777" w:rsidR="00B84BE2" w:rsidRPr="00B84BE2" w:rsidRDefault="00B84BE2" w:rsidP="00335D39">
            <w:pPr>
              <w:rPr>
                <w:b/>
              </w:rPr>
            </w:pPr>
            <w:r w:rsidRPr="00B84BE2">
              <w:rPr>
                <w:rFonts w:ascii="Georgia Pro" w:hAnsi="Georgia Pro"/>
                <w:b/>
                <w:iCs/>
              </w:rPr>
              <w:t>Lietuvos viešbučių ir restoranų asociacija</w:t>
            </w:r>
          </w:p>
        </w:tc>
        <w:tc>
          <w:tcPr>
            <w:tcW w:w="5982" w:type="dxa"/>
          </w:tcPr>
          <w:p w14:paraId="3AE9276D" w14:textId="77777777" w:rsidR="00B84BE2" w:rsidRPr="00F80CC4" w:rsidRDefault="00B84BE2" w:rsidP="00482936">
            <w:pPr>
              <w:pStyle w:val="ListParagraph"/>
              <w:numPr>
                <w:ilvl w:val="0"/>
                <w:numId w:val="5"/>
              </w:numPr>
              <w:tabs>
                <w:tab w:val="left" w:pos="571"/>
              </w:tabs>
              <w:spacing w:before="100" w:after="100"/>
              <w:ind w:left="61" w:firstLine="0"/>
              <w:jc w:val="both"/>
              <w:rPr>
                <w:b/>
                <w:bCs/>
                <w:i/>
                <w:iCs/>
                <w:szCs w:val="24"/>
                <w:lang w:eastAsia="en-GB"/>
              </w:rPr>
            </w:pPr>
            <w:r>
              <w:rPr>
                <w:lang w:eastAsia="en-GB"/>
              </w:rPr>
              <w:t xml:space="preserve">Kadangi atstovaujame labai didelį skaičių mažų ir vidutinių įmonių ( viešbučiai ir restoranai), tai matome galimybę šioms įmonėms dalyvauti priemonėje. </w:t>
            </w:r>
            <w:r w:rsidRPr="00F80CC4">
              <w:rPr>
                <w:b/>
                <w:bCs/>
                <w:lang w:eastAsia="en-GB"/>
              </w:rPr>
              <w:t xml:space="preserve">Tačiau paaiškinkite plačiau, kas gali būti laikoma naujų verslo modelių netechnologinė inovacija. Ar pareiškėjai galės būti paslaugas teikiančios įmonės? </w:t>
            </w:r>
          </w:p>
          <w:p w14:paraId="1D9A4DDA" w14:textId="77777777" w:rsidR="00B84BE2" w:rsidRPr="0038099D" w:rsidRDefault="00B84BE2" w:rsidP="00482936">
            <w:pPr>
              <w:spacing w:before="100" w:after="100"/>
              <w:jc w:val="both"/>
            </w:pPr>
            <w:r>
              <w:rPr>
                <w:lang w:eastAsia="en-GB"/>
              </w:rPr>
              <w:t>Naujų verslo modelių, sukurtų įdiegus e-verslo sprendinius (</w:t>
            </w:r>
            <w:r>
              <w:rPr>
                <w:b/>
                <w:bCs/>
                <w:lang w:eastAsia="en-GB"/>
              </w:rPr>
              <w:t>netechnologinę inovaciją</w:t>
            </w:r>
            <w:r>
              <w:rPr>
                <w:lang w:eastAsia="en-GB"/>
              </w:rPr>
              <w:t>), sudarančių sąlygas labai mažoms, mažoms ir vidutinėms įmonėms (toliau – MVĮ) pertvarkyti savo įmonės įprastu būdu vykdomą veiklą, diegimas.</w:t>
            </w:r>
          </w:p>
        </w:tc>
        <w:tc>
          <w:tcPr>
            <w:tcW w:w="6379" w:type="dxa"/>
          </w:tcPr>
          <w:p w14:paraId="43A96216" w14:textId="77777777" w:rsidR="00B84BE2" w:rsidRDefault="003E27E5" w:rsidP="004A5FBC">
            <w:pPr>
              <w:jc w:val="both"/>
              <w:rPr>
                <w:b/>
                <w:bCs/>
              </w:rPr>
            </w:pPr>
            <w:r>
              <w:t xml:space="preserve">Informuojame, kad atsižvelgus į </w:t>
            </w:r>
            <w:r w:rsidR="00382BDA">
              <w:t xml:space="preserve">tai, kad ši priemonė įtraukta į </w:t>
            </w:r>
            <w:r w:rsidR="00645605">
              <w:rPr>
                <w:szCs w:val="24"/>
              </w:rPr>
              <w:t>Ateities ekonomikos DNR planą</w:t>
            </w:r>
            <w:r w:rsidR="00645605" w:rsidRPr="00E271E7">
              <w:rPr>
                <w:szCs w:val="24"/>
              </w:rPr>
              <w:t xml:space="preserve">, kuriam pritarta </w:t>
            </w:r>
            <w:r w:rsidR="00645605" w:rsidRPr="00E271E7">
              <w:rPr>
                <w:rFonts w:eastAsiaTheme="minorEastAsia"/>
                <w:szCs w:val="24"/>
              </w:rPr>
              <w:t>Lietuvos Respublikos Vyriausybės 2020 m. birželio 10 d. pasitarimo protokolu Nr. 28,</w:t>
            </w:r>
            <w:r w:rsidR="004A5FBC">
              <w:rPr>
                <w:rFonts w:eastAsiaTheme="minorEastAsia"/>
                <w:szCs w:val="24"/>
              </w:rPr>
              <w:t xml:space="preserve"> ir</w:t>
            </w:r>
            <w:r w:rsidR="00645605">
              <w:rPr>
                <w:rFonts w:eastAsiaTheme="minorEastAsia"/>
                <w:szCs w:val="24"/>
              </w:rPr>
              <w:t xml:space="preserve"> Ateities DNR plane numatyta</w:t>
            </w:r>
            <w:r w:rsidR="004A5FBC">
              <w:rPr>
                <w:rFonts w:eastAsiaTheme="minorEastAsia"/>
                <w:szCs w:val="24"/>
              </w:rPr>
              <w:t xml:space="preserve">s toks veiksmas – </w:t>
            </w:r>
            <w:r w:rsidR="004A5FBC">
              <w:rPr>
                <w:bCs/>
              </w:rPr>
              <w:t xml:space="preserve">E-VERSLO MODELIS (e-verslo modelių </w:t>
            </w:r>
            <w:r w:rsidR="004A5FBC" w:rsidRPr="000376B5">
              <w:rPr>
                <w:bCs/>
              </w:rPr>
              <w:t>diegimas, persiorientuojant į procesų,</w:t>
            </w:r>
            <w:r w:rsidR="004A5FBC">
              <w:rPr>
                <w:bCs/>
              </w:rPr>
              <w:t xml:space="preserve"> produktų, paslaugų skaitmenizavim</w:t>
            </w:r>
            <w:r w:rsidR="004A5FBC" w:rsidRPr="000376B5">
              <w:rPr>
                <w:bCs/>
              </w:rPr>
              <w:t>ą, elektroninę prekybą ir pristatymą</w:t>
            </w:r>
            <w:r w:rsidR="004A5FBC">
              <w:rPr>
                <w:bCs/>
              </w:rPr>
              <w:t>) bei</w:t>
            </w:r>
            <w:r w:rsidR="00645605">
              <w:rPr>
                <w:rFonts w:eastAsiaTheme="minorEastAsia"/>
                <w:szCs w:val="24"/>
              </w:rPr>
              <w:t xml:space="preserve"> </w:t>
            </w:r>
            <w:r>
              <w:t>gautas pastabas ir pasiūlymus</w:t>
            </w:r>
            <w:r w:rsidR="004A5FBC">
              <w:t>,</w:t>
            </w:r>
            <w:r>
              <w:t xml:space="preserve"> nutarta patikslinti Priemone remiamos veiklos formuluotę, pakeičiant į tokią: </w:t>
            </w:r>
            <w:r w:rsidR="004A5FBC" w:rsidRPr="004A5FBC">
              <w:rPr>
                <w:b/>
                <w:bCs/>
              </w:rPr>
              <w:t xml:space="preserve">E-verslo modelių diegimas, persiorientuojant į procesų, produktų, paslaugų skaitmeninimą, </w:t>
            </w:r>
            <w:r w:rsidR="004A5FBC" w:rsidRPr="004A5FBC">
              <w:rPr>
                <w:b/>
                <w:szCs w:val="24"/>
              </w:rPr>
              <w:t>labai mažų, mažų ir vidutinių įmonių (toliau – MVĮ)</w:t>
            </w:r>
            <w:r w:rsidR="004A5FBC" w:rsidRPr="004A5FBC">
              <w:rPr>
                <w:b/>
                <w:bCs/>
              </w:rPr>
              <w:t xml:space="preserve"> gaminamų gaminių ir (ar) teikiamų paslaugų elektroninę prekybą ir pristatymą.</w:t>
            </w:r>
          </w:p>
          <w:p w14:paraId="5424C12E" w14:textId="77777777" w:rsidR="004A5FBC" w:rsidRPr="004A5FBC" w:rsidRDefault="004A5FBC" w:rsidP="004A5FBC">
            <w:pPr>
              <w:jc w:val="both"/>
              <w:rPr>
                <w:rFonts w:eastAsiaTheme="minorEastAsia"/>
                <w:szCs w:val="24"/>
              </w:rPr>
            </w:pPr>
            <w:r>
              <w:rPr>
                <w:bCs/>
              </w:rPr>
              <w:t>Tačiau pažymime, kad Priemonės įgyvendinimo planas ir proj</w:t>
            </w:r>
            <w:r w:rsidR="00A84AF4">
              <w:rPr>
                <w:bCs/>
              </w:rPr>
              <w:t>ektų atrankos kriterijai dar turi būti suderinti su įgyvendinančiąja ir vadovaujančiąja institucijomis, taigi formuluotės gali keistis.</w:t>
            </w:r>
          </w:p>
        </w:tc>
      </w:tr>
      <w:tr w:rsidR="00B84BE2" w:rsidRPr="00781CA4" w14:paraId="2651D83D" w14:textId="77777777" w:rsidTr="00F80CC4">
        <w:tc>
          <w:tcPr>
            <w:tcW w:w="567" w:type="dxa"/>
            <w:vMerge/>
          </w:tcPr>
          <w:p w14:paraId="122DDE26" w14:textId="77777777" w:rsidR="00B84BE2" w:rsidRPr="0038099D" w:rsidRDefault="00B84BE2" w:rsidP="0036662A">
            <w:pPr>
              <w:pStyle w:val="ListParagraph"/>
              <w:numPr>
                <w:ilvl w:val="0"/>
                <w:numId w:val="1"/>
              </w:numPr>
              <w:jc w:val="both"/>
            </w:pPr>
          </w:p>
        </w:tc>
        <w:tc>
          <w:tcPr>
            <w:tcW w:w="1985" w:type="dxa"/>
            <w:vMerge/>
          </w:tcPr>
          <w:p w14:paraId="04B0066A" w14:textId="77777777" w:rsidR="00B84BE2" w:rsidRDefault="00B84BE2" w:rsidP="00335D39">
            <w:pPr>
              <w:rPr>
                <w:rFonts w:ascii="Georgia Pro" w:hAnsi="Georgia Pro"/>
                <w:i/>
                <w:iCs/>
              </w:rPr>
            </w:pPr>
          </w:p>
        </w:tc>
        <w:tc>
          <w:tcPr>
            <w:tcW w:w="5982" w:type="dxa"/>
          </w:tcPr>
          <w:p w14:paraId="6FF2C33B" w14:textId="77777777" w:rsidR="00B84BE2" w:rsidRPr="00F80CC4" w:rsidRDefault="00B84BE2" w:rsidP="00F80CC4">
            <w:pPr>
              <w:pStyle w:val="ListParagraph"/>
              <w:numPr>
                <w:ilvl w:val="0"/>
                <w:numId w:val="5"/>
              </w:numPr>
              <w:tabs>
                <w:tab w:val="left" w:pos="721"/>
              </w:tabs>
              <w:spacing w:before="100" w:after="100"/>
              <w:ind w:left="61" w:right="30" w:firstLine="0"/>
              <w:jc w:val="both"/>
              <w:rPr>
                <w:i/>
                <w:iCs/>
                <w:szCs w:val="24"/>
                <w:lang w:eastAsia="en-GB"/>
              </w:rPr>
            </w:pPr>
            <w:r>
              <w:rPr>
                <w:lang w:eastAsia="en-GB"/>
              </w:rPr>
              <w:t xml:space="preserve">Taip pat perskaitėme, kad </w:t>
            </w:r>
            <w:r>
              <w:t xml:space="preserve">siekiama, kad paraiškų neteiktų įmonės, kurių visa ar didžioji pardavimo pajamų dalis yra iš prekybos, nes priemonės veiklos – </w:t>
            </w:r>
            <w:r>
              <w:rPr>
                <w:lang w:eastAsia="en-GB"/>
              </w:rPr>
              <w:t>nauji verslo modeliai, sukurti įdiegus e-verslo sprendinius (netechnologines inovacijas)</w:t>
            </w:r>
            <w:r>
              <w:t>. Įmonių užsiimančių prekyba rėmimas yra negalimas pagal Bendrojo bendrosios išimties reglamento Nr.651/2014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4F38AD83" w14:textId="77777777" w:rsidR="00B84BE2" w:rsidRPr="00F80CC4" w:rsidRDefault="00B84BE2" w:rsidP="00482936">
            <w:pPr>
              <w:spacing w:before="100" w:after="100"/>
              <w:ind w:left="61" w:right="171"/>
              <w:jc w:val="both"/>
              <w:rPr>
                <w:rFonts w:ascii="Calibri" w:eastAsiaTheme="minorHAnsi" w:hAnsi="Calibri"/>
                <w:b/>
                <w:bCs/>
                <w:sz w:val="22"/>
                <w:szCs w:val="22"/>
              </w:rPr>
            </w:pPr>
            <w:r>
              <w:rPr>
                <w:b/>
                <w:bCs/>
              </w:rPr>
              <w:t>Ar turime suprasti, kad paslaugų eksporto paslaugas (apgyvendinimo paslaugas) teikiančios įmonės priemonėje galės dalyvauti? Taip pat ar restoranuose pagaminta produkcija (paslaugos) taip pat bus tinkama sąlyga dalyvauti priemonėje.</w:t>
            </w:r>
          </w:p>
        </w:tc>
        <w:tc>
          <w:tcPr>
            <w:tcW w:w="6379" w:type="dxa"/>
          </w:tcPr>
          <w:p w14:paraId="4C6556D3" w14:textId="77777777" w:rsidR="00B84BE2" w:rsidRDefault="00DD78E9" w:rsidP="0065660E">
            <w:pPr>
              <w:jc w:val="both"/>
            </w:pPr>
            <w:r>
              <w:t>Informuojame, kad tinkamais pareiškėjais galės būti MVĮ, atitinkančios šį specialųjį</w:t>
            </w:r>
            <w:r w:rsidR="0065660E">
              <w:t xml:space="preserve"> projektų atrankos kriterijų „</w:t>
            </w:r>
            <w:r w:rsidR="0065660E" w:rsidRPr="00175036">
              <w:t xml:space="preserve">Pareiškėjas yra MVĮ, veikianti ne trumpiau kaip vienerius metus ir kurios vidutinės pačios MVĮ pagamintos produkcijos metinės pajamos per pastaruosius 3 finansinius metus arba per laiką nuo MVĮ įregistravimo dienos (jeigu MVĮ </w:t>
            </w:r>
            <w:r w:rsidR="0065660E">
              <w:t>įregistruota</w:t>
            </w:r>
            <w:r w:rsidR="0065660E" w:rsidRPr="00175036">
              <w:t xml:space="preserve"> mažiau nei </w:t>
            </w:r>
            <w:r w:rsidR="0065660E">
              <w:t xml:space="preserve">prieš </w:t>
            </w:r>
            <w:r w:rsidR="0065660E" w:rsidRPr="00175036">
              <w:t xml:space="preserve">3 pastaruosius finansinius metus) yra ne mažesnės kaip </w:t>
            </w:r>
            <w:r w:rsidR="0065660E">
              <w:t>50</w:t>
            </w:r>
            <w:r w:rsidR="0065660E" w:rsidRPr="00175036">
              <w:t xml:space="preserve"> 000 Eur</w:t>
            </w:r>
            <w:r w:rsidR="0065660E">
              <w:t>“</w:t>
            </w:r>
            <w:r w:rsidR="0065660E" w:rsidRPr="00175036">
              <w:t>.</w:t>
            </w:r>
            <w:r w:rsidR="0065660E">
              <w:t xml:space="preserve"> </w:t>
            </w:r>
          </w:p>
          <w:p w14:paraId="66C0CD7E" w14:textId="77777777" w:rsidR="0065660E" w:rsidRDefault="0065660E" w:rsidP="0065660E">
            <w:pPr>
              <w:jc w:val="both"/>
            </w:pPr>
            <w:r>
              <w:t xml:space="preserve">Sąvoka „produkcija“ apima </w:t>
            </w:r>
            <w:r w:rsidR="00B8169D">
              <w:t>pareiškėjo gaminamus gaminius ir (arba) teikiamas paslauga</w:t>
            </w:r>
            <w:r w:rsidRPr="00242552">
              <w:t>s</w:t>
            </w:r>
            <w:r w:rsidR="00B8169D">
              <w:t xml:space="preserve">. </w:t>
            </w:r>
          </w:p>
          <w:p w14:paraId="0D9849BF" w14:textId="77777777" w:rsidR="00B8169D" w:rsidRPr="0038099D" w:rsidRDefault="00B8169D" w:rsidP="0065660E">
            <w:pPr>
              <w:jc w:val="both"/>
            </w:pPr>
            <w:r>
              <w:t xml:space="preserve">Taigi pažymime, kad maitinimo įstaigos </w:t>
            </w:r>
            <w:r w:rsidR="00AE0AC3">
              <w:t>(restoranai, kavinės ir kita) bei</w:t>
            </w:r>
            <w:r>
              <w:t xml:space="preserve"> apgyvendinimo paslaugas teikiančios įmonės galės būti tinkamais pareiškėjais, jeigu atitiks aukščiau nurodyto specialiojo kriterijaus reikalavimus ir </w:t>
            </w:r>
            <w:r w:rsidR="00AE0AC3">
              <w:t>jeigu jų vykdoma veikla nebus susijusi su eksporto veikla.</w:t>
            </w:r>
          </w:p>
        </w:tc>
      </w:tr>
      <w:tr w:rsidR="00B84BE2" w:rsidRPr="00C70D14" w14:paraId="30DC6723" w14:textId="77777777" w:rsidTr="00F80CC4">
        <w:tc>
          <w:tcPr>
            <w:tcW w:w="567" w:type="dxa"/>
            <w:vMerge/>
          </w:tcPr>
          <w:p w14:paraId="2CE16A50" w14:textId="77777777" w:rsidR="00B84BE2" w:rsidRPr="0038099D" w:rsidRDefault="00B84BE2" w:rsidP="0036662A">
            <w:pPr>
              <w:pStyle w:val="ListParagraph"/>
              <w:numPr>
                <w:ilvl w:val="0"/>
                <w:numId w:val="1"/>
              </w:numPr>
              <w:jc w:val="both"/>
            </w:pPr>
          </w:p>
        </w:tc>
        <w:tc>
          <w:tcPr>
            <w:tcW w:w="1985" w:type="dxa"/>
            <w:vMerge/>
          </w:tcPr>
          <w:p w14:paraId="5EB843D8" w14:textId="77777777" w:rsidR="00B84BE2" w:rsidRPr="00C70D14" w:rsidRDefault="00B84BE2" w:rsidP="00335D39"/>
        </w:tc>
        <w:tc>
          <w:tcPr>
            <w:tcW w:w="5982" w:type="dxa"/>
          </w:tcPr>
          <w:p w14:paraId="5E0FABEE" w14:textId="77777777" w:rsidR="00B84BE2" w:rsidRPr="000A52A5" w:rsidRDefault="00B84BE2" w:rsidP="00F80CC4">
            <w:pPr>
              <w:pStyle w:val="ListParagraph"/>
              <w:numPr>
                <w:ilvl w:val="0"/>
                <w:numId w:val="5"/>
              </w:numPr>
              <w:tabs>
                <w:tab w:val="left" w:pos="556"/>
              </w:tabs>
              <w:ind w:left="61" w:firstLine="0"/>
              <w:jc w:val="both"/>
              <w:rPr>
                <w:szCs w:val="24"/>
              </w:rPr>
            </w:pPr>
            <w:r w:rsidRPr="000A52A5">
              <w:rPr>
                <w:szCs w:val="24"/>
              </w:rPr>
              <w:t>Klausimas dėl verslo asociacija (klasterių) galimybės būti projekto pareiškėjomis ir tokiu būdu plačiau panaudoti e-verslo sprendinius.</w:t>
            </w:r>
          </w:p>
        </w:tc>
        <w:tc>
          <w:tcPr>
            <w:tcW w:w="6379" w:type="dxa"/>
          </w:tcPr>
          <w:p w14:paraId="1A43A9F9" w14:textId="5764B12F" w:rsidR="00B84BE2" w:rsidRPr="00C70D14" w:rsidRDefault="00C6740A" w:rsidP="00EC0FEB">
            <w:pPr>
              <w:jc w:val="both"/>
            </w:pPr>
            <w:r>
              <w:t>T</w:t>
            </w:r>
            <w:r w:rsidR="005C7529">
              <w:t xml:space="preserve">inkamais pareiškėjais galės būti </w:t>
            </w:r>
            <w:r>
              <w:t xml:space="preserve">tik </w:t>
            </w:r>
            <w:r w:rsidR="005C7529">
              <w:t>MVĮ</w:t>
            </w:r>
            <w:r>
              <w:t>.</w:t>
            </w:r>
            <w:r w:rsidR="006D04D3">
              <w:t xml:space="preserve"> Kas priskiriama MVĮ nustato Smulkiojo ir vidutinio verslo įstatymas.</w:t>
            </w:r>
            <w:r>
              <w:t xml:space="preserve"> </w:t>
            </w:r>
          </w:p>
        </w:tc>
      </w:tr>
      <w:tr w:rsidR="00262BAD" w:rsidRPr="00C70D14" w14:paraId="1E4BF44F" w14:textId="77777777" w:rsidTr="00F80CC4">
        <w:tc>
          <w:tcPr>
            <w:tcW w:w="567" w:type="dxa"/>
            <w:vMerge w:val="restart"/>
          </w:tcPr>
          <w:p w14:paraId="126D6D9A" w14:textId="77777777" w:rsidR="00262BAD" w:rsidRPr="0038099D" w:rsidRDefault="00262BAD" w:rsidP="0036662A">
            <w:pPr>
              <w:pStyle w:val="ListParagraph"/>
              <w:numPr>
                <w:ilvl w:val="0"/>
                <w:numId w:val="1"/>
              </w:numPr>
              <w:jc w:val="both"/>
            </w:pPr>
          </w:p>
        </w:tc>
        <w:tc>
          <w:tcPr>
            <w:tcW w:w="1985" w:type="dxa"/>
            <w:vMerge w:val="restart"/>
          </w:tcPr>
          <w:p w14:paraId="0B127627" w14:textId="77777777" w:rsidR="00262BAD" w:rsidRPr="00B84BE2" w:rsidRDefault="00262BAD" w:rsidP="00335D39">
            <w:pPr>
              <w:rPr>
                <w:b/>
              </w:rPr>
            </w:pPr>
            <w:r w:rsidRPr="00B84BE2">
              <w:rPr>
                <w:b/>
              </w:rPr>
              <w:t>Lietuvos meno kūrėjų asociacija</w:t>
            </w:r>
          </w:p>
        </w:tc>
        <w:tc>
          <w:tcPr>
            <w:tcW w:w="5982" w:type="dxa"/>
          </w:tcPr>
          <w:p w14:paraId="5E4B7B66" w14:textId="77777777" w:rsidR="00262BAD" w:rsidRPr="00A23A62" w:rsidRDefault="00262BAD" w:rsidP="00221B3E">
            <w:pPr>
              <w:pStyle w:val="ListParagraph"/>
              <w:numPr>
                <w:ilvl w:val="0"/>
                <w:numId w:val="6"/>
              </w:numPr>
              <w:tabs>
                <w:tab w:val="left" w:pos="586"/>
              </w:tabs>
              <w:ind w:left="61" w:firstLine="0"/>
              <w:rPr>
                <w:szCs w:val="24"/>
                <w:lang w:eastAsia="en-US"/>
              </w:rPr>
            </w:pPr>
            <w:r w:rsidRPr="00A23A62">
              <w:rPr>
                <w:szCs w:val="24"/>
              </w:rPr>
              <w:t>Dokumentas: 20200821_PIP_860_viešam aptarimui.docx</w:t>
            </w:r>
          </w:p>
          <w:p w14:paraId="10C9F1F7" w14:textId="77777777" w:rsidR="00262BAD" w:rsidRPr="00A23A62" w:rsidRDefault="00262BAD" w:rsidP="000A52A5">
            <w:pPr>
              <w:jc w:val="both"/>
              <w:rPr>
                <w:b/>
                <w:szCs w:val="24"/>
              </w:rPr>
            </w:pPr>
            <w:r w:rsidRPr="00A23A62">
              <w:rPr>
                <w:b/>
                <w:szCs w:val="24"/>
              </w:rPr>
              <w:t>6. Priemonės įgyvendinimo stebėsenos rodikliai</w:t>
            </w:r>
          </w:p>
          <w:p w14:paraId="2E545883" w14:textId="77777777" w:rsidR="00262BAD" w:rsidRPr="00A23A62" w:rsidRDefault="00262BAD" w:rsidP="000A52A5">
            <w:pPr>
              <w:rPr>
                <w:szCs w:val="24"/>
              </w:rPr>
            </w:pPr>
            <w:r w:rsidRPr="00A23A62">
              <w:rPr>
                <w:szCs w:val="24"/>
              </w:rPr>
              <w:t>„P</w:t>
            </w:r>
            <w:r w:rsidRPr="00A23A62">
              <w:rPr>
                <w:color w:val="000000"/>
                <w:szCs w:val="24"/>
              </w:rPr>
              <w:t>ridėtinė vertė gamybos sąnaudomis, sukurta MVĮ, tenkanti vienam darbuotojui“ </w:t>
            </w:r>
          </w:p>
          <w:p w14:paraId="74D473E0" w14:textId="77777777" w:rsidR="00262BAD" w:rsidRPr="00A23A62" w:rsidRDefault="00262BAD" w:rsidP="000A52A5">
            <w:pPr>
              <w:jc w:val="both"/>
              <w:rPr>
                <w:szCs w:val="24"/>
              </w:rPr>
            </w:pPr>
            <w:r w:rsidRPr="00A23A62">
              <w:rPr>
                <w:szCs w:val="24"/>
              </w:rPr>
              <w:t xml:space="preserve">Siūlyčiau "gamybos" papildyti "produkto / paslaugos atlikimo", kadangi "gamybos" skamba tik kaip industrijos gamybinis terminas ir šiuolaikinei industrijai, kurioje sparčiai plėtojamos ir ekonominį naudingumą vis daugiau įgauną patirčių, kultūros, kūrybinių industrijų paslaugos ir jų gamyba-sukūrimas, kuris ir yra šalies BVP kūrimo viena iš </w:t>
            </w:r>
            <w:r w:rsidRPr="00A23A62">
              <w:rPr>
                <w:szCs w:val="24"/>
              </w:rPr>
              <w:lastRenderedPageBreak/>
              <w:t>augančių šakų. O šiai ekonomikos šakai žodis/terminas "gamyba" yra gana ribojantis ir gali semantiškai tiesiogiai nesisieti su šios industrijos specifika. Todėl ir siūlau kiek praplėsti šią "gamybos" sampratą bei terminus.</w:t>
            </w:r>
          </w:p>
        </w:tc>
        <w:tc>
          <w:tcPr>
            <w:tcW w:w="6379" w:type="dxa"/>
          </w:tcPr>
          <w:p w14:paraId="156E53DC" w14:textId="77777777" w:rsidR="00262BAD" w:rsidRPr="00A23A62" w:rsidRDefault="00953EC6" w:rsidP="00335D39">
            <w:pPr>
              <w:rPr>
                <w:szCs w:val="24"/>
              </w:rPr>
            </w:pPr>
            <w:r w:rsidRPr="00A23A62">
              <w:rPr>
                <w:szCs w:val="24"/>
              </w:rPr>
              <w:lastRenderedPageBreak/>
              <w:t>Neatsižvelgta.</w:t>
            </w:r>
          </w:p>
          <w:p w14:paraId="4493DF96" w14:textId="77777777" w:rsidR="00A23A62" w:rsidRPr="00A23A62" w:rsidRDefault="00953EC6" w:rsidP="00A23A62">
            <w:pPr>
              <w:jc w:val="both"/>
              <w:rPr>
                <w:szCs w:val="24"/>
              </w:rPr>
            </w:pPr>
            <w:r w:rsidRPr="00A23A62">
              <w:rPr>
                <w:szCs w:val="24"/>
              </w:rPr>
              <w:t xml:space="preserve">Rodiklis </w:t>
            </w:r>
            <w:r w:rsidR="00C1054C" w:rsidRPr="00A23A62">
              <w:rPr>
                <w:iCs/>
                <w:color w:val="000000"/>
                <w:szCs w:val="24"/>
              </w:rPr>
              <w:t>R.S.313</w:t>
            </w:r>
            <w:r w:rsidR="00C1054C" w:rsidRPr="00A23A62">
              <w:rPr>
                <w:szCs w:val="24"/>
              </w:rPr>
              <w:t xml:space="preserve"> </w:t>
            </w:r>
            <w:r w:rsidRPr="00A23A62">
              <w:rPr>
                <w:szCs w:val="24"/>
              </w:rPr>
              <w:t>„P</w:t>
            </w:r>
            <w:r w:rsidRPr="00A23A62">
              <w:rPr>
                <w:color w:val="000000"/>
                <w:szCs w:val="24"/>
              </w:rPr>
              <w:t xml:space="preserve">ridėtinė vertė gamybos sąnaudomis, sukurta MVĮ, tenkanti vienam darbuotojui“ yra </w:t>
            </w:r>
            <w:r w:rsidRPr="00A23A62">
              <w:rPr>
                <w:szCs w:val="24"/>
              </w:rPr>
              <w:t>2014–2020 metų Europos Sąjungos struktūrinių fondų investicijų veiksmų programos</w:t>
            </w:r>
            <w:r w:rsidR="006C1F65" w:rsidRPr="00A23A62">
              <w:rPr>
                <w:szCs w:val="24"/>
              </w:rPr>
              <w:t xml:space="preserve"> (toliau – Veiksmų programa)</w:t>
            </w:r>
            <w:r w:rsidRPr="00A23A62">
              <w:rPr>
                <w:szCs w:val="24"/>
              </w:rPr>
              <w:t xml:space="preserve"> specialusis </w:t>
            </w:r>
            <w:r w:rsidR="00C1054C" w:rsidRPr="00A23A62">
              <w:rPr>
                <w:szCs w:val="24"/>
              </w:rPr>
              <w:t xml:space="preserve">rezultato </w:t>
            </w:r>
            <w:r w:rsidRPr="00A23A62">
              <w:rPr>
                <w:szCs w:val="24"/>
              </w:rPr>
              <w:t>rodiklis</w:t>
            </w:r>
            <w:r w:rsidR="006C1F65" w:rsidRPr="00A23A62">
              <w:rPr>
                <w:szCs w:val="24"/>
              </w:rPr>
              <w:t xml:space="preserve">, kuriam apskaičiuoti taikomas Veiksmų programos stebėsenos rodiklių skaičiavimo aprašas, patvirtintas 2014 m. gruodžio 30 d. LR finansų ministro įsakymu Nr. 1K-499. </w:t>
            </w:r>
            <w:r w:rsidR="0002249E" w:rsidRPr="00A23A62">
              <w:rPr>
                <w:szCs w:val="24"/>
              </w:rPr>
              <w:t xml:space="preserve">Šio rodiklio aprašyme, pateiktame Veiksmų programos stebėsenos rodiklių skaičiavimo apraše, </w:t>
            </w:r>
            <w:r w:rsidR="00A23A62" w:rsidRPr="00A23A62">
              <w:rPr>
                <w:szCs w:val="24"/>
              </w:rPr>
              <w:t>nurodytos tokios sąvokos:</w:t>
            </w:r>
          </w:p>
          <w:p w14:paraId="77F54DF6" w14:textId="77777777" w:rsidR="00A23A62" w:rsidRPr="00A23A62" w:rsidRDefault="00A23A62" w:rsidP="00A23A62">
            <w:pPr>
              <w:pStyle w:val="ListParagraph"/>
              <w:numPr>
                <w:ilvl w:val="0"/>
                <w:numId w:val="8"/>
              </w:numPr>
              <w:jc w:val="both"/>
              <w:rPr>
                <w:b/>
                <w:szCs w:val="24"/>
              </w:rPr>
            </w:pPr>
            <w:r w:rsidRPr="00A23A62">
              <w:rPr>
                <w:b/>
                <w:szCs w:val="24"/>
              </w:rPr>
              <w:lastRenderedPageBreak/>
              <w:t>Pridėtinė vertė (gamybos sąnaudomis) – produkcijos vertės ir tarpinio vartojimo skirtumas, pridėjus subsidijas ir atėmus gamybos mokesčius;</w:t>
            </w:r>
          </w:p>
          <w:p w14:paraId="18BCD9B8" w14:textId="77777777" w:rsidR="00A23A62" w:rsidRPr="00A23A62" w:rsidRDefault="00A23A62" w:rsidP="00A23A62">
            <w:pPr>
              <w:pStyle w:val="ListParagraph"/>
              <w:numPr>
                <w:ilvl w:val="0"/>
                <w:numId w:val="8"/>
              </w:numPr>
              <w:jc w:val="both"/>
              <w:rPr>
                <w:szCs w:val="24"/>
              </w:rPr>
            </w:pPr>
            <w:r w:rsidRPr="00A23A62">
              <w:rPr>
                <w:b/>
                <w:szCs w:val="24"/>
              </w:rPr>
              <w:t xml:space="preserve">Tarpinis vartojimas – prekės ir paslaugos, naudojamos gamyboje kaip gamybos priemonės (išskyrus pagrindines priemones)“.  </w:t>
            </w:r>
          </w:p>
          <w:p w14:paraId="1FF92B5B" w14:textId="77777777" w:rsidR="005F5ED3" w:rsidRPr="005F5ED3" w:rsidRDefault="005F5ED3" w:rsidP="005F5ED3">
            <w:pPr>
              <w:jc w:val="both"/>
              <w:rPr>
                <w:iCs/>
                <w:szCs w:val="24"/>
              </w:rPr>
            </w:pPr>
            <w:r>
              <w:rPr>
                <w:szCs w:val="24"/>
              </w:rPr>
              <w:t>Taip pat</w:t>
            </w:r>
            <w:r w:rsidR="00A23A62" w:rsidRPr="005F5ED3">
              <w:rPr>
                <w:szCs w:val="24"/>
              </w:rPr>
              <w:t xml:space="preserve"> </w:t>
            </w:r>
            <w:r>
              <w:rPr>
                <w:szCs w:val="24"/>
              </w:rPr>
              <w:t xml:space="preserve">nurodyta, </w:t>
            </w:r>
            <w:r w:rsidR="00A23A62" w:rsidRPr="005F5ED3">
              <w:rPr>
                <w:szCs w:val="24"/>
              </w:rPr>
              <w:t xml:space="preserve">kad </w:t>
            </w:r>
            <w:r>
              <w:rPr>
                <w:szCs w:val="24"/>
              </w:rPr>
              <w:t>r</w:t>
            </w:r>
            <w:r w:rsidRPr="005F5ED3">
              <w:rPr>
                <w:szCs w:val="24"/>
              </w:rPr>
              <w:t>odiklio reikšmė apskaičiuojama</w:t>
            </w:r>
            <w:r w:rsidRPr="005F5ED3">
              <w:rPr>
                <w:b/>
                <w:szCs w:val="24"/>
              </w:rPr>
              <w:t xml:space="preserve"> </w:t>
            </w:r>
            <w:r w:rsidRPr="005F5ED3">
              <w:rPr>
                <w:szCs w:val="24"/>
              </w:rPr>
              <w:t>pagal tų metų, kurių rodiklis yra skaičiuojamas, kainas remiantis</w:t>
            </w:r>
            <w:r w:rsidRPr="005F5ED3">
              <w:rPr>
                <w:iCs/>
                <w:strike/>
                <w:szCs w:val="24"/>
              </w:rPr>
              <w:t xml:space="preserve"> </w:t>
            </w:r>
            <w:r w:rsidRPr="005F5ED3">
              <w:rPr>
                <w:iCs/>
                <w:szCs w:val="24"/>
              </w:rPr>
              <w:t xml:space="preserve">Europos Sąjungos statistikos tarnybos Eurostato metodika, skelbiama interneto svetainėje: </w:t>
            </w:r>
          </w:p>
          <w:p w14:paraId="35010EC9" w14:textId="77777777" w:rsidR="005F5ED3" w:rsidRPr="005F5ED3" w:rsidRDefault="005F5ED3" w:rsidP="005F5ED3">
            <w:pPr>
              <w:rPr>
                <w:szCs w:val="24"/>
              </w:rPr>
            </w:pPr>
            <w:r w:rsidRPr="005F5ED3">
              <w:rPr>
                <w:color w:val="0000FF"/>
                <w:szCs w:val="24"/>
                <w:u w:val="single"/>
              </w:rPr>
              <w:t>http://ec.europa.eu/eurostat/cache/metadata/en/sbs_esms.htm</w:t>
            </w:r>
            <w:r w:rsidRPr="005F5ED3">
              <w:rPr>
                <w:szCs w:val="24"/>
              </w:rPr>
              <w:t>.</w:t>
            </w:r>
          </w:p>
          <w:p w14:paraId="04A10EDD" w14:textId="77777777" w:rsidR="005F5ED3" w:rsidRPr="005F5ED3" w:rsidRDefault="005F5ED3" w:rsidP="005F5ED3">
            <w:pPr>
              <w:rPr>
                <w:szCs w:val="24"/>
              </w:rPr>
            </w:pPr>
          </w:p>
          <w:p w14:paraId="31C3DF98" w14:textId="77777777" w:rsidR="005F5ED3" w:rsidRPr="005F5ED3" w:rsidRDefault="005F5ED3" w:rsidP="005F5ED3">
            <w:pPr>
              <w:rPr>
                <w:szCs w:val="24"/>
              </w:rPr>
            </w:pPr>
            <w:r w:rsidRPr="005F5ED3">
              <w:rPr>
                <w:szCs w:val="24"/>
              </w:rPr>
              <w:t xml:space="preserve">Analogiška metodika taip pat skelbiama Lietuvos statistikos departamento interneto svetainėje: </w:t>
            </w:r>
            <w:r w:rsidRPr="005F5ED3">
              <w:rPr>
                <w:color w:val="0000FF"/>
                <w:szCs w:val="24"/>
                <w:u w:val="single"/>
              </w:rPr>
              <w:t>http://osp.stat.gov.lt/documents/10180/975940/Pridetine_verte_gamybos_sanaudomis_RKA_2011.pdf/7d661db4-6920-461f-8dca-0df5444d1c4e</w:t>
            </w:r>
            <w:r w:rsidRPr="005F5ED3">
              <w:rPr>
                <w:szCs w:val="24"/>
              </w:rPr>
              <w:t>.</w:t>
            </w:r>
          </w:p>
          <w:p w14:paraId="4265A39C" w14:textId="77777777" w:rsidR="00A23A62" w:rsidRPr="00A23A62" w:rsidRDefault="00A23A62" w:rsidP="00A23A62">
            <w:pPr>
              <w:jc w:val="both"/>
              <w:rPr>
                <w:szCs w:val="24"/>
              </w:rPr>
            </w:pPr>
          </w:p>
          <w:p w14:paraId="504265E5" w14:textId="77777777" w:rsidR="00953EC6" w:rsidRPr="00A23A62" w:rsidRDefault="005F5ED3" w:rsidP="005F5ED3">
            <w:pPr>
              <w:jc w:val="both"/>
              <w:rPr>
                <w:szCs w:val="24"/>
              </w:rPr>
            </w:pPr>
            <w:r>
              <w:rPr>
                <w:szCs w:val="24"/>
              </w:rPr>
              <w:t>Atsižvelgiant į aukščiau nurodytą</w:t>
            </w:r>
            <w:r w:rsidR="008C0FBD">
              <w:rPr>
                <w:szCs w:val="24"/>
              </w:rPr>
              <w:t xml:space="preserve"> informaciją</w:t>
            </w:r>
            <w:r>
              <w:rPr>
                <w:szCs w:val="24"/>
              </w:rPr>
              <w:t>, informuojame, kad rodiklio formuluotės ir apskaičiavimo būdo keisti nėra galimybės.</w:t>
            </w:r>
            <w:r w:rsidR="00953EC6" w:rsidRPr="00A23A62">
              <w:rPr>
                <w:szCs w:val="24"/>
              </w:rPr>
              <w:t xml:space="preserve"> </w:t>
            </w:r>
          </w:p>
        </w:tc>
      </w:tr>
      <w:tr w:rsidR="00262BAD" w:rsidRPr="00C70D14" w14:paraId="30F7DCB0" w14:textId="77777777" w:rsidTr="00F80CC4">
        <w:tc>
          <w:tcPr>
            <w:tcW w:w="567" w:type="dxa"/>
            <w:vMerge/>
          </w:tcPr>
          <w:p w14:paraId="62E846AD" w14:textId="77777777" w:rsidR="00262BAD" w:rsidRPr="0038099D" w:rsidRDefault="00262BAD" w:rsidP="0036662A">
            <w:pPr>
              <w:pStyle w:val="ListParagraph"/>
              <w:numPr>
                <w:ilvl w:val="0"/>
                <w:numId w:val="1"/>
              </w:numPr>
              <w:jc w:val="both"/>
            </w:pPr>
          </w:p>
        </w:tc>
        <w:tc>
          <w:tcPr>
            <w:tcW w:w="1985" w:type="dxa"/>
            <w:vMerge/>
          </w:tcPr>
          <w:p w14:paraId="03EC3BBC" w14:textId="77777777" w:rsidR="00262BAD" w:rsidRDefault="00262BAD" w:rsidP="00335D39"/>
        </w:tc>
        <w:tc>
          <w:tcPr>
            <w:tcW w:w="5982" w:type="dxa"/>
          </w:tcPr>
          <w:p w14:paraId="18BC4975" w14:textId="77777777" w:rsidR="00262BAD" w:rsidRDefault="00262BAD" w:rsidP="004F0E9C">
            <w:pPr>
              <w:pStyle w:val="ListParagraph"/>
              <w:numPr>
                <w:ilvl w:val="0"/>
                <w:numId w:val="6"/>
              </w:numPr>
              <w:ind w:left="487" w:hanging="487"/>
              <w:jc w:val="both"/>
              <w:rPr>
                <w:lang w:eastAsia="en-US"/>
              </w:rPr>
            </w:pPr>
            <w:r>
              <w:t>Dokumentas: 20200821_kriterijai_860_viešam aptarimui.docx  </w:t>
            </w:r>
          </w:p>
          <w:p w14:paraId="0A5ABCCA" w14:textId="77777777" w:rsidR="00262BAD" w:rsidRDefault="00262BAD" w:rsidP="000928FD">
            <w:pPr>
              <w:jc w:val="both"/>
            </w:pPr>
            <w:r>
              <w:t>1 puslapis - 6 grafa:</w:t>
            </w:r>
          </w:p>
          <w:p w14:paraId="56093619" w14:textId="77777777" w:rsidR="00262BAD" w:rsidRDefault="00262BAD" w:rsidP="000928FD">
            <w:pPr>
              <w:jc w:val="both"/>
            </w:pPr>
            <w:r>
              <w:t>dabar yra: </w:t>
            </w:r>
          </w:p>
          <w:p w14:paraId="3A6D3712" w14:textId="77777777" w:rsidR="00262BAD" w:rsidRDefault="00262BAD" w:rsidP="000928FD">
            <w:pPr>
              <w:jc w:val="both"/>
            </w:pPr>
            <w:r>
              <w:t>Naujų verslo modelių, sukurtų įdiegus e-verslo sprendinius (netechnologinę inovaciją), sudarančių sąlygas labai mažoms, mažoms ir vidutinėms įmonėms (toliau – MVĮ) pertvarkyti savo įmonės įprastu būdu vykdomą veiklą, diegimas.</w:t>
            </w:r>
          </w:p>
          <w:p w14:paraId="0AE68D27" w14:textId="77777777" w:rsidR="00262BAD" w:rsidRDefault="00262BAD" w:rsidP="000928FD">
            <w:pPr>
              <w:jc w:val="both"/>
            </w:pPr>
            <w:r>
              <w:t>Siūlytinas papildymas (pabraukta): </w:t>
            </w:r>
          </w:p>
          <w:p w14:paraId="49C1BBF4" w14:textId="77777777" w:rsidR="00262BAD" w:rsidRDefault="00262BAD" w:rsidP="000928FD">
            <w:pPr>
              <w:jc w:val="both"/>
            </w:pPr>
            <w:r>
              <w:t xml:space="preserve">Naujų verslo modelių, sukurtų įdiegus e-verslo sprendinius (netechnologinę inovaciją), sudarančių sąlygas labai </w:t>
            </w:r>
            <w:r>
              <w:lastRenderedPageBreak/>
              <w:t>mažoms, mažoms ir vidutinėms įmonėms (toliau – MVĮ) pertvarkyti savo įmonės įprastu būdu vykdomą veiklą </w:t>
            </w:r>
            <w:r>
              <w:rPr>
                <w:u w:val="single"/>
              </w:rPr>
              <w:t>ir/ar plėtojant ją įdiegus e-verslo sprendinius,</w:t>
            </w:r>
            <w:r>
              <w:t> diegimas.</w:t>
            </w:r>
          </w:p>
          <w:p w14:paraId="28544E9E" w14:textId="77777777" w:rsidR="00CB5FE1" w:rsidRPr="000A52A5" w:rsidRDefault="00CB5FE1" w:rsidP="000928FD">
            <w:pPr>
              <w:jc w:val="both"/>
              <w:rPr>
                <w:szCs w:val="24"/>
              </w:rPr>
            </w:pPr>
          </w:p>
        </w:tc>
        <w:tc>
          <w:tcPr>
            <w:tcW w:w="6379" w:type="dxa"/>
          </w:tcPr>
          <w:p w14:paraId="4558C81C" w14:textId="77777777" w:rsidR="00262BAD" w:rsidRDefault="00CB5FE1" w:rsidP="00335D39">
            <w:r>
              <w:lastRenderedPageBreak/>
              <w:t>Atsižvelgta dalinai.</w:t>
            </w:r>
          </w:p>
          <w:p w14:paraId="7A01A34C" w14:textId="77777777" w:rsidR="00CB5FE1" w:rsidRDefault="00CB5FE1" w:rsidP="00CB5FE1">
            <w:pPr>
              <w:jc w:val="both"/>
              <w:rPr>
                <w:b/>
                <w:bCs/>
              </w:rPr>
            </w:pPr>
            <w:r>
              <w:t xml:space="preserve">Informuojame, kad atsižvelgus į tai, kad ši priemonė įtraukta į </w:t>
            </w:r>
            <w:r>
              <w:rPr>
                <w:szCs w:val="24"/>
              </w:rPr>
              <w:t>Ateities ekonomikos DNR planą</w:t>
            </w:r>
            <w:r w:rsidRPr="00E271E7">
              <w:rPr>
                <w:szCs w:val="24"/>
              </w:rPr>
              <w:t xml:space="preserve">, kuriam pritarta </w:t>
            </w:r>
            <w:r w:rsidRPr="00E271E7">
              <w:rPr>
                <w:rFonts w:eastAsiaTheme="minorEastAsia"/>
                <w:szCs w:val="24"/>
              </w:rPr>
              <w:t>Lietuvos Respublikos Vyriausybės 2020 m. birželio 10 d. pasitarimo protokolu Nr. 28,</w:t>
            </w:r>
            <w:r>
              <w:rPr>
                <w:rFonts w:eastAsiaTheme="minorEastAsia"/>
                <w:szCs w:val="24"/>
              </w:rPr>
              <w:t xml:space="preserve"> ir Ateities DNR plane numatytas toks veiksmas – </w:t>
            </w:r>
            <w:r>
              <w:rPr>
                <w:bCs/>
              </w:rPr>
              <w:t xml:space="preserve">E-VERSLO MODELIS (e-verslo modelių </w:t>
            </w:r>
            <w:r w:rsidRPr="000376B5">
              <w:rPr>
                <w:bCs/>
              </w:rPr>
              <w:t>diegimas, persiorientuojant į procesų,</w:t>
            </w:r>
            <w:r>
              <w:rPr>
                <w:bCs/>
              </w:rPr>
              <w:t xml:space="preserve"> produktų, paslaugų skaitmenizavim</w:t>
            </w:r>
            <w:r w:rsidRPr="000376B5">
              <w:rPr>
                <w:bCs/>
              </w:rPr>
              <w:t>ą, elektroninę prekybą ir pristatymą</w:t>
            </w:r>
            <w:r>
              <w:rPr>
                <w:bCs/>
              </w:rPr>
              <w:t>) bei</w:t>
            </w:r>
            <w:r>
              <w:rPr>
                <w:rFonts w:eastAsiaTheme="minorEastAsia"/>
                <w:szCs w:val="24"/>
              </w:rPr>
              <w:t xml:space="preserve"> </w:t>
            </w:r>
            <w:r>
              <w:t xml:space="preserve">gautas pastabas ir pasiūlymus, nutarta patikslinti Priemone remiamos veiklos formuluotę, pakeičiant į tokią: </w:t>
            </w:r>
            <w:r w:rsidRPr="004A5FBC">
              <w:rPr>
                <w:b/>
                <w:bCs/>
              </w:rPr>
              <w:t xml:space="preserve">E-verslo modelių diegimas, persiorientuojant į procesų, produktų, paslaugų skaitmeninimą, </w:t>
            </w:r>
            <w:r w:rsidRPr="004A5FBC">
              <w:rPr>
                <w:b/>
                <w:szCs w:val="24"/>
              </w:rPr>
              <w:t xml:space="preserve">labai mažų, mažų ir vidutinių įmonių (toliau </w:t>
            </w:r>
            <w:r w:rsidRPr="004A5FBC">
              <w:rPr>
                <w:b/>
                <w:szCs w:val="24"/>
              </w:rPr>
              <w:lastRenderedPageBreak/>
              <w:t>– MVĮ)</w:t>
            </w:r>
            <w:r w:rsidRPr="004A5FBC">
              <w:rPr>
                <w:b/>
                <w:bCs/>
              </w:rPr>
              <w:t xml:space="preserve"> gaminamų gaminių ir (ar) teikiamų paslaugų elektroninę prekybą ir pristatymą.</w:t>
            </w:r>
          </w:p>
          <w:p w14:paraId="2BE2A59A" w14:textId="77777777" w:rsidR="00CB5FE1" w:rsidRPr="00C70D14" w:rsidRDefault="00CB5FE1" w:rsidP="00CB5FE1">
            <w:pPr>
              <w:jc w:val="both"/>
            </w:pPr>
            <w:r>
              <w:rPr>
                <w:bCs/>
              </w:rPr>
              <w:t>Tačiau pažymime, kad Priemonės įgyvendinimo planas ir projektų atrankos kriterijai dar turi būti suderinti su įgyvendinančiąja ir vadovaujančiąja institucijomis, taigi formuluotės gali keistis.</w:t>
            </w:r>
          </w:p>
        </w:tc>
      </w:tr>
      <w:tr w:rsidR="00262BAD" w:rsidRPr="00C70D14" w14:paraId="0F4D4DC3" w14:textId="77777777" w:rsidTr="00F80CC4">
        <w:tc>
          <w:tcPr>
            <w:tcW w:w="567" w:type="dxa"/>
            <w:vMerge/>
          </w:tcPr>
          <w:p w14:paraId="2FDA1A50" w14:textId="77777777" w:rsidR="00262BAD" w:rsidRPr="0038099D" w:rsidRDefault="00262BAD" w:rsidP="0036662A">
            <w:pPr>
              <w:pStyle w:val="ListParagraph"/>
              <w:numPr>
                <w:ilvl w:val="0"/>
                <w:numId w:val="1"/>
              </w:numPr>
              <w:jc w:val="both"/>
            </w:pPr>
          </w:p>
        </w:tc>
        <w:tc>
          <w:tcPr>
            <w:tcW w:w="1985" w:type="dxa"/>
            <w:vMerge/>
          </w:tcPr>
          <w:p w14:paraId="5D3048C0" w14:textId="77777777" w:rsidR="00262BAD" w:rsidRDefault="00262BAD" w:rsidP="00335D39"/>
        </w:tc>
        <w:tc>
          <w:tcPr>
            <w:tcW w:w="5982" w:type="dxa"/>
          </w:tcPr>
          <w:p w14:paraId="2063D7DA" w14:textId="77777777" w:rsidR="00262BAD" w:rsidRDefault="00262BAD" w:rsidP="00262BAD">
            <w:pPr>
              <w:pStyle w:val="ListParagraph"/>
              <w:numPr>
                <w:ilvl w:val="0"/>
                <w:numId w:val="6"/>
              </w:numPr>
              <w:jc w:val="both"/>
              <w:rPr>
                <w:lang w:eastAsia="en-US"/>
              </w:rPr>
            </w:pPr>
            <w:r>
              <w:t>3 puslapis 3 grafa:</w:t>
            </w:r>
          </w:p>
          <w:p w14:paraId="315C8177" w14:textId="77777777" w:rsidR="00262BAD" w:rsidRDefault="00262BAD" w:rsidP="000928FD">
            <w:pPr>
              <w:jc w:val="both"/>
            </w:pPr>
            <w:r>
              <w:t>dabar yra: </w:t>
            </w:r>
          </w:p>
          <w:p w14:paraId="44DF7FB5" w14:textId="77777777" w:rsidR="00262BAD" w:rsidRDefault="00262BAD" w:rsidP="000928FD">
            <w:pPr>
              <w:jc w:val="both"/>
            </w:pPr>
            <w:r>
              <w:t>2. Pareiškėjas yra MVĮ, veikianti ne trumpiau kaip vienerius metus ir kurios vidutinės pačios MVĮ pagamintos produkcijos metinės pajamos per pastaruosius 3 finansinius metus arba per laiką nuo MVĮ įregistravimo dienos (jeigu MVĮ vykdė veiklą mažiau nei 3 pastaruosius finansinius metus) yra ne mažesnės kaip 145 000 Eur    </w:t>
            </w:r>
          </w:p>
          <w:p w14:paraId="4D33158D" w14:textId="77777777" w:rsidR="00262BAD" w:rsidRDefault="00262BAD" w:rsidP="000928FD">
            <w:pPr>
              <w:jc w:val="both"/>
            </w:pPr>
            <w:r>
              <w:t>Siūlyčiau ženkliai sumažinti 145 000 eur sumą, kadangi šis instrumentas skirtas mažoms ir vidutinėms įmonėms (toliau – MVĮ), o mažos įmonės gali vykdyti įvairią veiklą, ne tik gamybinę ir konkrečios "pagamintos produkcijos metinės pajamos" per metus suma gali būti ženkliai mažesnė nei nurodoma "</w:t>
            </w:r>
            <w:r>
              <w:rPr>
                <w:b/>
                <w:bCs/>
              </w:rPr>
              <w:t>Projektų atrankos kriterijaus numeris ir pavadinimas:</w:t>
            </w:r>
            <w:r>
              <w:t>". Ypač atkreiptinas dėmesys, kad šios "pagamintos produkcijos metinės pajamos" galėjo drąstiškai sumažėti Karantino metu, kuris įvyko dėl COVID-19, o svarstomas paramos instrumentas yra kuriamas kaip tik COVID-19 pasekmėms likviduoti ar sukurti sąlygas ateityje efektyviai veikti ištikus panašioms krizėms.</w:t>
            </w:r>
          </w:p>
          <w:p w14:paraId="3BCE910C" w14:textId="77777777" w:rsidR="00262BAD" w:rsidRDefault="00262BAD" w:rsidP="000928FD">
            <w:pPr>
              <w:jc w:val="both"/>
            </w:pPr>
            <w:r>
              <w:t xml:space="preserve">Kitas variantas, vertinant šią sumą, ją įvardinti ne tik kaip "pagamintos produkcijos metinės pajamos", o  "pagamintos produkcijos metinės pajamos </w:t>
            </w:r>
            <w:r>
              <w:rPr>
                <w:u w:val="single"/>
              </w:rPr>
              <w:t>arba įmonės pagrindinės veiklos apyvarta</w:t>
            </w:r>
            <w:r>
              <w:t>".</w:t>
            </w:r>
          </w:p>
          <w:p w14:paraId="7E9F567E" w14:textId="77777777" w:rsidR="00262BAD" w:rsidRDefault="00262BAD" w:rsidP="000928FD">
            <w:pPr>
              <w:jc w:val="both"/>
              <w:rPr>
                <w:b/>
                <w:bCs/>
              </w:rPr>
            </w:pPr>
            <w:r>
              <w:t>Jei pasiūlymas priimtinas - jį vertėtų adaptuoti ir tolimesnei grafai: </w:t>
            </w:r>
            <w:r>
              <w:rPr>
                <w:b/>
                <w:bCs/>
              </w:rPr>
              <w:t>Projektų atrankos kriterijaus vertinimo aspektai ir paaiškinimai:</w:t>
            </w:r>
          </w:p>
          <w:p w14:paraId="41C61782" w14:textId="77777777" w:rsidR="00A40AF7" w:rsidRPr="000928FD" w:rsidRDefault="00A40AF7" w:rsidP="000928FD">
            <w:pPr>
              <w:jc w:val="both"/>
            </w:pPr>
          </w:p>
        </w:tc>
        <w:tc>
          <w:tcPr>
            <w:tcW w:w="6379" w:type="dxa"/>
          </w:tcPr>
          <w:p w14:paraId="6780BA41" w14:textId="77777777" w:rsidR="00262BAD" w:rsidRDefault="007A5AF5" w:rsidP="00335D39">
            <w:r>
              <w:lastRenderedPageBreak/>
              <w:t>Atsižvelgta dalinai.</w:t>
            </w:r>
          </w:p>
          <w:p w14:paraId="50763C42" w14:textId="77777777" w:rsidR="007A5AF5" w:rsidRDefault="007A5AF5" w:rsidP="007A5AF5">
            <w:pPr>
              <w:jc w:val="both"/>
            </w:pPr>
            <w:r>
              <w:t xml:space="preserve">Atsižvelgus į gautus pasiūlymus, nutarta </w:t>
            </w:r>
            <w:r w:rsidRPr="00175036">
              <w:t xml:space="preserve">MVĮ pagamintos produkcijos </w:t>
            </w:r>
            <w:r>
              <w:t xml:space="preserve">vidutinių metinių pajamų sumą sumažinti iš 145 000 eurų į 50 000 eurų. </w:t>
            </w:r>
          </w:p>
          <w:p w14:paraId="62F2985A" w14:textId="77777777" w:rsidR="00BF1B7E" w:rsidRDefault="00BF1B7E" w:rsidP="00BF1B7E">
            <w:pPr>
              <w:jc w:val="both"/>
              <w:rPr>
                <w:bCs/>
              </w:rPr>
            </w:pPr>
            <w:r>
              <w:t xml:space="preserve">Pažymime, kad specialusis projektų atrankos kriterijus </w:t>
            </w:r>
            <w:r w:rsidRPr="00BF1B7E">
              <w:rPr>
                <w:b/>
              </w:rPr>
              <w:t>„Pareiškėjas yra MVĮ, veikianti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50 000 Eur“</w:t>
            </w:r>
            <w:r w:rsidRPr="00175036">
              <w:t xml:space="preserve"> </w:t>
            </w:r>
            <w:r>
              <w:t xml:space="preserve">pasirinktas siekiant </w:t>
            </w:r>
            <w:r w:rsidRPr="00175036">
              <w:t>įvertinti, ar pareiškėjas turi pakankamai patirties įgyvendinti projektą. Remiantis 20</w:t>
            </w:r>
            <w:r>
              <w:t>14</w:t>
            </w:r>
            <w:r w:rsidRPr="00175036">
              <w:t>–20</w:t>
            </w:r>
            <w:r>
              <w:t>20</w:t>
            </w:r>
            <w:r w:rsidRPr="00175036">
              <w:t xml:space="preserve"> m. finansavimo laikotarpio patirtimi, MVĮ,</w:t>
            </w:r>
            <w:r>
              <w:t xml:space="preserve"> kurioms buvo keliamas reikalavimas turėti tam tikrą dydį pajamų, sėkmingiau įgyvendino </w:t>
            </w:r>
            <w:r w:rsidRPr="00175036">
              <w:t>iš Europos Sąjungos fondų lėšų bendrai finansuojamus projektus.</w:t>
            </w:r>
            <w:r w:rsidR="00CC2C73">
              <w:t xml:space="preserve"> </w:t>
            </w:r>
            <w:r w:rsidR="00CC2C73">
              <w:rPr>
                <w:bCs/>
              </w:rPr>
              <w:t>Šiuo kriterijumi siekiama užtikrinti pareiškėjo finansinį pajėgumą ir gebėjimą pačiam prisidėti prie projekto įgyvendinimo, taip pat siekiama užtikrinti, kad pareiškėjas nebus ką tik įsteigta įmonė.</w:t>
            </w:r>
          </w:p>
          <w:p w14:paraId="0FCB8F83" w14:textId="77777777" w:rsidR="00CC2C73" w:rsidRPr="00C70D14" w:rsidRDefault="00CC2C73" w:rsidP="00BF1B7E">
            <w:pPr>
              <w:jc w:val="both"/>
            </w:pPr>
            <w:r>
              <w:rPr>
                <w:bCs/>
              </w:rPr>
              <w:t xml:space="preserve">Atsižvelgiant į tai, manytina, kad tikslinga vertinti </w:t>
            </w:r>
            <w:r>
              <w:t>vidutines pačios MVĮ pagamintos produkcijos metines pajamas.</w:t>
            </w:r>
          </w:p>
        </w:tc>
      </w:tr>
      <w:tr w:rsidR="00262BAD" w:rsidRPr="00C70D14" w14:paraId="54053A64" w14:textId="77777777" w:rsidTr="00F80CC4">
        <w:tc>
          <w:tcPr>
            <w:tcW w:w="567" w:type="dxa"/>
            <w:vMerge/>
          </w:tcPr>
          <w:p w14:paraId="23ACFC05" w14:textId="77777777" w:rsidR="00262BAD" w:rsidRPr="0038099D" w:rsidRDefault="00262BAD" w:rsidP="0036662A">
            <w:pPr>
              <w:pStyle w:val="ListParagraph"/>
              <w:numPr>
                <w:ilvl w:val="0"/>
                <w:numId w:val="1"/>
              </w:numPr>
              <w:jc w:val="both"/>
            </w:pPr>
          </w:p>
        </w:tc>
        <w:tc>
          <w:tcPr>
            <w:tcW w:w="1985" w:type="dxa"/>
            <w:vMerge/>
          </w:tcPr>
          <w:p w14:paraId="3E4D1EEA" w14:textId="77777777" w:rsidR="00262BAD" w:rsidRDefault="00262BAD" w:rsidP="00335D39"/>
        </w:tc>
        <w:tc>
          <w:tcPr>
            <w:tcW w:w="5982" w:type="dxa"/>
          </w:tcPr>
          <w:p w14:paraId="2FA7BB58" w14:textId="77777777" w:rsidR="00262BAD" w:rsidRDefault="00262BAD" w:rsidP="00262BAD">
            <w:pPr>
              <w:pStyle w:val="ListParagraph"/>
              <w:numPr>
                <w:ilvl w:val="0"/>
                <w:numId w:val="6"/>
              </w:numPr>
              <w:jc w:val="both"/>
              <w:rPr>
                <w:lang w:eastAsia="en-US"/>
              </w:rPr>
            </w:pPr>
            <w:r>
              <w:t>3 puslapis 7 grafa:</w:t>
            </w:r>
          </w:p>
          <w:p w14:paraId="50CAEB9F" w14:textId="77777777" w:rsidR="00262BAD" w:rsidRDefault="00262BAD" w:rsidP="00262BAD">
            <w:pPr>
              <w:jc w:val="both"/>
            </w:pPr>
            <w:r>
              <w:t>dabar yra: </w:t>
            </w:r>
          </w:p>
          <w:p w14:paraId="13BE05A3" w14:textId="77777777" w:rsidR="00262BAD" w:rsidRDefault="00262BAD" w:rsidP="00262BAD">
            <w:pPr>
              <w:jc w:val="both"/>
            </w:pPr>
            <w:r>
              <w:t>3. MVĮ bendrų pardavimų struktūroje ne mažiau kaip 50 procentų sudaro pačios MVĮ pagamintos produkcijos pardavimai    </w:t>
            </w:r>
          </w:p>
          <w:p w14:paraId="7BEAEDA4" w14:textId="77777777" w:rsidR="00262BAD" w:rsidRDefault="00262BAD" w:rsidP="00262BAD">
            <w:pPr>
              <w:jc w:val="both"/>
            </w:pPr>
            <w:r>
              <w:t>Siūlytinas papildymas (pabraukta):  </w:t>
            </w:r>
          </w:p>
          <w:p w14:paraId="7EABABF4" w14:textId="77777777" w:rsidR="00262BAD" w:rsidRDefault="00262BAD" w:rsidP="00262BAD">
            <w:pPr>
              <w:jc w:val="both"/>
            </w:pPr>
            <w:r>
              <w:t>3. MVĮ bendrų pardavimų struktūroje ne mažiau kaip 50 procentų sudaro pačios MVĮ pagamintos produkcijos pardavimai </w:t>
            </w:r>
            <w:r>
              <w:rPr>
                <w:u w:val="single"/>
              </w:rPr>
              <w:t>arba sukurta intelektinė produkcija, kurios sukūrimui buvo skirta ne mažiau kaip 50 procentų MVĮ metinės apyvartos.</w:t>
            </w:r>
          </w:p>
          <w:p w14:paraId="1AF0A7C1" w14:textId="77777777" w:rsidR="00262BAD" w:rsidRPr="000A52A5" w:rsidRDefault="00262BAD" w:rsidP="00262BAD">
            <w:pPr>
              <w:jc w:val="both"/>
              <w:rPr>
                <w:szCs w:val="24"/>
              </w:rPr>
            </w:pPr>
            <w:r>
              <w:t>Jei pasiūlymas priimtinas - perkeliant / pritaikant jį siūlytina papildyti ir: </w:t>
            </w:r>
            <w:r>
              <w:rPr>
                <w:b/>
                <w:bCs/>
              </w:rPr>
              <w:t>Projektų atrankos kriterijaus vertinimo aspektai ir paaiškinimai:</w:t>
            </w:r>
          </w:p>
        </w:tc>
        <w:tc>
          <w:tcPr>
            <w:tcW w:w="6379" w:type="dxa"/>
          </w:tcPr>
          <w:p w14:paraId="1D60512F" w14:textId="77777777" w:rsidR="006E5A16" w:rsidRDefault="006E5A16" w:rsidP="006E5A16">
            <w:pPr>
              <w:jc w:val="both"/>
            </w:pPr>
            <w:r>
              <w:t xml:space="preserve">Atsižvelgta dalinai. </w:t>
            </w:r>
          </w:p>
          <w:p w14:paraId="13174926" w14:textId="77777777" w:rsidR="006E5A16" w:rsidRDefault="006E5A16" w:rsidP="006E5A16">
            <w:pPr>
              <w:jc w:val="both"/>
            </w:pPr>
            <w:r>
              <w:t>Informuojame, kad atsižvelgus į pateiktas pastabas, nuspręsta atsisakyti šio specialiojo projektų atrankos kriterijaus „</w:t>
            </w:r>
            <w:r w:rsidRPr="00175036">
              <w:t>MVĮ bendrų pardavimų struktūroje ne mažiau kaip 50 procentų sudaro pačios MVĮ pagamintos produkcijos pardavimai</w:t>
            </w:r>
            <w:r>
              <w:t xml:space="preserve">“. </w:t>
            </w:r>
          </w:p>
          <w:p w14:paraId="7F5DFECF" w14:textId="77777777" w:rsidR="00262BAD" w:rsidRPr="00C70D14" w:rsidRDefault="00262BAD" w:rsidP="00335D39"/>
        </w:tc>
      </w:tr>
      <w:tr w:rsidR="00262BAD" w:rsidRPr="00C70D14" w14:paraId="670EC7ED" w14:textId="77777777" w:rsidTr="00F80CC4">
        <w:tc>
          <w:tcPr>
            <w:tcW w:w="567" w:type="dxa"/>
            <w:vMerge/>
          </w:tcPr>
          <w:p w14:paraId="679DFD72" w14:textId="77777777" w:rsidR="00262BAD" w:rsidRPr="0038099D" w:rsidRDefault="00262BAD" w:rsidP="0036662A">
            <w:pPr>
              <w:pStyle w:val="ListParagraph"/>
              <w:numPr>
                <w:ilvl w:val="0"/>
                <w:numId w:val="1"/>
              </w:numPr>
              <w:jc w:val="both"/>
            </w:pPr>
          </w:p>
        </w:tc>
        <w:tc>
          <w:tcPr>
            <w:tcW w:w="1985" w:type="dxa"/>
            <w:vMerge/>
          </w:tcPr>
          <w:p w14:paraId="3310E691" w14:textId="77777777" w:rsidR="00262BAD" w:rsidRDefault="00262BAD" w:rsidP="00335D39"/>
        </w:tc>
        <w:tc>
          <w:tcPr>
            <w:tcW w:w="5982" w:type="dxa"/>
          </w:tcPr>
          <w:p w14:paraId="2A6A0E96" w14:textId="77777777" w:rsidR="00262BAD" w:rsidRDefault="00262BAD" w:rsidP="00262BAD">
            <w:pPr>
              <w:pStyle w:val="ListParagraph"/>
              <w:numPr>
                <w:ilvl w:val="0"/>
                <w:numId w:val="6"/>
              </w:numPr>
              <w:jc w:val="both"/>
              <w:rPr>
                <w:lang w:eastAsia="en-US"/>
              </w:rPr>
            </w:pPr>
            <w:r>
              <w:t>4 puslapis 2 grafa:</w:t>
            </w:r>
          </w:p>
          <w:p w14:paraId="41BE5607" w14:textId="77777777" w:rsidR="00262BAD" w:rsidRDefault="00262BAD" w:rsidP="00262BAD">
            <w:pPr>
              <w:jc w:val="both"/>
            </w:pPr>
            <w:r>
              <w:t>dabar yra: </w:t>
            </w:r>
          </w:p>
          <w:p w14:paraId="3DF71399" w14:textId="77777777" w:rsidR="00262BAD" w:rsidRDefault="00262BAD" w:rsidP="00262BAD">
            <w:pPr>
              <w:jc w:val="both"/>
            </w:pPr>
            <w:r>
              <w:t>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    </w:t>
            </w:r>
          </w:p>
          <w:p w14:paraId="4AB7B23E" w14:textId="77777777" w:rsidR="00262BAD" w:rsidRDefault="00262BAD" w:rsidP="00262BAD">
            <w:pPr>
              <w:jc w:val="both"/>
            </w:pPr>
            <w:r>
              <w:t>Siūlytinas papildymas (pabraukta):   </w:t>
            </w:r>
          </w:p>
          <w:p w14:paraId="043DD051" w14:textId="77777777" w:rsidR="00262BAD" w:rsidRDefault="00262BAD" w:rsidP="00262BAD">
            <w:pPr>
              <w:jc w:val="both"/>
            </w:pPr>
            <w:r>
              <w:t xml:space="preserve">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 </w:t>
            </w:r>
            <w:r>
              <w:rPr>
                <w:u w:val="single"/>
              </w:rPr>
              <w:t>išskyrus kultūros ir meno eksporto veiklą</w:t>
            </w:r>
            <w:r>
              <w:t>“ .</w:t>
            </w:r>
          </w:p>
          <w:p w14:paraId="526D5418" w14:textId="77777777" w:rsidR="00262BAD" w:rsidRPr="00262BAD" w:rsidRDefault="00262BAD" w:rsidP="00262BAD">
            <w:pPr>
              <w:jc w:val="both"/>
            </w:pPr>
            <w:r>
              <w:t xml:space="preserve">Šis papildymas siūlomas, nes šis eksportas nėra "didžioji pardavimo pajamų dalis yra iš prekybos". Kultūra ir menas </w:t>
            </w:r>
            <w:r>
              <w:lastRenderedPageBreak/>
              <w:t>yra visame pasaulyje sparčiai augančių ir vis didėjančią dalį BVP sudarančių Kūrybinių industrijų katalizatorius.</w:t>
            </w:r>
          </w:p>
        </w:tc>
        <w:tc>
          <w:tcPr>
            <w:tcW w:w="6379" w:type="dxa"/>
          </w:tcPr>
          <w:p w14:paraId="473FFE0D" w14:textId="77777777" w:rsidR="00262BAD" w:rsidRDefault="008C2669" w:rsidP="00335D39">
            <w:r>
              <w:lastRenderedPageBreak/>
              <w:t xml:space="preserve">Neatsižvelgta. </w:t>
            </w:r>
          </w:p>
          <w:p w14:paraId="7D0210AF" w14:textId="77777777" w:rsidR="008C2669" w:rsidRDefault="008C2669" w:rsidP="003F482E">
            <w:pPr>
              <w:jc w:val="both"/>
              <w:rPr>
                <w:szCs w:val="24"/>
              </w:rPr>
            </w:pPr>
            <w:r>
              <w:t xml:space="preserve">Informuojame, kad valstybės pagalba pagal šią priemonę įgyvendinamiems projektams bus teikiama vadovaujantis </w:t>
            </w:r>
            <w:r w:rsidRPr="00242552">
              <w:rPr>
                <w:szCs w:val="24"/>
              </w:rPr>
              <w:t>2013 m. gru</w:t>
            </w:r>
            <w:r w:rsidR="003F482E">
              <w:rPr>
                <w:szCs w:val="24"/>
              </w:rPr>
              <w:t>odžio 18 d. Komisijos reglamento</w:t>
            </w:r>
            <w:r w:rsidRPr="00242552">
              <w:rPr>
                <w:szCs w:val="24"/>
              </w:rPr>
              <w:t xml:space="preserve"> (ES) Nr. 1407/2013 dėl Sutarties dėl Europos Sąjungos veikimo 107 ir 108 straipsnių taikymo </w:t>
            </w:r>
            <w:r w:rsidRPr="00242552">
              <w:rPr>
                <w:i/>
                <w:szCs w:val="24"/>
              </w:rPr>
              <w:t>de minimis</w:t>
            </w:r>
            <w:r w:rsidRPr="00242552">
              <w:rPr>
                <w:szCs w:val="24"/>
              </w:rPr>
              <w:t xml:space="preserve"> pagalbai (OL 2013 L 352,</w:t>
            </w:r>
            <w:r>
              <w:rPr>
                <w:szCs w:val="24"/>
              </w:rPr>
              <w:t xml:space="preserve"> </w:t>
            </w:r>
            <w:r w:rsidRPr="00242552">
              <w:rPr>
                <w:szCs w:val="24"/>
              </w:rPr>
              <w:t xml:space="preserve">p. </w:t>
            </w:r>
            <w:r>
              <w:rPr>
                <w:szCs w:val="24"/>
              </w:rPr>
              <w:t>1</w:t>
            </w:r>
            <w:r w:rsidRPr="00242552">
              <w:rPr>
                <w:szCs w:val="24"/>
              </w:rPr>
              <w:t>) (toliau –</w:t>
            </w:r>
            <w:r>
              <w:rPr>
                <w:szCs w:val="24"/>
              </w:rPr>
              <w:t xml:space="preserve"> </w:t>
            </w:r>
            <w:r>
              <w:rPr>
                <w:i/>
                <w:szCs w:val="24"/>
              </w:rPr>
              <w:t xml:space="preserve">de minimis </w:t>
            </w:r>
            <w:r>
              <w:rPr>
                <w:szCs w:val="24"/>
              </w:rPr>
              <w:t>reglamentas</w:t>
            </w:r>
            <w:r w:rsidRPr="00242552">
              <w:rPr>
                <w:szCs w:val="24"/>
              </w:rPr>
              <w:t>)</w:t>
            </w:r>
            <w:r w:rsidR="003F482E">
              <w:rPr>
                <w:szCs w:val="24"/>
              </w:rPr>
              <w:t xml:space="preserve">, nuostatomis. </w:t>
            </w:r>
            <w:r w:rsidR="003F482E" w:rsidRPr="003B6D5B">
              <w:rPr>
                <w:szCs w:val="24"/>
              </w:rPr>
              <w:t xml:space="preserve">Finansavimas gali būti skiriamas pareiškėjams visose srityse, </w:t>
            </w:r>
            <w:r w:rsidR="003F482E" w:rsidRPr="003F482E">
              <w:rPr>
                <w:b/>
                <w:szCs w:val="24"/>
              </w:rPr>
              <w:t xml:space="preserve">išskyrus </w:t>
            </w:r>
            <w:r w:rsidR="003F482E" w:rsidRPr="003F482E">
              <w:rPr>
                <w:b/>
                <w:i/>
                <w:szCs w:val="24"/>
              </w:rPr>
              <w:t xml:space="preserve">de minimis </w:t>
            </w:r>
            <w:r w:rsidR="003F482E" w:rsidRPr="003F482E">
              <w:rPr>
                <w:b/>
                <w:szCs w:val="24"/>
              </w:rPr>
              <w:t>reglamento 1 straipsnio 1 dalyje išvardytus sektorius ir veiklas</w:t>
            </w:r>
            <w:r w:rsidR="003F482E">
              <w:rPr>
                <w:szCs w:val="24"/>
              </w:rPr>
              <w:t xml:space="preserve"> bei </w:t>
            </w:r>
            <w:r w:rsidR="003F482E" w:rsidRPr="003B6D5B">
              <w:rPr>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nustatytus apribojimus.</w:t>
            </w:r>
          </w:p>
          <w:p w14:paraId="53471337" w14:textId="77777777" w:rsidR="00D95C43" w:rsidRPr="006D04D3" w:rsidRDefault="00D95C43" w:rsidP="00D95C43">
            <w:pPr>
              <w:pStyle w:val="CM1"/>
              <w:spacing w:before="200" w:after="200"/>
              <w:jc w:val="both"/>
              <w:rPr>
                <w:lang w:val="lt-LT"/>
              </w:rPr>
            </w:pPr>
            <w:r w:rsidRPr="006D04D3">
              <w:rPr>
                <w:i/>
                <w:lang w:val="lt-LT"/>
              </w:rPr>
              <w:t>D</w:t>
            </w:r>
            <w:r w:rsidRPr="006D04D3">
              <w:rPr>
                <w:rFonts w:ascii="Times New Roman" w:hAnsi="Times New Roman"/>
                <w:i/>
                <w:lang w:val="lt-LT"/>
              </w:rPr>
              <w:t xml:space="preserve">e minimis </w:t>
            </w:r>
            <w:r w:rsidRPr="006D04D3">
              <w:rPr>
                <w:rFonts w:ascii="Times New Roman" w:hAnsi="Times New Roman"/>
                <w:lang w:val="lt-LT"/>
              </w:rPr>
              <w:t>reglamento 1 straipsn</w:t>
            </w:r>
            <w:r w:rsidRPr="006D04D3">
              <w:rPr>
                <w:lang w:val="lt-LT"/>
              </w:rPr>
              <w:t xml:space="preserve">io 1 dalies d) punktas numato, </w:t>
            </w:r>
            <w:r w:rsidRPr="006D04D3">
              <w:rPr>
                <w:rFonts w:ascii="Times New Roman" w:hAnsi="Times New Roman"/>
                <w:lang w:val="lt-LT"/>
              </w:rPr>
              <w:t xml:space="preserve">kad „šis reglamentas taikomas pagalbai, teikiamai įmonėms </w:t>
            </w:r>
            <w:r w:rsidRPr="006D04D3">
              <w:rPr>
                <w:rFonts w:ascii="Times New Roman" w:hAnsi="Times New Roman"/>
                <w:lang w:val="lt-LT"/>
              </w:rPr>
              <w:lastRenderedPageBreak/>
              <w:t xml:space="preserve">visuose sektoriuose, išskyrus; d) </w:t>
            </w:r>
            <w:r w:rsidRPr="006D04D3">
              <w:rPr>
                <w:lang w:val="lt-LT"/>
              </w:rPr>
              <w:t xml:space="preserve">pagalbą su eksportu susijusiai veiklai trečiosiose šalyse arba valstybėse narėse, t. y. pagalbą, tiesiogiai susijusią su eksportuojamais kiekiais, platinimo tinklo kūrimu bei veikla, arba kitomis einamosiomis išlaidomis, susijusiomis su eksporto veikla. </w:t>
            </w:r>
          </w:p>
          <w:p w14:paraId="68B918BE" w14:textId="77777777" w:rsidR="00D95C43" w:rsidRPr="006D04D3" w:rsidRDefault="00745BAC" w:rsidP="00745BAC">
            <w:pPr>
              <w:jc w:val="both"/>
              <w:rPr>
                <w:lang w:eastAsia="en-US"/>
              </w:rPr>
            </w:pPr>
            <w:r>
              <w:t>Taigi pažymime, kad tinkamais pareiškėjais pagal Priemonę galės būti MVĮ, kurios atitiks specialiųjų projektų atrankos kriterijų reikalavimus, tuo atveju, jeigu jų vykdoma veikla nebus susijusi su eksporto veikla.</w:t>
            </w:r>
          </w:p>
          <w:p w14:paraId="1FF72337" w14:textId="77777777" w:rsidR="003F482E" w:rsidRPr="00C70D14" w:rsidRDefault="003F482E" w:rsidP="003F482E">
            <w:pPr>
              <w:jc w:val="both"/>
            </w:pPr>
          </w:p>
        </w:tc>
      </w:tr>
      <w:tr w:rsidR="003E27E5" w:rsidRPr="00C70D14" w14:paraId="04465847" w14:textId="77777777" w:rsidTr="00F80CC4">
        <w:tc>
          <w:tcPr>
            <w:tcW w:w="567" w:type="dxa"/>
          </w:tcPr>
          <w:p w14:paraId="3D18ABDC" w14:textId="77777777" w:rsidR="003E27E5" w:rsidRPr="0038099D" w:rsidRDefault="003E27E5" w:rsidP="003E27E5">
            <w:pPr>
              <w:pStyle w:val="ListParagraph"/>
              <w:numPr>
                <w:ilvl w:val="0"/>
                <w:numId w:val="1"/>
              </w:numPr>
              <w:jc w:val="both"/>
            </w:pPr>
          </w:p>
        </w:tc>
        <w:tc>
          <w:tcPr>
            <w:tcW w:w="1985" w:type="dxa"/>
          </w:tcPr>
          <w:p w14:paraId="7685EBD0" w14:textId="77777777" w:rsidR="003E27E5" w:rsidRDefault="003E27E5" w:rsidP="003E27E5">
            <w:r w:rsidRPr="00B84BE2">
              <w:rPr>
                <w:b/>
                <w:szCs w:val="24"/>
              </w:rPr>
              <w:t>Vilniaus Aukcionas |Galerija „Kunstkamera“</w:t>
            </w:r>
          </w:p>
        </w:tc>
        <w:tc>
          <w:tcPr>
            <w:tcW w:w="5982" w:type="dxa"/>
          </w:tcPr>
          <w:p w14:paraId="0AB4830D" w14:textId="77777777" w:rsidR="003E27E5" w:rsidRPr="006D04D3" w:rsidRDefault="003E27E5" w:rsidP="003E27E5">
            <w:pPr>
              <w:pStyle w:val="Heading1"/>
              <w:shd w:val="clear" w:color="auto" w:fill="FFFFFF"/>
              <w:spacing w:before="0" w:beforeAutospacing="0" w:after="0" w:afterAutospacing="0"/>
              <w:jc w:val="both"/>
              <w:outlineLvl w:val="0"/>
              <w:rPr>
                <w:rFonts w:eastAsia="Times New Roman"/>
                <w:sz w:val="24"/>
                <w:szCs w:val="24"/>
                <w:lang w:val="lt-LT"/>
              </w:rPr>
            </w:pPr>
            <w:r w:rsidRPr="00C80FE1">
              <w:rPr>
                <w:rFonts w:eastAsia="Times New Roman"/>
                <w:b w:val="0"/>
                <w:sz w:val="24"/>
                <w:szCs w:val="24"/>
                <w:lang w:val="lt-LT"/>
              </w:rPr>
              <w:t>Atstovauju Vilniaus aukcioną ir galeriją “Kunstkamera”. Mes prekiaujame išskirtinai lietuviškais meno kūriniais, lituanistika. Mūsų pastabos dėl priemonės “</w:t>
            </w:r>
            <w:r w:rsidRPr="006D04D3">
              <w:rPr>
                <w:rFonts w:eastAsia="Times New Roman"/>
                <w:b w:val="0"/>
                <w:bCs w:val="0"/>
                <w:spacing w:val="4"/>
                <w:sz w:val="24"/>
                <w:szCs w:val="24"/>
                <w:lang w:val="lt-LT"/>
              </w:rPr>
              <w:t>E-verslo modelis COVID-19</w:t>
            </w:r>
            <w:r w:rsidRPr="00C80FE1">
              <w:rPr>
                <w:rFonts w:eastAsia="Times New Roman"/>
                <w:b w:val="0"/>
                <w:sz w:val="24"/>
                <w:szCs w:val="24"/>
                <w:lang w:val="lt-LT"/>
              </w:rPr>
              <w:t>”:</w:t>
            </w:r>
          </w:p>
          <w:p w14:paraId="4A144032" w14:textId="77777777" w:rsidR="003E27E5" w:rsidRPr="006D04D3" w:rsidRDefault="003E27E5" w:rsidP="003E27E5">
            <w:pPr>
              <w:pStyle w:val="Heading1"/>
              <w:shd w:val="clear" w:color="auto" w:fill="FFFFFF"/>
              <w:spacing w:before="0" w:beforeAutospacing="0" w:after="0" w:afterAutospacing="0"/>
              <w:jc w:val="both"/>
              <w:outlineLvl w:val="0"/>
              <w:rPr>
                <w:rFonts w:eastAsia="Times New Roman"/>
                <w:sz w:val="24"/>
                <w:szCs w:val="24"/>
                <w:lang w:val="lt-LT"/>
              </w:rPr>
            </w:pPr>
            <w:r w:rsidRPr="00C80FE1">
              <w:rPr>
                <w:rFonts w:eastAsia="Times New Roman"/>
                <w:b w:val="0"/>
                <w:sz w:val="24"/>
                <w:szCs w:val="24"/>
                <w:lang w:val="lt-LT"/>
              </w:rPr>
              <w:t>Dabartiniame galimų pareiškėjų apibrėžime pastebime, kad pareiškėjų laukas yra susiaurinamas iki iš esmės vien tik gamybinių įmonių. Pareiškėjų atrankos kriterijai skelbia: “</w:t>
            </w:r>
            <w:r w:rsidRPr="00C80FE1">
              <w:rPr>
                <w:rFonts w:eastAsia="Times New Roman"/>
                <w:sz w:val="24"/>
                <w:szCs w:val="24"/>
                <w:lang w:val="lt-LT" w:eastAsia="lt-LT"/>
              </w:rPr>
              <w:t>Vertinama, ar MVĮ pati gamina produkciją, t. y. MVĮ bendrų pardavimų struktūroje ne mažiau kaip 50 procentų turi sudaryti pačios MVĮ pagamintos produkcijos pardavimai</w:t>
            </w:r>
            <w:r w:rsidRPr="00C80FE1">
              <w:rPr>
                <w:rFonts w:eastAsia="Times New Roman"/>
                <w:b w:val="0"/>
                <w:sz w:val="24"/>
                <w:szCs w:val="24"/>
                <w:lang w:val="lt-LT"/>
              </w:rPr>
              <w:t xml:space="preserve">”. O ką daryti negamybinėms įmonėms, tokioms, kaip mūsų, kurios yra specifinio lauko prekybos tarpininkai, ir kuriuos Covid ypatingai paveikė (meno kūrinių pardavimo sektorius ypatingai jautriai reaguoja į makroekonomines ir socialines krizes; pardavimai iš esmės priklauso nuo ekonomikos augimo bei visuomenės optimizmo). </w:t>
            </w:r>
          </w:p>
          <w:p w14:paraId="05EF9A08" w14:textId="77777777" w:rsidR="003E27E5" w:rsidRDefault="003E27E5" w:rsidP="003E27E5">
            <w:pPr>
              <w:pStyle w:val="ListParagraph"/>
              <w:numPr>
                <w:ilvl w:val="0"/>
                <w:numId w:val="6"/>
              </w:numPr>
              <w:jc w:val="both"/>
            </w:pPr>
            <w:r w:rsidRPr="00C80FE1">
              <w:rPr>
                <w:b/>
                <w:szCs w:val="24"/>
              </w:rPr>
              <w:t xml:space="preserve">Siūlytume galimų pareiškėjų lauką praplėsti ir leisti aplikuoti ne-gamybinėms įmonėms, tame tarpe dirbančioms meno lauke, prekiaujančioms meno kūriniais (galerijoms, dirbančioms su lietuvių daile, visų pirma). Jos negamina, bet jos parduoda lietuvišką meną, ir joms ypatingai </w:t>
            </w:r>
            <w:r w:rsidRPr="00C80FE1">
              <w:rPr>
                <w:b/>
                <w:szCs w:val="24"/>
              </w:rPr>
              <w:lastRenderedPageBreak/>
              <w:t>svarbu e-priemonėmis plėsti savo veiklą, ieškoti naujų rinkų.</w:t>
            </w:r>
          </w:p>
        </w:tc>
        <w:tc>
          <w:tcPr>
            <w:tcW w:w="6379" w:type="dxa"/>
          </w:tcPr>
          <w:p w14:paraId="53F4CC8B" w14:textId="77777777" w:rsidR="003E27E5" w:rsidRDefault="003E27E5" w:rsidP="00CC2C73">
            <w:pPr>
              <w:jc w:val="both"/>
            </w:pPr>
            <w:r>
              <w:lastRenderedPageBreak/>
              <w:t>Atsižvelgta dalinai. Informuojame, kad atsižvelgus į pateiktas pastabas, nuspręsta atsisakyti šio specialiojo projektų atrankos kriterijaus „</w:t>
            </w:r>
            <w:r w:rsidRPr="00175036">
              <w:t>MVĮ bendrų pardavimų struktūroje ne mažiau kaip 50 procentų sudaro pačios MVĮ pagamintos produkcijos pardavimai</w:t>
            </w:r>
            <w:r>
              <w:t xml:space="preserve">“. </w:t>
            </w:r>
          </w:p>
          <w:p w14:paraId="7157CDB4" w14:textId="77777777" w:rsidR="003E27E5" w:rsidRDefault="003E27E5" w:rsidP="00E847CD">
            <w:pPr>
              <w:jc w:val="both"/>
            </w:pPr>
            <w:r>
              <w:t xml:space="preserve">Tačiau atkreipiame dėmesį, kad </w:t>
            </w:r>
            <w:r w:rsidR="00E847CD">
              <w:t>tinkamais pareiškėjais pagal Priemonę galės būti MVĮ, kurios atitiks specialiojo projektų atrankos kriterijaus „</w:t>
            </w:r>
            <w:r w:rsidR="00E847CD" w:rsidRPr="00E847CD">
              <w:rPr>
                <w:b/>
              </w:rPr>
              <w:t>Pareiškėjas yra MVĮ, veikianti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50 000 Eur</w:t>
            </w:r>
            <w:r w:rsidR="00E847CD">
              <w:t>“ reikalavimus, ir jeigu jų vykdoma veikla nebus susijusi su eksporto veikla.</w:t>
            </w:r>
          </w:p>
          <w:p w14:paraId="507B7118" w14:textId="77777777" w:rsidR="00E847CD" w:rsidRDefault="00E847CD" w:rsidP="00E847CD">
            <w:pPr>
              <w:jc w:val="both"/>
            </w:pPr>
            <w:r>
              <w:t>Atkreipiame dėmesį, kad sąvoka „produkcija“ apima tik pareiškėjo gaminamus gaminius ir (arba) teikiamas paslauga</w:t>
            </w:r>
            <w:r w:rsidRPr="00242552">
              <w:t>s</w:t>
            </w:r>
            <w:r>
              <w:t xml:space="preserve">. </w:t>
            </w:r>
          </w:p>
          <w:p w14:paraId="2AAE858E" w14:textId="77777777" w:rsidR="00E847CD" w:rsidRPr="00C70D14" w:rsidRDefault="00E847CD" w:rsidP="00E847CD">
            <w:pPr>
              <w:jc w:val="both"/>
            </w:pPr>
          </w:p>
        </w:tc>
      </w:tr>
      <w:tr w:rsidR="00262BAD" w:rsidRPr="00C70D14" w14:paraId="557D9F6D" w14:textId="77777777" w:rsidTr="00F80CC4">
        <w:tc>
          <w:tcPr>
            <w:tcW w:w="567" w:type="dxa"/>
          </w:tcPr>
          <w:p w14:paraId="19B55E68" w14:textId="77777777" w:rsidR="00262BAD" w:rsidRPr="0038099D" w:rsidRDefault="00262BAD" w:rsidP="0036662A">
            <w:pPr>
              <w:pStyle w:val="ListParagraph"/>
              <w:numPr>
                <w:ilvl w:val="0"/>
                <w:numId w:val="1"/>
              </w:numPr>
              <w:jc w:val="both"/>
            </w:pPr>
          </w:p>
        </w:tc>
        <w:tc>
          <w:tcPr>
            <w:tcW w:w="1985" w:type="dxa"/>
          </w:tcPr>
          <w:p w14:paraId="5DF3819D" w14:textId="77777777" w:rsidR="00262BAD" w:rsidRPr="00B84BE2" w:rsidRDefault="00262BAD" w:rsidP="00262BAD">
            <w:pPr>
              <w:rPr>
                <w:b/>
                <w:color w:val="333333"/>
                <w:szCs w:val="24"/>
                <w:lang w:eastAsia="en-US"/>
              </w:rPr>
            </w:pPr>
            <w:r w:rsidRPr="00B84BE2">
              <w:rPr>
                <w:b/>
                <w:color w:val="333333"/>
                <w:szCs w:val="24"/>
              </w:rPr>
              <w:t>UAB Force One</w:t>
            </w:r>
          </w:p>
          <w:p w14:paraId="61C048F6" w14:textId="77777777" w:rsidR="00262BAD" w:rsidRDefault="00262BAD" w:rsidP="00335D39"/>
        </w:tc>
        <w:tc>
          <w:tcPr>
            <w:tcW w:w="5982" w:type="dxa"/>
          </w:tcPr>
          <w:p w14:paraId="28BBF8E9" w14:textId="77777777" w:rsidR="00262BAD" w:rsidRDefault="00262BAD" w:rsidP="00B84BE2">
            <w:pPr>
              <w:jc w:val="both"/>
              <w:rPr>
                <w:lang w:val="en-GB" w:eastAsia="en-US"/>
              </w:rPr>
            </w:pPr>
            <w:r>
              <w:rPr>
                <w:lang w:val="en-GB"/>
              </w:rPr>
              <w:t>We are one of companies working with incoming tourism for groups and companies, as well as events for companies in Lithuania. These two areas are some of most affected areas in hospitality industry, together with Horeca.</w:t>
            </w:r>
          </w:p>
          <w:p w14:paraId="4E48B991" w14:textId="77777777" w:rsidR="00262BAD" w:rsidRDefault="00262BAD" w:rsidP="00B84BE2">
            <w:pPr>
              <w:jc w:val="both"/>
              <w:rPr>
                <w:lang w:val="en-GB"/>
              </w:rPr>
            </w:pPr>
            <w:r>
              <w:rPr>
                <w:lang w:val="en-GB"/>
              </w:rPr>
              <w:t xml:space="preserve">We were firstly looking at the MITA funding but it were closed earlier than the time frame, then Invega loan which also closed down earlier. </w:t>
            </w:r>
          </w:p>
          <w:p w14:paraId="5703CEFC" w14:textId="77777777" w:rsidR="00262BAD" w:rsidRDefault="00262BAD" w:rsidP="00B84BE2">
            <w:pPr>
              <w:jc w:val="both"/>
              <w:rPr>
                <w:lang w:val="en-GB"/>
              </w:rPr>
            </w:pPr>
          </w:p>
          <w:p w14:paraId="4828752F" w14:textId="77777777" w:rsidR="00262BAD" w:rsidRDefault="00262BAD" w:rsidP="00B84BE2">
            <w:pPr>
              <w:jc w:val="both"/>
              <w:rPr>
                <w:lang w:val="en-GB"/>
              </w:rPr>
            </w:pPr>
            <w:r>
              <w:rPr>
                <w:lang w:val="en-GB"/>
              </w:rPr>
              <w:t>And now there is E-verslo modelis COVID-19, however according to one of criteria it doesn’t reach the very small companies which exactly needs this most and according the Lithuanian tourism association very few companies fits these criteria as written her:</w:t>
            </w:r>
          </w:p>
          <w:p w14:paraId="53246B88" w14:textId="77777777" w:rsidR="00262BAD" w:rsidRDefault="00812CE5" w:rsidP="00B84BE2">
            <w:pPr>
              <w:jc w:val="both"/>
              <w:rPr>
                <w:lang w:val="en-GB"/>
              </w:rPr>
            </w:pPr>
            <w:hyperlink r:id="rId7" w:history="1">
              <w:r w:rsidR="00262BAD">
                <w:rPr>
                  <w:rStyle w:val="Hyperlink"/>
                  <w:lang w:val="en-GB"/>
                </w:rPr>
                <w:t>https://infa.lt/46487/lietuvos-turizmo-gelbejimo-planas-gelbekime-stambu-versla-ir-zlugdykime-smulkuji/</w:t>
              </w:r>
            </w:hyperlink>
          </w:p>
          <w:p w14:paraId="373E29FB" w14:textId="77777777" w:rsidR="00262BAD" w:rsidRDefault="00262BAD" w:rsidP="00B84BE2">
            <w:pPr>
              <w:jc w:val="both"/>
              <w:rPr>
                <w:lang w:val="en-GB"/>
              </w:rPr>
            </w:pPr>
          </w:p>
          <w:p w14:paraId="66DD5966" w14:textId="77777777" w:rsidR="00262BAD" w:rsidRDefault="00262BAD" w:rsidP="00B84BE2">
            <w:pPr>
              <w:jc w:val="both"/>
              <w:rPr>
                <w:lang w:val="en-GB"/>
              </w:rPr>
            </w:pPr>
            <w:r>
              <w:rPr>
                <w:lang w:val="en-GB"/>
              </w:rPr>
              <w:t xml:space="preserve">Very small companies are nearly 86 % of all companies in the list of active companies. </w:t>
            </w:r>
          </w:p>
          <w:p w14:paraId="54BB8861" w14:textId="77777777" w:rsidR="00262BAD" w:rsidRDefault="00262BAD" w:rsidP="00B84BE2">
            <w:pPr>
              <w:jc w:val="both"/>
              <w:rPr>
                <w:lang w:val="en-GB"/>
              </w:rPr>
            </w:pPr>
          </w:p>
          <w:p w14:paraId="396BC16A" w14:textId="77777777" w:rsidR="00262BAD" w:rsidRDefault="00262BAD" w:rsidP="00B84BE2">
            <w:pPr>
              <w:jc w:val="both"/>
            </w:pPr>
            <w:r>
              <w:rPr>
                <w:lang w:val="en-GB"/>
              </w:rPr>
              <w:t xml:space="preserve">As such large amount of companies are the majority, it would make sense that we would be included to be able to apply for such project. </w:t>
            </w:r>
            <w:r w:rsidRPr="00225EF1">
              <w:rPr>
                <w:b/>
                <w:lang w:val="en-GB"/>
              </w:rPr>
              <w:t>This means that the income criteria should be lowered to as example 50.000 Euro</w:t>
            </w:r>
            <w:r>
              <w:rPr>
                <w:lang w:val="en-GB"/>
              </w:rPr>
              <w:t>.</w:t>
            </w:r>
          </w:p>
        </w:tc>
        <w:tc>
          <w:tcPr>
            <w:tcW w:w="6379" w:type="dxa"/>
          </w:tcPr>
          <w:p w14:paraId="75E7C09E" w14:textId="77777777" w:rsidR="00262BAD" w:rsidRDefault="00225EF1" w:rsidP="00335D39">
            <w:r>
              <w:t>Atsižvelgta.</w:t>
            </w:r>
          </w:p>
          <w:p w14:paraId="56D567AE" w14:textId="77777777" w:rsidR="00225EF1" w:rsidRDefault="00225EF1" w:rsidP="00225EF1">
            <w:pPr>
              <w:jc w:val="both"/>
            </w:pPr>
            <w:r>
              <w:t xml:space="preserve">Atsižvelgus į gautus pasiūlymus, nutarta </w:t>
            </w:r>
            <w:r w:rsidRPr="00175036">
              <w:t xml:space="preserve">MVĮ pagamintos produkcijos </w:t>
            </w:r>
            <w:r>
              <w:t xml:space="preserve">vidutinių metinių pajamų sumą sumažinti iš 145 000 eurų į 50 000 eurų. </w:t>
            </w:r>
          </w:p>
          <w:p w14:paraId="53F768D5" w14:textId="77777777" w:rsidR="00225EF1" w:rsidRPr="00C70D14" w:rsidRDefault="00225EF1" w:rsidP="00225EF1">
            <w:pPr>
              <w:jc w:val="both"/>
            </w:pPr>
            <w:r>
              <w:t xml:space="preserve">Taigi specialiojo projektų atrankos kriterijaus formuluotė patikslinta į tokią: </w:t>
            </w:r>
            <w:r w:rsidRPr="00BF1B7E">
              <w:rPr>
                <w:b/>
              </w:rPr>
              <w:t>„Pareiškėjas yra MVĮ, veikianti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50 000 Eur“</w:t>
            </w:r>
            <w:r>
              <w:rPr>
                <w:b/>
              </w:rPr>
              <w:t>.</w:t>
            </w:r>
          </w:p>
        </w:tc>
      </w:tr>
    </w:tbl>
    <w:p w14:paraId="4F59EF97" w14:textId="77777777" w:rsidR="005C5ECB" w:rsidRPr="0036662A" w:rsidRDefault="005C5ECB">
      <w:pPr>
        <w:rPr>
          <w:b/>
          <w:bCs/>
          <w:caps/>
          <w:szCs w:val="24"/>
        </w:rPr>
      </w:pPr>
    </w:p>
    <w:sectPr w:rsidR="005C5ECB" w:rsidRPr="0036662A" w:rsidSect="008F179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DF585" w14:textId="77777777" w:rsidR="00875DF0" w:rsidRDefault="00875DF0" w:rsidP="008F1792">
      <w:r>
        <w:separator/>
      </w:r>
    </w:p>
  </w:endnote>
  <w:endnote w:type="continuationSeparator" w:id="0">
    <w:p w14:paraId="31319B0A" w14:textId="77777777" w:rsidR="00875DF0" w:rsidRDefault="00875DF0" w:rsidP="008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eorgia Pro">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1C44" w14:textId="77777777" w:rsidR="008F1792" w:rsidRDefault="008F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136D" w14:textId="77777777" w:rsidR="008F1792" w:rsidRDefault="008F1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1AC5" w14:textId="77777777" w:rsidR="008F1792" w:rsidRDefault="008F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29015" w14:textId="77777777" w:rsidR="00875DF0" w:rsidRDefault="00875DF0" w:rsidP="008F1792">
      <w:r>
        <w:separator/>
      </w:r>
    </w:p>
  </w:footnote>
  <w:footnote w:type="continuationSeparator" w:id="0">
    <w:p w14:paraId="5A9DB83F" w14:textId="77777777" w:rsidR="00875DF0" w:rsidRDefault="00875DF0" w:rsidP="008F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FBA0" w14:textId="77777777" w:rsidR="008F1792" w:rsidRDefault="008F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449174"/>
      <w:docPartObj>
        <w:docPartGallery w:val="Page Numbers (Top of Page)"/>
        <w:docPartUnique/>
      </w:docPartObj>
    </w:sdtPr>
    <w:sdtEndPr>
      <w:rPr>
        <w:noProof/>
      </w:rPr>
    </w:sdtEndPr>
    <w:sdtContent>
      <w:p w14:paraId="7CF30E09" w14:textId="29188A44" w:rsidR="008F1792" w:rsidRDefault="008F1792">
        <w:pPr>
          <w:pStyle w:val="Header"/>
          <w:jc w:val="center"/>
        </w:pPr>
        <w:r>
          <w:fldChar w:fldCharType="begin"/>
        </w:r>
        <w:r>
          <w:instrText xml:space="preserve"> PAGE   \* MERGEFORMAT </w:instrText>
        </w:r>
        <w:r>
          <w:fldChar w:fldCharType="separate"/>
        </w:r>
        <w:r w:rsidR="00812CE5">
          <w:rPr>
            <w:noProof/>
          </w:rPr>
          <w:t>7</w:t>
        </w:r>
        <w:r>
          <w:rPr>
            <w:noProof/>
          </w:rPr>
          <w:fldChar w:fldCharType="end"/>
        </w:r>
      </w:p>
    </w:sdtContent>
  </w:sdt>
  <w:p w14:paraId="136E685B" w14:textId="77777777" w:rsidR="008F1792" w:rsidRDefault="008F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EC76" w14:textId="77777777" w:rsidR="008F1792" w:rsidRDefault="008F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513C"/>
    <w:multiLevelType w:val="hybridMultilevel"/>
    <w:tmpl w:val="299CD032"/>
    <w:lvl w:ilvl="0" w:tplc="67E2E9F0">
      <w:start w:val="1"/>
      <w:numFmt w:val="decimal"/>
      <w:lvlText w:val="%1."/>
      <w:lvlJc w:val="left"/>
      <w:pPr>
        <w:ind w:left="720" w:hanging="360"/>
      </w:pPr>
      <w:rPr>
        <w:rFonts w:ascii="Calibri" w:eastAsia="Calibri" w:hAnsi="Calibri"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B8189A"/>
    <w:multiLevelType w:val="hybridMultilevel"/>
    <w:tmpl w:val="BF3E4622"/>
    <w:lvl w:ilvl="0" w:tplc="0409000F">
      <w:start w:val="1"/>
      <w:numFmt w:val="decimal"/>
      <w:lvlText w:val="%1."/>
      <w:lvlJc w:val="left"/>
      <w:pPr>
        <w:ind w:left="720" w:hanging="360"/>
      </w:pPr>
      <w:rPr>
        <w:rFonts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6A7228"/>
    <w:multiLevelType w:val="hybridMultilevel"/>
    <w:tmpl w:val="5C9C4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282685"/>
    <w:multiLevelType w:val="hybridMultilevel"/>
    <w:tmpl w:val="9B9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95644"/>
    <w:multiLevelType w:val="hybridMultilevel"/>
    <w:tmpl w:val="F1469B68"/>
    <w:lvl w:ilvl="0" w:tplc="7C763548">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249E"/>
    <w:rsid w:val="000240C4"/>
    <w:rsid w:val="00024AB8"/>
    <w:rsid w:val="00032985"/>
    <w:rsid w:val="00046DFE"/>
    <w:rsid w:val="00050427"/>
    <w:rsid w:val="00053D41"/>
    <w:rsid w:val="00070ED6"/>
    <w:rsid w:val="000928FD"/>
    <w:rsid w:val="000A3FD2"/>
    <w:rsid w:val="000A52A5"/>
    <w:rsid w:val="000B1AF5"/>
    <w:rsid w:val="000B2D7C"/>
    <w:rsid w:val="000D3EFE"/>
    <w:rsid w:val="000E1F0C"/>
    <w:rsid w:val="000E275C"/>
    <w:rsid w:val="000E7A99"/>
    <w:rsid w:val="000F5CE6"/>
    <w:rsid w:val="00105F91"/>
    <w:rsid w:val="00115372"/>
    <w:rsid w:val="00145C81"/>
    <w:rsid w:val="001577E4"/>
    <w:rsid w:val="0018373E"/>
    <w:rsid w:val="00184FC3"/>
    <w:rsid w:val="00194702"/>
    <w:rsid w:val="001A5935"/>
    <w:rsid w:val="001C2F60"/>
    <w:rsid w:val="001D6507"/>
    <w:rsid w:val="001E4CE7"/>
    <w:rsid w:val="001E6748"/>
    <w:rsid w:val="001E67A5"/>
    <w:rsid w:val="0020434A"/>
    <w:rsid w:val="00221B3E"/>
    <w:rsid w:val="00225EF1"/>
    <w:rsid w:val="00234AE2"/>
    <w:rsid w:val="00241C69"/>
    <w:rsid w:val="00247BB5"/>
    <w:rsid w:val="00262BAD"/>
    <w:rsid w:val="00270AE5"/>
    <w:rsid w:val="002923A6"/>
    <w:rsid w:val="002A27A2"/>
    <w:rsid w:val="002C79BA"/>
    <w:rsid w:val="002D4D56"/>
    <w:rsid w:val="002E1B28"/>
    <w:rsid w:val="00330EC9"/>
    <w:rsid w:val="003529B3"/>
    <w:rsid w:val="00366151"/>
    <w:rsid w:val="0036662A"/>
    <w:rsid w:val="00382BDA"/>
    <w:rsid w:val="003865B8"/>
    <w:rsid w:val="003A1AD9"/>
    <w:rsid w:val="003B2FAE"/>
    <w:rsid w:val="003E27E5"/>
    <w:rsid w:val="003E77A4"/>
    <w:rsid w:val="003F482E"/>
    <w:rsid w:val="003F5676"/>
    <w:rsid w:val="004136A8"/>
    <w:rsid w:val="004378EE"/>
    <w:rsid w:val="00441C29"/>
    <w:rsid w:val="00452AAF"/>
    <w:rsid w:val="00465A52"/>
    <w:rsid w:val="00475E13"/>
    <w:rsid w:val="00482936"/>
    <w:rsid w:val="00482B56"/>
    <w:rsid w:val="004A5F41"/>
    <w:rsid w:val="004A5FBC"/>
    <w:rsid w:val="004C44BD"/>
    <w:rsid w:val="004D11D5"/>
    <w:rsid w:val="004E6B69"/>
    <w:rsid w:val="004F0E9C"/>
    <w:rsid w:val="005004F3"/>
    <w:rsid w:val="0054453C"/>
    <w:rsid w:val="00547C74"/>
    <w:rsid w:val="005516A5"/>
    <w:rsid w:val="005533C2"/>
    <w:rsid w:val="00571253"/>
    <w:rsid w:val="00581B51"/>
    <w:rsid w:val="00593EE0"/>
    <w:rsid w:val="005B1293"/>
    <w:rsid w:val="005B79FB"/>
    <w:rsid w:val="005C5B4A"/>
    <w:rsid w:val="005C5ECB"/>
    <w:rsid w:val="005C7529"/>
    <w:rsid w:val="005E0604"/>
    <w:rsid w:val="005E6937"/>
    <w:rsid w:val="005F038F"/>
    <w:rsid w:val="005F0F88"/>
    <w:rsid w:val="005F5ED3"/>
    <w:rsid w:val="006106A7"/>
    <w:rsid w:val="00645605"/>
    <w:rsid w:val="0065660E"/>
    <w:rsid w:val="00665BE2"/>
    <w:rsid w:val="00677B1E"/>
    <w:rsid w:val="006824CC"/>
    <w:rsid w:val="006A1E78"/>
    <w:rsid w:val="006A22E2"/>
    <w:rsid w:val="006B0D85"/>
    <w:rsid w:val="006B526A"/>
    <w:rsid w:val="006B75D2"/>
    <w:rsid w:val="006C0163"/>
    <w:rsid w:val="006C1F65"/>
    <w:rsid w:val="006D04D3"/>
    <w:rsid w:val="006E16C9"/>
    <w:rsid w:val="006E5A16"/>
    <w:rsid w:val="00707C95"/>
    <w:rsid w:val="0072623F"/>
    <w:rsid w:val="00741C32"/>
    <w:rsid w:val="00742585"/>
    <w:rsid w:val="00745BAC"/>
    <w:rsid w:val="00747BC9"/>
    <w:rsid w:val="007537EC"/>
    <w:rsid w:val="00761496"/>
    <w:rsid w:val="007769FC"/>
    <w:rsid w:val="00792C61"/>
    <w:rsid w:val="007A5AF5"/>
    <w:rsid w:val="007B3E81"/>
    <w:rsid w:val="007D3038"/>
    <w:rsid w:val="007F5F38"/>
    <w:rsid w:val="0080172F"/>
    <w:rsid w:val="00812CE5"/>
    <w:rsid w:val="008359DC"/>
    <w:rsid w:val="0085384B"/>
    <w:rsid w:val="00856EDA"/>
    <w:rsid w:val="008576A6"/>
    <w:rsid w:val="00865C80"/>
    <w:rsid w:val="008663E3"/>
    <w:rsid w:val="00875DF0"/>
    <w:rsid w:val="00885C3D"/>
    <w:rsid w:val="008A53CB"/>
    <w:rsid w:val="008C0FBD"/>
    <w:rsid w:val="008C2669"/>
    <w:rsid w:val="008C3DAE"/>
    <w:rsid w:val="008D5F38"/>
    <w:rsid w:val="008E3C68"/>
    <w:rsid w:val="008F1792"/>
    <w:rsid w:val="008F38C3"/>
    <w:rsid w:val="00926630"/>
    <w:rsid w:val="00933886"/>
    <w:rsid w:val="00947C9D"/>
    <w:rsid w:val="00953EC6"/>
    <w:rsid w:val="00954EEB"/>
    <w:rsid w:val="00956C1E"/>
    <w:rsid w:val="0097341D"/>
    <w:rsid w:val="0099342A"/>
    <w:rsid w:val="009A662F"/>
    <w:rsid w:val="009B3957"/>
    <w:rsid w:val="009B4714"/>
    <w:rsid w:val="009D3B8E"/>
    <w:rsid w:val="009D3BAD"/>
    <w:rsid w:val="009E1857"/>
    <w:rsid w:val="009E69E2"/>
    <w:rsid w:val="00A00DB1"/>
    <w:rsid w:val="00A23A62"/>
    <w:rsid w:val="00A24DB0"/>
    <w:rsid w:val="00A2721F"/>
    <w:rsid w:val="00A35603"/>
    <w:rsid w:val="00A40AF7"/>
    <w:rsid w:val="00A4128B"/>
    <w:rsid w:val="00A47552"/>
    <w:rsid w:val="00A47E71"/>
    <w:rsid w:val="00A52C00"/>
    <w:rsid w:val="00A54BBD"/>
    <w:rsid w:val="00A6632E"/>
    <w:rsid w:val="00A80ADA"/>
    <w:rsid w:val="00A845D7"/>
    <w:rsid w:val="00A84AF4"/>
    <w:rsid w:val="00A91F0C"/>
    <w:rsid w:val="00A96DA7"/>
    <w:rsid w:val="00AB119C"/>
    <w:rsid w:val="00AC4B6C"/>
    <w:rsid w:val="00AD5789"/>
    <w:rsid w:val="00AE0AC3"/>
    <w:rsid w:val="00AF0A0D"/>
    <w:rsid w:val="00AF25D0"/>
    <w:rsid w:val="00AF2A89"/>
    <w:rsid w:val="00B0591B"/>
    <w:rsid w:val="00B06DF8"/>
    <w:rsid w:val="00B14AA0"/>
    <w:rsid w:val="00B26628"/>
    <w:rsid w:val="00B46548"/>
    <w:rsid w:val="00B7017D"/>
    <w:rsid w:val="00B7378D"/>
    <w:rsid w:val="00B75709"/>
    <w:rsid w:val="00B8118B"/>
    <w:rsid w:val="00B8169D"/>
    <w:rsid w:val="00B84BE2"/>
    <w:rsid w:val="00B9676C"/>
    <w:rsid w:val="00BA3F54"/>
    <w:rsid w:val="00BB138B"/>
    <w:rsid w:val="00BC5BDA"/>
    <w:rsid w:val="00BD17AE"/>
    <w:rsid w:val="00BE1E8F"/>
    <w:rsid w:val="00BE6468"/>
    <w:rsid w:val="00BE6CC1"/>
    <w:rsid w:val="00BF1B7E"/>
    <w:rsid w:val="00BF587A"/>
    <w:rsid w:val="00C1054C"/>
    <w:rsid w:val="00C25B44"/>
    <w:rsid w:val="00C3317D"/>
    <w:rsid w:val="00C33E49"/>
    <w:rsid w:val="00C35591"/>
    <w:rsid w:val="00C41BD5"/>
    <w:rsid w:val="00C41EDB"/>
    <w:rsid w:val="00C535B1"/>
    <w:rsid w:val="00C6260A"/>
    <w:rsid w:val="00C6740A"/>
    <w:rsid w:val="00C80FE1"/>
    <w:rsid w:val="00C916C8"/>
    <w:rsid w:val="00C94B40"/>
    <w:rsid w:val="00C97E60"/>
    <w:rsid w:val="00CA2E85"/>
    <w:rsid w:val="00CA6AE7"/>
    <w:rsid w:val="00CB2790"/>
    <w:rsid w:val="00CB505F"/>
    <w:rsid w:val="00CB5FE1"/>
    <w:rsid w:val="00CB62FB"/>
    <w:rsid w:val="00CC2C73"/>
    <w:rsid w:val="00CE007D"/>
    <w:rsid w:val="00CE53AB"/>
    <w:rsid w:val="00CF2C5D"/>
    <w:rsid w:val="00CF7C87"/>
    <w:rsid w:val="00D548C8"/>
    <w:rsid w:val="00D54ED4"/>
    <w:rsid w:val="00D66763"/>
    <w:rsid w:val="00D95C43"/>
    <w:rsid w:val="00DB3586"/>
    <w:rsid w:val="00DC5385"/>
    <w:rsid w:val="00DC7728"/>
    <w:rsid w:val="00DC7AB7"/>
    <w:rsid w:val="00DD78E9"/>
    <w:rsid w:val="00DE1BD0"/>
    <w:rsid w:val="00DE693B"/>
    <w:rsid w:val="00E307F8"/>
    <w:rsid w:val="00E314FC"/>
    <w:rsid w:val="00E47926"/>
    <w:rsid w:val="00E53DCA"/>
    <w:rsid w:val="00E6399A"/>
    <w:rsid w:val="00E847CD"/>
    <w:rsid w:val="00E95B1A"/>
    <w:rsid w:val="00EC036E"/>
    <w:rsid w:val="00EC0828"/>
    <w:rsid w:val="00EC0FEB"/>
    <w:rsid w:val="00EC6B07"/>
    <w:rsid w:val="00EF0A83"/>
    <w:rsid w:val="00EF5D3D"/>
    <w:rsid w:val="00F16636"/>
    <w:rsid w:val="00F17A0F"/>
    <w:rsid w:val="00F43952"/>
    <w:rsid w:val="00F449CA"/>
    <w:rsid w:val="00F45F44"/>
    <w:rsid w:val="00F46B15"/>
    <w:rsid w:val="00F56078"/>
    <w:rsid w:val="00F74AD4"/>
    <w:rsid w:val="00F7759E"/>
    <w:rsid w:val="00F80CC4"/>
    <w:rsid w:val="00F8394C"/>
    <w:rsid w:val="00FA1C73"/>
    <w:rsid w:val="00FA2FE9"/>
    <w:rsid w:val="00FC1D93"/>
    <w:rsid w:val="00FD0EAB"/>
    <w:rsid w:val="00FE2A36"/>
    <w:rsid w:val="00FF4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AD57"/>
  <w15:docId w15:val="{28CA31FF-D8FF-4AAD-9793-87D41EC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80FE1"/>
    <w:pPr>
      <w:spacing w:before="100" w:beforeAutospacing="1" w:after="100" w:afterAutospacing="1"/>
      <w:outlineLvl w:val="0"/>
    </w:pPr>
    <w:rPr>
      <w:rFonts w:eastAsiaTheme="minorHAns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Heading1Char">
    <w:name w:val="Heading 1 Char"/>
    <w:basedOn w:val="DefaultParagraphFont"/>
    <w:link w:val="Heading1"/>
    <w:uiPriority w:val="9"/>
    <w:rsid w:val="00C80FE1"/>
    <w:rPr>
      <w:b/>
      <w:bCs/>
      <w:kern w:val="36"/>
      <w:sz w:val="48"/>
      <w:szCs w:val="48"/>
      <w:lang w:val="en-US"/>
    </w:rPr>
  </w:style>
  <w:style w:type="character" w:styleId="Hyperlink">
    <w:name w:val="Hyperlink"/>
    <w:basedOn w:val="DefaultParagraphFont"/>
    <w:uiPriority w:val="99"/>
    <w:semiHidden/>
    <w:unhideWhenUsed/>
    <w:rsid w:val="00262BAD"/>
    <w:rPr>
      <w:color w:val="0563C1"/>
      <w:u w:val="single"/>
    </w:rPr>
  </w:style>
  <w:style w:type="character" w:styleId="CommentReference">
    <w:name w:val="annotation reference"/>
    <w:uiPriority w:val="99"/>
    <w:unhideWhenUsed/>
    <w:rsid w:val="0065660E"/>
    <w:rPr>
      <w:sz w:val="16"/>
      <w:szCs w:val="16"/>
    </w:rPr>
  </w:style>
  <w:style w:type="paragraph" w:styleId="CommentText">
    <w:name w:val="annotation text"/>
    <w:basedOn w:val="Normal"/>
    <w:link w:val="CommentTextChar"/>
    <w:uiPriority w:val="99"/>
    <w:unhideWhenUsed/>
    <w:rsid w:val="0065660E"/>
    <w:pPr>
      <w:widowControl w:val="0"/>
      <w:adjustRightInd w:val="0"/>
      <w:spacing w:line="360" w:lineRule="atLeast"/>
      <w:jc w:val="both"/>
      <w:textAlignment w:val="baseline"/>
    </w:pPr>
    <w:rPr>
      <w:sz w:val="20"/>
      <w:lang w:val="en-US" w:eastAsia="en-US"/>
    </w:rPr>
  </w:style>
  <w:style w:type="character" w:customStyle="1" w:styleId="CommentTextChar">
    <w:name w:val="Comment Text Char"/>
    <w:basedOn w:val="DefaultParagraphFont"/>
    <w:link w:val="CommentText"/>
    <w:uiPriority w:val="99"/>
    <w:rsid w:val="0065660E"/>
    <w:rPr>
      <w:rFonts w:eastAsia="Times New Roman"/>
      <w:sz w:val="20"/>
      <w:szCs w:val="20"/>
      <w:lang w:val="en-US"/>
    </w:rPr>
  </w:style>
  <w:style w:type="paragraph" w:customStyle="1" w:styleId="CM1">
    <w:name w:val="CM1"/>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customStyle="1" w:styleId="CM3">
    <w:name w:val="CM3"/>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styleId="Header">
    <w:name w:val="header"/>
    <w:basedOn w:val="Normal"/>
    <w:link w:val="HeaderChar"/>
    <w:uiPriority w:val="99"/>
    <w:unhideWhenUsed/>
    <w:rsid w:val="008F1792"/>
    <w:pPr>
      <w:tabs>
        <w:tab w:val="center" w:pos="4986"/>
        <w:tab w:val="right" w:pos="9972"/>
      </w:tabs>
    </w:pPr>
  </w:style>
  <w:style w:type="character" w:customStyle="1" w:styleId="HeaderChar">
    <w:name w:val="Header Char"/>
    <w:basedOn w:val="DefaultParagraphFont"/>
    <w:link w:val="Header"/>
    <w:uiPriority w:val="99"/>
    <w:rsid w:val="008F1792"/>
    <w:rPr>
      <w:rFonts w:eastAsia="Times New Roman"/>
      <w:szCs w:val="20"/>
      <w:lang w:eastAsia="lt-LT"/>
    </w:rPr>
  </w:style>
  <w:style w:type="paragraph" w:styleId="Footer">
    <w:name w:val="footer"/>
    <w:basedOn w:val="Normal"/>
    <w:link w:val="FooterChar"/>
    <w:uiPriority w:val="99"/>
    <w:unhideWhenUsed/>
    <w:rsid w:val="008F1792"/>
    <w:pPr>
      <w:tabs>
        <w:tab w:val="center" w:pos="4986"/>
        <w:tab w:val="right" w:pos="9972"/>
      </w:tabs>
    </w:pPr>
  </w:style>
  <w:style w:type="character" w:customStyle="1" w:styleId="FooterChar">
    <w:name w:val="Footer Char"/>
    <w:basedOn w:val="DefaultParagraphFont"/>
    <w:link w:val="Footer"/>
    <w:uiPriority w:val="99"/>
    <w:rsid w:val="008F1792"/>
    <w:rPr>
      <w:rFonts w:eastAsia="Times New Roman"/>
      <w:szCs w:val="20"/>
      <w:lang w:eastAsia="lt-LT"/>
    </w:rPr>
  </w:style>
  <w:style w:type="paragraph" w:styleId="CommentSubject">
    <w:name w:val="annotation subject"/>
    <w:basedOn w:val="CommentText"/>
    <w:next w:val="CommentText"/>
    <w:link w:val="CommentSubjectChar"/>
    <w:uiPriority w:val="99"/>
    <w:semiHidden/>
    <w:unhideWhenUsed/>
    <w:rsid w:val="006D04D3"/>
    <w:pPr>
      <w:widowControl/>
      <w:adjustRightInd/>
      <w:spacing w:line="240" w:lineRule="auto"/>
      <w:jc w:val="left"/>
      <w:textAlignment w:val="auto"/>
    </w:pPr>
    <w:rPr>
      <w:b/>
      <w:bCs/>
      <w:lang w:val="lt-LT" w:eastAsia="lt-LT"/>
    </w:rPr>
  </w:style>
  <w:style w:type="character" w:customStyle="1" w:styleId="CommentSubjectChar">
    <w:name w:val="Comment Subject Char"/>
    <w:basedOn w:val="CommentTextChar"/>
    <w:link w:val="CommentSubject"/>
    <w:uiPriority w:val="99"/>
    <w:semiHidden/>
    <w:rsid w:val="006D04D3"/>
    <w:rPr>
      <w:rFonts w:eastAsia="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7785">
      <w:bodyDiv w:val="1"/>
      <w:marLeft w:val="0"/>
      <w:marRight w:val="0"/>
      <w:marTop w:val="0"/>
      <w:marBottom w:val="0"/>
      <w:divBdr>
        <w:top w:val="none" w:sz="0" w:space="0" w:color="auto"/>
        <w:left w:val="none" w:sz="0" w:space="0" w:color="auto"/>
        <w:bottom w:val="none" w:sz="0" w:space="0" w:color="auto"/>
        <w:right w:val="none" w:sz="0" w:space="0" w:color="auto"/>
      </w:divBdr>
    </w:div>
    <w:div w:id="342517879">
      <w:bodyDiv w:val="1"/>
      <w:marLeft w:val="0"/>
      <w:marRight w:val="0"/>
      <w:marTop w:val="0"/>
      <w:marBottom w:val="0"/>
      <w:divBdr>
        <w:top w:val="none" w:sz="0" w:space="0" w:color="auto"/>
        <w:left w:val="none" w:sz="0" w:space="0" w:color="auto"/>
        <w:bottom w:val="none" w:sz="0" w:space="0" w:color="auto"/>
        <w:right w:val="none" w:sz="0" w:space="0" w:color="auto"/>
      </w:divBdr>
    </w:div>
    <w:div w:id="484053629">
      <w:bodyDiv w:val="1"/>
      <w:marLeft w:val="0"/>
      <w:marRight w:val="0"/>
      <w:marTop w:val="0"/>
      <w:marBottom w:val="0"/>
      <w:divBdr>
        <w:top w:val="none" w:sz="0" w:space="0" w:color="auto"/>
        <w:left w:val="none" w:sz="0" w:space="0" w:color="auto"/>
        <w:bottom w:val="none" w:sz="0" w:space="0" w:color="auto"/>
        <w:right w:val="none" w:sz="0" w:space="0" w:color="auto"/>
      </w:divBdr>
    </w:div>
    <w:div w:id="789516082">
      <w:bodyDiv w:val="1"/>
      <w:marLeft w:val="0"/>
      <w:marRight w:val="0"/>
      <w:marTop w:val="0"/>
      <w:marBottom w:val="0"/>
      <w:divBdr>
        <w:top w:val="none" w:sz="0" w:space="0" w:color="auto"/>
        <w:left w:val="none" w:sz="0" w:space="0" w:color="auto"/>
        <w:bottom w:val="none" w:sz="0" w:space="0" w:color="auto"/>
        <w:right w:val="none" w:sz="0" w:space="0" w:color="auto"/>
      </w:divBdr>
    </w:div>
    <w:div w:id="990644035">
      <w:bodyDiv w:val="1"/>
      <w:marLeft w:val="0"/>
      <w:marRight w:val="0"/>
      <w:marTop w:val="0"/>
      <w:marBottom w:val="0"/>
      <w:divBdr>
        <w:top w:val="none" w:sz="0" w:space="0" w:color="auto"/>
        <w:left w:val="none" w:sz="0" w:space="0" w:color="auto"/>
        <w:bottom w:val="none" w:sz="0" w:space="0" w:color="auto"/>
        <w:right w:val="none" w:sz="0" w:space="0" w:color="auto"/>
      </w:divBdr>
    </w:div>
    <w:div w:id="1159075742">
      <w:bodyDiv w:val="1"/>
      <w:marLeft w:val="0"/>
      <w:marRight w:val="0"/>
      <w:marTop w:val="0"/>
      <w:marBottom w:val="0"/>
      <w:divBdr>
        <w:top w:val="none" w:sz="0" w:space="0" w:color="auto"/>
        <w:left w:val="none" w:sz="0" w:space="0" w:color="auto"/>
        <w:bottom w:val="none" w:sz="0" w:space="0" w:color="auto"/>
        <w:right w:val="none" w:sz="0" w:space="0" w:color="auto"/>
      </w:divBdr>
    </w:div>
    <w:div w:id="1295526034">
      <w:bodyDiv w:val="1"/>
      <w:marLeft w:val="0"/>
      <w:marRight w:val="0"/>
      <w:marTop w:val="0"/>
      <w:marBottom w:val="0"/>
      <w:divBdr>
        <w:top w:val="none" w:sz="0" w:space="0" w:color="auto"/>
        <w:left w:val="none" w:sz="0" w:space="0" w:color="auto"/>
        <w:bottom w:val="none" w:sz="0" w:space="0" w:color="auto"/>
        <w:right w:val="none" w:sz="0" w:space="0" w:color="auto"/>
      </w:divBdr>
    </w:div>
    <w:div w:id="1600675458">
      <w:bodyDiv w:val="1"/>
      <w:marLeft w:val="0"/>
      <w:marRight w:val="0"/>
      <w:marTop w:val="0"/>
      <w:marBottom w:val="0"/>
      <w:divBdr>
        <w:top w:val="none" w:sz="0" w:space="0" w:color="auto"/>
        <w:left w:val="none" w:sz="0" w:space="0" w:color="auto"/>
        <w:bottom w:val="none" w:sz="0" w:space="0" w:color="auto"/>
        <w:right w:val="none" w:sz="0" w:space="0" w:color="auto"/>
      </w:divBdr>
    </w:div>
    <w:div w:id="1729720707">
      <w:bodyDiv w:val="1"/>
      <w:marLeft w:val="0"/>
      <w:marRight w:val="0"/>
      <w:marTop w:val="0"/>
      <w:marBottom w:val="0"/>
      <w:divBdr>
        <w:top w:val="none" w:sz="0" w:space="0" w:color="auto"/>
        <w:left w:val="none" w:sz="0" w:space="0" w:color="auto"/>
        <w:bottom w:val="none" w:sz="0" w:space="0" w:color="auto"/>
        <w:right w:val="none" w:sz="0" w:space="0" w:color="auto"/>
      </w:divBdr>
    </w:div>
    <w:div w:id="1896817758">
      <w:bodyDiv w:val="1"/>
      <w:marLeft w:val="0"/>
      <w:marRight w:val="0"/>
      <w:marTop w:val="0"/>
      <w:marBottom w:val="0"/>
      <w:divBdr>
        <w:top w:val="none" w:sz="0" w:space="0" w:color="auto"/>
        <w:left w:val="none" w:sz="0" w:space="0" w:color="auto"/>
        <w:bottom w:val="none" w:sz="0" w:space="0" w:color="auto"/>
        <w:right w:val="none" w:sz="0" w:space="0" w:color="auto"/>
      </w:divBdr>
    </w:div>
    <w:div w:id="21233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fa.lt/46487/lietuvos-turizmo-gelbejimo-planas-gelbekime-stambu-versla-ir-zlugdykime-smulkuj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11442</Words>
  <Characters>6522</Characters>
  <Application>Microsoft Office Word</Application>
  <DocSecurity>4</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2020-09-03T13:54:00Z</dcterms:created>
  <dcterms:modified xsi:type="dcterms:W3CDTF">2020-09-03T13:54:00Z</dcterms:modified>
</cp:coreProperties>
</file>