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r>
        <w:rPr>
          <w:b/>
          <w:bCs/>
        </w:rPr>
        <w:t>LIET</w:t>
      </w:r>
      <w:r w:rsidR="00BE2051">
        <w:rPr>
          <w:b/>
          <w:bCs/>
        </w:rPr>
        <w:t>UVOS RESPUBLIKOS ŠVIETIMO,</w:t>
      </w:r>
      <w:r w:rsidR="009E02DD">
        <w:rPr>
          <w:b/>
          <w:bCs/>
        </w:rPr>
        <w:t xml:space="preserve"> MOKSLO IR SPORTO</w:t>
      </w:r>
      <w:r>
        <w:rPr>
          <w:b/>
          <w:bCs/>
        </w:rPr>
        <w:t xml:space="preserve"> MINISTERIJA</w:t>
      </w:r>
    </w:p>
    <w:p w:rsidR="0036662A" w:rsidRDefault="0036662A" w:rsidP="0036662A">
      <w:pPr>
        <w:jc w:val="center"/>
        <w:rPr>
          <w:b/>
          <w:bCs/>
        </w:rPr>
      </w:pPr>
    </w:p>
    <w:p w:rsidR="0036662A" w:rsidRDefault="0036662A" w:rsidP="0036662A">
      <w:pPr>
        <w:jc w:val="center"/>
        <w:rPr>
          <w:b/>
          <w:bCs/>
        </w:rPr>
      </w:pPr>
      <w:r>
        <w:rPr>
          <w:b/>
          <w:bCs/>
        </w:rPr>
        <w:t>SOCIALINIŲ IR EKONOMINIŲ PARTNERIŲ PATEIKTŲ PASTABŲ IR PASIŪLYMŲ DĖL 2014–2020 METŲ EUROPOS SĄJUNGOS FONDŲ INVE</w:t>
      </w:r>
      <w:r w:rsidR="009E02DD">
        <w:rPr>
          <w:b/>
          <w:bCs/>
        </w:rPr>
        <w:t>STICIJŲ VEIKSMŲ PROGRAMOS 1</w:t>
      </w:r>
      <w:r>
        <w:rPr>
          <w:b/>
          <w:bCs/>
        </w:rPr>
        <w:t xml:space="preserve"> PRIORITETO „</w:t>
      </w:r>
      <w:r w:rsidR="009E02DD" w:rsidRPr="009E02DD">
        <w:rPr>
          <w:b/>
          <w:bCs/>
        </w:rPr>
        <w:t>MOKSLINIŲ TYRIMŲ, EKSPERIMENTINĖS PLĖTROS IR INOVACIJŲ SKATINIMAS</w:t>
      </w:r>
      <w:r>
        <w:rPr>
          <w:b/>
          <w:bCs/>
        </w:rPr>
        <w:t xml:space="preserve">“ PRIEMONĖS </w:t>
      </w:r>
      <w:r w:rsidR="00100B8C" w:rsidRPr="00100B8C">
        <w:rPr>
          <w:b/>
          <w:bCs/>
        </w:rPr>
        <w:t>NR. 01.2.2-LMT-K-718 „TIKSLINIAI MOKSLINIAI TYRIMAI SUMANIOS SPECIALIZACIJOS SRITYJE“</w:t>
      </w:r>
      <w:r w:rsidR="001647E3">
        <w:rPr>
          <w:b/>
          <w:bCs/>
        </w:rPr>
        <w:t xml:space="preserve"> PROJEKTŲ ATRANKOS KRITERIJŲ</w:t>
      </w:r>
      <w:r w:rsidR="00100B8C">
        <w:rPr>
          <w:b/>
          <w:bCs/>
        </w:rPr>
        <w:t xml:space="preserve"> DERINIMA</w:t>
      </w:r>
      <w:r w:rsidR="00164427">
        <w:rPr>
          <w:b/>
          <w:bCs/>
        </w:rPr>
        <w:t>S</w:t>
      </w:r>
      <w:bookmarkStart w:id="0" w:name="_GoBack"/>
      <w:bookmarkEnd w:id="0"/>
    </w:p>
    <w:p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100B8C" w:rsidP="00335D39">
            <w:pPr>
              <w:rPr>
                <w:szCs w:val="24"/>
              </w:rPr>
            </w:pPr>
            <w:r>
              <w:rPr>
                <w:szCs w:val="24"/>
              </w:rPr>
              <w:t>2020-08-10</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164427" w:rsidP="009E02DD">
            <w:sdt>
              <w:sdtPr>
                <w:id w:val="1312749902"/>
              </w:sdtPr>
              <w:sdtEndPr/>
              <w:sdtContent>
                <w:r w:rsidR="009E02DD">
                  <w:t>X</w:t>
                </w:r>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164427" w:rsidP="009E02D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9E02DD" w:rsidRPr="009E02DD">
                  <w:rPr>
                    <w:b/>
                  </w:rPr>
                  <w:t>X</w:t>
                </w:r>
              </w:sdtContent>
            </w:sdt>
            <w:r w:rsidR="0036662A">
              <w:rPr>
                <w:szCs w:val="24"/>
              </w:rPr>
              <w:t xml:space="preserve"> Ne </w:t>
            </w:r>
          </w:p>
        </w:tc>
      </w:tr>
    </w:tbl>
    <w:p w:rsidR="0036662A" w:rsidRDefault="0036662A" w:rsidP="0036662A">
      <w:pPr>
        <w:rPr>
          <w:szCs w:val="24"/>
        </w:rPr>
      </w:pPr>
    </w:p>
    <w:p w:rsidR="001647E3" w:rsidRPr="00781CA4" w:rsidRDefault="001647E3"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rsidTr="00335D39">
        <w:tc>
          <w:tcPr>
            <w:tcW w:w="567" w:type="dxa"/>
          </w:tcPr>
          <w:p w:rsidR="0036662A" w:rsidRPr="00781CA4" w:rsidRDefault="0036662A" w:rsidP="00335D39">
            <w:pPr>
              <w:jc w:val="center"/>
              <w:rPr>
                <w:b/>
                <w:szCs w:val="24"/>
              </w:rPr>
            </w:pPr>
            <w:r w:rsidRPr="00781CA4">
              <w:rPr>
                <w:b/>
                <w:szCs w:val="24"/>
              </w:rPr>
              <w:t>Nr.</w:t>
            </w:r>
          </w:p>
        </w:tc>
        <w:tc>
          <w:tcPr>
            <w:tcW w:w="1985" w:type="dxa"/>
          </w:tcPr>
          <w:p w:rsidR="0036662A" w:rsidRPr="00781CA4" w:rsidRDefault="0036662A" w:rsidP="00335D39">
            <w:pPr>
              <w:jc w:val="center"/>
              <w:rPr>
                <w:b/>
                <w:szCs w:val="24"/>
              </w:rPr>
            </w:pPr>
            <w:r w:rsidRPr="00781CA4">
              <w:rPr>
                <w:b/>
                <w:szCs w:val="24"/>
              </w:rPr>
              <w:t>Institucija</w:t>
            </w:r>
          </w:p>
        </w:tc>
        <w:tc>
          <w:tcPr>
            <w:tcW w:w="5386" w:type="dxa"/>
          </w:tcPr>
          <w:p w:rsidR="0036662A" w:rsidRPr="00781CA4" w:rsidRDefault="0036662A" w:rsidP="00335D39">
            <w:pPr>
              <w:jc w:val="center"/>
              <w:rPr>
                <w:b/>
                <w:szCs w:val="24"/>
              </w:rPr>
            </w:pPr>
            <w:r>
              <w:rPr>
                <w:b/>
                <w:bCs/>
              </w:rPr>
              <w:t>Pastabos ir pasiūlymai</w:t>
            </w:r>
          </w:p>
        </w:tc>
        <w:tc>
          <w:tcPr>
            <w:tcW w:w="6804"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9E02DD" w:rsidRPr="00781CA4" w:rsidTr="00335D39">
        <w:tc>
          <w:tcPr>
            <w:tcW w:w="567" w:type="dxa"/>
          </w:tcPr>
          <w:p w:rsidR="00020F1E" w:rsidRDefault="00020F1E" w:rsidP="0036662A">
            <w:pPr>
              <w:pStyle w:val="Sraopastraipa"/>
              <w:numPr>
                <w:ilvl w:val="0"/>
                <w:numId w:val="1"/>
              </w:numPr>
              <w:jc w:val="both"/>
            </w:pPr>
            <w:r>
              <w:t>ą</w:t>
            </w:r>
          </w:p>
          <w:p w:rsidR="009E02DD" w:rsidRPr="00020F1E" w:rsidRDefault="00020F1E" w:rsidP="00020F1E">
            <w:pPr>
              <w:rPr>
                <w:lang w:val="en-GB"/>
              </w:rPr>
            </w:pPr>
            <w:r>
              <w:rPr>
                <w:lang w:val="en-GB"/>
              </w:rPr>
              <w:t>1.</w:t>
            </w:r>
          </w:p>
        </w:tc>
        <w:tc>
          <w:tcPr>
            <w:tcW w:w="1985" w:type="dxa"/>
            <w:vMerge w:val="restart"/>
          </w:tcPr>
          <w:p w:rsidR="009E02DD" w:rsidRDefault="00020F1E" w:rsidP="00335D39">
            <w:r>
              <w:t xml:space="preserve">Kauno technologijos </w:t>
            </w:r>
            <w:r w:rsidR="009E02DD">
              <w:t>universitetas</w:t>
            </w:r>
          </w:p>
          <w:p w:rsidR="003902F7" w:rsidRPr="0038099D" w:rsidRDefault="003902F7" w:rsidP="00335D39">
            <w:r>
              <w:t>(pateikta</w:t>
            </w:r>
            <w:r w:rsidR="00100B8C">
              <w:t xml:space="preserve"> 2020-08-12)</w:t>
            </w:r>
          </w:p>
        </w:tc>
        <w:tc>
          <w:tcPr>
            <w:tcW w:w="5386" w:type="dxa"/>
          </w:tcPr>
          <w:p w:rsidR="009E02DD" w:rsidRDefault="00100B8C" w:rsidP="00684C3B">
            <w:pPr>
              <w:jc w:val="both"/>
              <w:rPr>
                <w:b/>
              </w:rPr>
            </w:pPr>
            <w:r>
              <w:rPr>
                <w:b/>
              </w:rPr>
              <w:t xml:space="preserve">Dėl kriterijaus </w:t>
            </w:r>
            <w:r w:rsidR="00684C3B">
              <w:rPr>
                <w:b/>
              </w:rPr>
              <w:t>Nr. 4 „</w:t>
            </w:r>
            <w:r w:rsidR="00684C3B" w:rsidRPr="00684C3B">
              <w:rPr>
                <w:b/>
              </w:rPr>
              <w:t>Projektu s</w:t>
            </w:r>
            <w:r w:rsidR="00684C3B">
              <w:rPr>
                <w:b/>
              </w:rPr>
              <w:t>iekiamų rezultatų reikšmingumas“ antrojo aspekto „</w:t>
            </w:r>
            <w:r w:rsidR="00684C3B" w:rsidRPr="00684C3B">
              <w:rPr>
                <w:b/>
              </w:rPr>
              <w:t>MTEPI produktas ir (arba) procesas, atitinkantis ne žemesnį nei 5 technologinės parengties etapą (taikoma GTM ir HSM projektam</w:t>
            </w:r>
            <w:r w:rsidR="00042DB0">
              <w:rPr>
                <w:b/>
              </w:rPr>
              <w:t>s):</w:t>
            </w:r>
          </w:p>
          <w:p w:rsidR="00100B8C" w:rsidRDefault="00100B8C" w:rsidP="009E02DD">
            <w:pPr>
              <w:rPr>
                <w:b/>
              </w:rPr>
            </w:pPr>
          </w:p>
          <w:p w:rsidR="00100B8C" w:rsidRPr="00684C3B" w:rsidRDefault="003B337E" w:rsidP="00100B8C">
            <w:pPr>
              <w:jc w:val="both"/>
            </w:pPr>
            <w:r>
              <w:t>„</w:t>
            </w:r>
            <w:r w:rsidR="00100B8C" w:rsidRPr="00684C3B">
              <w:t>HSM šiuo metu neturi oficialiai patvirtintų „HS parengties“ etapų, o kaip rašoma dokumente dėl HSM kuriamų produktų specifikos TRL (</w:t>
            </w:r>
            <w:proofErr w:type="spellStart"/>
            <w:r w:rsidR="00100B8C" w:rsidRPr="00684C3B">
              <w:t>technology</w:t>
            </w:r>
            <w:proofErr w:type="spellEnd"/>
            <w:r w:rsidR="00100B8C" w:rsidRPr="00684C3B">
              <w:t xml:space="preserve"> </w:t>
            </w:r>
            <w:proofErr w:type="spellStart"/>
            <w:r w:rsidR="00100B8C" w:rsidRPr="00684C3B">
              <w:t>readiness</w:t>
            </w:r>
            <w:proofErr w:type="spellEnd"/>
            <w:r w:rsidR="00100B8C" w:rsidRPr="00684C3B">
              <w:t xml:space="preserve"> </w:t>
            </w:r>
            <w:proofErr w:type="spellStart"/>
            <w:r w:rsidR="00100B8C" w:rsidRPr="00684C3B">
              <w:t>level</w:t>
            </w:r>
            <w:proofErr w:type="spellEnd"/>
            <w:r w:rsidR="00100B8C" w:rsidRPr="00684C3B">
              <w:t>) klasifikacija nėra tiksli. Todėl iki kvietimo pradžios arba kvietimo PFSA reikia pateikti HS parengties etapų aprašymus (priešingu atveju bus sunku rengti ir vertinti HSM paraiškas).</w:t>
            </w:r>
            <w:r>
              <w:t>“</w:t>
            </w:r>
          </w:p>
          <w:p w:rsidR="009E02DD" w:rsidRPr="0038099D" w:rsidRDefault="009E02DD" w:rsidP="009E02DD">
            <w:pPr>
              <w:jc w:val="both"/>
            </w:pPr>
          </w:p>
        </w:tc>
        <w:tc>
          <w:tcPr>
            <w:tcW w:w="6804" w:type="dxa"/>
          </w:tcPr>
          <w:p w:rsidR="009E02DD" w:rsidRPr="0038099D" w:rsidRDefault="00684C3B" w:rsidP="001647E3">
            <w:pPr>
              <w:jc w:val="both"/>
            </w:pPr>
            <w:r w:rsidRPr="00684C3B">
              <w:t>Į pastabą atsižvelgta. Privalomo siekti 5 TRL lygmens atsisakoma. Patei</w:t>
            </w:r>
            <w:r w:rsidR="00302D87">
              <w:t>kiama atrankos kriterijaus antrojo aspekto</w:t>
            </w:r>
            <w:r w:rsidRPr="00684C3B">
              <w:t xml:space="preserve"> formuluotė, tinkanti</w:t>
            </w:r>
            <w:r w:rsidR="00302D87">
              <w:t xml:space="preserve"> visoms mokslo bei meno sritims: </w:t>
            </w:r>
            <w:r w:rsidR="00302D87" w:rsidRPr="00302D87">
              <w:t>MTEPI ir (ar) meno veiklos produktas ir (ar) procesas, kurio faktinis veikimas patikrintas imituojant realią aplinką (sąlygas). Produktu ir (ar) procesu suinteresuoti subjektai turi patvirtinti, kad sukurtas produktas ir (ar) procesas yra tinkamas numatytiems rezultatams gauti (taikoma NTMA, HS ir CV projektams)</w:t>
            </w:r>
            <w:r w:rsidR="00302D87">
              <w:t>.</w:t>
            </w:r>
          </w:p>
        </w:tc>
      </w:tr>
      <w:tr w:rsidR="009E02DD" w:rsidRPr="00781CA4" w:rsidTr="00335D39">
        <w:tc>
          <w:tcPr>
            <w:tcW w:w="567" w:type="dxa"/>
          </w:tcPr>
          <w:p w:rsidR="00020F1E" w:rsidRDefault="00020F1E" w:rsidP="0036662A">
            <w:pPr>
              <w:pStyle w:val="Sraopastraipa"/>
              <w:numPr>
                <w:ilvl w:val="0"/>
                <w:numId w:val="1"/>
              </w:numPr>
              <w:jc w:val="both"/>
            </w:pPr>
          </w:p>
          <w:p w:rsidR="009E02DD" w:rsidRPr="00020F1E" w:rsidRDefault="00020F1E" w:rsidP="00020F1E">
            <w:r>
              <w:t>2.</w:t>
            </w:r>
          </w:p>
        </w:tc>
        <w:tc>
          <w:tcPr>
            <w:tcW w:w="1985" w:type="dxa"/>
            <w:vMerge/>
          </w:tcPr>
          <w:p w:rsidR="009E02DD" w:rsidRPr="0038099D" w:rsidRDefault="009E02DD" w:rsidP="00335D39"/>
        </w:tc>
        <w:tc>
          <w:tcPr>
            <w:tcW w:w="5386" w:type="dxa"/>
          </w:tcPr>
          <w:p w:rsidR="009E02DD" w:rsidRDefault="003B337E" w:rsidP="003B337E">
            <w:pPr>
              <w:jc w:val="both"/>
              <w:rPr>
                <w:b/>
              </w:rPr>
            </w:pPr>
            <w:r>
              <w:rPr>
                <w:b/>
              </w:rPr>
              <w:t xml:space="preserve">Dėl kriterijaus </w:t>
            </w:r>
            <w:r w:rsidRPr="003B337E">
              <w:rPr>
                <w:b/>
              </w:rPr>
              <w:t xml:space="preserve">Nr. 4 „Projektu siekiamų rezultatų reikšmingumas“ antrojo aspekto „MTEPI produktas ir (arba) procesas, atitinkantis ne </w:t>
            </w:r>
            <w:r w:rsidRPr="003B337E">
              <w:rPr>
                <w:b/>
              </w:rPr>
              <w:lastRenderedPageBreak/>
              <w:t>žemesnį nei 5 technologinės parengties etapą (</w:t>
            </w:r>
            <w:r w:rsidR="00042DB0">
              <w:rPr>
                <w:b/>
              </w:rPr>
              <w:t>taikoma GTM ir HSM projektams):</w:t>
            </w:r>
          </w:p>
          <w:p w:rsidR="00042DB0" w:rsidRPr="001647E3" w:rsidRDefault="00042DB0" w:rsidP="003B337E">
            <w:pPr>
              <w:jc w:val="both"/>
              <w:rPr>
                <w:b/>
              </w:rPr>
            </w:pPr>
          </w:p>
          <w:p w:rsidR="003B337E" w:rsidRDefault="003B337E" w:rsidP="003B337E">
            <w:pPr>
              <w:jc w:val="both"/>
            </w:pPr>
            <w:r>
              <w:t xml:space="preserve">„4 punkto 2 papunktį reikia tikslinti: „MTEPI produktas ir (arba) procesas, atitinkantis ne žemesnį nei 5 technologinės parengties etapą (taikoma GTM ir HSM projektams)“; </w:t>
            </w:r>
          </w:p>
          <w:p w:rsidR="009E02DD" w:rsidRDefault="003B337E" w:rsidP="003B337E">
            <w:pPr>
              <w:jc w:val="both"/>
            </w:pPr>
            <w:r>
              <w:t>Proceso inovacijų nereikėtų „pamesti“ viso dokumento apimtyje.“</w:t>
            </w:r>
          </w:p>
          <w:p w:rsidR="00A67181" w:rsidRPr="0038099D" w:rsidRDefault="00A67181" w:rsidP="003B337E">
            <w:pPr>
              <w:jc w:val="both"/>
            </w:pPr>
          </w:p>
        </w:tc>
        <w:tc>
          <w:tcPr>
            <w:tcW w:w="6804" w:type="dxa"/>
          </w:tcPr>
          <w:p w:rsidR="009F43EB" w:rsidRDefault="003B337E" w:rsidP="009F43EB">
            <w:pPr>
              <w:jc w:val="both"/>
            </w:pPr>
            <w:r>
              <w:lastRenderedPageBreak/>
              <w:t>Atsižvelgiant į ankstesnę pastabą, p</w:t>
            </w:r>
            <w:r w:rsidRPr="003B337E">
              <w:t>rivalomo siekti 5 TRL lygmens atsisakoma. Pateikiama atrankos kriterijaus antrojo aspekto formuluotė, tinkanti visoms mokslo bei meno sritims</w:t>
            </w:r>
            <w:r>
              <w:t xml:space="preserve">, taip pat </w:t>
            </w:r>
            <w:r>
              <w:lastRenderedPageBreak/>
              <w:t>įtraukiant papildymą dėl „proceso“</w:t>
            </w:r>
            <w:r w:rsidRPr="003B337E">
              <w:t xml:space="preserve">: MTEPI ir (ar) meno veiklos </w:t>
            </w:r>
            <w:r w:rsidRPr="003B337E">
              <w:rPr>
                <w:b/>
              </w:rPr>
              <w:t>produktas ir (ar) procesas</w:t>
            </w:r>
            <w:r w:rsidRPr="003B337E">
              <w:t xml:space="preserve">, kurio faktinis veikimas patikrintas imituojant realią aplinką (sąlygas). </w:t>
            </w:r>
            <w:r w:rsidRPr="003B337E">
              <w:rPr>
                <w:b/>
              </w:rPr>
              <w:t>Produktu ir (ar) procesu</w:t>
            </w:r>
            <w:r w:rsidRPr="003B337E">
              <w:t xml:space="preserve"> suinteresuoti subjektai turi patvirtinti, kad sukurtas produktas ir (ar) procesas yra tinkamas numatytiems rezultatams gauti (taikoma NTMA, HS ir CV projektams).</w:t>
            </w:r>
          </w:p>
          <w:p w:rsidR="003B337E" w:rsidRPr="0038099D" w:rsidRDefault="003B337E" w:rsidP="009F43EB">
            <w:pPr>
              <w:jc w:val="both"/>
            </w:pPr>
          </w:p>
        </w:tc>
      </w:tr>
      <w:tr w:rsidR="009E02DD" w:rsidRPr="00C70D14" w:rsidTr="00335D39">
        <w:tc>
          <w:tcPr>
            <w:tcW w:w="567" w:type="dxa"/>
          </w:tcPr>
          <w:p w:rsidR="00020F1E" w:rsidRDefault="00020F1E" w:rsidP="0036662A">
            <w:pPr>
              <w:pStyle w:val="Sraopastraipa"/>
              <w:numPr>
                <w:ilvl w:val="0"/>
                <w:numId w:val="1"/>
              </w:numPr>
              <w:jc w:val="both"/>
            </w:pPr>
          </w:p>
          <w:p w:rsidR="009E02DD" w:rsidRPr="00020F1E" w:rsidRDefault="00020F1E" w:rsidP="00020F1E">
            <w:r>
              <w:t>3.</w:t>
            </w:r>
          </w:p>
        </w:tc>
        <w:tc>
          <w:tcPr>
            <w:tcW w:w="1985" w:type="dxa"/>
            <w:vMerge/>
          </w:tcPr>
          <w:p w:rsidR="009E02DD" w:rsidRPr="00C70D14" w:rsidRDefault="009E02DD" w:rsidP="00335D39"/>
        </w:tc>
        <w:tc>
          <w:tcPr>
            <w:tcW w:w="5386" w:type="dxa"/>
          </w:tcPr>
          <w:p w:rsidR="00042DB0" w:rsidRDefault="00042DB0" w:rsidP="009E02DD">
            <w:pPr>
              <w:jc w:val="both"/>
              <w:rPr>
                <w:b/>
              </w:rPr>
            </w:pPr>
            <w:r>
              <w:rPr>
                <w:b/>
              </w:rPr>
              <w:t xml:space="preserve">Dėl kriterijaus </w:t>
            </w:r>
            <w:r w:rsidRPr="00042DB0">
              <w:rPr>
                <w:b/>
              </w:rPr>
              <w:t>Nr. 4 „Projektu siekiamų rezultatų reikšmingumas“</w:t>
            </w:r>
            <w:r>
              <w:rPr>
                <w:b/>
              </w:rPr>
              <w:t>:</w:t>
            </w:r>
          </w:p>
          <w:p w:rsidR="00A67181" w:rsidRDefault="00A67181" w:rsidP="00A67181">
            <w:pPr>
              <w:jc w:val="both"/>
              <w:rPr>
                <w:b/>
              </w:rPr>
            </w:pPr>
          </w:p>
          <w:p w:rsidR="00A67181" w:rsidRPr="00A67181" w:rsidRDefault="00A67181" w:rsidP="00A67181">
            <w:pPr>
              <w:jc w:val="both"/>
            </w:pPr>
            <w:r w:rsidRPr="00A67181">
              <w:t xml:space="preserve">„4 punktą reikia papildyti, kad </w:t>
            </w:r>
            <w:proofErr w:type="spellStart"/>
            <w:r w:rsidRPr="00A67181">
              <w:t>tarpdisciplininai</w:t>
            </w:r>
            <w:proofErr w:type="spellEnd"/>
            <w:r w:rsidRPr="00A67181">
              <w:t xml:space="preserve"> projektai yra PRIVALUMAS, ypač siekiant 5 SRL ar TRL. Tai galima įrašyti prie 1 papunkčio arba formuluoti 6 rodiklį: </w:t>
            </w:r>
          </w:p>
          <w:p w:rsidR="00042DB0" w:rsidRPr="00A67181" w:rsidRDefault="00A67181" w:rsidP="009E02DD">
            <w:pPr>
              <w:jc w:val="both"/>
            </w:pPr>
            <w:r w:rsidRPr="00A67181">
              <w:t>„</w:t>
            </w:r>
            <w:proofErr w:type="spellStart"/>
            <w:r w:rsidRPr="00A67181">
              <w:t>Inovatyvus</w:t>
            </w:r>
            <w:proofErr w:type="spellEnd"/>
            <w:r w:rsidRPr="00A67181">
              <w:t>, grįstas TARPDISCIPLINIAIS moksliniais tyrimais ir technologijomis, sukurtas produkto arba proceso prototipas (taikoma Socialinių ir humanitarinių mokslų (HSM) ir Gamtos, technologijos, medicinos ir sveikatos bei žemės ūkio mokslų (GTM) projektams)“</w:t>
            </w:r>
          </w:p>
          <w:p w:rsidR="009E02DD" w:rsidRPr="00CC78B0" w:rsidRDefault="009E02DD" w:rsidP="009E02DD">
            <w:pPr>
              <w:jc w:val="both"/>
            </w:pPr>
          </w:p>
        </w:tc>
        <w:tc>
          <w:tcPr>
            <w:tcW w:w="6804" w:type="dxa"/>
          </w:tcPr>
          <w:p w:rsidR="00A67181" w:rsidRPr="00A67181" w:rsidRDefault="00A67181" w:rsidP="00D05FBD">
            <w:pPr>
              <w:jc w:val="both"/>
            </w:pPr>
            <w:r w:rsidRPr="00A67181">
              <w:t>Į pastabą neatsižvelgiama, nes pateikta formuluotė neužkerta kelio teikti tarpdisciplininio tyrimo projektus, tačiau papildomi 9 krite</w:t>
            </w:r>
            <w:r w:rsidR="00970B9F">
              <w:t>rijaus „Mokslinio (meno) tyrimo</w:t>
            </w:r>
            <w:r w:rsidRPr="00A67181">
              <w:t xml:space="preserve"> projekto rezultatų atitiktis prioritetui ir panaudojimo perspektyvos”, taikomo Socialinių ir humanitarinių mokslų bei meno sri</w:t>
            </w:r>
            <w:r w:rsidR="00970B9F">
              <w:t>čių projektams, vertinimo aspek</w:t>
            </w:r>
            <w:r w:rsidRPr="00A67181">
              <w:t xml:space="preserve">tai: </w:t>
            </w:r>
            <w:r w:rsidRPr="00A67181">
              <w:rPr>
                <w:b/>
              </w:rPr>
              <w:t>aukštesnis balas skiriamas tiems projektams, kurių rezultatai integruos kelias mokslo ar meno sritis/kryptis</w:t>
            </w:r>
            <w:r w:rsidRPr="00A67181">
              <w:t>, apims (bus pritaikomi) daugiau tikslinių grupių ir (ar) bus projektuojamas didesnis socialinis (ekonominis, kultūrinis) poveikis ir nurodyti p</w:t>
            </w:r>
            <w:r>
              <w:t>oveikio įvertinimo indikatoriai</w:t>
            </w:r>
            <w:r w:rsidRPr="00A67181">
              <w:t>.</w:t>
            </w:r>
          </w:p>
        </w:tc>
      </w:tr>
      <w:tr w:rsidR="009E02DD" w:rsidRPr="00C70D14" w:rsidTr="00335D39">
        <w:tc>
          <w:tcPr>
            <w:tcW w:w="567" w:type="dxa"/>
          </w:tcPr>
          <w:p w:rsidR="00020F1E" w:rsidRDefault="00020F1E" w:rsidP="009E02DD">
            <w:pPr>
              <w:pStyle w:val="Sraopastraipa"/>
              <w:numPr>
                <w:ilvl w:val="0"/>
                <w:numId w:val="1"/>
              </w:numPr>
              <w:jc w:val="both"/>
            </w:pPr>
          </w:p>
          <w:p w:rsidR="009E02DD" w:rsidRPr="00020F1E" w:rsidRDefault="00020F1E" w:rsidP="00020F1E">
            <w:r>
              <w:t>4.</w:t>
            </w:r>
          </w:p>
        </w:tc>
        <w:tc>
          <w:tcPr>
            <w:tcW w:w="1985" w:type="dxa"/>
            <w:vMerge/>
          </w:tcPr>
          <w:p w:rsidR="009E02DD" w:rsidRPr="00C70D14" w:rsidRDefault="009E02DD" w:rsidP="009E02DD"/>
        </w:tc>
        <w:tc>
          <w:tcPr>
            <w:tcW w:w="5386" w:type="dxa"/>
          </w:tcPr>
          <w:p w:rsidR="009E02DD" w:rsidRPr="001647E3" w:rsidRDefault="00A57FC7" w:rsidP="00A57FC7">
            <w:pPr>
              <w:jc w:val="both"/>
              <w:rPr>
                <w:b/>
              </w:rPr>
            </w:pPr>
            <w:r>
              <w:rPr>
                <w:b/>
              </w:rPr>
              <w:t>Dėl kriterijaus Nr. 8 „</w:t>
            </w:r>
            <w:r w:rsidRPr="00A57FC7">
              <w:rPr>
                <w:rFonts w:eastAsia="Calibri"/>
                <w:b/>
                <w:bCs/>
                <w:szCs w:val="24"/>
              </w:rPr>
              <w:t>Planuojami mokslinio tyrimo projekto rezultatų svarba ir įgyvendinimo galimybės</w:t>
            </w:r>
            <w:r>
              <w:rPr>
                <w:rFonts w:eastAsia="Calibri"/>
                <w:b/>
                <w:bCs/>
                <w:szCs w:val="24"/>
              </w:rPr>
              <w:t>“:</w:t>
            </w:r>
          </w:p>
          <w:p w:rsidR="00FA06FA" w:rsidRDefault="00FA06FA" w:rsidP="00A57FC7">
            <w:pPr>
              <w:jc w:val="both"/>
            </w:pPr>
          </w:p>
          <w:p w:rsidR="00A57FC7" w:rsidRDefault="00A57FC7" w:rsidP="00A57FC7">
            <w:pPr>
              <w:jc w:val="both"/>
            </w:pPr>
            <w:r>
              <w:t>„Jeigu 8 punkto 1 dalis bus taikoma tik GTM, kaip bus vertinama tyrimo projekto rezultatų svarba ir įgyvendinimo galimybės HSM? Reikia patikslinti. HSM rezultatų svarbą siūlyčiau vertinti taip: „Surinktų duomenų kokybė ir išbaigtumas. Galimybė surinktų duomenų pagrindų parengti taikomojo, šviečiamojo pobūdžio MTEP rezultatus.“ (tai atitinka 5 SRL etapą).</w:t>
            </w:r>
          </w:p>
          <w:p w:rsidR="009E02DD" w:rsidRPr="00C70D14" w:rsidRDefault="00A57FC7" w:rsidP="00A57FC7">
            <w:pPr>
              <w:jc w:val="both"/>
            </w:pPr>
            <w:r>
              <w:t>Noriu atkreipti dėmesį, kad „skaitlingesni“ rezultatai nėra tinkamas kriterijus tyrimo projekto rezultatų svarbai įvertinti – siūlyčiau keiti į „poveikį“ (nacionalinis - mažai balų, tarptautinis – daug balų).“</w:t>
            </w:r>
          </w:p>
        </w:tc>
        <w:tc>
          <w:tcPr>
            <w:tcW w:w="6804" w:type="dxa"/>
          </w:tcPr>
          <w:p w:rsidR="00A048F9" w:rsidRPr="005F5EBD" w:rsidRDefault="00A57FC7" w:rsidP="003226E0">
            <w:pPr>
              <w:jc w:val="both"/>
            </w:pPr>
            <w:r w:rsidRPr="005F5EBD">
              <w:t>Į pastabą atsižvelgta iš dalies:</w:t>
            </w:r>
          </w:p>
          <w:p w:rsidR="00A57FC7" w:rsidRPr="005F5EBD" w:rsidRDefault="00A57FC7" w:rsidP="003226E0">
            <w:pPr>
              <w:jc w:val="both"/>
            </w:pPr>
            <w:r w:rsidRPr="005F5EBD">
              <w:t>HSM projektų įgyvendinimo galimybės vertinamos pagal pasiūlymuose dėl projektų atrankos kriterijų pateiktą kriterijų Nr. 7 „Projekto parengimo kokybė, projekto įvykdomumas, mokslinio (meno) tyrimo grupės sudėties pagrįstumas“.</w:t>
            </w:r>
          </w:p>
          <w:p w:rsidR="00A57FC7" w:rsidRPr="005F5EBD" w:rsidRDefault="005F5EBD" w:rsidP="003226E0">
            <w:pPr>
              <w:jc w:val="both"/>
            </w:pPr>
            <w:r>
              <w:t>HSM projektų svarba vert</w:t>
            </w:r>
            <w:r w:rsidR="00A57FC7" w:rsidRPr="005F5EBD">
              <w:t xml:space="preserve">inama pagal </w:t>
            </w:r>
            <w:r w:rsidRPr="005F5EBD">
              <w:t xml:space="preserve">pasiūlymuose dėl projektų atrankos kriterijų pateiktą kriterijų Nr. 9 </w:t>
            </w:r>
            <w:r>
              <w:t>„</w:t>
            </w:r>
            <w:r w:rsidRPr="005F5EBD">
              <w:t>Mokslinio (meno) tyrimo  projekto rezultatų atitiktis prioritetui ir panaudojimo perspektyvos”</w:t>
            </w:r>
            <w:r>
              <w:t>, kurio vertinimo aspe</w:t>
            </w:r>
            <w:r w:rsidR="00970B9F">
              <w:t>k</w:t>
            </w:r>
            <w:r w:rsidRPr="005F5EBD">
              <w:t>tai papildyti nuostata: aukštesnis balas skiriamas tiems projektams, kurių rezultatai integruos kelias mokslo ar meno sritis/kryptis, apims (bus pritaikomi) daugiau tikslinių grupių ir (ar) bus projektuojamas didesnis socialinis (ekonominis, kultūrinis) poveikis ir nurodyti poveikio įvertinimo indikatoriai.</w:t>
            </w:r>
          </w:p>
          <w:p w:rsidR="005F5EBD" w:rsidRPr="005F5EBD" w:rsidRDefault="005F5EBD" w:rsidP="007B5A8D">
            <w:pPr>
              <w:jc w:val="both"/>
            </w:pPr>
            <w:r>
              <w:t xml:space="preserve">Atsižvelgiama į pastabą dėl </w:t>
            </w:r>
            <w:r w:rsidRPr="005F5EBD">
              <w:t xml:space="preserve">“skaitlingesnių” rezultatų </w:t>
            </w:r>
            <w:r>
              <w:t xml:space="preserve">– </w:t>
            </w:r>
            <w:r w:rsidRPr="005F5EBD">
              <w:t xml:space="preserve">kriterijaus Nr. 8 vertinimo aspektai papildyti nuostata: </w:t>
            </w:r>
            <w:r w:rsidR="00020F1E">
              <w:t>a</w:t>
            </w:r>
            <w:r w:rsidR="00020F1E" w:rsidRPr="00020F1E">
              <w:t xml:space="preserve">ukštesnis balas skiriamas tiems projektams, kuriais, atsižvelgiant į Sumanios specializacijos prioritetines kryptis, planuojami rezultatai turės platesnį poveikį COVID-19 viruso sukeltų problemų mažinimui ir (ar) sprendimui tarptautiniame ir (ar) nacionaliniame lygmenyje, o projekto vykdytojas bus labiau patyręs </w:t>
            </w:r>
            <w:proofErr w:type="spellStart"/>
            <w:r w:rsidR="00020F1E" w:rsidRPr="00020F1E">
              <w:t>komercializuojant</w:t>
            </w:r>
            <w:proofErr w:type="spellEnd"/>
            <w:r w:rsidR="00020F1E" w:rsidRPr="00020F1E">
              <w:t xml:space="preserve"> MTEP rezultatus.</w:t>
            </w:r>
          </w:p>
        </w:tc>
      </w:tr>
      <w:tr w:rsidR="009E02DD" w:rsidRPr="00C70D14" w:rsidTr="00335D39">
        <w:tc>
          <w:tcPr>
            <w:tcW w:w="567" w:type="dxa"/>
          </w:tcPr>
          <w:p w:rsidR="00020F1E" w:rsidRDefault="00020F1E" w:rsidP="009E02DD">
            <w:pPr>
              <w:pStyle w:val="Sraopastraipa"/>
              <w:numPr>
                <w:ilvl w:val="0"/>
                <w:numId w:val="1"/>
              </w:numPr>
              <w:jc w:val="both"/>
            </w:pPr>
          </w:p>
          <w:p w:rsidR="009E02DD" w:rsidRPr="00020F1E" w:rsidRDefault="00020F1E" w:rsidP="00020F1E">
            <w:r>
              <w:t>5.</w:t>
            </w:r>
          </w:p>
        </w:tc>
        <w:tc>
          <w:tcPr>
            <w:tcW w:w="1985" w:type="dxa"/>
            <w:vMerge/>
          </w:tcPr>
          <w:p w:rsidR="009E02DD" w:rsidRPr="00C70D14" w:rsidRDefault="009E02DD" w:rsidP="009E02DD"/>
        </w:tc>
        <w:tc>
          <w:tcPr>
            <w:tcW w:w="5386" w:type="dxa"/>
          </w:tcPr>
          <w:p w:rsidR="00FA06FA" w:rsidRDefault="00FA06FA" w:rsidP="00FA06FA">
            <w:pPr>
              <w:jc w:val="both"/>
              <w:rPr>
                <w:b/>
              </w:rPr>
            </w:pPr>
            <w:r>
              <w:rPr>
                <w:b/>
              </w:rPr>
              <w:t xml:space="preserve">Dėl naikinamo kriterijaus Nr. </w:t>
            </w:r>
            <w:r>
              <w:rPr>
                <w:b/>
                <w:lang w:val="en-GB"/>
              </w:rPr>
              <w:t xml:space="preserve">6 </w:t>
            </w:r>
            <w:r>
              <w:rPr>
                <w:b/>
              </w:rPr>
              <w:t>„</w:t>
            </w:r>
            <w:r w:rsidRPr="00FA06FA">
              <w:rPr>
                <w:b/>
              </w:rPr>
              <w:t xml:space="preserve">Pareiškėjo dalyvavimo tarptautinių mokslo programų projektuose bei pareiškėjo vykdytų ūkio </w:t>
            </w:r>
            <w:r>
              <w:rPr>
                <w:b/>
              </w:rPr>
              <w:t>subjektų MTEP užsakymų aprėptis“:</w:t>
            </w:r>
          </w:p>
          <w:p w:rsidR="00FA06FA" w:rsidRDefault="00FA06FA" w:rsidP="00FA06FA">
            <w:pPr>
              <w:jc w:val="both"/>
              <w:rPr>
                <w:b/>
              </w:rPr>
            </w:pPr>
          </w:p>
          <w:p w:rsidR="00FA06FA" w:rsidRPr="00FA06FA" w:rsidRDefault="00FA06FA" w:rsidP="00FA06FA">
            <w:pPr>
              <w:jc w:val="both"/>
            </w:pPr>
            <w:r>
              <w:t>„</w:t>
            </w:r>
            <w:r w:rsidRPr="00FA06FA">
              <w:t>Siūlyčiau palikti „6. Pareiškėjo dalyvavimo nacionaliniuose ir tarptautinių mokslo programų projektuose“. Jeigu HSM ir GTM pareiškėjas nedalyvavo nacionaliniuose ir tarptautiniuose mokslo projektuose jie negalės būti pasiekę 5 SRL arba TRL.</w:t>
            </w:r>
            <w:r>
              <w:t>“</w:t>
            </w:r>
          </w:p>
        </w:tc>
        <w:tc>
          <w:tcPr>
            <w:tcW w:w="6804" w:type="dxa"/>
          </w:tcPr>
          <w:p w:rsidR="007B5A8D" w:rsidRDefault="00FA06FA" w:rsidP="007B5A8D">
            <w:pPr>
              <w:jc w:val="both"/>
            </w:pPr>
            <w:r>
              <w:t>Į pastabą neatsižv</w:t>
            </w:r>
            <w:r w:rsidR="00020F1E">
              <w:t>elgiama – Ministerijos nuomone, d</w:t>
            </w:r>
            <w:r w:rsidR="00020F1E" w:rsidRPr="00020F1E">
              <w:t>abar galiojantis kriterijus</w:t>
            </w:r>
            <w:r w:rsidR="00020F1E">
              <w:t xml:space="preserve"> vertintinas </w:t>
            </w:r>
            <w:r w:rsidR="00020F1E" w:rsidRPr="00020F1E">
              <w:t>kaip perteklinis ir negali parodyti pareiškėjo ir jo inicijuojamo MTEP veiklos projekto potencialo ir naudos prisidedant prie COVID-19 viruso sukeliamų problemų mažinimo/sprendimo ir visuomenės atsparumo panašioms galimoms krizėms didinimo.</w:t>
            </w:r>
          </w:p>
          <w:p w:rsidR="007B5A8D" w:rsidRPr="00C70D14" w:rsidRDefault="007B5A8D" w:rsidP="007B5A8D">
            <w:pPr>
              <w:jc w:val="both"/>
            </w:pP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04B88"/>
    <w:multiLevelType w:val="hybridMultilevel"/>
    <w:tmpl w:val="85AEECA6"/>
    <w:lvl w:ilvl="0" w:tplc="39D05E2E">
      <w:start w:val="1"/>
      <w:numFmt w:val="decimal"/>
      <w:lvlText w:val="%1)"/>
      <w:lvlJc w:val="left"/>
      <w:pPr>
        <w:ind w:left="1967" w:hanging="360"/>
      </w:pPr>
      <w:rPr>
        <w:rFonts w:hint="default"/>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6EA632D0"/>
    <w:multiLevelType w:val="hybridMultilevel"/>
    <w:tmpl w:val="4908296C"/>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0F1E"/>
    <w:rsid w:val="000240C4"/>
    <w:rsid w:val="00032985"/>
    <w:rsid w:val="00042DB0"/>
    <w:rsid w:val="00046DFE"/>
    <w:rsid w:val="00050427"/>
    <w:rsid w:val="00053D41"/>
    <w:rsid w:val="00070ED6"/>
    <w:rsid w:val="000A3FD2"/>
    <w:rsid w:val="000B1AF5"/>
    <w:rsid w:val="000B2D7C"/>
    <w:rsid w:val="000D3EFE"/>
    <w:rsid w:val="000E1F0C"/>
    <w:rsid w:val="000E275C"/>
    <w:rsid w:val="000E7A99"/>
    <w:rsid w:val="000F5CE6"/>
    <w:rsid w:val="00100B8C"/>
    <w:rsid w:val="00105F91"/>
    <w:rsid w:val="00115372"/>
    <w:rsid w:val="001427D5"/>
    <w:rsid w:val="001577E4"/>
    <w:rsid w:val="00164427"/>
    <w:rsid w:val="001647E3"/>
    <w:rsid w:val="0018373E"/>
    <w:rsid w:val="00184FC3"/>
    <w:rsid w:val="00194702"/>
    <w:rsid w:val="001A5935"/>
    <w:rsid w:val="001C2F60"/>
    <w:rsid w:val="001D6507"/>
    <w:rsid w:val="001E4CE7"/>
    <w:rsid w:val="001E6748"/>
    <w:rsid w:val="001E67A5"/>
    <w:rsid w:val="0020434A"/>
    <w:rsid w:val="00210F85"/>
    <w:rsid w:val="00234AE2"/>
    <w:rsid w:val="00241C69"/>
    <w:rsid w:val="00247BB5"/>
    <w:rsid w:val="00270AE5"/>
    <w:rsid w:val="002923A6"/>
    <w:rsid w:val="00296F21"/>
    <w:rsid w:val="002A27A2"/>
    <w:rsid w:val="002A7760"/>
    <w:rsid w:val="002C79BA"/>
    <w:rsid w:val="002D1973"/>
    <w:rsid w:val="002D4D56"/>
    <w:rsid w:val="002E1B28"/>
    <w:rsid w:val="002E249F"/>
    <w:rsid w:val="00302056"/>
    <w:rsid w:val="00302D87"/>
    <w:rsid w:val="003226E0"/>
    <w:rsid w:val="00330EC9"/>
    <w:rsid w:val="003529B3"/>
    <w:rsid w:val="00366151"/>
    <w:rsid w:val="0036662A"/>
    <w:rsid w:val="003865B8"/>
    <w:rsid w:val="003902F7"/>
    <w:rsid w:val="00397073"/>
    <w:rsid w:val="003A1AD9"/>
    <w:rsid w:val="003B2FAE"/>
    <w:rsid w:val="003B337E"/>
    <w:rsid w:val="003E77A4"/>
    <w:rsid w:val="003F5676"/>
    <w:rsid w:val="004117D8"/>
    <w:rsid w:val="004136A8"/>
    <w:rsid w:val="004378EE"/>
    <w:rsid w:val="00452AAF"/>
    <w:rsid w:val="00475E13"/>
    <w:rsid w:val="00482B56"/>
    <w:rsid w:val="00491290"/>
    <w:rsid w:val="004972B9"/>
    <w:rsid w:val="004A5F41"/>
    <w:rsid w:val="004C44BD"/>
    <w:rsid w:val="004D11D5"/>
    <w:rsid w:val="004E6B69"/>
    <w:rsid w:val="005004F3"/>
    <w:rsid w:val="0054453C"/>
    <w:rsid w:val="00547C74"/>
    <w:rsid w:val="005516A5"/>
    <w:rsid w:val="005533C2"/>
    <w:rsid w:val="00566FB5"/>
    <w:rsid w:val="00571253"/>
    <w:rsid w:val="00581B51"/>
    <w:rsid w:val="00593EE0"/>
    <w:rsid w:val="005B1293"/>
    <w:rsid w:val="005B79FB"/>
    <w:rsid w:val="005C5B4A"/>
    <w:rsid w:val="005C5ECB"/>
    <w:rsid w:val="005E0604"/>
    <w:rsid w:val="005F038F"/>
    <w:rsid w:val="005F0F88"/>
    <w:rsid w:val="005F5EBD"/>
    <w:rsid w:val="0060577E"/>
    <w:rsid w:val="006106A7"/>
    <w:rsid w:val="00665BE2"/>
    <w:rsid w:val="00677B1E"/>
    <w:rsid w:val="006824CC"/>
    <w:rsid w:val="00684C3B"/>
    <w:rsid w:val="006A17CD"/>
    <w:rsid w:val="006A1E78"/>
    <w:rsid w:val="006A22E2"/>
    <w:rsid w:val="006B0D85"/>
    <w:rsid w:val="006B526A"/>
    <w:rsid w:val="006B75D2"/>
    <w:rsid w:val="006C0163"/>
    <w:rsid w:val="006E16C9"/>
    <w:rsid w:val="00707C95"/>
    <w:rsid w:val="00717B29"/>
    <w:rsid w:val="0072623F"/>
    <w:rsid w:val="00741C32"/>
    <w:rsid w:val="00742585"/>
    <w:rsid w:val="00747BC9"/>
    <w:rsid w:val="007537EC"/>
    <w:rsid w:val="00755C21"/>
    <w:rsid w:val="00761496"/>
    <w:rsid w:val="007769FC"/>
    <w:rsid w:val="00785A98"/>
    <w:rsid w:val="007B3E81"/>
    <w:rsid w:val="007B5A8D"/>
    <w:rsid w:val="007D3038"/>
    <w:rsid w:val="007F5F38"/>
    <w:rsid w:val="0080172F"/>
    <w:rsid w:val="008359DC"/>
    <w:rsid w:val="008425EB"/>
    <w:rsid w:val="0085384B"/>
    <w:rsid w:val="00856EDA"/>
    <w:rsid w:val="008576A6"/>
    <w:rsid w:val="00860D08"/>
    <w:rsid w:val="00865C80"/>
    <w:rsid w:val="008663E3"/>
    <w:rsid w:val="0086799E"/>
    <w:rsid w:val="00876DBD"/>
    <w:rsid w:val="00885C3D"/>
    <w:rsid w:val="008933F5"/>
    <w:rsid w:val="008A53CB"/>
    <w:rsid w:val="008C3DAE"/>
    <w:rsid w:val="008D5F38"/>
    <w:rsid w:val="008E3C68"/>
    <w:rsid w:val="008F38C3"/>
    <w:rsid w:val="00926630"/>
    <w:rsid w:val="00927183"/>
    <w:rsid w:val="00933886"/>
    <w:rsid w:val="00947C9D"/>
    <w:rsid w:val="00954EEB"/>
    <w:rsid w:val="00956C1E"/>
    <w:rsid w:val="00970B9F"/>
    <w:rsid w:val="0097341D"/>
    <w:rsid w:val="0099342A"/>
    <w:rsid w:val="009A662F"/>
    <w:rsid w:val="009B3957"/>
    <w:rsid w:val="009B4714"/>
    <w:rsid w:val="009D3B8E"/>
    <w:rsid w:val="009D3BAD"/>
    <w:rsid w:val="009E02DD"/>
    <w:rsid w:val="009E1857"/>
    <w:rsid w:val="009E69E2"/>
    <w:rsid w:val="009F43EB"/>
    <w:rsid w:val="00A00DB1"/>
    <w:rsid w:val="00A048F9"/>
    <w:rsid w:val="00A24DB0"/>
    <w:rsid w:val="00A2721F"/>
    <w:rsid w:val="00A35603"/>
    <w:rsid w:val="00A4128B"/>
    <w:rsid w:val="00A47552"/>
    <w:rsid w:val="00A47E71"/>
    <w:rsid w:val="00A52C00"/>
    <w:rsid w:val="00A54BBD"/>
    <w:rsid w:val="00A57FC7"/>
    <w:rsid w:val="00A6632E"/>
    <w:rsid w:val="00A67181"/>
    <w:rsid w:val="00A80ADA"/>
    <w:rsid w:val="00A845D7"/>
    <w:rsid w:val="00A91F0C"/>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2051"/>
    <w:rsid w:val="00BE6468"/>
    <w:rsid w:val="00BE6CC1"/>
    <w:rsid w:val="00BF587A"/>
    <w:rsid w:val="00C25B44"/>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C78B0"/>
    <w:rsid w:val="00CE53AB"/>
    <w:rsid w:val="00CF105F"/>
    <w:rsid w:val="00CF2C5D"/>
    <w:rsid w:val="00CF7C87"/>
    <w:rsid w:val="00D05FBD"/>
    <w:rsid w:val="00D36CB5"/>
    <w:rsid w:val="00D548C8"/>
    <w:rsid w:val="00D54ED4"/>
    <w:rsid w:val="00D66763"/>
    <w:rsid w:val="00DB3586"/>
    <w:rsid w:val="00DC5385"/>
    <w:rsid w:val="00DC7728"/>
    <w:rsid w:val="00DC7AB7"/>
    <w:rsid w:val="00DE1BD0"/>
    <w:rsid w:val="00DE693B"/>
    <w:rsid w:val="00E307F8"/>
    <w:rsid w:val="00E314FC"/>
    <w:rsid w:val="00E4515A"/>
    <w:rsid w:val="00E47926"/>
    <w:rsid w:val="00E53DCA"/>
    <w:rsid w:val="00E548B1"/>
    <w:rsid w:val="00E6399A"/>
    <w:rsid w:val="00E642E4"/>
    <w:rsid w:val="00E71627"/>
    <w:rsid w:val="00E83C1C"/>
    <w:rsid w:val="00E95B1A"/>
    <w:rsid w:val="00EC036E"/>
    <w:rsid w:val="00EC0828"/>
    <w:rsid w:val="00EC6B07"/>
    <w:rsid w:val="00EF0A83"/>
    <w:rsid w:val="00EF5D3D"/>
    <w:rsid w:val="00F16636"/>
    <w:rsid w:val="00F17A0F"/>
    <w:rsid w:val="00F43952"/>
    <w:rsid w:val="00F449CA"/>
    <w:rsid w:val="00F45F44"/>
    <w:rsid w:val="00F46B15"/>
    <w:rsid w:val="00F56078"/>
    <w:rsid w:val="00F74AD4"/>
    <w:rsid w:val="00F7759E"/>
    <w:rsid w:val="00F8394C"/>
    <w:rsid w:val="00F85CC2"/>
    <w:rsid w:val="00FA06FA"/>
    <w:rsid w:val="00FA1C73"/>
    <w:rsid w:val="00FA2FE9"/>
    <w:rsid w:val="00FB5749"/>
    <w:rsid w:val="00FD0EAB"/>
    <w:rsid w:val="00FE2A36"/>
    <w:rsid w:val="00FF1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2045"/>
  <w15:docId w15:val="{22621DE0-12CE-47FE-9ED4-9E550B1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05FBD"/>
    <w:rPr>
      <w:sz w:val="16"/>
      <w:szCs w:val="16"/>
    </w:rPr>
  </w:style>
  <w:style w:type="paragraph" w:styleId="Komentarotekstas">
    <w:name w:val="annotation text"/>
    <w:basedOn w:val="prastasis"/>
    <w:link w:val="KomentarotekstasDiagrama"/>
    <w:uiPriority w:val="99"/>
    <w:semiHidden/>
    <w:unhideWhenUsed/>
    <w:rsid w:val="00D05FBD"/>
    <w:rPr>
      <w:sz w:val="20"/>
    </w:rPr>
  </w:style>
  <w:style w:type="character" w:customStyle="1" w:styleId="KomentarotekstasDiagrama">
    <w:name w:val="Komentaro tekstas Diagrama"/>
    <w:basedOn w:val="Numatytasispastraiposriftas"/>
    <w:link w:val="Komentarotekstas"/>
    <w:uiPriority w:val="99"/>
    <w:semiHidden/>
    <w:rsid w:val="00D05FBD"/>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5FBD"/>
    <w:rPr>
      <w:b/>
      <w:bCs/>
    </w:rPr>
  </w:style>
  <w:style w:type="character" w:customStyle="1" w:styleId="KomentarotemaDiagrama">
    <w:name w:val="Komentaro tema Diagrama"/>
    <w:basedOn w:val="KomentarotekstasDiagrama"/>
    <w:link w:val="Komentarotema"/>
    <w:uiPriority w:val="99"/>
    <w:semiHidden/>
    <w:rsid w:val="00D05FBD"/>
    <w:rPr>
      <w:rFonts w:eastAsia="Times New Roman"/>
      <w:b/>
      <w:bCs/>
      <w:sz w:val="20"/>
      <w:szCs w:val="20"/>
      <w:lang w:eastAsia="lt-LT"/>
    </w:rPr>
  </w:style>
  <w:style w:type="character" w:styleId="Hipersaitas">
    <w:name w:val="Hyperlink"/>
    <w:basedOn w:val="Numatytasispastraiposriftas"/>
    <w:uiPriority w:val="99"/>
    <w:unhideWhenUsed/>
    <w:rsid w:val="00D05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686">
      <w:bodyDiv w:val="1"/>
      <w:marLeft w:val="0"/>
      <w:marRight w:val="0"/>
      <w:marTop w:val="0"/>
      <w:marBottom w:val="0"/>
      <w:divBdr>
        <w:top w:val="none" w:sz="0" w:space="0" w:color="auto"/>
        <w:left w:val="none" w:sz="0" w:space="0" w:color="auto"/>
        <w:bottom w:val="none" w:sz="0" w:space="0" w:color="auto"/>
        <w:right w:val="none" w:sz="0" w:space="0" w:color="auto"/>
      </w:divBdr>
    </w:div>
    <w:div w:id="435488286">
      <w:bodyDiv w:val="1"/>
      <w:marLeft w:val="0"/>
      <w:marRight w:val="0"/>
      <w:marTop w:val="0"/>
      <w:marBottom w:val="0"/>
      <w:divBdr>
        <w:top w:val="none" w:sz="0" w:space="0" w:color="auto"/>
        <w:left w:val="none" w:sz="0" w:space="0" w:color="auto"/>
        <w:bottom w:val="none" w:sz="0" w:space="0" w:color="auto"/>
        <w:right w:val="none" w:sz="0" w:space="0" w:color="auto"/>
      </w:divBdr>
    </w:div>
    <w:div w:id="17236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5854</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Gaidamavičienė Agnė</cp:lastModifiedBy>
  <cp:revision>2</cp:revision>
  <dcterms:created xsi:type="dcterms:W3CDTF">2020-09-04T07:47:00Z</dcterms:created>
  <dcterms:modified xsi:type="dcterms:W3CDTF">2020-09-04T07:47:00Z</dcterms:modified>
</cp:coreProperties>
</file>