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192872" w14:textId="3E11BA06" w:rsidR="0036662A" w:rsidRDefault="0036662A" w:rsidP="0072281D">
      <w:pPr>
        <w:jc w:val="center"/>
        <w:rPr>
          <w:b/>
          <w:bCs/>
        </w:rPr>
      </w:pPr>
      <w:bookmarkStart w:id="0" w:name="_GoBack"/>
      <w:bookmarkEnd w:id="0"/>
      <w:r>
        <w:rPr>
          <w:b/>
          <w:bCs/>
        </w:rPr>
        <w:t>LIETUVOS RESPUBLIKOS</w:t>
      </w:r>
      <w:r w:rsidR="00F90937">
        <w:rPr>
          <w:b/>
          <w:bCs/>
        </w:rPr>
        <w:t xml:space="preserve"> EKONOMIKOS IR INOVACIJŲ </w:t>
      </w:r>
      <w:r>
        <w:rPr>
          <w:b/>
          <w:bCs/>
        </w:rPr>
        <w:t>MINISTERIJA</w:t>
      </w:r>
    </w:p>
    <w:p w14:paraId="1B192873" w14:textId="77777777" w:rsidR="0036662A" w:rsidRDefault="0036662A" w:rsidP="0072281D">
      <w:pPr>
        <w:jc w:val="center"/>
        <w:rPr>
          <w:b/>
          <w:bCs/>
        </w:rPr>
      </w:pPr>
    </w:p>
    <w:p w14:paraId="01782B17" w14:textId="71BD7943" w:rsidR="005C3B7F" w:rsidRPr="003756C5" w:rsidRDefault="0036662A" w:rsidP="0072281D">
      <w:pPr>
        <w:jc w:val="center"/>
        <w:rPr>
          <w:rFonts w:ascii="Calibri" w:eastAsia="Calibri" w:hAnsi="Calibri"/>
          <w:sz w:val="22"/>
          <w:szCs w:val="22"/>
        </w:rPr>
      </w:pPr>
      <w:r>
        <w:rPr>
          <w:b/>
          <w:bCs/>
        </w:rPr>
        <w:t xml:space="preserve">SOCIALINIŲ IR EKONOMINIŲ PARTNERIŲ PATEIKTŲ PASTABŲ IR PASIŪLYMŲ DĖL </w:t>
      </w:r>
      <w:r w:rsidR="003756C5">
        <w:rPr>
          <w:rFonts w:eastAsia="Calibri"/>
          <w:b/>
          <w:kern w:val="16"/>
          <w:szCs w:val="24"/>
        </w:rPr>
        <w:t>2014–2020 METŲ EUROPOS SĄJUNGOS FONDŲ INVESTICIJŲ VEIKSMŲ PROGRAMOS 1 PRIORITETO „MOKSLINIŲ TYRIMŲ, EKSPERIMENTINĖS PLĖTROS IR INOVACIJŲ SKATINIMAS“ PRIEMONĖS N</w:t>
      </w:r>
      <w:r w:rsidR="003756C5">
        <w:rPr>
          <w:rFonts w:eastAsia="Calibri"/>
          <w:b/>
          <w:szCs w:val="24"/>
        </w:rPr>
        <w:t>R. 01.2.1-LVPA-T-848 „SMART FDI“ PROJEKTŲ FINANSAVIMO SĄLYGŲ APRAŠO NR. 2</w:t>
      </w:r>
      <w:r w:rsidR="003756C5">
        <w:rPr>
          <w:rFonts w:ascii="Calibri" w:eastAsia="Calibri" w:hAnsi="Calibri"/>
          <w:sz w:val="22"/>
          <w:szCs w:val="22"/>
        </w:rPr>
        <w:t xml:space="preserve"> </w:t>
      </w:r>
      <w:r w:rsidR="00847D95">
        <w:rPr>
          <w:b/>
          <w:bCs/>
        </w:rPr>
        <w:t>KEITIMO</w:t>
      </w:r>
      <w:r>
        <w:rPr>
          <w:b/>
          <w:bCs/>
        </w:rPr>
        <w:t xml:space="preserve"> </w:t>
      </w:r>
    </w:p>
    <w:p w14:paraId="1B192874" w14:textId="301DC76B" w:rsidR="0036662A" w:rsidRDefault="0036662A" w:rsidP="0072281D">
      <w:pPr>
        <w:tabs>
          <w:tab w:val="left" w:pos="0"/>
          <w:tab w:val="left" w:pos="567"/>
        </w:tabs>
        <w:jc w:val="center"/>
        <w:rPr>
          <w:b/>
          <w:bCs/>
        </w:rPr>
      </w:pPr>
      <w:r>
        <w:rPr>
          <w:b/>
          <w:bCs/>
        </w:rPr>
        <w:t>DERINIMAS</w:t>
      </w:r>
    </w:p>
    <w:p w14:paraId="1B192875" w14:textId="77777777" w:rsidR="0036662A" w:rsidRDefault="0036662A" w:rsidP="0072281D">
      <w:pPr>
        <w:rPr>
          <w:b/>
          <w:bCs/>
        </w:rPr>
      </w:pPr>
    </w:p>
    <w:tbl>
      <w:tblPr>
        <w:tblStyle w:val="TableGrid"/>
        <w:tblW w:w="14742" w:type="dxa"/>
        <w:tblInd w:w="108" w:type="dxa"/>
        <w:tblLook w:val="04A0" w:firstRow="1" w:lastRow="0" w:firstColumn="1" w:lastColumn="0" w:noHBand="0" w:noVBand="1"/>
      </w:tblPr>
      <w:tblGrid>
        <w:gridCol w:w="6804"/>
        <w:gridCol w:w="7938"/>
      </w:tblGrid>
      <w:tr w:rsidR="0036662A" w14:paraId="1B192878" w14:textId="77777777" w:rsidTr="00335D39">
        <w:tc>
          <w:tcPr>
            <w:tcW w:w="6804" w:type="dxa"/>
          </w:tcPr>
          <w:p w14:paraId="1B192876" w14:textId="77777777" w:rsidR="0036662A" w:rsidRPr="00DC6A9A" w:rsidRDefault="0036662A" w:rsidP="0072281D">
            <w:pPr>
              <w:rPr>
                <w:b/>
                <w:szCs w:val="24"/>
              </w:rPr>
            </w:pPr>
            <w:r w:rsidRPr="00DC6A9A">
              <w:rPr>
                <w:b/>
                <w:szCs w:val="24"/>
              </w:rPr>
              <w:t xml:space="preserve">Paskelbimo </w:t>
            </w:r>
            <w:r w:rsidRPr="00171818">
              <w:t>www.esinvesticijos.lt</w:t>
            </w:r>
            <w:r>
              <w:rPr>
                <w:b/>
                <w:szCs w:val="24"/>
              </w:rPr>
              <w:t xml:space="preserve"> </w:t>
            </w:r>
            <w:r w:rsidRPr="00DC6A9A">
              <w:rPr>
                <w:b/>
                <w:szCs w:val="24"/>
              </w:rPr>
              <w:t>data</w:t>
            </w:r>
          </w:p>
        </w:tc>
        <w:tc>
          <w:tcPr>
            <w:tcW w:w="7938" w:type="dxa"/>
          </w:tcPr>
          <w:p w14:paraId="1B192877" w14:textId="58BFFDB5" w:rsidR="0036662A" w:rsidRPr="003756C5" w:rsidRDefault="005C3B7F" w:rsidP="0072281D">
            <w:pPr>
              <w:rPr>
                <w:szCs w:val="24"/>
                <w:lang w:val="en-US"/>
              </w:rPr>
            </w:pPr>
            <w:r>
              <w:rPr>
                <w:szCs w:val="24"/>
              </w:rPr>
              <w:t>20</w:t>
            </w:r>
            <w:r w:rsidR="009A1889">
              <w:rPr>
                <w:szCs w:val="24"/>
              </w:rPr>
              <w:t>20-0</w:t>
            </w:r>
            <w:r w:rsidR="009A1889">
              <w:rPr>
                <w:szCs w:val="24"/>
                <w:lang w:val="ru-RU"/>
              </w:rPr>
              <w:t>8</w:t>
            </w:r>
            <w:r w:rsidR="00847D95">
              <w:rPr>
                <w:szCs w:val="24"/>
              </w:rPr>
              <w:t>-</w:t>
            </w:r>
            <w:r w:rsidR="009A1889">
              <w:rPr>
                <w:szCs w:val="24"/>
              </w:rPr>
              <w:t>25</w:t>
            </w:r>
          </w:p>
        </w:tc>
      </w:tr>
      <w:tr w:rsidR="0036662A" w14:paraId="1B19287C" w14:textId="77777777" w:rsidTr="00335D39">
        <w:tc>
          <w:tcPr>
            <w:tcW w:w="6804" w:type="dxa"/>
          </w:tcPr>
          <w:p w14:paraId="1B192879" w14:textId="77777777" w:rsidR="0036662A" w:rsidRDefault="0036662A" w:rsidP="0072281D">
            <w:pPr>
              <w:rPr>
                <w:b/>
                <w:szCs w:val="24"/>
              </w:rPr>
            </w:pPr>
            <w:r w:rsidRPr="00DC6A9A">
              <w:rPr>
                <w:b/>
                <w:szCs w:val="24"/>
              </w:rPr>
              <w:t>Ar gauta pastabų</w:t>
            </w:r>
            <w:r>
              <w:rPr>
                <w:b/>
                <w:szCs w:val="24"/>
              </w:rPr>
              <w:t xml:space="preserve"> ir (ar) pasiūlymų</w:t>
            </w:r>
            <w:r w:rsidRPr="00DC6A9A">
              <w:rPr>
                <w:b/>
                <w:szCs w:val="24"/>
              </w:rPr>
              <w:t>?</w:t>
            </w:r>
          </w:p>
          <w:p w14:paraId="1B19287A" w14:textId="77777777" w:rsidR="0036662A" w:rsidRPr="0036662A" w:rsidRDefault="0036662A" w:rsidP="0072281D">
            <w:pPr>
              <w:rPr>
                <w:i/>
                <w:sz w:val="20"/>
              </w:rPr>
            </w:pPr>
            <w:r w:rsidRPr="0036662A">
              <w:rPr>
                <w:i/>
                <w:sz w:val="20"/>
              </w:rPr>
              <w:t xml:space="preserve">Jei pastabų ir pasiūlymų nebuvo gauta, </w:t>
            </w:r>
            <w:r>
              <w:rPr>
                <w:i/>
                <w:sz w:val="20"/>
              </w:rPr>
              <w:t>į kitą klausimą neatsakoma ir žemiau esanti lentelė nepildoma</w:t>
            </w:r>
          </w:p>
        </w:tc>
        <w:tc>
          <w:tcPr>
            <w:tcW w:w="7938" w:type="dxa"/>
          </w:tcPr>
          <w:p w14:paraId="1B19287B" w14:textId="62372AC0" w:rsidR="0036662A" w:rsidRPr="007070FE" w:rsidRDefault="00766327" w:rsidP="0072281D">
            <w:sdt>
              <w:sdtPr>
                <w:id w:val="1312749902"/>
              </w:sdtPr>
              <w:sdtEndPr/>
              <w:sdtContent>
                <w:r w:rsidR="00DE3383" w:rsidRPr="006D2118">
                  <w:rPr>
                    <w:b/>
                    <w:szCs w:val="24"/>
                  </w:rPr>
                  <w:fldChar w:fldCharType="begin">
                    <w:ffData>
                      <w:name w:val=""/>
                      <w:enabled/>
                      <w:calcOnExit w:val="0"/>
                      <w:checkBox>
                        <w:sizeAuto/>
                        <w:default w:val="1"/>
                      </w:checkBox>
                    </w:ffData>
                  </w:fldChar>
                </w:r>
                <w:r w:rsidR="00DE3383" w:rsidRPr="006D2118">
                  <w:rPr>
                    <w:b/>
                    <w:szCs w:val="24"/>
                  </w:rPr>
                  <w:instrText xml:space="preserve"> FORMCHECKBOX </w:instrText>
                </w:r>
                <w:r>
                  <w:rPr>
                    <w:b/>
                    <w:szCs w:val="24"/>
                  </w:rPr>
                </w:r>
                <w:r>
                  <w:rPr>
                    <w:b/>
                    <w:szCs w:val="24"/>
                  </w:rPr>
                  <w:fldChar w:fldCharType="separate"/>
                </w:r>
                <w:r w:rsidR="00DE3383" w:rsidRPr="006D2118">
                  <w:rPr>
                    <w:szCs w:val="24"/>
                  </w:rPr>
                  <w:fldChar w:fldCharType="end"/>
                </w:r>
                <w:r w:rsidR="0036662A">
                  <w:t xml:space="preserve"> </w:t>
                </w:r>
              </w:sdtContent>
            </w:sdt>
            <w:r w:rsidR="0036662A">
              <w:rPr>
                <w:szCs w:val="24"/>
              </w:rPr>
              <w:t xml:space="preserve">Taip </w:t>
            </w:r>
            <w:sdt>
              <w:sdtPr>
                <w:id w:val="-1063942054"/>
              </w:sdtPr>
              <w:sdtEndPr/>
              <w:sdtContent>
                <w:r w:rsidR="00DE3383">
                  <w:fldChar w:fldCharType="begin">
                    <w:ffData>
                      <w:name w:val=""/>
                      <w:enabled/>
                      <w:calcOnExit w:val="0"/>
                      <w:checkBox>
                        <w:sizeAuto/>
                        <w:default w:val="0"/>
                      </w:checkBox>
                    </w:ffData>
                  </w:fldChar>
                </w:r>
                <w:r w:rsidR="00DE3383">
                  <w:instrText xml:space="preserve"> FORMCHECKBOX </w:instrText>
                </w:r>
                <w:r>
                  <w:fldChar w:fldCharType="separate"/>
                </w:r>
                <w:r w:rsidR="00DE3383">
                  <w:fldChar w:fldCharType="end"/>
                </w:r>
              </w:sdtContent>
            </w:sdt>
            <w:r w:rsidR="0036662A">
              <w:rPr>
                <w:szCs w:val="24"/>
              </w:rPr>
              <w:t xml:space="preserve"> Ne</w:t>
            </w:r>
            <w:r w:rsidR="0036662A">
              <w:rPr>
                <w:szCs w:val="24"/>
              </w:rPr>
              <w:fldChar w:fldCharType="begin"/>
            </w:r>
            <w:r w:rsidR="0036662A">
              <w:rPr>
                <w:szCs w:val="24"/>
              </w:rPr>
              <w:instrText xml:space="preserve"> FILLIN   \* MERGEFORMAT </w:instrText>
            </w:r>
            <w:r w:rsidR="0036662A">
              <w:rPr>
                <w:szCs w:val="24"/>
              </w:rPr>
              <w:fldChar w:fldCharType="end"/>
            </w:r>
          </w:p>
        </w:tc>
      </w:tr>
      <w:tr w:rsidR="0036662A" w14:paraId="1B192880" w14:textId="77777777" w:rsidTr="00335D39">
        <w:tc>
          <w:tcPr>
            <w:tcW w:w="6804" w:type="dxa"/>
          </w:tcPr>
          <w:p w14:paraId="1B19287D" w14:textId="77777777" w:rsidR="0036662A" w:rsidRDefault="0036662A" w:rsidP="0072281D">
            <w:pPr>
              <w:rPr>
                <w:b/>
                <w:szCs w:val="24"/>
              </w:rPr>
            </w:pPr>
            <w:r w:rsidRPr="00DC6A9A">
              <w:rPr>
                <w:b/>
                <w:szCs w:val="24"/>
              </w:rPr>
              <w:t xml:space="preserve">Ar į visas pastabas </w:t>
            </w:r>
            <w:r>
              <w:rPr>
                <w:b/>
                <w:szCs w:val="24"/>
              </w:rPr>
              <w:t xml:space="preserve">ir (ar) pasiūlymus </w:t>
            </w:r>
            <w:r w:rsidRPr="00DC6A9A">
              <w:rPr>
                <w:b/>
                <w:szCs w:val="24"/>
              </w:rPr>
              <w:t>atsižvelgta?</w:t>
            </w:r>
          </w:p>
          <w:p w14:paraId="1B19287E" w14:textId="77777777" w:rsidR="0036662A" w:rsidRPr="00E7584D" w:rsidRDefault="0036662A" w:rsidP="0072281D">
            <w:pPr>
              <w:rPr>
                <w:i/>
                <w:sz w:val="20"/>
              </w:rPr>
            </w:pPr>
            <w:r w:rsidRPr="00E7584D">
              <w:rPr>
                <w:i/>
                <w:sz w:val="20"/>
              </w:rPr>
              <w:t>Jei atsižvelgta į visas pastabas</w:t>
            </w:r>
            <w:r>
              <w:rPr>
                <w:i/>
                <w:sz w:val="20"/>
              </w:rPr>
              <w:t xml:space="preserve"> ir (ar) pasiūlymus,</w:t>
            </w:r>
            <w:r w:rsidRPr="00E7584D">
              <w:rPr>
                <w:i/>
                <w:sz w:val="20"/>
              </w:rPr>
              <w:t xml:space="preserve"> žemiau esanti lentelė nepildoma</w:t>
            </w:r>
          </w:p>
        </w:tc>
        <w:tc>
          <w:tcPr>
            <w:tcW w:w="7938" w:type="dxa"/>
          </w:tcPr>
          <w:p w14:paraId="1B19287F" w14:textId="2E579466" w:rsidR="0036662A" w:rsidRDefault="00766327" w:rsidP="0072281D">
            <w:pPr>
              <w:rPr>
                <w:szCs w:val="24"/>
              </w:rPr>
            </w:pPr>
            <w:sdt>
              <w:sdtPr>
                <w:id w:val="-1548671976"/>
              </w:sdtPr>
              <w:sdtEndPr/>
              <w:sdtContent/>
            </w:sdt>
            <w:sdt>
              <w:sdtPr>
                <w:id w:val="1992828949"/>
              </w:sdtPr>
              <w:sdtEndPr/>
              <w:sdtContent>
                <w:sdt>
                  <w:sdtPr>
                    <w:id w:val="-220442639"/>
                  </w:sdtPr>
                  <w:sdtEndPr/>
                  <w:sdtContent>
                    <w:r w:rsidR="003756C5" w:rsidRPr="006D2118">
                      <w:rPr>
                        <w:b/>
                        <w:szCs w:val="24"/>
                      </w:rPr>
                      <w:fldChar w:fldCharType="begin">
                        <w:ffData>
                          <w:name w:val=""/>
                          <w:enabled/>
                          <w:calcOnExit w:val="0"/>
                          <w:checkBox>
                            <w:sizeAuto/>
                            <w:default w:val="1"/>
                          </w:checkBox>
                        </w:ffData>
                      </w:fldChar>
                    </w:r>
                    <w:r w:rsidR="003756C5" w:rsidRPr="006D2118">
                      <w:rPr>
                        <w:b/>
                        <w:szCs w:val="24"/>
                      </w:rPr>
                      <w:instrText xml:space="preserve"> FORMCHECKBOX </w:instrText>
                    </w:r>
                    <w:r>
                      <w:rPr>
                        <w:b/>
                        <w:szCs w:val="24"/>
                      </w:rPr>
                    </w:r>
                    <w:r>
                      <w:rPr>
                        <w:b/>
                        <w:szCs w:val="24"/>
                      </w:rPr>
                      <w:fldChar w:fldCharType="separate"/>
                    </w:r>
                    <w:r w:rsidR="003756C5" w:rsidRPr="006D2118">
                      <w:rPr>
                        <w:szCs w:val="24"/>
                      </w:rPr>
                      <w:fldChar w:fldCharType="end"/>
                    </w:r>
                    <w:r w:rsidR="003756C5">
                      <w:t xml:space="preserve"> </w:t>
                    </w:r>
                  </w:sdtContent>
                </w:sdt>
              </w:sdtContent>
            </w:sdt>
            <w:r w:rsidR="003756C5">
              <w:rPr>
                <w:szCs w:val="24"/>
              </w:rPr>
              <w:t xml:space="preserve"> </w:t>
            </w:r>
            <w:r w:rsidR="0036662A">
              <w:rPr>
                <w:szCs w:val="24"/>
              </w:rPr>
              <w:t xml:space="preserve">Taip </w:t>
            </w:r>
            <w:sdt>
              <w:sdtPr>
                <w:id w:val="-338542889"/>
              </w:sdtPr>
              <w:sdtEndPr/>
              <w:sdtContent>
                <w:sdt>
                  <w:sdtPr>
                    <w:id w:val="-1815640395"/>
                  </w:sdtPr>
                  <w:sdtEndPr/>
                  <w:sdtContent>
                    <w:sdt>
                      <w:sdtPr>
                        <w:id w:val="1755162504"/>
                      </w:sdtPr>
                      <w:sdtEndPr/>
                      <w:sdtContent>
                        <w:r w:rsidR="003756C5">
                          <w:fldChar w:fldCharType="begin">
                            <w:ffData>
                              <w:name w:val=""/>
                              <w:enabled/>
                              <w:calcOnExit w:val="0"/>
                              <w:checkBox>
                                <w:sizeAuto/>
                                <w:default w:val="0"/>
                              </w:checkBox>
                            </w:ffData>
                          </w:fldChar>
                        </w:r>
                        <w:r w:rsidR="003756C5">
                          <w:instrText xml:space="preserve"> FORMCHECKBOX </w:instrText>
                        </w:r>
                        <w:r>
                          <w:fldChar w:fldCharType="separate"/>
                        </w:r>
                        <w:r w:rsidR="003756C5">
                          <w:fldChar w:fldCharType="end"/>
                        </w:r>
                      </w:sdtContent>
                    </w:sdt>
                  </w:sdtContent>
                </w:sdt>
              </w:sdtContent>
            </w:sdt>
            <w:r w:rsidR="0036662A">
              <w:rPr>
                <w:szCs w:val="24"/>
              </w:rPr>
              <w:t xml:space="preserve"> Ne </w:t>
            </w:r>
          </w:p>
        </w:tc>
      </w:tr>
    </w:tbl>
    <w:p w14:paraId="1B192881" w14:textId="77777777" w:rsidR="0036662A" w:rsidRPr="00781CA4" w:rsidRDefault="0036662A" w:rsidP="0072281D">
      <w:pPr>
        <w:rPr>
          <w:szCs w:val="24"/>
        </w:rPr>
      </w:pPr>
    </w:p>
    <w:tbl>
      <w:tblPr>
        <w:tblStyle w:val="TableGrid"/>
        <w:tblW w:w="14742" w:type="dxa"/>
        <w:tblInd w:w="108" w:type="dxa"/>
        <w:tblLayout w:type="fixed"/>
        <w:tblLook w:val="04A0" w:firstRow="1" w:lastRow="0" w:firstColumn="1" w:lastColumn="0" w:noHBand="0" w:noVBand="1"/>
      </w:tblPr>
      <w:tblGrid>
        <w:gridCol w:w="567"/>
        <w:gridCol w:w="1985"/>
        <w:gridCol w:w="5386"/>
        <w:gridCol w:w="6804"/>
      </w:tblGrid>
      <w:tr w:rsidR="0036662A" w:rsidRPr="00781CA4" w14:paraId="1B192886" w14:textId="77777777" w:rsidTr="00335D39">
        <w:tc>
          <w:tcPr>
            <w:tcW w:w="567" w:type="dxa"/>
          </w:tcPr>
          <w:p w14:paraId="1B192882" w14:textId="77777777" w:rsidR="0036662A" w:rsidRPr="00781CA4" w:rsidRDefault="0036662A" w:rsidP="0072281D">
            <w:pPr>
              <w:jc w:val="center"/>
              <w:rPr>
                <w:b/>
                <w:szCs w:val="24"/>
              </w:rPr>
            </w:pPr>
            <w:r w:rsidRPr="00781CA4">
              <w:rPr>
                <w:b/>
                <w:szCs w:val="24"/>
              </w:rPr>
              <w:t>Nr.</w:t>
            </w:r>
          </w:p>
        </w:tc>
        <w:tc>
          <w:tcPr>
            <w:tcW w:w="1985" w:type="dxa"/>
          </w:tcPr>
          <w:p w14:paraId="1B192883" w14:textId="77777777" w:rsidR="0036662A" w:rsidRPr="00781CA4" w:rsidRDefault="0036662A" w:rsidP="0072281D">
            <w:pPr>
              <w:jc w:val="center"/>
              <w:rPr>
                <w:b/>
                <w:szCs w:val="24"/>
              </w:rPr>
            </w:pPr>
            <w:r w:rsidRPr="00781CA4">
              <w:rPr>
                <w:b/>
                <w:szCs w:val="24"/>
              </w:rPr>
              <w:t>Institucija</w:t>
            </w:r>
          </w:p>
        </w:tc>
        <w:tc>
          <w:tcPr>
            <w:tcW w:w="5386" w:type="dxa"/>
          </w:tcPr>
          <w:p w14:paraId="1B192884" w14:textId="77777777" w:rsidR="0036662A" w:rsidRPr="00781CA4" w:rsidRDefault="0036662A" w:rsidP="0072281D">
            <w:pPr>
              <w:jc w:val="center"/>
              <w:rPr>
                <w:b/>
                <w:szCs w:val="24"/>
              </w:rPr>
            </w:pPr>
            <w:r>
              <w:rPr>
                <w:b/>
                <w:bCs/>
              </w:rPr>
              <w:t>Pastabos ir pasiūlymai</w:t>
            </w:r>
          </w:p>
        </w:tc>
        <w:tc>
          <w:tcPr>
            <w:tcW w:w="6804" w:type="dxa"/>
          </w:tcPr>
          <w:p w14:paraId="1B192885" w14:textId="77777777" w:rsidR="0036662A" w:rsidRPr="00781CA4" w:rsidRDefault="0036662A" w:rsidP="0072281D">
            <w:pPr>
              <w:jc w:val="center"/>
              <w:rPr>
                <w:b/>
                <w:szCs w:val="24"/>
              </w:rPr>
            </w:pPr>
            <w:r>
              <w:rPr>
                <w:b/>
                <w:bCs/>
              </w:rPr>
              <w:t>Pastabų ir pasiūlymų vertinimas ir (jei taikoma) argumentai, kodėl neatsižvelgta į pastabas ar pasiūlymus</w:t>
            </w:r>
          </w:p>
        </w:tc>
      </w:tr>
      <w:tr w:rsidR="00F725A7" w:rsidRPr="00781CA4" w14:paraId="1B19288B" w14:textId="77777777" w:rsidTr="00335D39">
        <w:tc>
          <w:tcPr>
            <w:tcW w:w="567" w:type="dxa"/>
            <w:vMerge w:val="restart"/>
          </w:tcPr>
          <w:p w14:paraId="1B192887" w14:textId="77777777" w:rsidR="00F725A7" w:rsidRPr="0038099D" w:rsidRDefault="00F725A7" w:rsidP="0072281D">
            <w:pPr>
              <w:pStyle w:val="ListParagraph"/>
              <w:numPr>
                <w:ilvl w:val="0"/>
                <w:numId w:val="1"/>
              </w:numPr>
              <w:jc w:val="both"/>
            </w:pPr>
          </w:p>
        </w:tc>
        <w:tc>
          <w:tcPr>
            <w:tcW w:w="1985" w:type="dxa"/>
            <w:vMerge w:val="restart"/>
          </w:tcPr>
          <w:p w14:paraId="1B192888" w14:textId="5009157A" w:rsidR="00F725A7" w:rsidRPr="003756C5" w:rsidRDefault="00F725A7" w:rsidP="0072281D">
            <w:r>
              <w:t>UAB „Sėkmės sprendimai“</w:t>
            </w:r>
          </w:p>
        </w:tc>
        <w:tc>
          <w:tcPr>
            <w:tcW w:w="5386" w:type="dxa"/>
          </w:tcPr>
          <w:p w14:paraId="3B6CF062" w14:textId="77777777" w:rsidR="00F725A7" w:rsidRDefault="00F725A7" w:rsidP="0072281D">
            <w:pPr>
              <w:jc w:val="both"/>
            </w:pPr>
            <w:r>
              <w:rPr>
                <w:b/>
                <w:bCs/>
              </w:rPr>
              <w:t xml:space="preserve">4 lentelė 4.2 punktas: </w:t>
            </w:r>
            <w:r>
              <w:t xml:space="preserve">Prašome palikti anksčiau buvusią formuluotę </w:t>
            </w:r>
            <w:r>
              <w:rPr>
                <w:i/>
                <w:iCs/>
              </w:rPr>
              <w:t>„4.2. kompiuterinė technika. Išlaidos šiam turtui negali sudaryti daugiau nei 50 procentų Aprašo 10.2 papunktyje nurodytai veiklai skirtų tinkamų finansuoti išlaidų sumos, jei nevykdoma Aprašo 10.1 papunktyje nurodyta veikla“.</w:t>
            </w:r>
            <w:r>
              <w:t xml:space="preserve"> </w:t>
            </w:r>
            <w:proofErr w:type="spellStart"/>
            <w:r>
              <w:t>T.y</w:t>
            </w:r>
            <w:proofErr w:type="spellEnd"/>
            <w:r>
              <w:t>. paliekant išlygą kad 50% apribojimas netaikomas jeigu vykdoma 10.1 veikla.  </w:t>
            </w:r>
          </w:p>
          <w:p w14:paraId="1B192889" w14:textId="4521D234" w:rsidR="00F725A7" w:rsidRPr="0038099D" w:rsidRDefault="00F725A7" w:rsidP="0072281D">
            <w:pPr>
              <w:jc w:val="both"/>
            </w:pPr>
            <w:r>
              <w:t xml:space="preserve">Šis PFSA projekte atsiradęs pakeitimas diskriminuoja informacinių technologijų (IT) sektorių, kartu su </w:t>
            </w:r>
            <w:proofErr w:type="spellStart"/>
            <w:r>
              <w:t>FinTech</w:t>
            </w:r>
            <w:proofErr w:type="spellEnd"/>
            <w:r>
              <w:t xml:space="preserve"> sektoriumi. Šie sektoriai  yra vieną iš didžiausią pridėtinę vertę kuriančių Lietuvoje ir užsienio investicijos į šiuos sektorius yra skatinamos Ekonomikos ir inovacijų ministerijos bei jai pavaldžių įstaigų. Savaime suprantama, kad IT (bei </w:t>
            </w:r>
            <w:proofErr w:type="spellStart"/>
            <w:r>
              <w:t>FinTech</w:t>
            </w:r>
            <w:proofErr w:type="spellEnd"/>
            <w:r>
              <w:t xml:space="preserve">) įmonės vykdydamos 10.2 veiklą didžiausią poreikį investuoti turi į kompiuterinę techniką (baldai sudaro santykinai mažą sumą, o kitokia įranga dažniausiai </w:t>
            </w:r>
            <w:r>
              <w:lastRenderedPageBreak/>
              <w:t xml:space="preserve">nėra reikalinga).  Todėl nauja formuluotė išvis </w:t>
            </w:r>
            <w:proofErr w:type="spellStart"/>
            <w:r>
              <w:t>užkert</w:t>
            </w:r>
            <w:proofErr w:type="spellEnd"/>
            <w:r>
              <w:t xml:space="preserve"> kelią IT ir </w:t>
            </w:r>
            <w:proofErr w:type="spellStart"/>
            <w:r>
              <w:t>FinTech</w:t>
            </w:r>
            <w:proofErr w:type="spellEnd"/>
            <w:r>
              <w:t xml:space="preserve"> įmonėms vykdyti 10.2 veiklą.</w:t>
            </w:r>
          </w:p>
        </w:tc>
        <w:tc>
          <w:tcPr>
            <w:tcW w:w="6804" w:type="dxa"/>
          </w:tcPr>
          <w:p w14:paraId="1B19288A" w14:textId="350B3024" w:rsidR="00F725A7" w:rsidRPr="0038099D" w:rsidRDefault="00F725A7" w:rsidP="0072281D">
            <w:pPr>
              <w:jc w:val="both"/>
            </w:pPr>
            <w:r>
              <w:lastRenderedPageBreak/>
              <w:t xml:space="preserve">Atsižvelgta. Kadangi pagal priemonės projektų finansavimo sąlygų aprašo Nr. </w:t>
            </w:r>
            <w:r w:rsidRPr="0065224C">
              <w:t>2 (toliau – Apra</w:t>
            </w:r>
            <w:r>
              <w:t xml:space="preserve">šas) </w:t>
            </w:r>
            <w:r w:rsidRPr="0075779C">
              <w:t>11 punkt</w:t>
            </w:r>
            <w:r>
              <w:t xml:space="preserve">ą numatoma, jog pasirinkus vykdyti Aprašo </w:t>
            </w:r>
            <w:r w:rsidRPr="0075779C">
              <w:t>10.</w:t>
            </w:r>
            <w:r>
              <w:t xml:space="preserve">2 papunktyje numatytą veiklą privaloma vykdyti ir Aprašo </w:t>
            </w:r>
            <w:r w:rsidRPr="0075779C">
              <w:t>10.</w:t>
            </w:r>
            <w:r>
              <w:t>1 papunktyje numatytą veiklą, pastaboje minimas papunktis pakoreguotas taip: „</w:t>
            </w:r>
            <w:r w:rsidRPr="0075779C">
              <w:t>4.</w:t>
            </w:r>
            <w:r>
              <w:t xml:space="preserve">2. kompiuterinė technika“. </w:t>
            </w:r>
          </w:p>
        </w:tc>
      </w:tr>
      <w:tr w:rsidR="00F725A7" w:rsidRPr="00781CA4" w14:paraId="48C5C8E4" w14:textId="77777777" w:rsidTr="00335D39">
        <w:tc>
          <w:tcPr>
            <w:tcW w:w="567" w:type="dxa"/>
            <w:vMerge/>
          </w:tcPr>
          <w:p w14:paraId="5840DD2A" w14:textId="77777777" w:rsidR="00F725A7" w:rsidRPr="0038099D" w:rsidRDefault="00F725A7" w:rsidP="0072281D">
            <w:pPr>
              <w:jc w:val="both"/>
            </w:pPr>
          </w:p>
        </w:tc>
        <w:tc>
          <w:tcPr>
            <w:tcW w:w="1985" w:type="dxa"/>
            <w:vMerge/>
          </w:tcPr>
          <w:p w14:paraId="4B717391" w14:textId="77777777" w:rsidR="00F725A7" w:rsidRDefault="00F725A7" w:rsidP="0072281D"/>
        </w:tc>
        <w:tc>
          <w:tcPr>
            <w:tcW w:w="5386" w:type="dxa"/>
          </w:tcPr>
          <w:p w14:paraId="7714D113" w14:textId="1C47761D" w:rsidR="00F725A7" w:rsidRDefault="00F725A7" w:rsidP="0072281D">
            <w:pPr>
              <w:jc w:val="both"/>
              <w:rPr>
                <w:rFonts w:ascii="Calibri" w:hAnsi="Calibri"/>
                <w:sz w:val="22"/>
                <w:szCs w:val="22"/>
              </w:rPr>
            </w:pPr>
            <w:r>
              <w:rPr>
                <w:b/>
                <w:bCs/>
              </w:rPr>
              <w:t>2 lentelė 5.5 punktas.</w:t>
            </w:r>
            <w:r>
              <w:t xml:space="preserve"> Prašome pakoreguoti šį punktą išbraukiant žodį „materialiojo“ ir pridedant paaiškinimą</w:t>
            </w:r>
            <w:r w:rsidR="002547F4">
              <w:t>,</w:t>
            </w:r>
            <w:r>
              <w:t xml:space="preserve"> jog tinkama ir programinė įranga: </w:t>
            </w:r>
            <w:r>
              <w:rPr>
                <w:i/>
                <w:iCs/>
              </w:rPr>
              <w:t xml:space="preserve">„5.5. projekto MTEP veikloms naudojamo ilgalaikio </w:t>
            </w:r>
            <w:r>
              <w:rPr>
                <w:i/>
                <w:iCs/>
                <w:strike/>
              </w:rPr>
              <w:t>materialiojo</w:t>
            </w:r>
            <w:r>
              <w:rPr>
                <w:i/>
                <w:iCs/>
              </w:rPr>
              <w:t xml:space="preserve"> turto (įrangos, prietaisų, įrankių, įrenginių, mašinų ir įrengimų, pastatų ir (ar) patalpų, </w:t>
            </w:r>
            <w:r>
              <w:rPr>
                <w:rStyle w:val="gmail-msoins"/>
                <w:i/>
                <w:iCs/>
                <w:color w:val="008080"/>
              </w:rPr>
              <w:t>programinės įrangos</w:t>
            </w:r>
            <w:r>
              <w:rPr>
                <w:i/>
                <w:iCs/>
              </w:rPr>
              <w:t>) nusidėvėjimo sąnaudos, jeigu šiam turtui įsigyti nebuvo naudojamos viešosios (įskaitant ir kitų valstybių) lėšos. Šios išlaidos negali sudaryti daugiau nei 50 procentų tinkamų finansuoti Aprašo 10.1 papunktyje nurodytai veiklai skirtų išlaidų“</w:t>
            </w:r>
            <w:r>
              <w:t>.</w:t>
            </w:r>
          </w:p>
          <w:p w14:paraId="74A5C50E" w14:textId="24EA596A" w:rsidR="00F725A7" w:rsidRDefault="00F725A7" w:rsidP="0072281D">
            <w:pPr>
              <w:jc w:val="both"/>
              <w:rPr>
                <w:rFonts w:ascii="Calibri" w:hAnsi="Calibri"/>
                <w:sz w:val="22"/>
                <w:szCs w:val="22"/>
              </w:rPr>
            </w:pPr>
            <w:r>
              <w:t>Savaime suprantama, kad vien su kompiuterine technika be programinės įrangos nieko (taip pat tyrimų) daryti negalima. Pastaruoju metu vien duomenų bazių valdymo programinės įrangos licencijų kaina įprastai viršyta techninės įrangos kainą, todėl pagal buhalterinės apskaitos standartus programinė įranga negali būti pajamuojama kartu su technine įranga (t.</w:t>
            </w:r>
            <w:r w:rsidR="002547F4">
              <w:t xml:space="preserve"> </w:t>
            </w:r>
            <w:r>
              <w:t>y. kaip papildomas smulkus priedas). Be to</w:t>
            </w:r>
            <w:r w:rsidR="002547F4">
              <w:t>,</w:t>
            </w:r>
            <w:r>
              <w:t xml:space="preserve"> duomenų bazių valdymo sistemų licencijos parduodamos (priešingai nuo operacinių sistemų) atskirai nuo aparatinės įrangos. Panaši situacija yra ir su kita tyrimams reikalinga programine įranga.</w:t>
            </w:r>
          </w:p>
          <w:p w14:paraId="5A6B5D50" w14:textId="16858D5E" w:rsidR="00F725A7" w:rsidRDefault="00F725A7" w:rsidP="0072281D">
            <w:pPr>
              <w:jc w:val="both"/>
              <w:rPr>
                <w:b/>
                <w:bCs/>
              </w:rPr>
            </w:pPr>
            <w:r>
              <w:t>Šios pastabos parengtos įvertinus dešimčių mūsų klientų vykdančių MTEP veiklas poreikius.</w:t>
            </w:r>
          </w:p>
        </w:tc>
        <w:tc>
          <w:tcPr>
            <w:tcW w:w="6804" w:type="dxa"/>
          </w:tcPr>
          <w:p w14:paraId="63E7A585" w14:textId="50F77282" w:rsidR="00F725A7" w:rsidRDefault="002547F4" w:rsidP="0072281D">
            <w:pPr>
              <w:jc w:val="both"/>
            </w:pPr>
            <w:r>
              <w:t>Atsižvelgta. Minėtas Aprašo papunktis pakoreguotas taip: „</w:t>
            </w:r>
            <w:r>
              <w:rPr>
                <w:szCs w:val="24"/>
              </w:rPr>
              <w:t>5.5. projekto MTEP veikloms naudojamo turto (įrangos, prietaisų, įrankių, įrenginių, mašinų ir įrengimų, pastatų ir (ar) patalpų) nusidėvėjimo sąnaudos, jeigu šiam turtui įsigyti nebuvo naudojamos viešosios (įskaitant ir kitų valstybių) lėšos. Šios išlaidos negali sudaryti daugiau nei 50 procentų tinkamų finansuoti Aprašo 10.1 papunktyje nurodytai veiklai skirtų išlaidų“</w:t>
            </w:r>
            <w:r w:rsidR="004F6566">
              <w:rPr>
                <w:szCs w:val="24"/>
              </w:rPr>
              <w:t>. Pažymime, kad naudojamas</w:t>
            </w:r>
            <w:r>
              <w:rPr>
                <w:szCs w:val="24"/>
              </w:rPr>
              <w:t xml:space="preserve"> turt</w:t>
            </w:r>
            <w:r w:rsidR="004F6566">
              <w:rPr>
                <w:szCs w:val="24"/>
              </w:rPr>
              <w:t>as detalizuojamas nurodant įrangą apskritai, o ne konkrečią įrangos rūšį. Ar naudojamos įrangos nusidėvėjimo sąnaudos tinkamos, nustatoma projekto vertinimo metu.</w:t>
            </w:r>
          </w:p>
        </w:tc>
      </w:tr>
      <w:tr w:rsidR="004F6566" w:rsidRPr="00781CA4" w14:paraId="6C39ADC8" w14:textId="77777777" w:rsidTr="00335D39">
        <w:tc>
          <w:tcPr>
            <w:tcW w:w="567" w:type="dxa"/>
          </w:tcPr>
          <w:p w14:paraId="73BC7D4B" w14:textId="0C3CC038" w:rsidR="004F6566" w:rsidRPr="004F6566" w:rsidRDefault="004F6566" w:rsidP="0072281D">
            <w:pPr>
              <w:pStyle w:val="ListParagraph"/>
              <w:numPr>
                <w:ilvl w:val="0"/>
                <w:numId w:val="1"/>
              </w:numPr>
              <w:jc w:val="both"/>
              <w:rPr>
                <w:lang w:val="en-US"/>
              </w:rPr>
            </w:pPr>
          </w:p>
        </w:tc>
        <w:tc>
          <w:tcPr>
            <w:tcW w:w="1985" w:type="dxa"/>
          </w:tcPr>
          <w:p w14:paraId="211FAA1F" w14:textId="5A991224" w:rsidR="004F6566" w:rsidRPr="004F6566" w:rsidRDefault="004F6566" w:rsidP="0072281D">
            <w:r>
              <w:t>VšĮ „Investuok Lietuvoje“</w:t>
            </w:r>
          </w:p>
        </w:tc>
        <w:tc>
          <w:tcPr>
            <w:tcW w:w="5386" w:type="dxa"/>
          </w:tcPr>
          <w:p w14:paraId="2CAF13FC" w14:textId="2A2C2B4B" w:rsidR="004F6566" w:rsidRPr="004F6566" w:rsidRDefault="004F6566" w:rsidP="0072281D">
            <w:pPr>
              <w:jc w:val="both"/>
            </w:pPr>
            <w:r w:rsidRPr="004F6566">
              <w:t>Atsižvelgiant į parengtą priemonės „</w:t>
            </w:r>
            <w:proofErr w:type="spellStart"/>
            <w:r w:rsidRPr="004F6566">
              <w:t>Smart</w:t>
            </w:r>
            <w:proofErr w:type="spellEnd"/>
            <w:r w:rsidRPr="004F6566">
              <w:t xml:space="preserve"> FDI“ projektų finansavimo sąlygų aprašo Nr. 2 pakeitimo projektą, įžvelgiame potencialias rizikas ir/ ar apribojimus dėl numatyto reikalavimo projekto veiklas pradėti įgyvendinti ne vėliau kaip per 3 mėnesius nuo projekto sutarties pasirašymo dienos:</w:t>
            </w:r>
          </w:p>
          <w:p w14:paraId="539E716E" w14:textId="77777777" w:rsidR="004F6566" w:rsidRPr="004F6566" w:rsidRDefault="004F6566" w:rsidP="0072281D">
            <w:pPr>
              <w:numPr>
                <w:ilvl w:val="0"/>
                <w:numId w:val="3"/>
              </w:numPr>
              <w:jc w:val="both"/>
            </w:pPr>
            <w:proofErr w:type="spellStart"/>
            <w:r w:rsidRPr="004F6566">
              <w:lastRenderedPageBreak/>
              <w:t>Smart</w:t>
            </w:r>
            <w:proofErr w:type="spellEnd"/>
            <w:r w:rsidRPr="004F6566">
              <w:t xml:space="preserve"> FDI pareiškėjams, kurie yra užsienio investuotojai, reikalavimas projekto veiklas pradėti vykdyti per 3 mėnesius yra didelis praktinis iššūkis. Atsižvelgiant į tai, kad nauji investuotojai dar nepradėję vykdyti veiklos Lietuvoje, juridinio ir (ar) fizinio asmens įregistravimas (iki 3 sav. užtrunka vien formalumų tvarkymas neįskaitant laiko surinkti ir legalizuoti dokumentus), tinkamų patalpų radimas, pirkimų paskelbimas, įrangos įsigijimas, naujų sprendimų įdiegimas ir kt. sistemingų projekto darbų atlikimas reikalauja ilgesnio, nei Aprašo projekte numatyto termino. Atkreipiame dėmesį, kad migracijos procedūros, įskaitant įvažiavimo į Lietuvą, sudėtingos ir ilgos, todėl minėti veiksmai užtrunka dar ilgiau.</w:t>
            </w:r>
          </w:p>
          <w:p w14:paraId="00725C5C" w14:textId="77777777" w:rsidR="004F6566" w:rsidRPr="004F6566" w:rsidRDefault="004F6566" w:rsidP="0072281D">
            <w:pPr>
              <w:numPr>
                <w:ilvl w:val="0"/>
                <w:numId w:val="3"/>
              </w:numPr>
              <w:jc w:val="both"/>
            </w:pPr>
            <w:r w:rsidRPr="004F6566">
              <w:t xml:space="preserve">Projekto veiklas pradėti įgyvendinti yra reikalingi itin aukštos kvalifikacijos darbuotojai. Atsižvelgiant į 3 mėn. veiklos pradžios reikalavimą, projekto vykdytojams keliamas sudėtingas tikslas per trumpą laiką surasti itin aukštos kvalifikacijos darbuotojus, kuriuos papildomai reikia įdarbinti ir apmokyti atlikti specifines MTEP veiklas. </w:t>
            </w:r>
          </w:p>
          <w:p w14:paraId="3E4DEF44" w14:textId="77777777" w:rsidR="004F6566" w:rsidRPr="004F6566" w:rsidRDefault="004F6566" w:rsidP="0072281D">
            <w:pPr>
              <w:numPr>
                <w:ilvl w:val="0"/>
                <w:numId w:val="3"/>
              </w:numPr>
              <w:jc w:val="both"/>
            </w:pPr>
            <w:r w:rsidRPr="004F6566">
              <w:t xml:space="preserve">Atkreipiame dėmesį, kad Apraše įtraukta nuostata, kad Įgyvendinančioji institucija, suderinusi su Ministerija, turi teisę vienašališkai nutraukti projekto sutartį Projekto taisyklių 192 punkte nustatyta tvarka, jei projekto veiklos nepradėtos įgyvendinti per 3 mėnesius nuo projekto sutarties pasirašymo dienos. Potencialūs investuotojai, kuriems  MTEP veiklas pradėti pareikalaus daugiau laiko, praranda galimybę gauti finansavimą. Todėl galutiniame rezultate </w:t>
            </w:r>
            <w:r w:rsidRPr="004F6566">
              <w:lastRenderedPageBreak/>
              <w:t>aukštos pridėtinės vertės MTEP projektas gali būti neįgyvendintas Lietuvoje.  </w:t>
            </w:r>
          </w:p>
          <w:p w14:paraId="6E729D44" w14:textId="77777777" w:rsidR="0072281D" w:rsidRDefault="004F6566" w:rsidP="0072281D">
            <w:pPr>
              <w:numPr>
                <w:ilvl w:val="0"/>
                <w:numId w:val="3"/>
              </w:numPr>
              <w:ind w:left="714" w:hanging="357"/>
              <w:jc w:val="both"/>
            </w:pPr>
            <w:r w:rsidRPr="004F6566">
              <w:t xml:space="preserve">Atsižvelgiant į susidariusią situaciją dėl COVID-19 naujų investicijų pritraukimas, nors ir laikinai, tačiau yra ženkliai sumažėjęs tiek Lietuvoje, tiek ir visame pasaulyje. Matoma tendencija, jog investuotojai atideda sprendimus dėl iki pandemijos planuotų investicijų įgyvendinimo, taip pat iš naujo peržiūri savo veiklos strategijas. Šioje situacijoje ypač svarbu užtikrinti sklandų ir efektyvų </w:t>
            </w:r>
            <w:proofErr w:type="spellStart"/>
            <w:r w:rsidRPr="004F6566">
              <w:t>Smart</w:t>
            </w:r>
            <w:proofErr w:type="spellEnd"/>
            <w:r w:rsidRPr="004F6566">
              <w:t xml:space="preserve"> FDI projektų įgyvendinimą. Todėl 3 mėnesių veiklos apribojimas didina riziką prarasti potencialius užsienio investuotojus. </w:t>
            </w:r>
          </w:p>
          <w:p w14:paraId="56CE351C" w14:textId="3744DD35" w:rsidR="004F6566" w:rsidRDefault="004F6566" w:rsidP="0072281D">
            <w:pPr>
              <w:jc w:val="both"/>
              <w:rPr>
                <w:b/>
                <w:bCs/>
              </w:rPr>
            </w:pPr>
            <w:r w:rsidRPr="004F6566">
              <w:t>Įvertinus aukščiau išdėstytus argumentus, siūlome planuojamam atnaujinti priemonės „</w:t>
            </w:r>
            <w:proofErr w:type="spellStart"/>
            <w:r w:rsidRPr="004F6566">
              <w:t>Smart</w:t>
            </w:r>
            <w:proofErr w:type="spellEnd"/>
            <w:r w:rsidRPr="004F6566">
              <w:t xml:space="preserve"> FDI“ kvietimui palikti anksčiau Apraše galiojusią nustatą, jog Projekto veiklos turi būti pradėtos įgyvendinti ne vėliau kaip per 6 mėnesius nuo projekto sutarties pasirašymo dienos.</w:t>
            </w:r>
          </w:p>
        </w:tc>
        <w:tc>
          <w:tcPr>
            <w:tcW w:w="6804" w:type="dxa"/>
          </w:tcPr>
          <w:p w14:paraId="3FD868CF" w14:textId="6E1B01D8" w:rsidR="004F6566" w:rsidRDefault="0072281D" w:rsidP="0072281D">
            <w:pPr>
              <w:jc w:val="both"/>
            </w:pPr>
            <w:r>
              <w:lastRenderedPageBreak/>
              <w:t>Atsižvelgta.</w:t>
            </w:r>
          </w:p>
        </w:tc>
      </w:tr>
    </w:tbl>
    <w:p w14:paraId="1B192896" w14:textId="77777777" w:rsidR="005C5ECB" w:rsidRPr="0036662A" w:rsidRDefault="005C5ECB" w:rsidP="0072281D">
      <w:pPr>
        <w:rPr>
          <w:b/>
          <w:bCs/>
          <w:caps/>
          <w:szCs w:val="24"/>
        </w:rPr>
      </w:pPr>
    </w:p>
    <w:sectPr w:rsidR="005C5ECB" w:rsidRPr="0036662A" w:rsidSect="00D116FB">
      <w:pgSz w:w="16838" w:h="11906" w:orient="landscape"/>
      <w:pgMar w:top="1135" w:right="1387"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34D2E"/>
    <w:multiLevelType w:val="hybridMultilevel"/>
    <w:tmpl w:val="5240F9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FF14C1"/>
    <w:multiLevelType w:val="hybridMultilevel"/>
    <w:tmpl w:val="BFE0AC1C"/>
    <w:lvl w:ilvl="0" w:tplc="D3C4C136">
      <w:start w:val="2"/>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6EA632D0"/>
    <w:multiLevelType w:val="hybridMultilevel"/>
    <w:tmpl w:val="4908296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62A"/>
    <w:rsid w:val="0001428A"/>
    <w:rsid w:val="00016435"/>
    <w:rsid w:val="000240C4"/>
    <w:rsid w:val="00032985"/>
    <w:rsid w:val="00046DFE"/>
    <w:rsid w:val="00050427"/>
    <w:rsid w:val="00053D41"/>
    <w:rsid w:val="00070ED6"/>
    <w:rsid w:val="000A3FD2"/>
    <w:rsid w:val="000B1AF5"/>
    <w:rsid w:val="000B2D64"/>
    <w:rsid w:val="000B2D7C"/>
    <w:rsid w:val="000D3EFE"/>
    <w:rsid w:val="000E1F0C"/>
    <w:rsid w:val="000E275C"/>
    <w:rsid w:val="000E7A99"/>
    <w:rsid w:val="000F5CE6"/>
    <w:rsid w:val="00105F91"/>
    <w:rsid w:val="0011112B"/>
    <w:rsid w:val="00115372"/>
    <w:rsid w:val="001577E4"/>
    <w:rsid w:val="00172F73"/>
    <w:rsid w:val="0018373E"/>
    <w:rsid w:val="00184FC3"/>
    <w:rsid w:val="00194702"/>
    <w:rsid w:val="001A5935"/>
    <w:rsid w:val="001A70E7"/>
    <w:rsid w:val="001C2F60"/>
    <w:rsid w:val="001D6507"/>
    <w:rsid w:val="001E4CE7"/>
    <w:rsid w:val="001E6748"/>
    <w:rsid w:val="001E67A5"/>
    <w:rsid w:val="0020434A"/>
    <w:rsid w:val="00234AE2"/>
    <w:rsid w:val="00241C69"/>
    <w:rsid w:val="00247BB5"/>
    <w:rsid w:val="002547F4"/>
    <w:rsid w:val="00270AE5"/>
    <w:rsid w:val="002923A6"/>
    <w:rsid w:val="002A27A2"/>
    <w:rsid w:val="002C57EF"/>
    <w:rsid w:val="002C79BA"/>
    <w:rsid w:val="002D4D56"/>
    <w:rsid w:val="002D61B8"/>
    <w:rsid w:val="002E1B28"/>
    <w:rsid w:val="00330EC9"/>
    <w:rsid w:val="003529B3"/>
    <w:rsid w:val="00366151"/>
    <w:rsid w:val="0036662A"/>
    <w:rsid w:val="003756C5"/>
    <w:rsid w:val="003865B8"/>
    <w:rsid w:val="003A1AD9"/>
    <w:rsid w:val="003B2FAE"/>
    <w:rsid w:val="003E77A4"/>
    <w:rsid w:val="003F5676"/>
    <w:rsid w:val="004136A8"/>
    <w:rsid w:val="004378EE"/>
    <w:rsid w:val="00446410"/>
    <w:rsid w:val="00452AAF"/>
    <w:rsid w:val="00475E13"/>
    <w:rsid w:val="00482B56"/>
    <w:rsid w:val="004A5F41"/>
    <w:rsid w:val="004C44BD"/>
    <w:rsid w:val="004D11D5"/>
    <w:rsid w:val="004E6B69"/>
    <w:rsid w:val="004F6566"/>
    <w:rsid w:val="005004F3"/>
    <w:rsid w:val="0054453C"/>
    <w:rsid w:val="00547C74"/>
    <w:rsid w:val="005516A5"/>
    <w:rsid w:val="005533C2"/>
    <w:rsid w:val="00571253"/>
    <w:rsid w:val="00581B51"/>
    <w:rsid w:val="00593EE0"/>
    <w:rsid w:val="005B1293"/>
    <w:rsid w:val="005B79FB"/>
    <w:rsid w:val="005C3B7F"/>
    <w:rsid w:val="005C5B4A"/>
    <w:rsid w:val="005C5ECB"/>
    <w:rsid w:val="005E0604"/>
    <w:rsid w:val="005F038F"/>
    <w:rsid w:val="005F0F88"/>
    <w:rsid w:val="006029DF"/>
    <w:rsid w:val="006106A7"/>
    <w:rsid w:val="0065224C"/>
    <w:rsid w:val="00665BE2"/>
    <w:rsid w:val="00677B1E"/>
    <w:rsid w:val="006824CC"/>
    <w:rsid w:val="006A1E78"/>
    <w:rsid w:val="006A22E2"/>
    <w:rsid w:val="006B0D85"/>
    <w:rsid w:val="006B526A"/>
    <w:rsid w:val="006B75D2"/>
    <w:rsid w:val="006C0163"/>
    <w:rsid w:val="006E16C9"/>
    <w:rsid w:val="00707C95"/>
    <w:rsid w:val="0072281D"/>
    <w:rsid w:val="0072623F"/>
    <w:rsid w:val="00741C32"/>
    <w:rsid w:val="00742585"/>
    <w:rsid w:val="00747BC9"/>
    <w:rsid w:val="007537EC"/>
    <w:rsid w:val="0075779C"/>
    <w:rsid w:val="00761496"/>
    <w:rsid w:val="00766327"/>
    <w:rsid w:val="007769FC"/>
    <w:rsid w:val="007B3E81"/>
    <w:rsid w:val="007D3038"/>
    <w:rsid w:val="007F5F38"/>
    <w:rsid w:val="0080172F"/>
    <w:rsid w:val="008359DC"/>
    <w:rsid w:val="00847D95"/>
    <w:rsid w:val="0085384B"/>
    <w:rsid w:val="00856EDA"/>
    <w:rsid w:val="008576A6"/>
    <w:rsid w:val="00865C80"/>
    <w:rsid w:val="008663E3"/>
    <w:rsid w:val="00885C3D"/>
    <w:rsid w:val="008A53CB"/>
    <w:rsid w:val="008C3DAE"/>
    <w:rsid w:val="008D5F38"/>
    <w:rsid w:val="008E3C68"/>
    <w:rsid w:val="008F38C3"/>
    <w:rsid w:val="00926630"/>
    <w:rsid w:val="00933886"/>
    <w:rsid w:val="00947C9D"/>
    <w:rsid w:val="00954EEB"/>
    <w:rsid w:val="00956C1E"/>
    <w:rsid w:val="0097341D"/>
    <w:rsid w:val="0099342A"/>
    <w:rsid w:val="009A1889"/>
    <w:rsid w:val="009A662F"/>
    <w:rsid w:val="009B3957"/>
    <w:rsid w:val="009B4714"/>
    <w:rsid w:val="009D3B8E"/>
    <w:rsid w:val="009D3BAD"/>
    <w:rsid w:val="009E1857"/>
    <w:rsid w:val="009E69E2"/>
    <w:rsid w:val="00A00DB1"/>
    <w:rsid w:val="00A24DB0"/>
    <w:rsid w:val="00A2721F"/>
    <w:rsid w:val="00A35603"/>
    <w:rsid w:val="00A4128B"/>
    <w:rsid w:val="00A47552"/>
    <w:rsid w:val="00A47E71"/>
    <w:rsid w:val="00A52C00"/>
    <w:rsid w:val="00A54BBD"/>
    <w:rsid w:val="00A6632E"/>
    <w:rsid w:val="00A80ADA"/>
    <w:rsid w:val="00A845D7"/>
    <w:rsid w:val="00A91F0C"/>
    <w:rsid w:val="00AC4B6C"/>
    <w:rsid w:val="00AD5789"/>
    <w:rsid w:val="00AF0A0D"/>
    <w:rsid w:val="00AF25D0"/>
    <w:rsid w:val="00AF2A89"/>
    <w:rsid w:val="00B0273A"/>
    <w:rsid w:val="00B0591B"/>
    <w:rsid w:val="00B06DF8"/>
    <w:rsid w:val="00B14AA0"/>
    <w:rsid w:val="00B26628"/>
    <w:rsid w:val="00B46548"/>
    <w:rsid w:val="00B7378D"/>
    <w:rsid w:val="00B75709"/>
    <w:rsid w:val="00B9676C"/>
    <w:rsid w:val="00BA3F54"/>
    <w:rsid w:val="00BB138B"/>
    <w:rsid w:val="00BC5BDA"/>
    <w:rsid w:val="00BD17AE"/>
    <w:rsid w:val="00BE1E8F"/>
    <w:rsid w:val="00BE590A"/>
    <w:rsid w:val="00BE6468"/>
    <w:rsid w:val="00BE6CC1"/>
    <w:rsid w:val="00BF587A"/>
    <w:rsid w:val="00C25B44"/>
    <w:rsid w:val="00C3317D"/>
    <w:rsid w:val="00C33E49"/>
    <w:rsid w:val="00C35591"/>
    <w:rsid w:val="00C41BD5"/>
    <w:rsid w:val="00C41EDB"/>
    <w:rsid w:val="00C535B1"/>
    <w:rsid w:val="00C6260A"/>
    <w:rsid w:val="00C6401F"/>
    <w:rsid w:val="00C916C8"/>
    <w:rsid w:val="00C94B40"/>
    <w:rsid w:val="00C97E60"/>
    <w:rsid w:val="00CA2E85"/>
    <w:rsid w:val="00CA6AE7"/>
    <w:rsid w:val="00CB2790"/>
    <w:rsid w:val="00CB505F"/>
    <w:rsid w:val="00CE53AB"/>
    <w:rsid w:val="00CF2C5D"/>
    <w:rsid w:val="00CF7C87"/>
    <w:rsid w:val="00D116FB"/>
    <w:rsid w:val="00D548C8"/>
    <w:rsid w:val="00D54ED4"/>
    <w:rsid w:val="00D66763"/>
    <w:rsid w:val="00DB3586"/>
    <w:rsid w:val="00DC5385"/>
    <w:rsid w:val="00DC7728"/>
    <w:rsid w:val="00DC7AB7"/>
    <w:rsid w:val="00DE1BD0"/>
    <w:rsid w:val="00DE3383"/>
    <w:rsid w:val="00DE693B"/>
    <w:rsid w:val="00E307F8"/>
    <w:rsid w:val="00E314FC"/>
    <w:rsid w:val="00E47926"/>
    <w:rsid w:val="00E53DCA"/>
    <w:rsid w:val="00E6399A"/>
    <w:rsid w:val="00E95B1A"/>
    <w:rsid w:val="00EB492E"/>
    <w:rsid w:val="00EC036E"/>
    <w:rsid w:val="00EC0828"/>
    <w:rsid w:val="00EC6B07"/>
    <w:rsid w:val="00EF0A83"/>
    <w:rsid w:val="00EF5D3D"/>
    <w:rsid w:val="00F16636"/>
    <w:rsid w:val="00F17A0F"/>
    <w:rsid w:val="00F43952"/>
    <w:rsid w:val="00F449CA"/>
    <w:rsid w:val="00F45F44"/>
    <w:rsid w:val="00F46B15"/>
    <w:rsid w:val="00F56078"/>
    <w:rsid w:val="00F725A7"/>
    <w:rsid w:val="00F74AD4"/>
    <w:rsid w:val="00F7759E"/>
    <w:rsid w:val="00F8394C"/>
    <w:rsid w:val="00F90937"/>
    <w:rsid w:val="00FA1C73"/>
    <w:rsid w:val="00FA2FE9"/>
    <w:rsid w:val="00FD0EAB"/>
    <w:rsid w:val="00FE2A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92872"/>
  <w15:docId w15:val="{96F5A82E-7E46-49F0-85E9-315CE8EC4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2"/>
        <w:lang w:val="lt-LT" w:eastAsia="en-US" w:bidi="ar-SA"/>
      </w:rPr>
    </w:rPrDefault>
    <w:pPrDefault>
      <w:pPr>
        <w:spacing w:after="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662A"/>
    <w:pPr>
      <w:spacing w:after="0"/>
      <w:jc w:val="left"/>
    </w:pPr>
    <w:rPr>
      <w:rFonts w:eastAsia="Times New Roman"/>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662A"/>
    <w:pPr>
      <w:ind w:left="720"/>
      <w:contextualSpacing/>
    </w:pPr>
  </w:style>
  <w:style w:type="table" w:styleId="TableGrid">
    <w:name w:val="Table Grid"/>
    <w:basedOn w:val="TableNormal"/>
    <w:uiPriority w:val="59"/>
    <w:rsid w:val="0036662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6662A"/>
    <w:rPr>
      <w:rFonts w:ascii="Tahoma" w:hAnsi="Tahoma" w:cs="Tahoma"/>
      <w:sz w:val="16"/>
      <w:szCs w:val="16"/>
    </w:rPr>
  </w:style>
  <w:style w:type="character" w:customStyle="1" w:styleId="BalloonTextChar">
    <w:name w:val="Balloon Text Char"/>
    <w:basedOn w:val="DefaultParagraphFont"/>
    <w:link w:val="BalloonText"/>
    <w:uiPriority w:val="99"/>
    <w:semiHidden/>
    <w:rsid w:val="0036662A"/>
    <w:rPr>
      <w:rFonts w:ascii="Tahoma" w:eastAsia="Times New Roman" w:hAnsi="Tahoma" w:cs="Tahoma"/>
      <w:sz w:val="16"/>
      <w:szCs w:val="16"/>
      <w:lang w:eastAsia="lt-LT"/>
    </w:rPr>
  </w:style>
  <w:style w:type="character" w:customStyle="1" w:styleId="gmail-msoins">
    <w:name w:val="gmail-msoins"/>
    <w:basedOn w:val="DefaultParagraphFont"/>
    <w:rsid w:val="00F725A7"/>
  </w:style>
  <w:style w:type="character" w:styleId="CommentReference">
    <w:name w:val="annotation reference"/>
    <w:basedOn w:val="DefaultParagraphFont"/>
    <w:semiHidden/>
    <w:unhideWhenUsed/>
    <w:rsid w:val="002547F4"/>
    <w:rPr>
      <w:sz w:val="16"/>
      <w:szCs w:val="16"/>
    </w:rPr>
  </w:style>
  <w:style w:type="paragraph" w:styleId="CommentText">
    <w:name w:val="annotation text"/>
    <w:basedOn w:val="Normal"/>
    <w:link w:val="CommentTextChar"/>
    <w:unhideWhenUsed/>
    <w:rsid w:val="002547F4"/>
    <w:rPr>
      <w:sz w:val="20"/>
      <w:lang w:eastAsia="en-US"/>
    </w:rPr>
  </w:style>
  <w:style w:type="character" w:customStyle="1" w:styleId="CommentTextChar">
    <w:name w:val="Comment Text Char"/>
    <w:basedOn w:val="DefaultParagraphFont"/>
    <w:link w:val="CommentText"/>
    <w:rsid w:val="002547F4"/>
    <w:rPr>
      <w:rFonts w:eastAsia="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7901371">
      <w:bodyDiv w:val="1"/>
      <w:marLeft w:val="0"/>
      <w:marRight w:val="0"/>
      <w:marTop w:val="0"/>
      <w:marBottom w:val="0"/>
      <w:divBdr>
        <w:top w:val="none" w:sz="0" w:space="0" w:color="auto"/>
        <w:left w:val="none" w:sz="0" w:space="0" w:color="auto"/>
        <w:bottom w:val="none" w:sz="0" w:space="0" w:color="auto"/>
        <w:right w:val="none" w:sz="0" w:space="0" w:color="auto"/>
      </w:divBdr>
    </w:div>
    <w:div w:id="876509352">
      <w:bodyDiv w:val="1"/>
      <w:marLeft w:val="0"/>
      <w:marRight w:val="0"/>
      <w:marTop w:val="0"/>
      <w:marBottom w:val="0"/>
      <w:divBdr>
        <w:top w:val="none" w:sz="0" w:space="0" w:color="auto"/>
        <w:left w:val="none" w:sz="0" w:space="0" w:color="auto"/>
        <w:bottom w:val="none" w:sz="0" w:space="0" w:color="auto"/>
        <w:right w:val="none" w:sz="0" w:space="0" w:color="auto"/>
      </w:divBdr>
    </w:div>
    <w:div w:id="912352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4426</Words>
  <Characters>2523</Characters>
  <Application>Microsoft Office Word</Application>
  <DocSecurity>4</DocSecurity>
  <Lines>21</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Božena Zaikovska-Tomkevičienė</dc:creator>
  <cp:lastModifiedBy>Viluniene Jurgita</cp:lastModifiedBy>
  <cp:revision>2</cp:revision>
  <dcterms:created xsi:type="dcterms:W3CDTF">2020-09-08T12:40:00Z</dcterms:created>
  <dcterms:modified xsi:type="dcterms:W3CDTF">2020-09-08T12:40:00Z</dcterms:modified>
</cp:coreProperties>
</file>