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8B" w:rsidRDefault="00C8069F" w:rsidP="00C8069F">
      <w:pPr>
        <w:tabs>
          <w:tab w:val="center" w:pos="4986"/>
          <w:tab w:val="right" w:pos="9972"/>
        </w:tabs>
        <w:jc w:val="center"/>
        <w:rPr>
          <w:color w:val="000000"/>
          <w:szCs w:val="24"/>
          <w:lang w:eastAsia="lt-LT"/>
        </w:rPr>
      </w:pPr>
      <w:r>
        <w:rPr>
          <w:noProof/>
          <w:color w:val="000000"/>
          <w:szCs w:val="24"/>
          <w:lang w:eastAsia="lt-LT"/>
        </w:rPr>
        <w:drawing>
          <wp:inline distT="0" distB="0" distL="0" distR="0" wp14:anchorId="7DBA3CA8" wp14:editId="6CB5E6E0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08B" w:rsidRDefault="00C8069F">
      <w:pPr>
        <w:tabs>
          <w:tab w:val="left" w:pos="709"/>
        </w:tabs>
        <w:jc w:val="center"/>
        <w:rPr>
          <w:b/>
          <w:caps/>
          <w:color w:val="000000"/>
          <w:szCs w:val="24"/>
          <w:lang w:eastAsia="lt-LT"/>
        </w:rPr>
      </w:pPr>
      <w:r>
        <w:rPr>
          <w:b/>
          <w:caps/>
          <w:color w:val="000000"/>
          <w:szCs w:val="24"/>
          <w:lang w:eastAsia="lt-LT"/>
        </w:rPr>
        <w:t>lIETUVOS RESPUBLIKOS energetikos MINISTRAS</w:t>
      </w:r>
    </w:p>
    <w:p w:rsidR="0012608B" w:rsidRDefault="0012608B">
      <w:pPr>
        <w:jc w:val="center"/>
        <w:rPr>
          <w:b/>
          <w:caps/>
          <w:color w:val="000000"/>
          <w:szCs w:val="24"/>
          <w:lang w:eastAsia="lt-LT"/>
        </w:rPr>
      </w:pPr>
    </w:p>
    <w:p w:rsidR="0012608B" w:rsidRDefault="00C8069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ĮSAKYMAS</w:t>
      </w:r>
    </w:p>
    <w:p w:rsidR="0012608B" w:rsidRDefault="00C8069F">
      <w:pPr>
        <w:suppressAutoHyphens/>
        <w:jc w:val="center"/>
        <w:textAlignment w:val="center"/>
        <w:rPr>
          <w:b/>
          <w:bCs/>
        </w:rPr>
      </w:pPr>
      <w:r>
        <w:rPr>
          <w:b/>
          <w:bCs/>
        </w:rPr>
        <w:t xml:space="preserve">DĖL LIETUVOS RESPUBLIKOS ENERGETIKOS MINISTRO 2018 M. LIEPOS 17 D. ĮSAKYMO NR. 1-204 „DĖL 2014–2020 METŲ EUROPOS SĄJUNGOS FONDŲ INVESTICIJŲ VEIKSMŲ PROGRAMOS 4 PRIORITETO „ENERGIJOS EFEKTYVUMO IR </w:t>
      </w:r>
      <w:r>
        <w:rPr>
          <w:b/>
          <w:bCs/>
        </w:rPr>
        <w:t>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:rsidR="00C8069F" w:rsidRDefault="00C8069F">
      <w:pPr>
        <w:suppressAutoHyphens/>
        <w:jc w:val="center"/>
        <w:textAlignment w:val="center"/>
        <w:rPr>
          <w:szCs w:val="24"/>
        </w:rPr>
      </w:pPr>
    </w:p>
    <w:p w:rsidR="0012608B" w:rsidRDefault="00C8069F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2020 m. spalio 7</w:t>
      </w:r>
      <w:r>
        <w:rPr>
          <w:szCs w:val="24"/>
        </w:rPr>
        <w:t xml:space="preserve"> d. Nr. </w:t>
      </w:r>
      <w:r w:rsidRPr="00C8069F">
        <w:rPr>
          <w:szCs w:val="24"/>
        </w:rPr>
        <w:t>1-332</w:t>
      </w:r>
      <w:r>
        <w:rPr>
          <w:szCs w:val="24"/>
        </w:rPr>
        <w:t xml:space="preserve"> </w:t>
      </w:r>
    </w:p>
    <w:p w:rsidR="0012608B" w:rsidRDefault="00C8069F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:rsidR="0012608B" w:rsidRDefault="0012608B">
      <w:pPr>
        <w:suppressAutoHyphens/>
        <w:jc w:val="center"/>
        <w:textAlignment w:val="center"/>
        <w:rPr>
          <w:szCs w:val="24"/>
        </w:rPr>
      </w:pPr>
    </w:p>
    <w:p w:rsidR="0012608B" w:rsidRDefault="0012608B">
      <w:pPr>
        <w:suppressAutoHyphens/>
        <w:jc w:val="center"/>
        <w:textAlignment w:val="center"/>
        <w:rPr>
          <w:szCs w:val="24"/>
        </w:rPr>
      </w:pPr>
    </w:p>
    <w:p w:rsidR="0012608B" w:rsidRDefault="00C8069F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</w:t>
      </w:r>
      <w:r>
        <w:rPr>
          <w:color w:val="000000"/>
          <w:szCs w:val="24"/>
        </w:rPr>
        <w:t xml:space="preserve">se priklausančių pastatų atnaujinimas (II)“ projektų finansavimo sąlygų aprašą Nr.1, patvirtintą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</w:t>
      </w:r>
      <w:r>
        <w:rPr>
          <w:color w:val="000000"/>
          <w:szCs w:val="24"/>
          <w:lang w:eastAsia="lt-LT"/>
        </w:rPr>
        <w:t>oriteto „Energijos efektyvumo ir atsinaujinančių išteklių energijos gamybos ir naudojimo skatinimas“ 04.3.1-VIPA-T-113 priemonės „Valstybei nuosavybės teise priklausančių pastatų atnaujinimas (II)“ projektų finansavimo sąlygų aprašo Nr. 1 patvirtinimo“ (to</w:t>
      </w:r>
      <w:r>
        <w:rPr>
          <w:color w:val="000000"/>
          <w:szCs w:val="24"/>
          <w:lang w:eastAsia="lt-LT"/>
        </w:rPr>
        <w:t xml:space="preserve">liau – Aprašas) </w:t>
      </w:r>
      <w:r>
        <w:rPr>
          <w:szCs w:val="24"/>
        </w:rPr>
        <w:t xml:space="preserve"> 8 punktą ir jį išdėstau taip:</w:t>
      </w:r>
    </w:p>
    <w:p w:rsidR="0012608B" w:rsidRDefault="00C8069F">
      <w:pPr>
        <w:tabs>
          <w:tab w:val="left" w:pos="1134"/>
        </w:tabs>
        <w:ind w:firstLine="620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</w:rPr>
        <w:t>8</w:t>
      </w:r>
      <w:bookmarkStart w:id="0" w:name="_GoBack"/>
      <w:bookmarkEnd w:id="0"/>
      <w:r>
        <w:rPr>
          <w:szCs w:val="24"/>
        </w:rPr>
        <w:t xml:space="preserve">. </w:t>
      </w:r>
      <w:r>
        <w:t>Pagal Aprašą iš viso projektams įgyvendinti numatoma skirti iki 36 592 848 (</w:t>
      </w:r>
      <w:r>
        <w:rPr>
          <w:szCs w:val="24"/>
        </w:rPr>
        <w:t>trisdešimt šešių</w:t>
      </w:r>
      <w:r>
        <w:t xml:space="preserve"> milijonų penkių šimtų devyniasdešimt dviejų tūkstančių aštuonių šimtų keturiasdešimt  aštuonių) eurų, iš kurių</w:t>
      </w:r>
      <w:r>
        <w:t xml:space="preserve"> iki 21 696 648 (dvidešimt vieno milijono šešių šimtų devyniasdešimt šešių tūkstančių šešių šimtų keturiasdešimt aštuonių) eurų – Europos regioninės plėtros fondo lėšos, iš kurių 2 896 200 (du milijonai aštuoni šimtai devyniasdešimt šeši tūkstančiai du šim</w:t>
      </w:r>
      <w:r>
        <w:t>tai) eurų Europos regioninės plėtros fondo lėšų rezervas, ir iki 12 000 000 (dvylikos milijonų) eurų iš Ateities ekonomikos DNR plano lėšų.</w:t>
      </w:r>
      <w:r>
        <w:rPr>
          <w:color w:val="000000"/>
        </w:rPr>
        <w:t xml:space="preserve"> Priimdama sprendimą dėl projektų finansavimo, Ministerija turi teisę šiame punkte nurodytas sumas padidinti, neviršy</w:t>
      </w:r>
      <w:r>
        <w:rPr>
          <w:color w:val="000000"/>
        </w:rPr>
        <w:t>dama Priemonių įgyvendinimo plane nurodytos Priemonei skirtos lėšų sumos ir nepažeisdama teisėtų pareiškėjų lūkesčių.</w:t>
      </w:r>
      <w:r>
        <w:t>“</w:t>
      </w:r>
    </w:p>
    <w:p w:rsidR="0012608B" w:rsidRDefault="0012608B"/>
    <w:p w:rsidR="0012608B" w:rsidRDefault="0012608B"/>
    <w:p w:rsidR="0012608B" w:rsidRDefault="00C8069F"/>
    <w:p w:rsidR="0012608B" w:rsidRDefault="00C8069F">
      <w:pPr>
        <w:rPr>
          <w:rFonts w:eastAsia="Calibri"/>
          <w:szCs w:val="24"/>
          <w:lang w:eastAsia="lt-LT"/>
        </w:rPr>
      </w:pPr>
      <w:r>
        <w:rPr>
          <w:bCs/>
          <w:iCs/>
          <w:szCs w:val="24"/>
        </w:rPr>
        <w:t>Energetikos ministras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Žygimantas Vaičiūnas</w:t>
      </w:r>
    </w:p>
    <w:p w:rsidR="0012608B" w:rsidRDefault="0012608B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:rsidR="0012608B" w:rsidRDefault="0012608B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:rsidR="0012608B" w:rsidRDefault="0012608B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tbl>
      <w:tblPr>
        <w:tblW w:w="86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084"/>
      </w:tblGrid>
      <w:tr w:rsidR="0012608B"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08B" w:rsidRDefault="00C8069F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:rsidR="0012608B" w:rsidRDefault="00C8069F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:rsidR="0012608B" w:rsidRDefault="00C8069F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2020 m. spalio 6 d. raštu</w:t>
            </w:r>
          </w:p>
          <w:p w:rsidR="0012608B" w:rsidRDefault="00C8069F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 </w:t>
            </w:r>
            <w:r>
              <w:rPr>
                <w:color w:val="000000"/>
              </w:rPr>
              <w:t>((24.37E)-5K-2016836)-6K-2005625</w:t>
            </w:r>
          </w:p>
          <w:p w:rsidR="0012608B" w:rsidRDefault="0012608B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08B" w:rsidRDefault="00C8069F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:rsidR="0012608B" w:rsidRDefault="00C8069F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Uždarosios akcinės bendrovės </w:t>
            </w:r>
          </w:p>
          <w:p w:rsidR="0012608B" w:rsidRDefault="00C8069F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Viešųjų investicijų plėtros agentūros</w:t>
            </w:r>
          </w:p>
          <w:p w:rsidR="0012608B" w:rsidRDefault="00C8069F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2020 m. rugsėjo 24 d. raštu </w:t>
            </w:r>
          </w:p>
          <w:p w:rsidR="0012608B" w:rsidRDefault="00C8069F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 2020/2-1457</w:t>
            </w:r>
          </w:p>
          <w:p w:rsidR="0012608B" w:rsidRDefault="0012608B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</w:tc>
      </w:tr>
    </w:tbl>
    <w:p w:rsidR="0012608B" w:rsidRDefault="00C8069F">
      <w:pPr>
        <w:tabs>
          <w:tab w:val="left" w:pos="7371"/>
        </w:tabs>
        <w:jc w:val="both"/>
        <w:rPr>
          <w:szCs w:val="24"/>
        </w:rPr>
      </w:pPr>
    </w:p>
    <w:sectPr w:rsidR="001260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709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8B" w:rsidRDefault="00C8069F">
      <w:r>
        <w:separator/>
      </w:r>
    </w:p>
  </w:endnote>
  <w:endnote w:type="continuationSeparator" w:id="0">
    <w:p w:rsidR="0012608B" w:rsidRDefault="00C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12608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12608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12608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8B" w:rsidRDefault="00C8069F">
      <w:r>
        <w:separator/>
      </w:r>
    </w:p>
  </w:footnote>
  <w:footnote w:type="continuationSeparator" w:id="0">
    <w:p w:rsidR="0012608B" w:rsidRDefault="00C8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12608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C8069F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2608B" w:rsidRDefault="0012608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8B" w:rsidRDefault="0012608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A"/>
    <w:rsid w:val="0012608B"/>
    <w:rsid w:val="00AA7E0A"/>
    <w:rsid w:val="00C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4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E5AC4D3-E4F6-40B2-96B9-31FF9918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2020-10-07T10:36:00Z</dcterms:created>
  <dc:creator>Ineta Blakunovaite</dc:creator>
  <lastModifiedBy>JUOSPONIENĖ Karolina</lastModifiedBy>
  <lastPrinted>2018-09-13T07:18:00Z</lastPrinted>
  <dcterms:modified xsi:type="dcterms:W3CDTF">2020-10-07T10:51:00Z</dcterms:modified>
  <revision>3</revision>
</coreProperties>
</file>