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8897" w14:textId="77777777" w:rsidR="00B91B22" w:rsidRPr="00564585" w:rsidRDefault="00B91B22" w:rsidP="002C494E">
      <w:pPr>
        <w:tabs>
          <w:tab w:val="left" w:pos="0"/>
          <w:tab w:val="left" w:pos="567"/>
        </w:tabs>
        <w:jc w:val="center"/>
        <w:rPr>
          <w:b/>
          <w:bCs/>
          <w:color w:val="000000"/>
          <w:szCs w:val="24"/>
        </w:rPr>
      </w:pPr>
      <w:bookmarkStart w:id="0" w:name="_GoBack"/>
      <w:bookmarkEnd w:id="0"/>
      <w:r w:rsidRPr="00564585">
        <w:rPr>
          <w:b/>
          <w:bCs/>
          <w:color w:val="000000"/>
          <w:szCs w:val="24"/>
        </w:rPr>
        <w:t>DVIDEŠIMT ANTRASIS SKIRSNIS</w:t>
      </w:r>
    </w:p>
    <w:p w14:paraId="5F0BB79C" w14:textId="7A217C99" w:rsidR="002C494E" w:rsidRPr="00564585" w:rsidRDefault="002C494E" w:rsidP="002C494E">
      <w:pPr>
        <w:tabs>
          <w:tab w:val="left" w:pos="0"/>
          <w:tab w:val="left" w:pos="567"/>
        </w:tabs>
        <w:jc w:val="center"/>
        <w:rPr>
          <w:b/>
          <w:bCs/>
          <w:color w:val="000000"/>
          <w:szCs w:val="24"/>
        </w:rPr>
      </w:pPr>
      <w:r w:rsidRPr="00564585">
        <w:rPr>
          <w:b/>
          <w:bCs/>
          <w:color w:val="000000"/>
          <w:szCs w:val="24"/>
        </w:rPr>
        <w:t xml:space="preserve">PRIEMONĖ </w:t>
      </w:r>
      <w:r w:rsidR="00B91B22" w:rsidRPr="00564585">
        <w:rPr>
          <w:b/>
          <w:bCs/>
          <w:color w:val="000000"/>
          <w:szCs w:val="24"/>
        </w:rPr>
        <w:t xml:space="preserve">NR. </w:t>
      </w:r>
      <w:r w:rsidR="000A6C83" w:rsidRPr="00564585">
        <w:rPr>
          <w:b/>
          <w:bCs/>
          <w:color w:val="000000"/>
          <w:szCs w:val="24"/>
        </w:rPr>
        <w:t>13.1.2</w:t>
      </w:r>
      <w:r w:rsidR="00B91B22" w:rsidRPr="00564585">
        <w:rPr>
          <w:b/>
          <w:bCs/>
          <w:color w:val="000000"/>
          <w:szCs w:val="24"/>
        </w:rPr>
        <w:t>-LVPA-T-</w:t>
      </w:r>
      <w:r w:rsidR="0069003A" w:rsidRPr="00564585">
        <w:rPr>
          <w:b/>
          <w:bCs/>
          <w:color w:val="000000"/>
          <w:szCs w:val="24"/>
        </w:rPr>
        <w:t xml:space="preserve">860 </w:t>
      </w:r>
      <w:r w:rsidR="00B91B22" w:rsidRPr="00564585">
        <w:rPr>
          <w:b/>
          <w:bCs/>
          <w:color w:val="000000"/>
          <w:szCs w:val="24"/>
        </w:rPr>
        <w:t>„E-VERSLO MODELIS</w:t>
      </w:r>
      <w:r w:rsidR="00D863F5" w:rsidRPr="00564585">
        <w:rPr>
          <w:b/>
          <w:bCs/>
          <w:color w:val="000000"/>
          <w:szCs w:val="24"/>
        </w:rPr>
        <w:t xml:space="preserve"> </w:t>
      </w:r>
      <w:r w:rsidR="00D863F5" w:rsidRPr="00564585">
        <w:rPr>
          <w:b/>
          <w:bCs/>
          <w:szCs w:val="24"/>
          <w:lang w:eastAsia="lt-LT"/>
        </w:rPr>
        <w:t>COVID-19</w:t>
      </w:r>
      <w:r w:rsidRPr="00564585">
        <w:rPr>
          <w:b/>
          <w:bCs/>
          <w:color w:val="000000"/>
          <w:szCs w:val="24"/>
        </w:rPr>
        <w:t>“</w:t>
      </w:r>
    </w:p>
    <w:p w14:paraId="5F8FC2B2" w14:textId="77777777" w:rsidR="002C494E" w:rsidRPr="00564585" w:rsidRDefault="002C494E" w:rsidP="002C494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292D1D81" w14:textId="77777777" w:rsidR="002C494E" w:rsidRPr="00564585" w:rsidRDefault="002C494E" w:rsidP="002C494E">
      <w:pPr>
        <w:tabs>
          <w:tab w:val="left" w:pos="0"/>
          <w:tab w:val="left" w:pos="567"/>
        </w:tabs>
        <w:ind w:left="993" w:hanging="284"/>
        <w:rPr>
          <w:szCs w:val="24"/>
          <w:lang w:eastAsia="lt-LT"/>
        </w:rPr>
      </w:pPr>
      <w:r w:rsidRPr="00564585">
        <w:rPr>
          <w:szCs w:val="24"/>
          <w:lang w:eastAsia="lt-LT"/>
        </w:rPr>
        <w:t>1.</w:t>
      </w:r>
      <w:r w:rsidRPr="00564585">
        <w:rPr>
          <w:szCs w:val="24"/>
          <w:lang w:eastAsia="lt-LT"/>
        </w:rPr>
        <w:tab/>
        <w:t>Priemonės aprašymas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7D3A42D8" w14:textId="77777777" w:rsidTr="00B671CA">
        <w:trPr>
          <w:trHeight w:val="277"/>
        </w:trPr>
        <w:tc>
          <w:tcPr>
            <w:tcW w:w="9639" w:type="dxa"/>
            <w:hideMark/>
          </w:tcPr>
          <w:p w14:paraId="42D1947C" w14:textId="1B5A93A7" w:rsidR="002C494E" w:rsidRPr="00564585" w:rsidRDefault="002C494E" w:rsidP="00153CD7">
            <w:pPr>
              <w:tabs>
                <w:tab w:val="left" w:pos="0"/>
                <w:tab w:val="left" w:pos="1026"/>
              </w:tabs>
              <w:ind w:left="360" w:firstLine="241"/>
              <w:jc w:val="both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1.1.</w:t>
            </w:r>
            <w:r w:rsidRPr="00564585">
              <w:rPr>
                <w:szCs w:val="24"/>
                <w:lang w:eastAsia="lt-LT"/>
              </w:rPr>
              <w:tab/>
              <w:t>Priemonės įgyvendinimas finansuojamas Europos regioninės plėtros fondo lėšomis</w:t>
            </w:r>
            <w:r w:rsidR="00F37C10" w:rsidRPr="00564585">
              <w:rPr>
                <w:szCs w:val="24"/>
                <w:lang w:eastAsia="lt-LT"/>
              </w:rPr>
              <w:t>,</w:t>
            </w:r>
            <w:r w:rsidR="00153CD7" w:rsidRPr="00564585">
              <w:rPr>
                <w:szCs w:val="24"/>
                <w:lang w:eastAsia="lt-LT"/>
              </w:rPr>
              <w:t xml:space="preserve"> </w:t>
            </w:r>
            <w:r w:rsidR="00F37C10" w:rsidRPr="00564585">
              <w:rPr>
                <w:szCs w:val="24"/>
                <w:lang w:eastAsia="lt-LT"/>
              </w:rPr>
              <w:t xml:space="preserve">viršijant ES lėšas dėl Ateities ekonomikos DNR plano, kuriam pritarta </w:t>
            </w:r>
            <w:r w:rsidR="00F37C10" w:rsidRPr="00564585">
              <w:rPr>
                <w:rFonts w:eastAsiaTheme="minorEastAsia"/>
                <w:szCs w:val="24"/>
              </w:rPr>
              <w:t>Lietuvos Respublikos Vyriausybės 2020 m. birželio 10 d. pasitarimo protokolu Nr. 28, veiksmų ir projektų įgyvendinimo, kaip numatyta 2014</w:t>
            </w:r>
            <w:r w:rsidR="00153CD7" w:rsidRPr="00564585">
              <w:rPr>
                <w:szCs w:val="24"/>
              </w:rPr>
              <w:t>–</w:t>
            </w:r>
            <w:r w:rsidR="00F37C10" w:rsidRPr="00564585">
              <w:rPr>
                <w:rFonts w:eastAsiaTheme="minorEastAsia"/>
                <w:szCs w:val="24"/>
              </w:rPr>
              <w:t xml:space="preserve">2020 m. Europos Sąjungos fondų investicijų veiksmų programos priede, patvirtintame Lietuvos Respublikos Vyriausybės </w:t>
            </w:r>
            <w:r w:rsidR="00F37C10" w:rsidRPr="00564585">
              <w:rPr>
                <w:szCs w:val="24"/>
              </w:rPr>
              <w:t>2020 m. liepos 8 d. nutarimu Nr. 744 „Dėl Lietuvos Respublikos Vyriausybės 2014 m. lapkričio 26 d. nutarimo Nr. 1326 „Dėl 2014–2020 m. Europos Sąjungos fondų investicijų veiksmų programos priedo patvirtinimo“ pakeitimo</w:t>
            </w:r>
            <w:r w:rsidRPr="00564585">
              <w:rPr>
                <w:szCs w:val="24"/>
                <w:lang w:eastAsia="lt-LT"/>
              </w:rPr>
              <w:t>.</w:t>
            </w:r>
          </w:p>
        </w:tc>
      </w:tr>
      <w:tr w:rsidR="002C494E" w:rsidRPr="00564585" w14:paraId="470B32E4" w14:textId="77777777" w:rsidTr="00B671CA">
        <w:trPr>
          <w:trHeight w:val="565"/>
        </w:trPr>
        <w:tc>
          <w:tcPr>
            <w:tcW w:w="9639" w:type="dxa"/>
            <w:hideMark/>
          </w:tcPr>
          <w:p w14:paraId="3F234497" w14:textId="3099D6BA" w:rsidR="002C494E" w:rsidRPr="00564585" w:rsidRDefault="002C494E" w:rsidP="000A6C83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1.2.</w:t>
            </w:r>
            <w:r w:rsidRPr="00564585">
              <w:rPr>
                <w:szCs w:val="24"/>
                <w:lang w:eastAsia="lt-LT"/>
              </w:rPr>
              <w:tab/>
              <w:t>Įgyvendinant priemonę, prisidedama prie uždavinio „</w:t>
            </w:r>
            <w:r w:rsidR="000A6C83" w:rsidRPr="00564585">
              <w:rPr>
                <w:rFonts w:eastAsia="Calibri"/>
                <w:szCs w:val="24"/>
              </w:rPr>
              <w:t>Skatinti skaitmeninimą ir inovacijas, siekiant įveikti COVID-19 pandemijos sukeltas pasekmes ekonomikai</w:t>
            </w:r>
            <w:r w:rsidRPr="00564585">
              <w:rPr>
                <w:szCs w:val="24"/>
              </w:rPr>
              <w:t>“</w:t>
            </w:r>
            <w:r w:rsidRPr="00564585">
              <w:rPr>
                <w:b/>
                <w:szCs w:val="24"/>
              </w:rPr>
              <w:t xml:space="preserve"> </w:t>
            </w:r>
            <w:r w:rsidRPr="00564585">
              <w:rPr>
                <w:szCs w:val="24"/>
                <w:lang w:eastAsia="lt-LT"/>
              </w:rPr>
              <w:t>įgyvendinimo</w:t>
            </w:r>
            <w:r w:rsidRPr="00564585">
              <w:rPr>
                <w:i/>
                <w:szCs w:val="24"/>
                <w:lang w:eastAsia="lt-LT"/>
              </w:rPr>
              <w:t>.</w:t>
            </w:r>
          </w:p>
        </w:tc>
      </w:tr>
      <w:tr w:rsidR="002C494E" w:rsidRPr="00564585" w14:paraId="4F4ACA82" w14:textId="77777777" w:rsidTr="00B671CA">
        <w:trPr>
          <w:trHeight w:val="496"/>
        </w:trPr>
        <w:tc>
          <w:tcPr>
            <w:tcW w:w="9639" w:type="dxa"/>
          </w:tcPr>
          <w:p w14:paraId="087C6DBE" w14:textId="5DE39931" w:rsidR="00F427E1" w:rsidRPr="005322C2" w:rsidRDefault="002C494E" w:rsidP="00167ABC">
            <w:pPr>
              <w:tabs>
                <w:tab w:val="left" w:pos="0"/>
                <w:tab w:val="left" w:pos="1026"/>
              </w:tabs>
              <w:ind w:firstLine="625"/>
              <w:jc w:val="both"/>
              <w:rPr>
                <w:szCs w:val="24"/>
              </w:rPr>
            </w:pPr>
            <w:r w:rsidRPr="00564585">
              <w:rPr>
                <w:szCs w:val="24"/>
              </w:rPr>
              <w:t>1.3.</w:t>
            </w:r>
            <w:r w:rsidRPr="00564585">
              <w:rPr>
                <w:szCs w:val="24"/>
              </w:rPr>
              <w:tab/>
              <w:t xml:space="preserve">Remiama veikla – </w:t>
            </w:r>
            <w:r w:rsidR="009F62A5">
              <w:rPr>
                <w:bCs/>
                <w:szCs w:val="24"/>
              </w:rPr>
              <w:t>e</w:t>
            </w:r>
            <w:r w:rsidR="008343A0" w:rsidRPr="00564585">
              <w:rPr>
                <w:bCs/>
                <w:szCs w:val="24"/>
              </w:rPr>
              <w:t>-verslo modelių diegimas, persiorientuojant į procesų</w:t>
            </w:r>
            <w:r w:rsidR="00167ABC" w:rsidRPr="00564585">
              <w:rPr>
                <w:bCs/>
                <w:szCs w:val="24"/>
              </w:rPr>
              <w:t xml:space="preserve"> ir</w:t>
            </w:r>
            <w:r w:rsidR="008343A0" w:rsidRPr="00F427E1">
              <w:rPr>
                <w:bCs/>
                <w:szCs w:val="24"/>
              </w:rPr>
              <w:t xml:space="preserve"> produktų</w:t>
            </w:r>
            <w:r w:rsidR="00167ABC" w:rsidRPr="00F427E1">
              <w:rPr>
                <w:bCs/>
                <w:szCs w:val="24"/>
              </w:rPr>
              <w:t xml:space="preserve"> (gaminamų gaminių ir (ar) teikiamų paslaugų)</w:t>
            </w:r>
            <w:r w:rsidR="008343A0" w:rsidRPr="00F427E1">
              <w:rPr>
                <w:bCs/>
                <w:szCs w:val="24"/>
              </w:rPr>
              <w:t xml:space="preserve"> skaitmeninimą, </w:t>
            </w:r>
            <w:r w:rsidR="008343A0" w:rsidRPr="00F427E1">
              <w:rPr>
                <w:szCs w:val="24"/>
              </w:rPr>
              <w:t>labai mažų, mažų ir vidutinių įmonių (toliau – MVĮ)</w:t>
            </w:r>
            <w:r w:rsidR="008343A0" w:rsidRPr="00F427E1">
              <w:rPr>
                <w:bCs/>
                <w:szCs w:val="24"/>
              </w:rPr>
              <w:t xml:space="preserve"> </w:t>
            </w:r>
            <w:r w:rsidR="00167ABC" w:rsidRPr="00807090">
              <w:rPr>
                <w:bCs/>
                <w:szCs w:val="24"/>
              </w:rPr>
              <w:t xml:space="preserve">produktų </w:t>
            </w:r>
            <w:r w:rsidR="008343A0" w:rsidRPr="00807090">
              <w:rPr>
                <w:bCs/>
                <w:szCs w:val="24"/>
              </w:rPr>
              <w:t xml:space="preserve">elektroninę prekybą ir </w:t>
            </w:r>
            <w:r w:rsidR="008343A0" w:rsidRPr="005322C2">
              <w:rPr>
                <w:szCs w:val="24"/>
              </w:rPr>
              <w:t>pristatymą</w:t>
            </w:r>
            <w:r w:rsidR="00F427E1" w:rsidRPr="005322C2">
              <w:rPr>
                <w:szCs w:val="24"/>
              </w:rPr>
              <w:t>:</w:t>
            </w:r>
          </w:p>
          <w:p w14:paraId="7C272B6E" w14:textId="77777777" w:rsidR="00807090" w:rsidRDefault="00F427E1" w:rsidP="00F427E1">
            <w:pPr>
              <w:ind w:left="360" w:firstLine="240"/>
              <w:contextualSpacing/>
              <w:jc w:val="both"/>
              <w:rPr>
                <w:szCs w:val="24"/>
              </w:rPr>
            </w:pPr>
            <w:r w:rsidRPr="009F088A">
              <w:rPr>
                <w:szCs w:val="24"/>
              </w:rPr>
              <w:t xml:space="preserve">1.3.1. </w:t>
            </w:r>
            <w:r w:rsidRPr="00F427E1">
              <w:rPr>
                <w:szCs w:val="24"/>
              </w:rPr>
              <w:t>nuotolinių</w:t>
            </w:r>
            <w:r w:rsidR="00807090">
              <w:rPr>
                <w:szCs w:val="24"/>
              </w:rPr>
              <w:t xml:space="preserve"> darbo vietų sprendimų diegimas;</w:t>
            </w:r>
          </w:p>
          <w:p w14:paraId="13AC2D19" w14:textId="05BA140D" w:rsidR="002C494E" w:rsidRPr="00F427E1" w:rsidRDefault="00F427E1" w:rsidP="00F427E1">
            <w:pPr>
              <w:ind w:left="360" w:firstLine="24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1.3.2. </w:t>
            </w:r>
            <w:r w:rsidRPr="00F427E1">
              <w:rPr>
                <w:szCs w:val="24"/>
              </w:rPr>
              <w:t>e-pardavimo sandorių sudarymo sprendimų diegimas</w:t>
            </w:r>
            <w:r w:rsidR="00B91B22" w:rsidRPr="00F427E1">
              <w:rPr>
                <w:szCs w:val="24"/>
              </w:rPr>
              <w:t>.</w:t>
            </w:r>
            <w:r w:rsidR="002C494E" w:rsidRPr="00F427E1">
              <w:rPr>
                <w:szCs w:val="24"/>
              </w:rPr>
              <w:t xml:space="preserve"> </w:t>
            </w:r>
          </w:p>
        </w:tc>
      </w:tr>
      <w:tr w:rsidR="002C494E" w:rsidRPr="00564585" w14:paraId="1E5B8A8F" w14:textId="77777777" w:rsidTr="00B671CA">
        <w:trPr>
          <w:trHeight w:val="287"/>
        </w:trPr>
        <w:tc>
          <w:tcPr>
            <w:tcW w:w="9639" w:type="dxa"/>
          </w:tcPr>
          <w:p w14:paraId="0347C070" w14:textId="77777777" w:rsidR="002C494E" w:rsidRPr="00564585" w:rsidRDefault="002C494E" w:rsidP="00B671CA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</w:rPr>
            </w:pPr>
            <w:r w:rsidRPr="00564585">
              <w:rPr>
                <w:szCs w:val="24"/>
              </w:rPr>
              <w:t>1.4.</w:t>
            </w:r>
            <w:r w:rsidRPr="00564585">
              <w:rPr>
                <w:szCs w:val="24"/>
              </w:rPr>
              <w:tab/>
              <w:t xml:space="preserve"> Galimi pareiškėjai – MVĮ.</w:t>
            </w:r>
          </w:p>
          <w:p w14:paraId="72AE28AE" w14:textId="77777777" w:rsidR="00BD0E4C" w:rsidRPr="00564585" w:rsidRDefault="00BD0E4C" w:rsidP="00B671CA">
            <w:pPr>
              <w:tabs>
                <w:tab w:val="left" w:pos="0"/>
                <w:tab w:val="left" w:pos="1026"/>
              </w:tabs>
              <w:ind w:left="34" w:firstLine="567"/>
              <w:jc w:val="both"/>
              <w:rPr>
                <w:szCs w:val="24"/>
              </w:rPr>
            </w:pPr>
            <w:r w:rsidRPr="00564585">
              <w:rPr>
                <w:iCs/>
                <w:szCs w:val="24"/>
                <w:lang w:val="fr-FR"/>
              </w:rPr>
              <w:t>1.5. Partneriai negalimi.</w:t>
            </w:r>
          </w:p>
        </w:tc>
      </w:tr>
    </w:tbl>
    <w:p w14:paraId="38DF575B" w14:textId="77777777" w:rsidR="002C494E" w:rsidRPr="00564585" w:rsidRDefault="002C494E" w:rsidP="002C494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6B271BDE" w14:textId="77777777" w:rsidR="002C494E" w:rsidRPr="00564585" w:rsidRDefault="002C494E" w:rsidP="002C494E">
      <w:pPr>
        <w:tabs>
          <w:tab w:val="left" w:pos="0"/>
          <w:tab w:val="left" w:pos="567"/>
          <w:tab w:val="left" w:pos="993"/>
        </w:tabs>
        <w:ind w:left="993" w:hanging="284"/>
        <w:jc w:val="both"/>
        <w:rPr>
          <w:szCs w:val="24"/>
          <w:lang w:eastAsia="lt-LT"/>
        </w:rPr>
      </w:pPr>
      <w:r w:rsidRPr="00564585">
        <w:rPr>
          <w:szCs w:val="24"/>
          <w:lang w:eastAsia="lt-LT"/>
        </w:rPr>
        <w:t>2.</w:t>
      </w:r>
      <w:r w:rsidRPr="00564585">
        <w:rPr>
          <w:szCs w:val="24"/>
          <w:lang w:eastAsia="lt-LT"/>
        </w:rPr>
        <w:tab/>
        <w:t xml:space="preserve">Priemonės finansavimo forma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7B590ABD" w14:textId="77777777" w:rsidTr="00B671CA">
        <w:trPr>
          <w:trHeight w:val="289"/>
        </w:trPr>
        <w:tc>
          <w:tcPr>
            <w:tcW w:w="9639" w:type="dxa"/>
          </w:tcPr>
          <w:p w14:paraId="5664FD5F" w14:textId="77777777" w:rsidR="002C494E" w:rsidRPr="00564585" w:rsidRDefault="002C494E" w:rsidP="00B671C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564585">
              <w:rPr>
                <w:szCs w:val="24"/>
              </w:rPr>
              <w:t>N</w:t>
            </w:r>
            <w:r w:rsidRPr="00564585">
              <w:rPr>
                <w:szCs w:val="24"/>
                <w:lang w:eastAsia="lt-LT"/>
              </w:rPr>
              <w:t>egrąžinamoji subsidija</w:t>
            </w:r>
            <w:r w:rsidRPr="00564585">
              <w:rPr>
                <w:szCs w:val="24"/>
              </w:rPr>
              <w:t>.</w:t>
            </w:r>
          </w:p>
        </w:tc>
      </w:tr>
    </w:tbl>
    <w:p w14:paraId="21FDDDB6" w14:textId="77777777" w:rsidR="002C494E" w:rsidRPr="00564585" w:rsidRDefault="002C494E" w:rsidP="002C494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232F5C12" w14:textId="77777777" w:rsidR="002C494E" w:rsidRPr="00564585" w:rsidRDefault="002C494E" w:rsidP="002C494E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 w:rsidRPr="00564585">
        <w:rPr>
          <w:szCs w:val="24"/>
          <w:lang w:eastAsia="lt-LT"/>
        </w:rPr>
        <w:t>3.</w:t>
      </w:r>
      <w:r w:rsidRPr="00564585">
        <w:rPr>
          <w:szCs w:val="24"/>
          <w:lang w:eastAsia="lt-LT"/>
        </w:rPr>
        <w:tab/>
        <w:t xml:space="preserve">Projektų atrankos būdas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7706B10A" w14:textId="77777777" w:rsidTr="00B671CA">
        <w:tc>
          <w:tcPr>
            <w:tcW w:w="9639" w:type="dxa"/>
          </w:tcPr>
          <w:p w14:paraId="6AEBE6EB" w14:textId="77777777" w:rsidR="002C494E" w:rsidRPr="00564585" w:rsidRDefault="00B91B22" w:rsidP="00B91B22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564585">
              <w:rPr>
                <w:szCs w:val="24"/>
              </w:rPr>
              <w:t>Tęstinė projektų atranka</w:t>
            </w:r>
            <w:r w:rsidR="002C494E" w:rsidRPr="00564585">
              <w:rPr>
                <w:szCs w:val="24"/>
              </w:rPr>
              <w:t>.</w:t>
            </w:r>
          </w:p>
        </w:tc>
      </w:tr>
    </w:tbl>
    <w:p w14:paraId="56C2CD95" w14:textId="77777777" w:rsidR="002C494E" w:rsidRPr="00564585" w:rsidRDefault="002C494E" w:rsidP="002C494E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0A55BE33" w14:textId="77777777" w:rsidR="002C494E" w:rsidRPr="00564585" w:rsidRDefault="002C494E" w:rsidP="002C494E">
      <w:pPr>
        <w:tabs>
          <w:tab w:val="left" w:pos="0"/>
          <w:tab w:val="left" w:pos="567"/>
        </w:tabs>
        <w:ind w:left="993" w:hanging="284"/>
        <w:jc w:val="both"/>
        <w:rPr>
          <w:szCs w:val="24"/>
          <w:lang w:eastAsia="lt-LT"/>
        </w:rPr>
      </w:pPr>
      <w:r w:rsidRPr="00564585">
        <w:rPr>
          <w:szCs w:val="24"/>
          <w:lang w:eastAsia="lt-LT"/>
        </w:rPr>
        <w:t>4.</w:t>
      </w:r>
      <w:r w:rsidRPr="00564585">
        <w:rPr>
          <w:szCs w:val="24"/>
          <w:lang w:eastAsia="lt-LT"/>
        </w:rPr>
        <w:tab/>
        <w:t>Atsakinga įgyvendinančioji institucija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23A5F7B3" w14:textId="77777777" w:rsidTr="00B671CA">
        <w:tc>
          <w:tcPr>
            <w:tcW w:w="9639" w:type="dxa"/>
          </w:tcPr>
          <w:p w14:paraId="166E61AD" w14:textId="77777777" w:rsidR="002C494E" w:rsidRPr="00564585" w:rsidRDefault="002C494E" w:rsidP="00B671C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564585">
              <w:rPr>
                <w:szCs w:val="24"/>
              </w:rPr>
              <w:t>Viešoji įstaiga Lietuvos verslo paramos agentūra.</w:t>
            </w:r>
          </w:p>
        </w:tc>
      </w:tr>
    </w:tbl>
    <w:p w14:paraId="311C5D4D" w14:textId="77777777" w:rsidR="002C494E" w:rsidRPr="00564585" w:rsidRDefault="002C494E" w:rsidP="002C494E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14:paraId="2834338F" w14:textId="77777777" w:rsidR="002C494E" w:rsidRPr="00564585" w:rsidRDefault="002C494E" w:rsidP="002C494E">
      <w:pPr>
        <w:ind w:firstLine="720"/>
        <w:jc w:val="both"/>
        <w:rPr>
          <w:color w:val="000000"/>
          <w:szCs w:val="24"/>
        </w:rPr>
      </w:pPr>
      <w:r w:rsidRPr="00564585">
        <w:rPr>
          <w:color w:val="000000"/>
          <w:szCs w:val="24"/>
        </w:rPr>
        <w:t>5.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C494E" w:rsidRPr="00564585" w14:paraId="2FD28659" w14:textId="77777777" w:rsidTr="00B671CA">
        <w:tc>
          <w:tcPr>
            <w:tcW w:w="9639" w:type="dxa"/>
          </w:tcPr>
          <w:p w14:paraId="75AAAD98" w14:textId="77777777" w:rsidR="002C494E" w:rsidRPr="00564585" w:rsidRDefault="002C494E" w:rsidP="00B671CA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 w:rsidRPr="00564585">
              <w:rPr>
                <w:szCs w:val="24"/>
              </w:rPr>
              <w:t>Papildomi reikalavimai netaikomi.</w:t>
            </w:r>
          </w:p>
        </w:tc>
      </w:tr>
    </w:tbl>
    <w:p w14:paraId="3A78CDFD" w14:textId="77777777" w:rsidR="002C494E" w:rsidRPr="00564585" w:rsidRDefault="002C494E" w:rsidP="002C494E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</w:p>
    <w:p w14:paraId="47832B97" w14:textId="77777777" w:rsidR="002C494E" w:rsidRPr="00564585" w:rsidRDefault="002C494E" w:rsidP="002C494E">
      <w:pPr>
        <w:tabs>
          <w:tab w:val="left" w:pos="0"/>
          <w:tab w:val="left" w:pos="567"/>
        </w:tabs>
        <w:ind w:firstLine="709"/>
        <w:jc w:val="both"/>
        <w:rPr>
          <w:szCs w:val="24"/>
          <w:lang w:eastAsia="lt-LT"/>
        </w:rPr>
      </w:pPr>
      <w:r w:rsidRPr="00564585">
        <w:rPr>
          <w:szCs w:val="24"/>
          <w:lang w:eastAsia="lt-LT"/>
        </w:rPr>
        <w:t>6. P</w:t>
      </w:r>
      <w:r w:rsidRPr="00564585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5"/>
        <w:gridCol w:w="1237"/>
        <w:gridCol w:w="2023"/>
        <w:gridCol w:w="2126"/>
      </w:tblGrid>
      <w:tr w:rsidR="002C494E" w:rsidRPr="00564585" w14:paraId="326DB9C4" w14:textId="77777777" w:rsidTr="00B671CA">
        <w:trPr>
          <w:trHeight w:val="8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210A" w14:textId="77777777" w:rsidR="002C494E" w:rsidRPr="00564585" w:rsidRDefault="002C494E" w:rsidP="00B671CA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46A9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ACEA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7FF2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 xml:space="preserve">Tarpinė reikšmė </w:t>
            </w:r>
          </w:p>
          <w:p w14:paraId="397E592E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13A0" w14:textId="77777777" w:rsidR="002C494E" w:rsidRPr="00564585" w:rsidRDefault="002C494E" w:rsidP="00B671CA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564585">
              <w:rPr>
                <w:szCs w:val="24"/>
                <w:lang w:eastAsia="lt-LT"/>
              </w:rPr>
              <w:t>Galutinė reikšmė 2023 m. gruodžio 31 d.</w:t>
            </w:r>
            <w:r w:rsidR="00255178" w:rsidRPr="00564585">
              <w:rPr>
                <w:szCs w:val="24"/>
                <w:lang w:eastAsia="lt-LT"/>
              </w:rPr>
              <w:t xml:space="preserve"> pagal Ateities ekonomikos DNR planą</w:t>
            </w:r>
          </w:p>
        </w:tc>
      </w:tr>
      <w:tr w:rsidR="002C494E" w:rsidRPr="007E2402" w14:paraId="0579F7E6" w14:textId="77777777" w:rsidTr="00B671CA">
        <w:trPr>
          <w:trHeight w:val="11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6979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iCs/>
                <w:color w:val="000000"/>
                <w:szCs w:val="24"/>
                <w:lang w:eastAsia="lt-LT"/>
              </w:rPr>
              <w:t>R.S.313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58E" w14:textId="77777777" w:rsidR="002C494E" w:rsidRPr="007E2402" w:rsidRDefault="002C494E" w:rsidP="00B671CA">
            <w:pPr>
              <w:rPr>
                <w:color w:val="000000"/>
                <w:szCs w:val="24"/>
              </w:rPr>
            </w:pPr>
            <w:r w:rsidRPr="007E2402">
              <w:rPr>
                <w:szCs w:val="24"/>
              </w:rPr>
              <w:t>„P</w:t>
            </w:r>
            <w:r w:rsidRPr="007E2402">
              <w:rPr>
                <w:color w:val="000000"/>
                <w:szCs w:val="24"/>
              </w:rPr>
              <w:t xml:space="preserve">ridėtinė vertė gamybos sąnaudomis, sukurta MVĮ, tenkanti vienam darbuotojui“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D72F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</w:rPr>
              <w:t>Eur per metus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DD73" w14:textId="77777777" w:rsidR="002C494E" w:rsidRPr="007E2402" w:rsidRDefault="000E2CAC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412B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17 726</w:t>
            </w:r>
          </w:p>
        </w:tc>
      </w:tr>
      <w:tr w:rsidR="001F6F6A" w:rsidRPr="00564585" w:rsidDel="001F6F6A" w14:paraId="77DD611E" w14:textId="77777777" w:rsidTr="00B671CA">
        <w:trPr>
          <w:trHeight w:val="8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F916" w14:textId="0529405D" w:rsidR="001F6F6A" w:rsidRPr="007E2402" w:rsidDel="001F6F6A" w:rsidRDefault="001F6F6A" w:rsidP="00B671CA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 w:rsidRPr="007E2402">
              <w:rPr>
                <w:color w:val="000000"/>
                <w:szCs w:val="24"/>
                <w:lang w:eastAsia="lt-LT"/>
              </w:rPr>
              <w:lastRenderedPageBreak/>
              <w:t>R.N.</w:t>
            </w:r>
            <w:r w:rsidR="005129A3" w:rsidRPr="007E2402">
              <w:rPr>
                <w:color w:val="000000"/>
                <w:szCs w:val="24"/>
                <w:lang w:eastAsia="lt-LT"/>
              </w:rPr>
              <w:t>84</w:t>
            </w:r>
            <w:r w:rsidR="00573BF2" w:rsidRPr="007E2402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43C" w14:textId="79A4B2E5" w:rsidR="001F6F6A" w:rsidRPr="007E2402" w:rsidDel="001F6F6A" w:rsidRDefault="00254ADF" w:rsidP="00FB2489">
            <w:pPr>
              <w:rPr>
                <w:color w:val="000000"/>
                <w:szCs w:val="24"/>
              </w:rPr>
            </w:pPr>
            <w:r w:rsidRPr="007E2402">
              <w:rPr>
                <w:color w:val="000000"/>
                <w:szCs w:val="24"/>
              </w:rPr>
              <w:t>„</w:t>
            </w:r>
            <w:r w:rsidR="005129A3" w:rsidRPr="007E2402">
              <w:rPr>
                <w:color w:val="000000"/>
                <w:szCs w:val="24"/>
              </w:rPr>
              <w:t xml:space="preserve">Investicijas </w:t>
            </w:r>
            <w:r w:rsidR="001B30CA" w:rsidRPr="007E2402">
              <w:rPr>
                <w:color w:val="000000"/>
                <w:szCs w:val="24"/>
              </w:rPr>
              <w:t xml:space="preserve">gavusios įmonės </w:t>
            </w:r>
            <w:r w:rsidR="00FB2489" w:rsidRPr="007E2402">
              <w:rPr>
                <w:color w:val="000000"/>
                <w:szCs w:val="24"/>
              </w:rPr>
              <w:t>pajamų padidėjimas</w:t>
            </w:r>
            <w:r w:rsidRPr="007E2402">
              <w:rPr>
                <w:color w:val="000000"/>
                <w:szCs w:val="24"/>
              </w:rPr>
              <w:t>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A6F" w14:textId="561F6F72" w:rsidR="001F6F6A" w:rsidRPr="007E2402" w:rsidDel="001F6F6A" w:rsidRDefault="00E03CF6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Procentai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8BC" w14:textId="0F034900" w:rsidR="001F6F6A" w:rsidRPr="007E2402" w:rsidDel="001F6F6A" w:rsidRDefault="00E03CF6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17EA" w14:textId="62E1E598" w:rsidR="001F6F6A" w:rsidRPr="007E2402" w:rsidDel="001F6F6A" w:rsidRDefault="008D5010" w:rsidP="00747EF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20</w:t>
            </w:r>
          </w:p>
        </w:tc>
      </w:tr>
      <w:tr w:rsidR="002C494E" w:rsidRPr="007E2402" w14:paraId="4DB7DBA2" w14:textId="77777777" w:rsidTr="00B671CA">
        <w:trPr>
          <w:trHeight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22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130" w14:textId="77777777" w:rsidR="002C494E" w:rsidRPr="007E2402" w:rsidRDefault="002C494E" w:rsidP="00B671CA">
            <w:pPr>
              <w:rPr>
                <w:color w:val="000000"/>
                <w:szCs w:val="24"/>
              </w:rPr>
            </w:pPr>
            <w:r w:rsidRPr="007E2402">
              <w:rPr>
                <w:szCs w:val="24"/>
              </w:rPr>
              <w:t>„S</w:t>
            </w:r>
            <w:r w:rsidRPr="007E2402">
              <w:rPr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4799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Įmonės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877C" w14:textId="77777777" w:rsidR="002C494E" w:rsidRPr="007E2402" w:rsidRDefault="00197F14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DCA" w14:textId="458CFC08" w:rsidR="002C494E" w:rsidRPr="007E2402" w:rsidRDefault="003F4D38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1080</w:t>
            </w:r>
          </w:p>
        </w:tc>
      </w:tr>
      <w:tr w:rsidR="002C494E" w:rsidRPr="007E2402" w14:paraId="7B78CBBB" w14:textId="77777777" w:rsidTr="00B671CA">
        <w:trPr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A1C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color w:val="000000"/>
                <w:szCs w:val="24"/>
                <w:lang w:eastAsia="lt-LT"/>
              </w:rPr>
              <w:t>P.B.206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900" w14:textId="77777777" w:rsidR="002C494E" w:rsidRPr="007E2402" w:rsidRDefault="002C494E" w:rsidP="00B671CA">
            <w:pPr>
              <w:rPr>
                <w:color w:val="000000"/>
                <w:szCs w:val="24"/>
              </w:rPr>
            </w:pPr>
            <w:r w:rsidRPr="007E2402">
              <w:rPr>
                <w:szCs w:val="24"/>
              </w:rPr>
              <w:t>„P</w:t>
            </w:r>
            <w:r w:rsidRPr="007E2402">
              <w:rPr>
                <w:color w:val="000000"/>
                <w:szCs w:val="24"/>
              </w:rPr>
              <w:t>rivačios investicijos, atitinkančios viešąją paramą įmonėms (subsidijos)“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AA5" w14:textId="77777777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Eur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E3E" w14:textId="77777777" w:rsidR="002C494E" w:rsidRPr="007E2402" w:rsidRDefault="00197F14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553F" w14:textId="62E89E70" w:rsidR="003C2659" w:rsidRPr="007E2402" w:rsidRDefault="005C4332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E2402">
              <w:rPr>
                <w:szCs w:val="24"/>
                <w:lang w:eastAsia="lt-LT"/>
              </w:rPr>
              <w:t>3 000 000</w:t>
            </w:r>
          </w:p>
          <w:p w14:paraId="2BC9E592" w14:textId="4CADA51C" w:rsidR="002C494E" w:rsidRPr="007E2402" w:rsidRDefault="002C494E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</w:tr>
      <w:tr w:rsidR="009F62A5" w:rsidRPr="00255B7A" w14:paraId="2FEEADA8" w14:textId="77777777" w:rsidTr="00B671CA">
        <w:trPr>
          <w:trHeight w:val="39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C9A" w14:textId="71FF54A4" w:rsidR="00F427E1" w:rsidRPr="00255B7A" w:rsidRDefault="00F427E1" w:rsidP="00B11CD0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55B7A">
              <w:rPr>
                <w:szCs w:val="24"/>
                <w:lang w:eastAsia="lt-LT"/>
              </w:rPr>
              <w:t>P.N. 84</w:t>
            </w:r>
            <w:r w:rsidR="00B11CD0" w:rsidRPr="00255B7A">
              <w:rPr>
                <w:szCs w:val="24"/>
                <w:lang w:eastAsia="lt-LT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EC7" w14:textId="7D50484C" w:rsidR="005322C2" w:rsidRPr="00BD7C44" w:rsidRDefault="005322C2" w:rsidP="005322C2">
            <w:pPr>
              <w:contextualSpacing/>
              <w:jc w:val="both"/>
              <w:rPr>
                <w:szCs w:val="24"/>
              </w:rPr>
            </w:pPr>
            <w:r w:rsidRPr="009F62A5">
              <w:rPr>
                <w:szCs w:val="24"/>
              </w:rPr>
              <w:t>„</w:t>
            </w:r>
            <w:r w:rsidR="009A28EF" w:rsidRPr="00255B7A">
              <w:rPr>
                <w:szCs w:val="24"/>
              </w:rPr>
              <w:t xml:space="preserve">Investicijas gavusios įmonės </w:t>
            </w:r>
            <w:r w:rsidR="00384211" w:rsidRPr="00255B7A">
              <w:rPr>
                <w:szCs w:val="24"/>
              </w:rPr>
              <w:t xml:space="preserve">naujai </w:t>
            </w:r>
            <w:r w:rsidR="009A28EF" w:rsidRPr="00255B7A">
              <w:rPr>
                <w:szCs w:val="24"/>
              </w:rPr>
              <w:t>s</w:t>
            </w:r>
            <w:r w:rsidRPr="009F62A5">
              <w:rPr>
                <w:szCs w:val="24"/>
              </w:rPr>
              <w:t>ukurtos nuotolinės darbo vietos</w:t>
            </w:r>
            <w:r w:rsidRPr="00BD7C44">
              <w:rPr>
                <w:szCs w:val="24"/>
              </w:rPr>
              <w:t xml:space="preserve">“ </w:t>
            </w:r>
          </w:p>
          <w:p w14:paraId="2A8DDA92" w14:textId="77777777" w:rsidR="00F427E1" w:rsidRPr="00255B7A" w:rsidRDefault="00F427E1" w:rsidP="00B671CA">
            <w:pPr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8CD" w14:textId="4205DEEB" w:rsidR="00F427E1" w:rsidRPr="00255B7A" w:rsidRDefault="00830B42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55B7A">
              <w:rPr>
                <w:szCs w:val="24"/>
              </w:rPr>
              <w:t>Visos darbo dienos ekvivalentai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811" w14:textId="222F0B4A" w:rsidR="00F427E1" w:rsidRPr="00255B7A" w:rsidRDefault="005322C2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55B7A">
              <w:rPr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BD5" w14:textId="2340FF9D" w:rsidR="00F427E1" w:rsidRPr="009F62A5" w:rsidRDefault="00AC7668" w:rsidP="00B671CA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55B7A">
              <w:rPr>
                <w:szCs w:val="24"/>
                <w:lang w:eastAsia="lt-LT"/>
              </w:rPr>
              <w:t>3 240</w:t>
            </w:r>
          </w:p>
        </w:tc>
      </w:tr>
    </w:tbl>
    <w:p w14:paraId="642CBFE4" w14:textId="77777777" w:rsidR="002C494E" w:rsidRPr="007E2402" w:rsidRDefault="002C494E" w:rsidP="002C494E">
      <w:pPr>
        <w:tabs>
          <w:tab w:val="left" w:pos="0"/>
          <w:tab w:val="left" w:pos="851"/>
        </w:tabs>
        <w:jc w:val="both"/>
        <w:rPr>
          <w:bCs/>
          <w:szCs w:val="24"/>
          <w:lang w:eastAsia="lt-LT"/>
        </w:rPr>
      </w:pPr>
    </w:p>
    <w:p w14:paraId="23CA6A84" w14:textId="77777777" w:rsidR="002C494E" w:rsidRPr="007E2402" w:rsidRDefault="002C494E" w:rsidP="002C494E">
      <w:pPr>
        <w:tabs>
          <w:tab w:val="left" w:pos="0"/>
          <w:tab w:val="left" w:pos="851"/>
        </w:tabs>
        <w:ind w:left="709"/>
        <w:jc w:val="both"/>
        <w:rPr>
          <w:szCs w:val="24"/>
          <w:lang w:eastAsia="lt-LT"/>
        </w:rPr>
      </w:pPr>
      <w:r w:rsidRPr="007E2402">
        <w:rPr>
          <w:bCs/>
          <w:szCs w:val="24"/>
          <w:lang w:eastAsia="lt-LT"/>
        </w:rPr>
        <w:t>7. Priemonės finansavimo šaltiniai</w:t>
      </w:r>
      <w:r w:rsidRPr="007E2402">
        <w:rPr>
          <w:szCs w:val="24"/>
          <w:lang w:eastAsia="lt-LT"/>
        </w:rPr>
        <w:t xml:space="preserve"> </w:t>
      </w:r>
      <w:r w:rsidRPr="007E2402">
        <w:rPr>
          <w:szCs w:val="24"/>
          <w:lang w:eastAsia="lt-LT"/>
        </w:rPr>
        <w:tab/>
      </w:r>
      <w:r w:rsidRPr="007E2402">
        <w:rPr>
          <w:szCs w:val="24"/>
          <w:lang w:eastAsia="lt-LT"/>
        </w:rPr>
        <w:tab/>
      </w:r>
      <w:r w:rsidRPr="007E2402">
        <w:rPr>
          <w:szCs w:val="24"/>
          <w:lang w:eastAsia="lt-LT"/>
        </w:rPr>
        <w:tab/>
      </w:r>
    </w:p>
    <w:p w14:paraId="276517E1" w14:textId="77777777" w:rsidR="002C494E" w:rsidRPr="007E2402" w:rsidRDefault="002C494E" w:rsidP="002C494E">
      <w:pPr>
        <w:tabs>
          <w:tab w:val="left" w:pos="0"/>
          <w:tab w:val="left" w:pos="851"/>
        </w:tabs>
        <w:ind w:left="709" w:firstLine="8084"/>
        <w:jc w:val="both"/>
        <w:rPr>
          <w:szCs w:val="24"/>
          <w:lang w:eastAsia="lt-LT"/>
        </w:rPr>
      </w:pPr>
      <w:r w:rsidRPr="007E2402">
        <w:rPr>
          <w:szCs w:val="24"/>
          <w:lang w:eastAsia="lt-LT"/>
        </w:rPr>
        <w:t>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49"/>
        <w:gridCol w:w="1417"/>
        <w:gridCol w:w="29"/>
        <w:gridCol w:w="1389"/>
        <w:gridCol w:w="29"/>
        <w:gridCol w:w="1388"/>
        <w:gridCol w:w="29"/>
        <w:gridCol w:w="1247"/>
        <w:gridCol w:w="29"/>
        <w:gridCol w:w="992"/>
        <w:gridCol w:w="1559"/>
      </w:tblGrid>
      <w:tr w:rsidR="002C494E" w:rsidRPr="007E2402" w14:paraId="1708B67A" w14:textId="77777777" w:rsidTr="004F3233">
        <w:trPr>
          <w:trHeight w:val="464"/>
        </w:trPr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E8FA" w14:textId="77777777" w:rsidR="002C494E" w:rsidRPr="007E2402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E2402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1A6" w14:textId="77777777" w:rsidR="002C494E" w:rsidRPr="007E2402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E2402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2C494E" w:rsidRPr="0014017E" w14:paraId="224D0A06" w14:textId="77777777" w:rsidTr="004F3233">
        <w:trPr>
          <w:trHeight w:val="464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D3080" w14:textId="77777777" w:rsidR="002C494E" w:rsidRPr="0014017E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ES struktūrinių fondų</w:t>
            </w:r>
          </w:p>
          <w:p w14:paraId="604A7198" w14:textId="77777777" w:rsidR="002C494E" w:rsidRPr="0014017E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EEB" w14:textId="77777777" w:rsidR="002C494E" w:rsidRPr="0014017E" w:rsidRDefault="002C494E" w:rsidP="00B671CA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2C494E" w:rsidRPr="00564585" w14:paraId="73E3E6AC" w14:textId="77777777" w:rsidTr="004F3233">
        <w:trPr>
          <w:trHeight w:val="649"/>
        </w:trPr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65B0E" w14:textId="77777777" w:rsidR="002C494E" w:rsidRPr="00255B7A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D784" w14:textId="77777777" w:rsidR="002C494E" w:rsidRPr="00255B7A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BF9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28C6F64E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2C494E" w:rsidRPr="00564585" w14:paraId="7FE3CAFC" w14:textId="77777777" w:rsidTr="004F3233">
        <w:trPr>
          <w:trHeight w:val="558"/>
        </w:trPr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5A9C" w14:textId="77777777" w:rsidR="002C494E" w:rsidRPr="00255B7A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CB8C" w14:textId="77777777" w:rsidR="002C494E" w:rsidRPr="00255B7A" w:rsidRDefault="002C494E" w:rsidP="00B671CA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82A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F6D7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58F2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>Savival-dybės biudžeto</w:t>
            </w:r>
          </w:p>
          <w:p w14:paraId="14BCF04B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1F73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 xml:space="preserve">Kitos viešo-sios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4D14" w14:textId="77777777" w:rsidR="002C494E" w:rsidRPr="00255B7A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55B7A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2C494E" w:rsidRPr="00564585" w14:paraId="4ED62789" w14:textId="77777777" w:rsidTr="004F3233">
        <w:trPr>
          <w:trHeight w:val="255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13C4" w14:textId="77777777" w:rsidR="002C494E" w:rsidRPr="0014017E" w:rsidRDefault="002C494E" w:rsidP="00AB5DA0">
            <w:pPr>
              <w:tabs>
                <w:tab w:val="left" w:pos="0"/>
              </w:tabs>
              <w:ind w:firstLine="596"/>
              <w:jc w:val="both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  <w:r w:rsidR="00AB5DA0" w:rsidRPr="0014017E">
              <w:rPr>
                <w:szCs w:val="24"/>
                <w:lang w:eastAsia="lt-LT"/>
              </w:rPr>
              <w:t xml:space="preserve"> </w:t>
            </w:r>
            <w:r w:rsidR="00AB5DA0" w:rsidRPr="00564585">
              <w:rPr>
                <w:szCs w:val="24"/>
                <w:lang w:eastAsia="lt-LT"/>
              </w:rPr>
              <w:t>ir Ateities ekonomikos DNR plano veiksmams ir projektams įgyvendinti skiriamų lėšų</w:t>
            </w:r>
          </w:p>
        </w:tc>
      </w:tr>
      <w:tr w:rsidR="002C494E" w:rsidRPr="0014017E" w14:paraId="2ADDD6FF" w14:textId="77777777" w:rsidTr="004F3233">
        <w:trPr>
          <w:trHeight w:val="25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ABD" w14:textId="77777777" w:rsidR="002C494E" w:rsidRPr="0014017E" w:rsidRDefault="002C494E" w:rsidP="00B671C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195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C817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0594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D5D4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8C4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BFB3" w14:textId="77777777" w:rsidR="002C494E" w:rsidRPr="0014017E" w:rsidRDefault="002C494E" w:rsidP="001E2344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</w:p>
        </w:tc>
      </w:tr>
      <w:tr w:rsidR="002C494E" w:rsidRPr="0014017E" w14:paraId="29C402FE" w14:textId="77777777" w:rsidTr="004F3233">
        <w:trPr>
          <w:trHeight w:val="255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CB7C" w14:textId="77777777" w:rsidR="002C494E" w:rsidRPr="0014017E" w:rsidRDefault="002C494E" w:rsidP="00B671CA">
            <w:pPr>
              <w:tabs>
                <w:tab w:val="left" w:pos="0"/>
              </w:tabs>
              <w:ind w:firstLine="596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2C494E" w:rsidRPr="0014017E" w14:paraId="52816262" w14:textId="77777777" w:rsidTr="004F3233">
        <w:trPr>
          <w:trHeight w:val="25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892D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CB4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1CFD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E735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B92A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6316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333D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0</w:t>
            </w:r>
          </w:p>
        </w:tc>
      </w:tr>
      <w:tr w:rsidR="004F3233" w:rsidRPr="00D446CC" w14:paraId="74A3E062" w14:textId="77777777" w:rsidTr="004F3233">
        <w:trPr>
          <w:trHeight w:val="249"/>
        </w:trPr>
        <w:tc>
          <w:tcPr>
            <w:tcW w:w="9639" w:type="dxa"/>
            <w:gridSpan w:val="12"/>
            <w:vAlign w:val="center"/>
          </w:tcPr>
          <w:p w14:paraId="48A81E6C" w14:textId="77777777" w:rsidR="004F3233" w:rsidRPr="00D446CC" w:rsidRDefault="004F3233" w:rsidP="004F3233">
            <w:pPr>
              <w:tabs>
                <w:tab w:val="left" w:pos="0"/>
              </w:tabs>
              <w:ind w:firstLine="457"/>
              <w:rPr>
                <w:szCs w:val="24"/>
                <w:lang w:eastAsia="lt-LT"/>
              </w:rPr>
            </w:pPr>
            <w:r w:rsidRPr="00D446CC">
              <w:rPr>
                <w:szCs w:val="24"/>
                <w:lang w:eastAsia="lt-LT"/>
              </w:rPr>
              <w:t>2</w:t>
            </w:r>
            <w:r w:rsidRPr="00D446CC">
              <w:rPr>
                <w:szCs w:val="24"/>
                <w:vertAlign w:val="superscript"/>
                <w:lang w:eastAsia="lt-LT"/>
              </w:rPr>
              <w:t>1</w:t>
            </w:r>
            <w:r w:rsidRPr="00D446CC">
              <w:rPr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4F3233" w:rsidRPr="00D446CC" w14:paraId="5480B775" w14:textId="77777777" w:rsidTr="004F3233">
        <w:trPr>
          <w:trHeight w:val="249"/>
        </w:trPr>
        <w:tc>
          <w:tcPr>
            <w:tcW w:w="1531" w:type="dxa"/>
            <w:gridSpan w:val="2"/>
            <w:vAlign w:val="center"/>
          </w:tcPr>
          <w:p w14:paraId="4DE416EC" w14:textId="77777777" w:rsidR="004F3233" w:rsidRPr="00D446CC" w:rsidRDefault="004F3233" w:rsidP="004F323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D446CC">
              <w:rPr>
                <w:bCs/>
                <w:szCs w:val="24"/>
                <w:lang w:eastAsia="lt-LT"/>
              </w:rPr>
              <w:t>60 000 000</w:t>
            </w:r>
          </w:p>
        </w:tc>
        <w:tc>
          <w:tcPr>
            <w:tcW w:w="1446" w:type="dxa"/>
            <w:gridSpan w:val="2"/>
            <w:vAlign w:val="center"/>
          </w:tcPr>
          <w:p w14:paraId="4250375F" w14:textId="77777777" w:rsidR="004F3233" w:rsidRPr="00D446CC" w:rsidRDefault="004F3233" w:rsidP="004F323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D446CC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gridSpan w:val="2"/>
          </w:tcPr>
          <w:p w14:paraId="1A6916F9" w14:textId="77777777" w:rsidR="004F3233" w:rsidRPr="00D446CC" w:rsidRDefault="004F3233" w:rsidP="004F323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D446CC">
              <w:rPr>
                <w:szCs w:val="24"/>
                <w:lang w:eastAsia="lt-LT"/>
              </w:rPr>
              <w:t>3 000 000</w:t>
            </w:r>
          </w:p>
        </w:tc>
        <w:tc>
          <w:tcPr>
            <w:tcW w:w="1417" w:type="dxa"/>
            <w:gridSpan w:val="2"/>
            <w:vAlign w:val="center"/>
          </w:tcPr>
          <w:p w14:paraId="4CA311AB" w14:textId="77777777" w:rsidR="004F3233" w:rsidRPr="00D446CC" w:rsidRDefault="004F3233" w:rsidP="004F323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D446CC"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</w:tcPr>
          <w:p w14:paraId="26E9A457" w14:textId="77777777" w:rsidR="004F3233" w:rsidRPr="00D446CC" w:rsidRDefault="004F3233" w:rsidP="004F323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D446CC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vAlign w:val="center"/>
          </w:tcPr>
          <w:p w14:paraId="6C526190" w14:textId="77777777" w:rsidR="004F3233" w:rsidRPr="00D446CC" w:rsidRDefault="004F3233" w:rsidP="004F3233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D446CC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vAlign w:val="center"/>
          </w:tcPr>
          <w:p w14:paraId="2F75C7DA" w14:textId="77777777" w:rsidR="004F3233" w:rsidRPr="00D446CC" w:rsidRDefault="004F3233" w:rsidP="004F3233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D446CC">
              <w:rPr>
                <w:szCs w:val="24"/>
                <w:lang w:eastAsia="lt-LT"/>
              </w:rPr>
              <w:t>3 000 000</w:t>
            </w:r>
          </w:p>
        </w:tc>
      </w:tr>
      <w:tr w:rsidR="002C494E" w:rsidRPr="0014017E" w14:paraId="620DDCCD" w14:textId="77777777" w:rsidTr="004F3233">
        <w:trPr>
          <w:trHeight w:val="255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55C" w14:textId="77777777" w:rsidR="002C494E" w:rsidRPr="0014017E" w:rsidRDefault="002C494E" w:rsidP="00B671CA">
            <w:pPr>
              <w:tabs>
                <w:tab w:val="left" w:pos="0"/>
              </w:tabs>
              <w:ind w:firstLine="596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 xml:space="preserve">3. Iš viso </w:t>
            </w:r>
          </w:p>
        </w:tc>
      </w:tr>
      <w:tr w:rsidR="002C494E" w:rsidRPr="0014017E" w14:paraId="057F1FAB" w14:textId="77777777" w:rsidTr="004F3233">
        <w:trPr>
          <w:trHeight w:val="255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145" w14:textId="77777777" w:rsidR="002C494E" w:rsidRPr="0014017E" w:rsidRDefault="001E2344" w:rsidP="00B671CA">
            <w:pPr>
              <w:ind w:hanging="108"/>
              <w:jc w:val="center"/>
              <w:rPr>
                <w:color w:val="000000"/>
                <w:szCs w:val="24"/>
              </w:rPr>
            </w:pPr>
            <w:r w:rsidRPr="0014017E">
              <w:rPr>
                <w:bCs/>
                <w:color w:val="000000"/>
                <w:szCs w:val="24"/>
              </w:rPr>
              <w:t>60 000 000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D404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007" w14:textId="77777777" w:rsidR="002C494E" w:rsidRPr="0014017E" w:rsidRDefault="001E2344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3 000 000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7677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4017E">
              <w:rPr>
                <w:szCs w:val="24"/>
                <w:lang w:eastAsia="lt-LT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65E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C465" w14:textId="77777777" w:rsidR="002C494E" w:rsidRPr="0014017E" w:rsidRDefault="002C494E" w:rsidP="00B671CA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14017E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522" w14:textId="77777777" w:rsidR="002C494E" w:rsidRPr="0014017E" w:rsidRDefault="001E2344" w:rsidP="00B671CA">
            <w:pPr>
              <w:tabs>
                <w:tab w:val="left" w:pos="0"/>
              </w:tabs>
              <w:jc w:val="center"/>
              <w:rPr>
                <w:color w:val="000000"/>
                <w:szCs w:val="24"/>
              </w:rPr>
            </w:pPr>
            <w:r w:rsidRPr="0014017E">
              <w:rPr>
                <w:szCs w:val="24"/>
                <w:lang w:eastAsia="lt-LT"/>
              </w:rPr>
              <w:t>3 000 000</w:t>
            </w:r>
          </w:p>
        </w:tc>
      </w:tr>
    </w:tbl>
    <w:p w14:paraId="06E8170E" w14:textId="77777777" w:rsidR="001228DE" w:rsidRPr="00255B7A" w:rsidRDefault="001228DE">
      <w:pPr>
        <w:rPr>
          <w:szCs w:val="24"/>
        </w:rPr>
        <w:sectPr w:rsidR="001228DE" w:rsidRPr="00255B7A" w:rsidSect="001105D7">
          <w:headerReference w:type="default" r:id="rId7"/>
          <w:pgSz w:w="12240" w:h="15840"/>
          <w:pgMar w:top="1701" w:right="567" w:bottom="1134" w:left="1701" w:header="720" w:footer="720" w:gutter="0"/>
          <w:cols w:space="720"/>
          <w:titlePg/>
          <w:docGrid w:linePitch="360"/>
        </w:sectPr>
      </w:pP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21"/>
        <w:gridCol w:w="1534"/>
        <w:gridCol w:w="1159"/>
        <w:gridCol w:w="2977"/>
        <w:gridCol w:w="1559"/>
        <w:gridCol w:w="1559"/>
        <w:gridCol w:w="1418"/>
        <w:gridCol w:w="1276"/>
        <w:gridCol w:w="1133"/>
      </w:tblGrid>
      <w:tr w:rsidR="008D3964" w:rsidRPr="0014017E" w14:paraId="221F66C0" w14:textId="77777777" w:rsidTr="008D396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1BD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lastRenderedPageBreak/>
              <w:t>Eil. Nr.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CB8F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Rodiklio kodas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F602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Rodiklio pavadinimas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6207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Matavimo vienetai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35BF7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Sąvokų apibrėžtys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0021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Apskaičiavimo tipas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ACF5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Skaičiavimo būdas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0AF9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Duomenų šaltinis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AF61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 xml:space="preserve">Pasiekimo momentas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C334" w14:textId="77777777" w:rsidR="001228DE" w:rsidRPr="003F2773" w:rsidRDefault="001228DE" w:rsidP="00F368F2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3F2773">
              <w:rPr>
                <w:b/>
                <w:bCs/>
                <w:color w:val="000000"/>
                <w:sz w:val="20"/>
                <w:lang w:eastAsia="lt-LT"/>
              </w:rPr>
              <w:t>Institucija</w:t>
            </w:r>
          </w:p>
        </w:tc>
      </w:tr>
      <w:tr w:rsidR="008D3964" w:rsidRPr="0014017E" w14:paraId="2C8143B7" w14:textId="77777777" w:rsidTr="008D396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AD2" w14:textId="3156491C" w:rsidR="00293942" w:rsidRPr="003F2773" w:rsidRDefault="00AA4EE9" w:rsidP="00AA4EE9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color w:val="000000"/>
                <w:sz w:val="20"/>
                <w:lang w:eastAsia="lt-LT"/>
              </w:rPr>
              <w:t>„</w:t>
            </w:r>
            <w:r w:rsidR="00293942" w:rsidRPr="003F2773">
              <w:rPr>
                <w:color w:val="000000"/>
                <w:sz w:val="20"/>
                <w:lang w:eastAsia="lt-LT"/>
              </w:rPr>
              <w:t>10</w:t>
            </w:r>
            <w:r w:rsidRPr="003F2773">
              <w:rPr>
                <w:color w:val="000000"/>
                <w:sz w:val="20"/>
                <w:lang w:eastAsia="lt-LT"/>
              </w:rPr>
              <w:t>9</w:t>
            </w:r>
            <w:r w:rsidR="00293942" w:rsidRPr="003F2773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F050" w14:textId="47B73D25" w:rsidR="00293942" w:rsidRPr="003F2773" w:rsidRDefault="00293942" w:rsidP="00293942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color w:val="000000"/>
                <w:sz w:val="20"/>
                <w:lang w:eastAsia="lt-LT"/>
              </w:rPr>
              <w:t>R.N.842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057A" w14:textId="267983D5" w:rsidR="00293942" w:rsidRPr="003F2773" w:rsidRDefault="00293942" w:rsidP="008243C2">
            <w:pPr>
              <w:jc w:val="both"/>
              <w:rPr>
                <w:bCs/>
                <w:iCs/>
                <w:sz w:val="20"/>
              </w:rPr>
            </w:pPr>
            <w:r w:rsidRPr="003F2773">
              <w:rPr>
                <w:bCs/>
                <w:iCs/>
                <w:sz w:val="20"/>
              </w:rPr>
              <w:t>„</w:t>
            </w:r>
            <w:r w:rsidRPr="003F2773">
              <w:rPr>
                <w:color w:val="000000"/>
                <w:sz w:val="20"/>
              </w:rPr>
              <w:t>Investicijas gavusios įmonės</w:t>
            </w:r>
            <w:r w:rsidR="008D5010" w:rsidRPr="003F2773">
              <w:rPr>
                <w:color w:val="000000"/>
                <w:sz w:val="20"/>
              </w:rPr>
              <w:t xml:space="preserve"> </w:t>
            </w:r>
            <w:r w:rsidR="008243C2" w:rsidRPr="003F2773">
              <w:rPr>
                <w:color w:val="000000"/>
                <w:sz w:val="20"/>
              </w:rPr>
              <w:t>pajamų padidėjimas</w:t>
            </w:r>
            <w:r w:rsidRPr="003F2773">
              <w:rPr>
                <w:bCs/>
                <w:iCs/>
                <w:sz w:val="20"/>
              </w:rPr>
              <w:t>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000C" w14:textId="107BC475" w:rsidR="00293942" w:rsidRPr="003F2773" w:rsidRDefault="00293942" w:rsidP="00293942">
            <w:pPr>
              <w:jc w:val="both"/>
              <w:rPr>
                <w:bCs/>
                <w:iCs/>
                <w:sz w:val="20"/>
              </w:rPr>
            </w:pPr>
            <w:r w:rsidRPr="003F2773">
              <w:rPr>
                <w:sz w:val="20"/>
              </w:rPr>
              <w:t>Procentai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C8242" w14:textId="77777777" w:rsidR="00293942" w:rsidRPr="003F2773" w:rsidRDefault="00293942" w:rsidP="0029394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Investicijas gavusi įmonė – įmonė, gavusi bet kokios formos paramą iš Europos regioninės plėtros fondo.</w:t>
            </w:r>
          </w:p>
          <w:p w14:paraId="018E224E" w14:textId="77777777" w:rsidR="00293942" w:rsidRPr="003F2773" w:rsidRDefault="00293942" w:rsidP="00293942">
            <w:pPr>
              <w:jc w:val="both"/>
              <w:rPr>
                <w:sz w:val="20"/>
              </w:rPr>
            </w:pPr>
          </w:p>
          <w:p w14:paraId="7F63DCE4" w14:textId="77777777" w:rsidR="00293942" w:rsidRPr="003F2773" w:rsidRDefault="00293942" w:rsidP="0029394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Įmonė suprantama taip, kaip ji apibrėžta Smulkiojo ir vidutinio verslo plėtros įstatyme.</w:t>
            </w:r>
          </w:p>
          <w:p w14:paraId="351E262B" w14:textId="33B1DDA0" w:rsidR="00293942" w:rsidRPr="003F2773" w:rsidRDefault="00293942" w:rsidP="00293942">
            <w:pPr>
              <w:jc w:val="both"/>
              <w:rPr>
                <w:sz w:val="20"/>
              </w:rPr>
            </w:pPr>
          </w:p>
          <w:p w14:paraId="4990135F" w14:textId="4971B3CD" w:rsidR="0085532B" w:rsidRPr="003F2773" w:rsidRDefault="0085532B" w:rsidP="0029394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Pajamos –</w:t>
            </w:r>
            <w:r w:rsidRPr="003F2773">
              <w:rPr>
                <w:b/>
                <w:sz w:val="20"/>
              </w:rPr>
              <w:t xml:space="preserve"> </w:t>
            </w:r>
            <w:r w:rsidRPr="003F2773">
              <w:rPr>
                <w:sz w:val="20"/>
              </w:rPr>
              <w:t>ekonominės naudos padidėjimas dėl veiklų, tiesiogiai susijusių su įgyvendinamu projektu.</w:t>
            </w:r>
          </w:p>
          <w:p w14:paraId="3F95ECD3" w14:textId="31E44A88" w:rsidR="00293942" w:rsidRPr="003F2773" w:rsidRDefault="00293942" w:rsidP="00293942">
            <w:pPr>
              <w:jc w:val="both"/>
              <w:rPr>
                <w:sz w:val="20"/>
              </w:rPr>
            </w:pPr>
          </w:p>
          <w:p w14:paraId="5BB537BE" w14:textId="77777777" w:rsidR="0034293C" w:rsidRPr="003F2773" w:rsidRDefault="0034293C" w:rsidP="0034293C">
            <w:pPr>
              <w:jc w:val="both"/>
              <w:rPr>
                <w:bCs/>
                <w:sz w:val="20"/>
              </w:rPr>
            </w:pPr>
          </w:p>
          <w:p w14:paraId="25D44A4E" w14:textId="77777777" w:rsidR="00293942" w:rsidRPr="003F2773" w:rsidRDefault="00293942" w:rsidP="00293942">
            <w:pPr>
              <w:jc w:val="both"/>
              <w:rPr>
                <w:sz w:val="20"/>
                <w:lang w:eastAsia="lt-LT"/>
              </w:rPr>
            </w:pPr>
          </w:p>
          <w:p w14:paraId="150EE65B" w14:textId="58E5E670" w:rsidR="00293942" w:rsidRPr="003F2773" w:rsidRDefault="00293942" w:rsidP="00293942">
            <w:pPr>
              <w:jc w:val="both"/>
              <w:rPr>
                <w:i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E581" w14:textId="21D43389" w:rsidR="00293942" w:rsidRPr="003F2773" w:rsidRDefault="00293942" w:rsidP="00293942">
            <w:pPr>
              <w:jc w:val="both"/>
              <w:rPr>
                <w:iCs/>
                <w:sz w:val="20"/>
              </w:rPr>
            </w:pPr>
            <w:r w:rsidRPr="003F2773">
              <w:rPr>
                <w:sz w:val="20"/>
              </w:rPr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2F8D" w14:textId="77777777" w:rsidR="0085532B" w:rsidRPr="003F2773" w:rsidRDefault="0085532B" w:rsidP="0085532B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sz w:val="20"/>
              </w:rPr>
              <w:t>Investicijas gavusios</w:t>
            </w:r>
            <w:r w:rsidRPr="003F2773">
              <w:rPr>
                <w:color w:val="000000"/>
                <w:sz w:val="20"/>
              </w:rPr>
              <w:t xml:space="preserve"> įmonės pajamų padidėjimas skaičiuojamas pagal formulę:</w:t>
            </w:r>
          </w:p>
          <w:p w14:paraId="560A303A" w14:textId="26048430" w:rsidR="0085532B" w:rsidRPr="003F2773" w:rsidRDefault="0085532B" w:rsidP="0085532B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F=P/B*100 proc.,</w:t>
            </w:r>
            <w:r w:rsidRPr="003F2773">
              <w:rPr>
                <w:color w:val="000000"/>
                <w:sz w:val="20"/>
              </w:rPr>
              <w:t xml:space="preserve"> </w:t>
            </w:r>
            <w:r w:rsidRPr="003F2773">
              <w:rPr>
                <w:sz w:val="20"/>
              </w:rPr>
              <w:t xml:space="preserve">kur: </w:t>
            </w:r>
          </w:p>
          <w:p w14:paraId="5FE91296" w14:textId="77777777" w:rsidR="0085532B" w:rsidRPr="003F2773" w:rsidRDefault="0085532B" w:rsidP="0085532B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F – investicijas gavusios</w:t>
            </w:r>
            <w:r w:rsidRPr="003F2773">
              <w:rPr>
                <w:color w:val="000000"/>
                <w:sz w:val="20"/>
              </w:rPr>
              <w:t xml:space="preserve"> įmonės pajamų padidėjimas </w:t>
            </w:r>
            <w:r w:rsidRPr="003F2773">
              <w:rPr>
                <w:sz w:val="20"/>
              </w:rPr>
              <w:t>procentais;</w:t>
            </w:r>
          </w:p>
          <w:p w14:paraId="0B7AE574" w14:textId="0A54343A" w:rsidR="0085532B" w:rsidRPr="003F2773" w:rsidRDefault="0085532B" w:rsidP="0085532B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P – rodiklis R.N.842-2;</w:t>
            </w:r>
          </w:p>
          <w:p w14:paraId="04C14845" w14:textId="1E35DF5C" w:rsidR="0085532B" w:rsidRPr="003F2773" w:rsidRDefault="0085532B" w:rsidP="0085532B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B – rodiklis R.N.842-1.</w:t>
            </w:r>
          </w:p>
          <w:p w14:paraId="5FDAE49C" w14:textId="77777777" w:rsidR="0085532B" w:rsidRPr="003F2773" w:rsidRDefault="0085532B" w:rsidP="00293942">
            <w:pPr>
              <w:jc w:val="both"/>
              <w:rPr>
                <w:sz w:val="20"/>
              </w:rPr>
            </w:pPr>
          </w:p>
          <w:p w14:paraId="7F1C8BC2" w14:textId="4415D614" w:rsidR="00293942" w:rsidRPr="003F2773" w:rsidRDefault="00293942" w:rsidP="00293942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8219" w14:textId="1EC3448B" w:rsidR="00293942" w:rsidRPr="003F2773" w:rsidRDefault="00C20ED9" w:rsidP="00293942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>Pirminiai šaltiniai: projekto vykdytojo finansinės atskaitomybės dokumentai, pajamų pažymos ar kiti pajamų rodiklį fiksuojantys dokumentai.</w:t>
            </w:r>
            <w:r w:rsidRPr="003F2773">
              <w:rPr>
                <w:color w:val="000000"/>
                <w:sz w:val="20"/>
              </w:rPr>
              <w:br/>
            </w:r>
            <w:r w:rsidRPr="003F2773">
              <w:rPr>
                <w:color w:val="000000"/>
                <w:sz w:val="20"/>
              </w:rPr>
              <w:br/>
            </w:r>
            <w:r w:rsidR="00293942" w:rsidRPr="003F2773">
              <w:rPr>
                <w:color w:val="000000"/>
                <w:sz w:val="20"/>
              </w:rPr>
              <w:t>Antriniai šaltiniai:, ataskaita po projekto finansavimo pabaigos.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ACDB" w14:textId="6DBAA5AE" w:rsidR="00293942" w:rsidRPr="003F2773" w:rsidRDefault="00293942" w:rsidP="00074BDD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sz w:val="20"/>
              </w:rPr>
              <w:t>Stebėsenos rodiklis laikomas pasiektu,</w:t>
            </w:r>
            <w:r w:rsidR="00074BDD" w:rsidRPr="003F2773">
              <w:rPr>
                <w:sz w:val="20"/>
              </w:rPr>
              <w:t xml:space="preserve"> </w:t>
            </w:r>
            <w:r w:rsidR="00074BDD" w:rsidRPr="003F2773">
              <w:rPr>
                <w:color w:val="000000"/>
                <w:sz w:val="20"/>
              </w:rPr>
              <w:t>kai pateikiami finansinės atskaitomybės dokumentai, pažymos ir kiti dokumentai, patvirtinantys per 1 metus po projekto finansavimo pabaigos pasiektą stebėsenos rodiklio reikšmę.</w:t>
            </w:r>
            <w:r w:rsidRPr="003F2773"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3B1A" w14:textId="2C72E94A" w:rsidR="00293942" w:rsidRPr="003F2773" w:rsidRDefault="00293942" w:rsidP="004E0DC6">
            <w:pPr>
              <w:jc w:val="both"/>
              <w:rPr>
                <w:sz w:val="20"/>
                <w:lang w:eastAsia="lt-LT"/>
              </w:rPr>
            </w:pPr>
            <w:r w:rsidRPr="003F2773">
              <w:rPr>
                <w:sz w:val="20"/>
                <w:lang w:eastAsia="lt-LT"/>
              </w:rPr>
              <w:t xml:space="preserve">Už stebėsenos rodiklio pasiekimą ir duomenų </w:t>
            </w:r>
            <w:r w:rsidRPr="003F2773">
              <w:rPr>
                <w:iCs/>
                <w:sz w:val="20"/>
                <w:lang w:eastAsia="lt-LT"/>
              </w:rPr>
              <w:t xml:space="preserve">apie pasiektą stebėsenos rodiklio reikšmę </w:t>
            </w:r>
            <w:r w:rsidRPr="003F2773">
              <w:rPr>
                <w:sz w:val="20"/>
                <w:lang w:eastAsia="lt-LT"/>
              </w:rPr>
              <w:t>teikimą yra atsakingas projekto vykdytojas.</w:t>
            </w:r>
          </w:p>
        </w:tc>
      </w:tr>
      <w:tr w:rsidR="008D3964" w:rsidRPr="00564585" w14:paraId="643F0849" w14:textId="77777777" w:rsidTr="008D396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50FD" w14:textId="018EB191" w:rsidR="00A179F2" w:rsidRPr="003F2773" w:rsidRDefault="00AA4EE9" w:rsidP="00A179F2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sz w:val="20"/>
              </w:rPr>
              <w:t>110</w:t>
            </w:r>
            <w:r w:rsidR="00A179F2" w:rsidRPr="003F2773">
              <w:rPr>
                <w:sz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CE35" w14:textId="3D25B910" w:rsidR="00A179F2" w:rsidRPr="003F2773" w:rsidRDefault="00A179F2" w:rsidP="00A179F2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sz w:val="20"/>
              </w:rPr>
              <w:t>R.N.842-1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59C1" w14:textId="77777777" w:rsidR="00A179F2" w:rsidRPr="003F2773" w:rsidRDefault="00A179F2" w:rsidP="00A179F2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B </w:t>
            </w:r>
            <w:r w:rsidRPr="003F2773">
              <w:rPr>
                <w:sz w:val="20"/>
              </w:rPr>
              <w:t>– b</w:t>
            </w:r>
            <w:r w:rsidRPr="003F2773">
              <w:rPr>
                <w:color w:val="000000"/>
                <w:sz w:val="20"/>
              </w:rPr>
              <w:t>azinis rezultato rodiklis (fiksuotasis):</w:t>
            </w:r>
          </w:p>
          <w:p w14:paraId="0F9DFF15" w14:textId="77777777" w:rsidR="00A179F2" w:rsidRPr="003F2773" w:rsidRDefault="00A179F2" w:rsidP="00A179F2">
            <w:pPr>
              <w:jc w:val="both"/>
              <w:rPr>
                <w:color w:val="000000"/>
                <w:sz w:val="20"/>
              </w:rPr>
            </w:pPr>
          </w:p>
          <w:p w14:paraId="3B4F846C" w14:textId="77777777" w:rsidR="00A179F2" w:rsidRPr="003F2773" w:rsidRDefault="00A179F2" w:rsidP="00A179F2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„Įmonės, dalyvausiančios </w:t>
            </w:r>
          </w:p>
          <w:p w14:paraId="7497FB1F" w14:textId="77777777" w:rsidR="00A179F2" w:rsidRPr="003F2773" w:rsidRDefault="00A179F2" w:rsidP="00A179F2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>projekto veiklose, pajamos paraiškos pateikimo metais“</w:t>
            </w:r>
          </w:p>
          <w:p w14:paraId="6237E76E" w14:textId="77777777" w:rsidR="00A179F2" w:rsidRPr="003F2773" w:rsidRDefault="00A179F2" w:rsidP="00A179F2">
            <w:pPr>
              <w:jc w:val="both"/>
              <w:rPr>
                <w:sz w:val="20"/>
              </w:rPr>
            </w:pPr>
          </w:p>
          <w:p w14:paraId="0EB587FF" w14:textId="55DF9CDC" w:rsidR="00A179F2" w:rsidRPr="003F2773" w:rsidRDefault="00A179F2" w:rsidP="00A179F2">
            <w:pPr>
              <w:jc w:val="both"/>
              <w:rPr>
                <w:bCs/>
                <w:iCs/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F2B6" w14:textId="7BC1324F" w:rsidR="00A179F2" w:rsidRPr="003F2773" w:rsidRDefault="00A179F2" w:rsidP="00A179F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Eurai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E6D6D" w14:textId="77777777" w:rsidR="00A179F2" w:rsidRPr="003F2773" w:rsidRDefault="00A179F2" w:rsidP="00A179F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Rodiklio reikšmė įtraukiama į projekto finansavimo ir administravimo sutartį. Šis rodiklis yra pagalbinis, siekiant atsiskaityti už rezultato rodiklį „Investicijas gavusios įmonės pajamų padidėjimas“.</w:t>
            </w:r>
          </w:p>
          <w:p w14:paraId="55222F58" w14:textId="62356156" w:rsidR="00A179F2" w:rsidRPr="003F2773" w:rsidRDefault="00A179F2" w:rsidP="00A179F2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2D25" w14:textId="5439A569" w:rsidR="00A179F2" w:rsidRPr="003F2773" w:rsidRDefault="00A179F2" w:rsidP="00A179F2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A6AD" w14:textId="267F261E" w:rsidR="00A179F2" w:rsidRPr="003F2773" w:rsidRDefault="00A179F2" w:rsidP="000006E9">
            <w:pPr>
              <w:jc w:val="both"/>
              <w:rPr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Nurodomos įmonės pajamos paraiškos pateikimo metais (pagal su paraiška pateiktų </w:t>
            </w:r>
            <w:r w:rsidR="007C1903" w:rsidRPr="003F2773">
              <w:rPr>
                <w:color w:val="000000"/>
                <w:sz w:val="20"/>
              </w:rPr>
              <w:t xml:space="preserve">paraiškos pateikimo metų </w:t>
            </w:r>
            <w:r w:rsidRPr="003F2773">
              <w:rPr>
                <w:color w:val="000000"/>
                <w:sz w:val="20"/>
              </w:rPr>
              <w:t>finansinės atskaitomybės dokumentų duomenis</w:t>
            </w:r>
            <w:r w:rsidR="00255B7A">
              <w:rPr>
                <w:color w:val="000000"/>
                <w:sz w:val="20"/>
              </w:rPr>
              <w:t>)</w:t>
            </w:r>
            <w:r w:rsidRPr="003F2773"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2A91" w14:textId="77777777" w:rsidR="00A179F2" w:rsidRPr="003F2773" w:rsidRDefault="00A179F2" w:rsidP="00A179F2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CFEB" w14:textId="77777777" w:rsidR="00A179F2" w:rsidRPr="003F2773" w:rsidRDefault="00A179F2" w:rsidP="00A179F2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6301" w14:textId="77777777" w:rsidR="00A179F2" w:rsidRPr="003F2773" w:rsidRDefault="00A179F2" w:rsidP="00A179F2">
            <w:pPr>
              <w:jc w:val="both"/>
              <w:rPr>
                <w:sz w:val="20"/>
                <w:lang w:eastAsia="lt-LT"/>
              </w:rPr>
            </w:pPr>
          </w:p>
        </w:tc>
      </w:tr>
      <w:tr w:rsidR="008D3964" w:rsidRPr="00564585" w14:paraId="666FA8CD" w14:textId="77777777" w:rsidTr="008D396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635" w14:textId="25860009" w:rsidR="007D6CEC" w:rsidRPr="003F2773" w:rsidRDefault="00AA4EE9" w:rsidP="007D6CEC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sz w:val="20"/>
              </w:rPr>
              <w:t>111</w:t>
            </w:r>
            <w:r w:rsidR="007D6CEC" w:rsidRPr="003F2773">
              <w:rPr>
                <w:sz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2654" w14:textId="3EDEEC5B" w:rsidR="007D6CEC" w:rsidRPr="003F2773" w:rsidRDefault="007D6CEC" w:rsidP="007D6CEC">
            <w:pPr>
              <w:jc w:val="both"/>
              <w:rPr>
                <w:color w:val="000000"/>
                <w:sz w:val="20"/>
                <w:lang w:eastAsia="lt-LT"/>
              </w:rPr>
            </w:pPr>
            <w:r w:rsidRPr="003F2773">
              <w:rPr>
                <w:sz w:val="20"/>
              </w:rPr>
              <w:t>R.N.842-2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F47B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P </w:t>
            </w:r>
            <w:r w:rsidRPr="003F2773">
              <w:rPr>
                <w:sz w:val="20"/>
              </w:rPr>
              <w:t>– p</w:t>
            </w:r>
            <w:r w:rsidRPr="003F2773">
              <w:rPr>
                <w:color w:val="000000"/>
                <w:sz w:val="20"/>
              </w:rPr>
              <w:t>okyčio rezultato rodiklis (kintamasis):</w:t>
            </w:r>
          </w:p>
          <w:p w14:paraId="5ADDF570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</w:p>
          <w:p w14:paraId="101DBE6E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lastRenderedPageBreak/>
              <w:t xml:space="preserve">„Įmonės, dalyvavusios </w:t>
            </w:r>
          </w:p>
          <w:p w14:paraId="40AD2B66" w14:textId="705F6184" w:rsidR="007D6CEC" w:rsidRPr="003F2773" w:rsidRDefault="007D6CEC" w:rsidP="007D6CEC">
            <w:pPr>
              <w:jc w:val="both"/>
              <w:rPr>
                <w:bCs/>
                <w:iCs/>
                <w:sz w:val="20"/>
              </w:rPr>
            </w:pPr>
            <w:r w:rsidRPr="003F2773">
              <w:rPr>
                <w:color w:val="000000"/>
                <w:sz w:val="20"/>
              </w:rPr>
              <w:t>projekto veiklose, pajamų pokytis“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BB73" w14:textId="535A6A6B" w:rsidR="007D6CEC" w:rsidRPr="003F2773" w:rsidRDefault="007D6CEC" w:rsidP="007D6CEC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lastRenderedPageBreak/>
              <w:t>Eurai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20AFC" w14:textId="3D5771A7" w:rsidR="007D6CEC" w:rsidRPr="003F2773" w:rsidRDefault="007D6CEC" w:rsidP="007D6CEC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t xml:space="preserve">Planuojama (per 1 metus po projekto finansavimo pabaigos) rodiklio reikšmė įtraukiama į projekto finansavimo ir administravimo sutartį. Šis </w:t>
            </w:r>
            <w:r w:rsidRPr="003F2773">
              <w:rPr>
                <w:sz w:val="20"/>
              </w:rPr>
              <w:lastRenderedPageBreak/>
              <w:t>rodiklis yra pagalbinis, siekiant atsiskaityti už rezultato rodiklį „Investicijas gavusios įmonės pajamų padidėjimas“.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4814" w14:textId="20C1CF37" w:rsidR="007D6CEC" w:rsidRPr="003F2773" w:rsidRDefault="007D6CEC" w:rsidP="007D6CEC">
            <w:pPr>
              <w:jc w:val="both"/>
              <w:rPr>
                <w:sz w:val="20"/>
              </w:rPr>
            </w:pPr>
            <w:r w:rsidRPr="003F2773">
              <w:rPr>
                <w:sz w:val="20"/>
              </w:rPr>
              <w:lastRenderedPageBreak/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91AD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Nurodomas įmonės, </w:t>
            </w:r>
          </w:p>
          <w:p w14:paraId="6FD7636D" w14:textId="77777777" w:rsidR="007D6CEC" w:rsidRPr="003F2773" w:rsidRDefault="007D6CEC" w:rsidP="007D6CEC">
            <w:pPr>
              <w:jc w:val="both"/>
              <w:rPr>
                <w:color w:val="000000"/>
                <w:sz w:val="20"/>
              </w:rPr>
            </w:pPr>
            <w:r w:rsidRPr="003F2773">
              <w:rPr>
                <w:color w:val="000000"/>
                <w:sz w:val="20"/>
              </w:rPr>
              <w:t xml:space="preserve">dalyvavusios projekto </w:t>
            </w:r>
          </w:p>
          <w:p w14:paraId="15C5FBA3" w14:textId="30009454" w:rsidR="007D6CEC" w:rsidRPr="003F2773" w:rsidRDefault="007D6CEC" w:rsidP="006C7872">
            <w:pPr>
              <w:jc w:val="both"/>
              <w:rPr>
                <w:sz w:val="20"/>
              </w:rPr>
            </w:pPr>
            <w:r w:rsidRPr="003F2773">
              <w:rPr>
                <w:color w:val="000000"/>
                <w:sz w:val="20"/>
              </w:rPr>
              <w:lastRenderedPageBreak/>
              <w:t xml:space="preserve">veiklose, pajamų pokytis, kuris apskaičiuojamas kaip skirtumas tarp pajamų per 1 metus po projekto </w:t>
            </w:r>
            <w:r w:rsidR="006C7872" w:rsidRPr="003F2773">
              <w:rPr>
                <w:color w:val="000000"/>
                <w:sz w:val="20"/>
              </w:rPr>
              <w:t>finansavimo</w:t>
            </w:r>
            <w:r w:rsidRPr="003F2773">
              <w:rPr>
                <w:color w:val="000000"/>
                <w:sz w:val="20"/>
              </w:rPr>
              <w:t>pabaigos ir pajamų paraiškos pateikimo metais.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63EB" w14:textId="77777777" w:rsidR="007D6CEC" w:rsidRPr="003F2773" w:rsidRDefault="007D6CEC" w:rsidP="007D6CE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280F" w14:textId="77777777" w:rsidR="007D6CEC" w:rsidRPr="003F2773" w:rsidRDefault="007D6CEC" w:rsidP="007D6CEC">
            <w:pPr>
              <w:jc w:val="bot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7A54" w14:textId="77777777" w:rsidR="007D6CEC" w:rsidRPr="003F2773" w:rsidRDefault="007D6CEC" w:rsidP="007D6CEC">
            <w:pPr>
              <w:jc w:val="both"/>
              <w:rPr>
                <w:sz w:val="20"/>
                <w:lang w:eastAsia="lt-LT"/>
              </w:rPr>
            </w:pPr>
          </w:p>
        </w:tc>
      </w:tr>
      <w:tr w:rsidR="008D3964" w:rsidRPr="00564585" w14:paraId="44D57480" w14:textId="77777777" w:rsidTr="008D396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7750" w14:textId="6145B01E" w:rsidR="00B11CD0" w:rsidRPr="009D051B" w:rsidRDefault="00B11CD0" w:rsidP="00B11CD0">
            <w:pPr>
              <w:jc w:val="both"/>
              <w:rPr>
                <w:sz w:val="20"/>
              </w:rPr>
            </w:pPr>
            <w:r w:rsidRPr="009D051B">
              <w:rPr>
                <w:sz w:val="20"/>
              </w:rPr>
              <w:t>112.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E10C" w14:textId="02F69DDB" w:rsidR="00B11CD0" w:rsidRPr="0014017E" w:rsidRDefault="00B11CD0" w:rsidP="00B11CD0">
            <w:pPr>
              <w:jc w:val="both"/>
              <w:rPr>
                <w:szCs w:val="24"/>
              </w:rPr>
            </w:pPr>
            <w:r>
              <w:rPr>
                <w:color w:val="000000"/>
                <w:sz w:val="20"/>
              </w:rPr>
              <w:t>P.N.847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70E9" w14:textId="350FA623" w:rsidR="00B11CD0" w:rsidRPr="0014017E" w:rsidRDefault="00B11CD0" w:rsidP="000C4470">
            <w:pPr>
              <w:jc w:val="both"/>
              <w:rPr>
                <w:color w:val="000000"/>
                <w:szCs w:val="24"/>
              </w:rPr>
            </w:pPr>
            <w:r w:rsidRPr="00D446CC">
              <w:rPr>
                <w:iCs/>
                <w:sz w:val="20"/>
                <w:lang w:eastAsia="lt-LT"/>
              </w:rPr>
              <w:t>„</w:t>
            </w:r>
            <w:r w:rsidR="009F088A">
              <w:rPr>
                <w:iCs/>
                <w:sz w:val="20"/>
                <w:lang w:eastAsia="lt-LT"/>
              </w:rPr>
              <w:t>Investicijas gavusios įmonės</w:t>
            </w:r>
            <w:r w:rsidR="000C4470">
              <w:rPr>
                <w:iCs/>
                <w:sz w:val="20"/>
                <w:lang w:eastAsia="lt-LT"/>
              </w:rPr>
              <w:t xml:space="preserve"> naujai</w:t>
            </w:r>
            <w:r w:rsidR="009F088A">
              <w:rPr>
                <w:iCs/>
                <w:sz w:val="20"/>
                <w:lang w:eastAsia="lt-LT"/>
              </w:rPr>
              <w:t xml:space="preserve"> s</w:t>
            </w:r>
            <w:r w:rsidR="00D446CC" w:rsidRPr="00D446CC">
              <w:rPr>
                <w:iCs/>
                <w:sz w:val="20"/>
                <w:lang w:eastAsia="lt-LT"/>
              </w:rPr>
              <w:t>u</w:t>
            </w:r>
            <w:r w:rsidR="000C4470">
              <w:rPr>
                <w:iCs/>
                <w:sz w:val="20"/>
                <w:lang w:eastAsia="lt-LT"/>
              </w:rPr>
              <w:t>kurtos</w:t>
            </w:r>
            <w:r w:rsidR="00D446CC" w:rsidRPr="00D446CC">
              <w:rPr>
                <w:iCs/>
                <w:sz w:val="20"/>
                <w:lang w:eastAsia="lt-LT"/>
              </w:rPr>
              <w:t xml:space="preserve"> nuotolinės darbo vietos“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7588" w14:textId="02F4B18B" w:rsidR="00B11CD0" w:rsidRPr="0014017E" w:rsidRDefault="000F75A6" w:rsidP="00B11CD0">
            <w:pPr>
              <w:jc w:val="both"/>
              <w:rPr>
                <w:szCs w:val="24"/>
              </w:rPr>
            </w:pPr>
            <w:r w:rsidRPr="000F75A6">
              <w:rPr>
                <w:iCs/>
                <w:sz w:val="20"/>
                <w:lang w:eastAsia="lt-LT"/>
              </w:rPr>
              <w:t>Visos darbo dienos ekvivalentai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2D187" w14:textId="77777777" w:rsidR="00170A55" w:rsidRDefault="000F75A6" w:rsidP="00B11CD0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Nuotolinė d</w:t>
            </w:r>
            <w:r w:rsidR="00B11CD0">
              <w:rPr>
                <w:iCs/>
                <w:sz w:val="20"/>
                <w:lang w:eastAsia="lt-LT"/>
              </w:rPr>
              <w:t xml:space="preserve">arbo vieta – investicijas gavusios įmonės veiklai vykdyti naujai sukurta </w:t>
            </w:r>
            <w:r w:rsidR="008E327D">
              <w:rPr>
                <w:iCs/>
                <w:sz w:val="20"/>
                <w:lang w:eastAsia="lt-LT"/>
              </w:rPr>
              <w:t xml:space="preserve">nuotolinė </w:t>
            </w:r>
            <w:r w:rsidR="00B11CD0">
              <w:rPr>
                <w:iCs/>
                <w:sz w:val="20"/>
                <w:lang w:eastAsia="lt-LT"/>
              </w:rPr>
              <w:t>darbo vieta</w:t>
            </w:r>
            <w:r w:rsidR="00170A55">
              <w:rPr>
                <w:iCs/>
                <w:sz w:val="20"/>
                <w:lang w:eastAsia="lt-LT"/>
              </w:rPr>
              <w:t>, suteikianti galimybę įmonės darbuotojams dirbti nuotoliniu būdu</w:t>
            </w:r>
            <w:r w:rsidR="00B11CD0">
              <w:rPr>
                <w:iCs/>
                <w:sz w:val="20"/>
                <w:lang w:eastAsia="lt-LT"/>
              </w:rPr>
              <w:t xml:space="preserve">. </w:t>
            </w:r>
          </w:p>
          <w:p w14:paraId="111A6E76" w14:textId="77777777" w:rsidR="00170A55" w:rsidRDefault="00170A55" w:rsidP="00B11CD0">
            <w:pPr>
              <w:jc w:val="both"/>
              <w:rPr>
                <w:iCs/>
                <w:sz w:val="20"/>
                <w:lang w:eastAsia="lt-LT"/>
              </w:rPr>
            </w:pPr>
          </w:p>
          <w:p w14:paraId="0D947BF7" w14:textId="170DF122" w:rsidR="00C35FB3" w:rsidRDefault="00B11CD0" w:rsidP="00B11CD0">
            <w:pPr>
              <w:jc w:val="both"/>
              <w:rPr>
                <w:rStyle w:val="CommentReference"/>
              </w:rPr>
            </w:pPr>
            <w:r w:rsidRPr="00170A55">
              <w:rPr>
                <w:iCs/>
                <w:sz w:val="20"/>
                <w:lang w:eastAsia="lt-LT"/>
              </w:rPr>
              <w:t xml:space="preserve">Neįskaičiuojamos vien tik projekto veikloms vykdyti naujai sukurtos </w:t>
            </w:r>
            <w:r w:rsidR="00170A55">
              <w:rPr>
                <w:iCs/>
                <w:sz w:val="20"/>
                <w:lang w:eastAsia="lt-LT"/>
              </w:rPr>
              <w:t xml:space="preserve">nuotolinės </w:t>
            </w:r>
            <w:r w:rsidRPr="00170A55">
              <w:rPr>
                <w:iCs/>
                <w:sz w:val="20"/>
                <w:lang w:eastAsia="lt-LT"/>
              </w:rPr>
              <w:t>darbo vietos.</w:t>
            </w:r>
            <w:r>
              <w:rPr>
                <w:iCs/>
                <w:sz w:val="20"/>
                <w:lang w:eastAsia="lt-LT"/>
              </w:rPr>
              <w:t xml:space="preserve"> </w:t>
            </w:r>
          </w:p>
          <w:p w14:paraId="6D807098" w14:textId="77777777" w:rsidR="00C35FB3" w:rsidRDefault="00C35FB3" w:rsidP="00B11CD0">
            <w:pPr>
              <w:jc w:val="both"/>
              <w:rPr>
                <w:rStyle w:val="CommentReference"/>
              </w:rPr>
            </w:pPr>
          </w:p>
          <w:p w14:paraId="09884582" w14:textId="6DFD53D5" w:rsidR="00C35FB3" w:rsidRDefault="00D347E0" w:rsidP="00B11CD0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Nuotolinės d</w:t>
            </w:r>
            <w:r w:rsidR="00B11CD0">
              <w:rPr>
                <w:iCs/>
                <w:sz w:val="20"/>
                <w:lang w:eastAsia="lt-LT"/>
              </w:rPr>
              <w:t>arbo vietos turi būti užimtos (neužimtos darbo vietos nėra skaičiuojamos).</w:t>
            </w:r>
            <w:r w:rsidR="008F23C4">
              <w:rPr>
                <w:iCs/>
                <w:sz w:val="20"/>
                <w:lang w:eastAsia="lt-LT"/>
              </w:rPr>
              <w:t xml:space="preserve"> </w:t>
            </w:r>
          </w:p>
          <w:p w14:paraId="027870AA" w14:textId="77777777" w:rsidR="00C35FB3" w:rsidRDefault="00C35FB3" w:rsidP="00B11CD0">
            <w:pPr>
              <w:jc w:val="both"/>
              <w:rPr>
                <w:iCs/>
                <w:sz w:val="20"/>
                <w:lang w:eastAsia="lt-LT"/>
              </w:rPr>
            </w:pPr>
          </w:p>
          <w:p w14:paraId="67F4DF06" w14:textId="31FAC423" w:rsidR="00B11CD0" w:rsidRDefault="00D347E0" w:rsidP="00B11CD0">
            <w:pPr>
              <w:jc w:val="both"/>
              <w:rPr>
                <w:color w:val="000000"/>
                <w:sz w:val="20"/>
              </w:rPr>
            </w:pPr>
            <w:r>
              <w:rPr>
                <w:iCs/>
                <w:sz w:val="20"/>
                <w:lang w:eastAsia="lt-LT"/>
              </w:rPr>
              <w:t>Nuotolinės d</w:t>
            </w:r>
            <w:r w:rsidR="008F23C4">
              <w:rPr>
                <w:iCs/>
                <w:sz w:val="20"/>
                <w:lang w:eastAsia="lt-LT"/>
              </w:rPr>
              <w:t>arbo vietos turi būti išlaikytos ne trumpiau kaip</w:t>
            </w:r>
            <w:r w:rsidR="005B403C">
              <w:rPr>
                <w:iCs/>
                <w:sz w:val="20"/>
                <w:lang w:eastAsia="lt-LT"/>
              </w:rPr>
              <w:t xml:space="preserve"> 1</w:t>
            </w:r>
            <w:r w:rsidR="008F23C4">
              <w:rPr>
                <w:color w:val="000000"/>
                <w:sz w:val="20"/>
              </w:rPr>
              <w:t xml:space="preserve"> metus po projekto finansavimo pabaigos</w:t>
            </w:r>
            <w:r w:rsidR="00C35FB3">
              <w:rPr>
                <w:color w:val="000000"/>
                <w:sz w:val="20"/>
              </w:rPr>
              <w:t>.</w:t>
            </w:r>
          </w:p>
          <w:p w14:paraId="42A4B11F" w14:textId="77777777" w:rsidR="00C35FB3" w:rsidRDefault="00C35FB3" w:rsidP="00B11CD0">
            <w:pPr>
              <w:jc w:val="both"/>
              <w:rPr>
                <w:color w:val="000000"/>
                <w:sz w:val="20"/>
              </w:rPr>
            </w:pPr>
          </w:p>
          <w:p w14:paraId="0A325506" w14:textId="77777777" w:rsidR="00C35FB3" w:rsidRPr="00C35FB3" w:rsidRDefault="00C35FB3" w:rsidP="00C35FB3">
            <w:pPr>
              <w:jc w:val="both"/>
              <w:rPr>
                <w:sz w:val="20"/>
              </w:rPr>
            </w:pPr>
            <w:r w:rsidRPr="00C35FB3">
              <w:rPr>
                <w:sz w:val="20"/>
              </w:rPr>
              <w:t>Įmonė suprantama taip, kaip ji apibrėžta Smulkiojo ir vidutinio verslo plėtros įstatyme.</w:t>
            </w:r>
          </w:p>
          <w:p w14:paraId="47F48692" w14:textId="77777777" w:rsidR="00C35FB3" w:rsidRPr="00C35FB3" w:rsidRDefault="00C35FB3" w:rsidP="00C35FB3">
            <w:pPr>
              <w:jc w:val="both"/>
              <w:rPr>
                <w:sz w:val="20"/>
              </w:rPr>
            </w:pPr>
          </w:p>
          <w:p w14:paraId="082CAE32" w14:textId="0ADB5C25" w:rsidR="00C35FB3" w:rsidRDefault="00C35FB3" w:rsidP="00C35FB3">
            <w:pPr>
              <w:jc w:val="both"/>
              <w:rPr>
                <w:iCs/>
                <w:sz w:val="20"/>
                <w:lang w:eastAsia="lt-LT"/>
              </w:rPr>
            </w:pPr>
            <w:r w:rsidRPr="00C35FB3">
              <w:rPr>
                <w:sz w:val="20"/>
              </w:rPr>
              <w:t>Investicijas gavusi įmonė – įmonė, gavusi bet kokios formos paramą iš Europos regioninės plėtros fondo.</w:t>
            </w:r>
          </w:p>
          <w:p w14:paraId="38E7C8E9" w14:textId="0ABBF6B9" w:rsidR="00B11CD0" w:rsidRPr="0014017E" w:rsidRDefault="00B11CD0" w:rsidP="00B11CD0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58B4" w14:textId="45E9308E" w:rsidR="00B11CD0" w:rsidRPr="0014017E" w:rsidRDefault="00B11CD0" w:rsidP="00B11CD0">
            <w:pPr>
              <w:jc w:val="both"/>
              <w:rPr>
                <w:szCs w:val="24"/>
              </w:rPr>
            </w:pPr>
            <w:r>
              <w:rPr>
                <w:color w:val="000000"/>
                <w:sz w:val="20"/>
              </w:rPr>
              <w:t>Automatiškai apskaičiuojamas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A6D0" w14:textId="0F718341" w:rsidR="00DB6838" w:rsidRDefault="00B11CD0" w:rsidP="00DB683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Sumuojamos investicijas gavusiose įmonėse naujai sukurtos</w:t>
            </w:r>
            <w:r w:rsidR="00C3512B">
              <w:rPr>
                <w:color w:val="000000"/>
                <w:sz w:val="20"/>
              </w:rPr>
              <w:t xml:space="preserve"> nuotolinės darbo vietos</w:t>
            </w:r>
            <w:r w:rsidR="00DB6838">
              <w:rPr>
                <w:color w:val="000000"/>
                <w:sz w:val="20"/>
              </w:rPr>
              <w:t xml:space="preserve"> naudojant </w:t>
            </w:r>
            <w:r w:rsidR="000F75A6">
              <w:rPr>
                <w:color w:val="000000"/>
                <w:sz w:val="20"/>
              </w:rPr>
              <w:t>visos darbo dienos ekvivalentus</w:t>
            </w:r>
          </w:p>
          <w:p w14:paraId="628B644E" w14:textId="4AC23D90" w:rsidR="00B11CD0" w:rsidRDefault="001D63EA" w:rsidP="00B11CD0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sz w:val="20"/>
              </w:rPr>
              <w:t>per projekto veiklų įgyvendinimo laikotarpį</w:t>
            </w:r>
            <w:r w:rsidR="008F23C4">
              <w:rPr>
                <w:sz w:val="20"/>
              </w:rPr>
              <w:t>, kurios išlaikytos ne trumpiau</w:t>
            </w:r>
            <w:r>
              <w:rPr>
                <w:sz w:val="20"/>
              </w:rPr>
              <w:t xml:space="preserve"> kaip </w:t>
            </w:r>
            <w:r w:rsidR="00B11CD0">
              <w:rPr>
                <w:color w:val="000000"/>
                <w:sz w:val="20"/>
              </w:rPr>
              <w:t xml:space="preserve">1 metus po projekto </w:t>
            </w:r>
            <w:r w:rsidR="008E327D">
              <w:rPr>
                <w:color w:val="000000"/>
                <w:sz w:val="20"/>
              </w:rPr>
              <w:t>finansavimo</w:t>
            </w:r>
            <w:r w:rsidR="00B11CD0">
              <w:rPr>
                <w:color w:val="000000"/>
                <w:sz w:val="20"/>
              </w:rPr>
              <w:t xml:space="preserve"> pabaigos.</w:t>
            </w:r>
          </w:p>
          <w:p w14:paraId="143EC4DD" w14:textId="1DF88823" w:rsidR="00B11CD0" w:rsidRPr="0014017E" w:rsidRDefault="00B11CD0" w:rsidP="00DB6838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6195" w14:textId="77777777" w:rsidR="00B11CD0" w:rsidRDefault="00B11CD0" w:rsidP="00B11CD0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Pirminiai šaltiniai: </w:t>
            </w:r>
          </w:p>
          <w:p w14:paraId="0A4BB738" w14:textId="601B4798" w:rsidR="00C308CF" w:rsidRDefault="00C308CF" w:rsidP="00C308CF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sąskaitos faktūros, paslaugų teikimo sutartys, įmonės etatų sąrašai, darbo sutarčių pažymos, įsakymai dėl darbuotojų priskyrimo ir kiti dokumentai, patvirtinantys investicijas gavusiose įmonėse dirbančių darbuotojų </w:t>
            </w:r>
            <w:r w:rsidR="00026DA5">
              <w:rPr>
                <w:color w:val="000000"/>
                <w:sz w:val="20"/>
              </w:rPr>
              <w:t xml:space="preserve">nuotolinėse darbo vietose </w:t>
            </w:r>
            <w:r>
              <w:rPr>
                <w:color w:val="000000"/>
                <w:sz w:val="20"/>
              </w:rPr>
              <w:t>skaičių (visos darbo dienos ekvivalentais).</w:t>
            </w:r>
          </w:p>
          <w:p w14:paraId="1AD43A98" w14:textId="1A4CAB13" w:rsidR="00B11CD0" w:rsidRDefault="00B11CD0" w:rsidP="00B11CD0">
            <w:pPr>
              <w:jc w:val="both"/>
              <w:rPr>
                <w:color w:val="000000"/>
                <w:sz w:val="20"/>
              </w:rPr>
            </w:pPr>
          </w:p>
          <w:p w14:paraId="47131319" w14:textId="5AD8989C" w:rsidR="00B11CD0" w:rsidRPr="0014017E" w:rsidRDefault="00B11CD0" w:rsidP="00B11CD0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0"/>
              </w:rPr>
              <w:t xml:space="preserve">Antriniai šaltiniai: ataskaita po </w:t>
            </w:r>
            <w:r>
              <w:rPr>
                <w:color w:val="000000"/>
                <w:sz w:val="20"/>
              </w:rPr>
              <w:lastRenderedPageBreak/>
              <w:t>projekto finansavimo pabaigos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30EED" w14:textId="77777777" w:rsidR="00B11CD0" w:rsidRDefault="00B11CD0" w:rsidP="000C79F0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Stebėsenos rodiklis laikomas pasiektu, kai pateikiami įmonės dokumentai, patvirtinantys per 1 metus po projekto </w:t>
            </w:r>
            <w:r w:rsidR="00C3512B">
              <w:rPr>
                <w:color w:val="000000"/>
                <w:sz w:val="20"/>
              </w:rPr>
              <w:t>finansavimo</w:t>
            </w:r>
            <w:r>
              <w:rPr>
                <w:color w:val="000000"/>
                <w:sz w:val="20"/>
              </w:rPr>
              <w:t xml:space="preserve"> pabaigos pasiektą stebėsenos rodiklio reikšmę.</w:t>
            </w:r>
          </w:p>
          <w:p w14:paraId="41D0847E" w14:textId="7C35DB00" w:rsidR="004806F3" w:rsidRPr="0014017E" w:rsidRDefault="004806F3" w:rsidP="000C79F0">
            <w:pPr>
              <w:jc w:val="both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AA84" w14:textId="3A8EB1E7" w:rsidR="00B11CD0" w:rsidRPr="0014017E" w:rsidRDefault="00B11CD0" w:rsidP="00B11CD0">
            <w:p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</w:rPr>
              <w:t>Už stebėsenos rodiklio pasiekimą ir duomenų apie pasiektą stebėsenos rodiklio reikšmę teikimą antriniuose šaltiniuose yra atsakingas projekto vykdytojas.</w:t>
            </w:r>
          </w:p>
        </w:tc>
      </w:tr>
    </w:tbl>
    <w:p w14:paraId="78EE8F67" w14:textId="4144C937" w:rsidR="005A342A" w:rsidRPr="00384211" w:rsidRDefault="005A342A">
      <w:pPr>
        <w:rPr>
          <w:szCs w:val="24"/>
        </w:rPr>
      </w:pPr>
    </w:p>
    <w:sectPr w:rsidR="005A342A" w:rsidRPr="00384211" w:rsidSect="00460E94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250058" w16cid:durableId="22E753A6"/>
  <w16cid:commentId w16cid:paraId="61B56DF6" w16cid:durableId="22E753A7"/>
  <w16cid:commentId w16cid:paraId="41D5950D" w16cid:durableId="22E753A8"/>
  <w16cid:commentId w16cid:paraId="3D06AB94" w16cid:durableId="22E753A9"/>
  <w16cid:commentId w16cid:paraId="23131618" w16cid:durableId="22E753AA"/>
  <w16cid:commentId w16cid:paraId="11A2ADBE" w16cid:durableId="22E753AB"/>
  <w16cid:commentId w16cid:paraId="357693D9" w16cid:durableId="22E753AC"/>
  <w16cid:commentId w16cid:paraId="28EFFC36" w16cid:durableId="22E753AD"/>
  <w16cid:commentId w16cid:paraId="033254EF" w16cid:durableId="22E753AE"/>
  <w16cid:commentId w16cid:paraId="1C244A33" w16cid:durableId="22E753AF"/>
  <w16cid:commentId w16cid:paraId="096EE893" w16cid:durableId="22E753B0"/>
  <w16cid:commentId w16cid:paraId="42B01156" w16cid:durableId="22E753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9C53C" w14:textId="77777777" w:rsidR="001105D7" w:rsidRDefault="001105D7" w:rsidP="001105D7">
      <w:r>
        <w:separator/>
      </w:r>
    </w:p>
  </w:endnote>
  <w:endnote w:type="continuationSeparator" w:id="0">
    <w:p w14:paraId="5DD22516" w14:textId="77777777" w:rsidR="001105D7" w:rsidRDefault="001105D7" w:rsidP="0011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E090A" w14:textId="77777777" w:rsidR="001105D7" w:rsidRDefault="001105D7" w:rsidP="001105D7">
      <w:r>
        <w:separator/>
      </w:r>
    </w:p>
  </w:footnote>
  <w:footnote w:type="continuationSeparator" w:id="0">
    <w:p w14:paraId="3755D2DC" w14:textId="77777777" w:rsidR="001105D7" w:rsidRDefault="001105D7" w:rsidP="0011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424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DA0B18" w14:textId="65C3379E" w:rsidR="001105D7" w:rsidRDefault="001105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0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90C10" w14:textId="77777777" w:rsidR="001105D7" w:rsidRDefault="00110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D6F"/>
    <w:multiLevelType w:val="hybridMultilevel"/>
    <w:tmpl w:val="833283CE"/>
    <w:lvl w:ilvl="0" w:tplc="188633FA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4E"/>
    <w:rsid w:val="000006E9"/>
    <w:rsid w:val="00026DA5"/>
    <w:rsid w:val="00041510"/>
    <w:rsid w:val="00060521"/>
    <w:rsid w:val="0006059C"/>
    <w:rsid w:val="00074BDD"/>
    <w:rsid w:val="000847D1"/>
    <w:rsid w:val="000A6C83"/>
    <w:rsid w:val="000C4470"/>
    <w:rsid w:val="000C79F0"/>
    <w:rsid w:val="000D4E81"/>
    <w:rsid w:val="000E2CAC"/>
    <w:rsid w:val="000F75A6"/>
    <w:rsid w:val="001105D7"/>
    <w:rsid w:val="00111DCC"/>
    <w:rsid w:val="001228DE"/>
    <w:rsid w:val="00136ABF"/>
    <w:rsid w:val="0014017E"/>
    <w:rsid w:val="00153CD7"/>
    <w:rsid w:val="001639CD"/>
    <w:rsid w:val="00167ABC"/>
    <w:rsid w:val="00170A55"/>
    <w:rsid w:val="00173028"/>
    <w:rsid w:val="0017513F"/>
    <w:rsid w:val="001967F1"/>
    <w:rsid w:val="00197F14"/>
    <w:rsid w:val="001B30CA"/>
    <w:rsid w:val="001C29DB"/>
    <w:rsid w:val="001D63EA"/>
    <w:rsid w:val="001E2344"/>
    <w:rsid w:val="001F6F6A"/>
    <w:rsid w:val="00254544"/>
    <w:rsid w:val="00254ADF"/>
    <w:rsid w:val="00255178"/>
    <w:rsid w:val="00255B7A"/>
    <w:rsid w:val="00292F26"/>
    <w:rsid w:val="00293942"/>
    <w:rsid w:val="002C3B02"/>
    <w:rsid w:val="002C494E"/>
    <w:rsid w:val="002D2BBB"/>
    <w:rsid w:val="002E5471"/>
    <w:rsid w:val="002F40B1"/>
    <w:rsid w:val="003013FB"/>
    <w:rsid w:val="00305A03"/>
    <w:rsid w:val="00305C44"/>
    <w:rsid w:val="00321977"/>
    <w:rsid w:val="00327784"/>
    <w:rsid w:val="00333A47"/>
    <w:rsid w:val="0033564A"/>
    <w:rsid w:val="0034293C"/>
    <w:rsid w:val="00384211"/>
    <w:rsid w:val="003B1DAB"/>
    <w:rsid w:val="003C2659"/>
    <w:rsid w:val="003D5B9F"/>
    <w:rsid w:val="003F2773"/>
    <w:rsid w:val="003F4D38"/>
    <w:rsid w:val="00423618"/>
    <w:rsid w:val="0044326D"/>
    <w:rsid w:val="0045173A"/>
    <w:rsid w:val="004606AD"/>
    <w:rsid w:val="00460E94"/>
    <w:rsid w:val="00466B11"/>
    <w:rsid w:val="004701B1"/>
    <w:rsid w:val="004806F3"/>
    <w:rsid w:val="004B7438"/>
    <w:rsid w:val="004B7F1E"/>
    <w:rsid w:val="004C178D"/>
    <w:rsid w:val="004E0DC6"/>
    <w:rsid w:val="004F3233"/>
    <w:rsid w:val="004F572A"/>
    <w:rsid w:val="00510271"/>
    <w:rsid w:val="005129A3"/>
    <w:rsid w:val="005322C2"/>
    <w:rsid w:val="00564585"/>
    <w:rsid w:val="00573BF2"/>
    <w:rsid w:val="005822B3"/>
    <w:rsid w:val="00591FD2"/>
    <w:rsid w:val="005A342A"/>
    <w:rsid w:val="005A54A6"/>
    <w:rsid w:val="005B403C"/>
    <w:rsid w:val="005B549D"/>
    <w:rsid w:val="005C4332"/>
    <w:rsid w:val="005E6BC0"/>
    <w:rsid w:val="005E7CEA"/>
    <w:rsid w:val="00617819"/>
    <w:rsid w:val="006357C6"/>
    <w:rsid w:val="00640A30"/>
    <w:rsid w:val="00656A3D"/>
    <w:rsid w:val="006606D1"/>
    <w:rsid w:val="006630A5"/>
    <w:rsid w:val="0069003A"/>
    <w:rsid w:val="006A62CD"/>
    <w:rsid w:val="006B11DB"/>
    <w:rsid w:val="006B69B4"/>
    <w:rsid w:val="006C16F9"/>
    <w:rsid w:val="006C7872"/>
    <w:rsid w:val="0070538F"/>
    <w:rsid w:val="00740838"/>
    <w:rsid w:val="00747EF7"/>
    <w:rsid w:val="0077664E"/>
    <w:rsid w:val="007C010A"/>
    <w:rsid w:val="007C1903"/>
    <w:rsid w:val="007C57FB"/>
    <w:rsid w:val="007D6CEC"/>
    <w:rsid w:val="007E2402"/>
    <w:rsid w:val="007F7745"/>
    <w:rsid w:val="00801B53"/>
    <w:rsid w:val="00807090"/>
    <w:rsid w:val="0081663D"/>
    <w:rsid w:val="0082378D"/>
    <w:rsid w:val="008243C2"/>
    <w:rsid w:val="00830B42"/>
    <w:rsid w:val="008343A0"/>
    <w:rsid w:val="0085532B"/>
    <w:rsid w:val="008D351A"/>
    <w:rsid w:val="008D3964"/>
    <w:rsid w:val="008D5010"/>
    <w:rsid w:val="008E327D"/>
    <w:rsid w:val="008F23C4"/>
    <w:rsid w:val="00940C32"/>
    <w:rsid w:val="0095219C"/>
    <w:rsid w:val="00965BDC"/>
    <w:rsid w:val="009A28EF"/>
    <w:rsid w:val="009A3180"/>
    <w:rsid w:val="009A520B"/>
    <w:rsid w:val="009C5878"/>
    <w:rsid w:val="009C761C"/>
    <w:rsid w:val="009D051B"/>
    <w:rsid w:val="009F088A"/>
    <w:rsid w:val="009F62A5"/>
    <w:rsid w:val="00A179F2"/>
    <w:rsid w:val="00A2191E"/>
    <w:rsid w:val="00A26C43"/>
    <w:rsid w:val="00A41DA9"/>
    <w:rsid w:val="00A63AB4"/>
    <w:rsid w:val="00A83DC3"/>
    <w:rsid w:val="00A84EC8"/>
    <w:rsid w:val="00AA4EE9"/>
    <w:rsid w:val="00AB5DA0"/>
    <w:rsid w:val="00AC7668"/>
    <w:rsid w:val="00B073B5"/>
    <w:rsid w:val="00B11CD0"/>
    <w:rsid w:val="00B243F6"/>
    <w:rsid w:val="00B87D0C"/>
    <w:rsid w:val="00B91B22"/>
    <w:rsid w:val="00B925AD"/>
    <w:rsid w:val="00BC166C"/>
    <w:rsid w:val="00BD0E4C"/>
    <w:rsid w:val="00BD7C44"/>
    <w:rsid w:val="00C11C14"/>
    <w:rsid w:val="00C20ED9"/>
    <w:rsid w:val="00C308CF"/>
    <w:rsid w:val="00C30B26"/>
    <w:rsid w:val="00C3512B"/>
    <w:rsid w:val="00C35FB3"/>
    <w:rsid w:val="00C47A80"/>
    <w:rsid w:val="00C52225"/>
    <w:rsid w:val="00C66771"/>
    <w:rsid w:val="00C81078"/>
    <w:rsid w:val="00CB044D"/>
    <w:rsid w:val="00CC2F8C"/>
    <w:rsid w:val="00D11064"/>
    <w:rsid w:val="00D347E0"/>
    <w:rsid w:val="00D446CC"/>
    <w:rsid w:val="00D574D9"/>
    <w:rsid w:val="00D863F5"/>
    <w:rsid w:val="00DA0EEE"/>
    <w:rsid w:val="00DB0071"/>
    <w:rsid w:val="00DB6838"/>
    <w:rsid w:val="00DB6E53"/>
    <w:rsid w:val="00DE7E8D"/>
    <w:rsid w:val="00DF4FFA"/>
    <w:rsid w:val="00E03CF6"/>
    <w:rsid w:val="00E20C68"/>
    <w:rsid w:val="00E22DD4"/>
    <w:rsid w:val="00E2402F"/>
    <w:rsid w:val="00E45243"/>
    <w:rsid w:val="00E60DD7"/>
    <w:rsid w:val="00E74EBE"/>
    <w:rsid w:val="00EA11D2"/>
    <w:rsid w:val="00EC058B"/>
    <w:rsid w:val="00EC0A00"/>
    <w:rsid w:val="00EF326C"/>
    <w:rsid w:val="00EF522F"/>
    <w:rsid w:val="00F033C8"/>
    <w:rsid w:val="00F1307C"/>
    <w:rsid w:val="00F30C79"/>
    <w:rsid w:val="00F34B2F"/>
    <w:rsid w:val="00F37C10"/>
    <w:rsid w:val="00F427E1"/>
    <w:rsid w:val="00F86E18"/>
    <w:rsid w:val="00FB2489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93BA"/>
  <w15:docId w15:val="{30D09A58-6428-44E0-80F3-EC87DC5B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197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F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F1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F1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14"/>
    <w:rPr>
      <w:rFonts w:ascii="Segoe UI" w:eastAsia="Times New Roman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F42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5D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5D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105D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5D7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4798</Words>
  <Characters>2735</Characters>
  <Application>Microsoft Office Word</Application>
  <DocSecurity>4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Bilotiene Zivile</dc:creator>
  <cp:keywords/>
  <dc:description/>
  <cp:lastModifiedBy>Viluniene Jurgita</cp:lastModifiedBy>
  <cp:revision>2</cp:revision>
  <dcterms:created xsi:type="dcterms:W3CDTF">2020-10-15T05:11:00Z</dcterms:created>
  <dcterms:modified xsi:type="dcterms:W3CDTF">2020-10-15T05:11:00Z</dcterms:modified>
</cp:coreProperties>
</file>