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3D946" w14:textId="23683FD1" w:rsidR="00A04672" w:rsidRPr="002039C1" w:rsidRDefault="00192A94" w:rsidP="00B8695E">
      <w:pPr>
        <w:tabs>
          <w:tab w:val="left" w:pos="709"/>
        </w:tabs>
        <w:jc w:val="center"/>
        <w:rPr>
          <w:b/>
          <w:caps/>
          <w:szCs w:val="24"/>
        </w:rPr>
      </w:pPr>
      <w:bookmarkStart w:id="0" w:name="_GoBack"/>
      <w:bookmarkEnd w:id="0"/>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53A488E3" w14:textId="77777777" w:rsidR="009E1C89" w:rsidRPr="009E1C89" w:rsidRDefault="009E1C89" w:rsidP="009E1C89">
      <w:pPr>
        <w:jc w:val="center"/>
        <w:rPr>
          <w:b/>
          <w:szCs w:val="24"/>
          <w:lang w:eastAsia="lt-LT"/>
        </w:rPr>
      </w:pPr>
      <w:r w:rsidRPr="009E1C89">
        <w:rPr>
          <w:b/>
          <w:szCs w:val="24"/>
          <w:lang w:eastAsia="lt-LT"/>
        </w:rPr>
        <w:t>ĮSAKYMAS</w:t>
      </w:r>
    </w:p>
    <w:p w14:paraId="6A244F11" w14:textId="77777777" w:rsidR="009E1C89" w:rsidRPr="009E1C89" w:rsidRDefault="009E1C89" w:rsidP="009E1C89">
      <w:pPr>
        <w:autoSpaceDE w:val="0"/>
        <w:autoSpaceDN w:val="0"/>
        <w:adjustRightInd w:val="0"/>
        <w:jc w:val="center"/>
        <w:rPr>
          <w:b/>
          <w:bCs/>
          <w:caps/>
          <w:szCs w:val="24"/>
        </w:rPr>
      </w:pPr>
      <w:r w:rsidRPr="009E1C89">
        <w:rPr>
          <w:b/>
          <w:bCs/>
          <w:caps/>
          <w:szCs w:val="24"/>
        </w:rPr>
        <w:t xml:space="preserve">dėl lietuvos respublikos ūkio ministro </w:t>
      </w:r>
    </w:p>
    <w:p w14:paraId="4FECFDF1" w14:textId="0DFA40E1" w:rsidR="00581D63" w:rsidRPr="009E1C89" w:rsidRDefault="009E1C89" w:rsidP="009E1C89">
      <w:pPr>
        <w:jc w:val="center"/>
        <w:rPr>
          <w:b/>
          <w:bCs/>
          <w:caps/>
          <w:szCs w:val="24"/>
        </w:rPr>
      </w:pPr>
      <w:r w:rsidRPr="009E1C89">
        <w:rPr>
          <w:b/>
          <w:bCs/>
          <w:caps/>
          <w:szCs w:val="24"/>
        </w:rPr>
        <w:t xml:space="preserve">2018 m. gruodžio 12 d. įsakymo nr. 4-747 „dėl 2014–2020 mETŲ europos sąjungos fondų investicijų veiksmų programos 3 prioriteto „smulkiojo ir vidutinio verslo konkurencingumo skatinimas“ priemonės </w:t>
      </w:r>
      <w:r w:rsidRPr="009E1C89">
        <w:rPr>
          <w:b/>
          <w:kern w:val="16"/>
          <w:szCs w:val="24"/>
        </w:rPr>
        <w:t>N</w:t>
      </w:r>
      <w:r w:rsidRPr="009E1C89">
        <w:rPr>
          <w:b/>
          <w:szCs w:val="24"/>
        </w:rPr>
        <w:t xml:space="preserve">R. 03.2.1-LVPA-K-807 </w:t>
      </w:r>
      <w:r w:rsidRPr="009E1C89">
        <w:rPr>
          <w:rFonts w:eastAsia="Calibri"/>
          <w:b/>
          <w:szCs w:val="24"/>
        </w:rPr>
        <w:t>„VERSLO KLASTERIS LT“</w:t>
      </w:r>
      <w:r w:rsidRPr="009E1C89">
        <w:rPr>
          <w:b/>
          <w:bCs/>
          <w:caps/>
          <w:szCs w:val="24"/>
        </w:rPr>
        <w:t xml:space="preserve"> projektų finansavimo sąlygų aprašo nr. 2 patvirtinimo“ pakeitimo</w:t>
      </w:r>
    </w:p>
    <w:p w14:paraId="6AD47E50" w14:textId="77777777" w:rsidR="00A04672" w:rsidRPr="002039C1" w:rsidRDefault="00A04672">
      <w:pPr>
        <w:rPr>
          <w:szCs w:val="24"/>
        </w:rPr>
      </w:pPr>
    </w:p>
    <w:p w14:paraId="74FEA358" w14:textId="2787D0D6" w:rsidR="00A04672" w:rsidRPr="002039C1" w:rsidRDefault="006B2242" w:rsidP="00C7320D">
      <w:pPr>
        <w:ind w:firstLine="851"/>
        <w:jc w:val="center"/>
        <w:rPr>
          <w:szCs w:val="24"/>
        </w:rPr>
      </w:pPr>
      <w:r w:rsidRPr="002039C1">
        <w:rPr>
          <w:szCs w:val="24"/>
        </w:rPr>
        <w:t>20</w:t>
      </w:r>
      <w:r w:rsidR="00B22DD8">
        <w:rPr>
          <w:szCs w:val="24"/>
        </w:rPr>
        <w:t>20</w:t>
      </w:r>
      <w:r w:rsidRPr="002039C1">
        <w:rPr>
          <w:szCs w:val="24"/>
        </w:rPr>
        <w:t xml:space="preserve"> m.</w:t>
      </w:r>
      <w:r w:rsidR="004A384F">
        <w:rPr>
          <w:szCs w:val="24"/>
        </w:rPr>
        <w:t xml:space="preserve"> </w:t>
      </w:r>
      <w:r w:rsidR="001438DD">
        <w:rPr>
          <w:szCs w:val="24"/>
        </w:rPr>
        <w:t xml:space="preserve">      </w:t>
      </w:r>
      <w:r w:rsidR="004A62A5">
        <w:rPr>
          <w:szCs w:val="24"/>
        </w:rPr>
        <w:t xml:space="preserve"> </w:t>
      </w:r>
      <w:r w:rsidR="005E06A6">
        <w:rPr>
          <w:szCs w:val="24"/>
        </w:rPr>
        <w:t xml:space="preserve">  </w:t>
      </w:r>
      <w:r w:rsidR="00AE5EF5" w:rsidRPr="002039C1">
        <w:rPr>
          <w:szCs w:val="24"/>
        </w:rPr>
        <w:t xml:space="preserve">d. Nr. </w:t>
      </w:r>
      <w:r w:rsidR="001C5A8D">
        <w:rPr>
          <w:szCs w:val="24"/>
        </w:rPr>
        <w:t>4-</w:t>
      </w:r>
      <w:r w:rsidR="005E06A6">
        <w:rPr>
          <w:szCs w:val="24"/>
        </w:rPr>
        <w:t xml:space="preserve">      </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21F72165" w:rsidR="00A04672" w:rsidRPr="00CF5810" w:rsidRDefault="00192A94">
      <w:pPr>
        <w:suppressAutoHyphens/>
        <w:ind w:firstLine="851"/>
        <w:jc w:val="both"/>
        <w:textAlignment w:val="center"/>
        <w:rPr>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79411D">
        <w:rPr>
          <w:szCs w:val="24"/>
        </w:rPr>
        <w:t>89 ir 520</w:t>
      </w:r>
      <w:r w:rsidR="00D35D9B" w:rsidRPr="002039C1">
        <w:rPr>
          <w:szCs w:val="24"/>
        </w:rPr>
        <w:t> </w:t>
      </w:r>
      <w:r w:rsidR="0079411D">
        <w:rPr>
          <w:szCs w:val="24"/>
        </w:rPr>
        <w:t>punktais</w:t>
      </w:r>
      <w:r w:rsidR="001438DD">
        <w:rPr>
          <w:szCs w:val="24"/>
        </w:rPr>
        <w:t>,</w:t>
      </w:r>
    </w:p>
    <w:p w14:paraId="4C015E67" w14:textId="488F8515" w:rsidR="00820EBD" w:rsidRDefault="00820EBD" w:rsidP="002B487E">
      <w:pPr>
        <w:tabs>
          <w:tab w:val="left" w:pos="851"/>
        </w:tabs>
        <w:ind w:firstLine="851"/>
        <w:jc w:val="both"/>
        <w:rPr>
          <w:bCs/>
          <w:szCs w:val="24"/>
        </w:rPr>
      </w:pPr>
      <w:r w:rsidRPr="002039C1">
        <w:rPr>
          <w:szCs w:val="24"/>
        </w:rPr>
        <w:t>p a k e i č i u</w:t>
      </w:r>
      <w:r>
        <w:rPr>
          <w:szCs w:val="24"/>
        </w:rPr>
        <w:t xml:space="preserve"> </w:t>
      </w:r>
      <w:r w:rsidRPr="002039C1">
        <w:rPr>
          <w:szCs w:val="24"/>
        </w:rPr>
        <w:t xml:space="preserve"> </w:t>
      </w:r>
      <w:r w:rsidR="00CF5810" w:rsidRPr="00CF5810">
        <w:rPr>
          <w:szCs w:val="24"/>
        </w:rPr>
        <w:t>2014–</w:t>
      </w:r>
      <w:r w:rsidR="00CF5810" w:rsidRPr="00C6628F">
        <w:rPr>
          <w:color w:val="000000"/>
          <w:szCs w:val="24"/>
        </w:rPr>
        <w:t>2020 metų Europos Sąjungos fondų investicijų veiksmų programos 3 prioriteto „Smulkiojo ir vidutinio verslo konkur</w:t>
      </w:r>
      <w:r w:rsidR="0079411D">
        <w:rPr>
          <w:color w:val="000000"/>
          <w:szCs w:val="24"/>
        </w:rPr>
        <w:t>encingumo skatinimas“ priemonės</w:t>
      </w:r>
      <w:r w:rsidR="00CF5810">
        <w:rPr>
          <w:color w:val="000000"/>
          <w:szCs w:val="24"/>
        </w:rPr>
        <w:t xml:space="preserve"> Nr. 03.2.1-LVPA-K-807</w:t>
      </w:r>
      <w:r w:rsidR="009A0D38">
        <w:rPr>
          <w:color w:val="000000"/>
          <w:szCs w:val="24"/>
        </w:rPr>
        <w:t xml:space="preserve"> „Verslo klasteris</w:t>
      </w:r>
      <w:r w:rsidR="00CF5810">
        <w:rPr>
          <w:color w:val="000000"/>
          <w:szCs w:val="24"/>
        </w:rPr>
        <w:t xml:space="preserve"> LT“</w:t>
      </w:r>
      <w:r w:rsidR="00CF5810" w:rsidRPr="00C6628F">
        <w:rPr>
          <w:color w:val="000000"/>
          <w:szCs w:val="24"/>
        </w:rPr>
        <w:t xml:space="preserve"> pr</w:t>
      </w:r>
      <w:r w:rsidR="009A0D38">
        <w:rPr>
          <w:color w:val="000000"/>
          <w:szCs w:val="24"/>
        </w:rPr>
        <w:t>ojektų finansavimo sąlygų aprašo Nr. 2</w:t>
      </w:r>
      <w:r w:rsidR="00CF5810">
        <w:rPr>
          <w:color w:val="000000"/>
          <w:szCs w:val="24"/>
        </w:rPr>
        <w:t>, patvirtint</w:t>
      </w:r>
      <w:r w:rsidR="009A0D38">
        <w:rPr>
          <w:color w:val="000000"/>
          <w:szCs w:val="24"/>
        </w:rPr>
        <w:t>o</w:t>
      </w:r>
      <w:r w:rsidR="0079411D">
        <w:rPr>
          <w:color w:val="000000"/>
          <w:szCs w:val="24"/>
        </w:rPr>
        <w:t xml:space="preserve"> </w:t>
      </w:r>
      <w:r w:rsidR="00CF5810" w:rsidRPr="00CF5810">
        <w:rPr>
          <w:szCs w:val="24"/>
        </w:rPr>
        <w:t>Lietuvos Respublikos ūkio ministr</w:t>
      </w:r>
      <w:r w:rsidR="009A0D38">
        <w:rPr>
          <w:szCs w:val="24"/>
        </w:rPr>
        <w:t>o 2018 m. gruodžio 12 d. įsakymu</w:t>
      </w:r>
      <w:r w:rsidR="00CF5810" w:rsidRPr="00CF5810">
        <w:rPr>
          <w:szCs w:val="24"/>
        </w:rPr>
        <w:t xml:space="preserve"> Nr. 4-747 „Dėl 2014–2020 metų Europos Sąjungos fondų investicijų veiksmų programos 3 prioriteto „Smulkiojo ir vidutinio verslo konkurencingumo skatinimas“ priemonės Nr. 03.2.1-LVPA-K-807 „Verslo klasteris LT“ projektų finansavimo sąlygų aprašo Nr. 2 patvirtinimo“</w:t>
      </w:r>
      <w:r w:rsidR="009A0D38">
        <w:rPr>
          <w:szCs w:val="24"/>
        </w:rPr>
        <w:t xml:space="preserve"> 43 punktą ir jį išdėstau taip</w:t>
      </w:r>
      <w:r w:rsidR="00CF5810" w:rsidRPr="00CF5810">
        <w:rPr>
          <w:szCs w:val="24"/>
        </w:rPr>
        <w:t>:</w:t>
      </w:r>
      <w:r w:rsidRPr="002039C1">
        <w:rPr>
          <w:bCs/>
          <w:szCs w:val="24"/>
        </w:rPr>
        <w:t xml:space="preserve"> </w:t>
      </w:r>
    </w:p>
    <w:p w14:paraId="79B04BA6" w14:textId="6A06F43C" w:rsidR="00440371" w:rsidRDefault="00440371" w:rsidP="00440371">
      <w:pPr>
        <w:tabs>
          <w:tab w:val="left" w:pos="709"/>
          <w:tab w:val="left" w:pos="851"/>
        </w:tabs>
        <w:ind w:firstLine="709"/>
        <w:jc w:val="both"/>
        <w:rPr>
          <w:rFonts w:cs="Arial"/>
          <w:szCs w:val="24"/>
          <w:lang w:eastAsia="lt-LT"/>
        </w:rPr>
      </w:pPr>
      <w:r>
        <w:rPr>
          <w:rFonts w:cs="Arial"/>
          <w:szCs w:val="24"/>
          <w:lang w:eastAsia="lt-LT"/>
        </w:rPr>
        <w:t>„43. Pagal Aprašą tinkamų arba netinkamų finansuoti išlaidų kategorijos yra nustatytos Aprašo lentelėje.</w:t>
      </w:r>
    </w:p>
    <w:p w14:paraId="767319FA" w14:textId="33C34DC5" w:rsidR="00803111" w:rsidRDefault="00440371" w:rsidP="00073029">
      <w:pPr>
        <w:ind w:firstLine="709"/>
        <w:jc w:val="both"/>
      </w:pPr>
      <w:r>
        <w:rPr>
          <w:rFonts w:cs="Arial"/>
          <w:szCs w:val="24"/>
          <w:lang w:eastAsia="lt-LT"/>
        </w:rPr>
        <w:t>Lentelė. Tinkamų arba netinkamų finansuoti išlaidų kategorijos.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693"/>
        <w:gridCol w:w="6549"/>
      </w:tblGrid>
      <w:tr w:rsidR="00073029" w14:paraId="4D959E7F" w14:textId="77777777" w:rsidTr="003761F4">
        <w:tc>
          <w:tcPr>
            <w:tcW w:w="993" w:type="dxa"/>
            <w:tcBorders>
              <w:top w:val="single" w:sz="4" w:space="0" w:color="auto"/>
              <w:left w:val="single" w:sz="4" w:space="0" w:color="auto"/>
              <w:bottom w:val="single" w:sz="4" w:space="0" w:color="auto"/>
              <w:right w:val="single" w:sz="4" w:space="0" w:color="auto"/>
            </w:tcBorders>
            <w:shd w:val="clear" w:color="auto" w:fill="FFFFFF"/>
          </w:tcPr>
          <w:p w14:paraId="41A78147" w14:textId="77777777" w:rsidR="00073029" w:rsidRDefault="00073029" w:rsidP="00F67E96">
            <w:pPr>
              <w:tabs>
                <w:tab w:val="left" w:pos="851"/>
              </w:tabs>
              <w:ind w:right="-57"/>
              <w:jc w:val="center"/>
              <w:rPr>
                <w:rFonts w:cs="Arial"/>
                <w:b/>
                <w:bCs/>
                <w:szCs w:val="24"/>
                <w:lang w:eastAsia="lt-LT"/>
              </w:rPr>
            </w:pPr>
            <w:r>
              <w:rPr>
                <w:rFonts w:cs="Arial"/>
                <w:b/>
                <w:bCs/>
                <w:szCs w:val="24"/>
                <w:lang w:eastAsia="lt-LT"/>
              </w:rPr>
              <w:t xml:space="preserve">Išlaidų </w:t>
            </w:r>
            <w:proofErr w:type="spellStart"/>
            <w:r>
              <w:rPr>
                <w:rFonts w:cs="Arial"/>
                <w:b/>
                <w:bCs/>
                <w:szCs w:val="24"/>
                <w:lang w:eastAsia="lt-LT"/>
              </w:rPr>
              <w:t>katego</w:t>
            </w:r>
            <w:proofErr w:type="spellEnd"/>
            <w:r>
              <w:rPr>
                <w:rFonts w:cs="Arial"/>
                <w:b/>
                <w:bCs/>
                <w:szCs w:val="24"/>
                <w:lang w:eastAsia="lt-LT"/>
              </w:rPr>
              <w:t>-rijos Nr.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74DF8" w14:textId="77777777" w:rsidR="00073029" w:rsidRDefault="00073029" w:rsidP="00F67E96">
            <w:pPr>
              <w:tabs>
                <w:tab w:val="left" w:pos="851"/>
              </w:tabs>
              <w:ind w:right="-57"/>
              <w:jc w:val="center"/>
              <w:rPr>
                <w:rFonts w:cs="Arial"/>
                <w:b/>
                <w:bCs/>
                <w:szCs w:val="24"/>
                <w:lang w:eastAsia="lt-LT"/>
              </w:rPr>
            </w:pPr>
            <w:r>
              <w:rPr>
                <w:rFonts w:cs="Arial"/>
                <w:b/>
                <w:bCs/>
                <w:szCs w:val="24"/>
                <w:lang w:eastAsia="lt-LT"/>
              </w:rPr>
              <w:t>Išlaidų kategorijos pavadinimas</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70061" w14:textId="77777777" w:rsidR="00073029" w:rsidRDefault="00073029" w:rsidP="00F67E96">
            <w:pPr>
              <w:tabs>
                <w:tab w:val="left" w:pos="851"/>
              </w:tabs>
              <w:ind w:right="-57"/>
              <w:jc w:val="center"/>
              <w:rPr>
                <w:rFonts w:cs="Arial"/>
                <w:b/>
                <w:szCs w:val="24"/>
                <w:lang w:eastAsia="lt-LT"/>
              </w:rPr>
            </w:pPr>
            <w:r>
              <w:rPr>
                <w:rFonts w:cs="Arial"/>
                <w:b/>
                <w:szCs w:val="24"/>
                <w:lang w:eastAsia="lt-LT"/>
              </w:rPr>
              <w:t>Reikalavimai ir paaiškinimai</w:t>
            </w:r>
          </w:p>
          <w:p w14:paraId="0476688D" w14:textId="77777777" w:rsidR="00073029" w:rsidRDefault="00073029" w:rsidP="00F67E96">
            <w:pPr>
              <w:tabs>
                <w:tab w:val="left" w:pos="851"/>
              </w:tabs>
              <w:ind w:right="-57"/>
              <w:jc w:val="center"/>
              <w:rPr>
                <w:rFonts w:cs="Arial"/>
                <w:b/>
                <w:bCs/>
                <w:szCs w:val="24"/>
                <w:lang w:eastAsia="lt-LT"/>
              </w:rPr>
            </w:pPr>
          </w:p>
        </w:tc>
      </w:tr>
      <w:tr w:rsidR="00073029" w14:paraId="007C52A4" w14:textId="77777777" w:rsidTr="003761F4">
        <w:tc>
          <w:tcPr>
            <w:tcW w:w="993" w:type="dxa"/>
            <w:tcBorders>
              <w:top w:val="single" w:sz="4" w:space="0" w:color="auto"/>
              <w:left w:val="single" w:sz="4" w:space="0" w:color="auto"/>
              <w:bottom w:val="single" w:sz="4" w:space="0" w:color="auto"/>
              <w:right w:val="single" w:sz="4" w:space="0" w:color="auto"/>
            </w:tcBorders>
            <w:shd w:val="clear" w:color="auto" w:fill="FFFFFF"/>
          </w:tcPr>
          <w:p w14:paraId="7FEE4D97" w14:textId="77777777" w:rsidR="00073029" w:rsidRDefault="00073029" w:rsidP="00F67E96">
            <w:pPr>
              <w:tabs>
                <w:tab w:val="left" w:pos="851"/>
              </w:tabs>
              <w:rPr>
                <w:rFonts w:cs="Arial"/>
                <w:bCs/>
                <w:szCs w:val="24"/>
                <w:lang w:eastAsia="lt-LT"/>
              </w:rPr>
            </w:pPr>
            <w:r>
              <w:rPr>
                <w:rFonts w:cs="Arial"/>
                <w:bCs/>
                <w:szCs w:val="24"/>
                <w:lang w:eastAsia="lt-LT"/>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3A9CA" w14:textId="77777777" w:rsidR="00073029" w:rsidRDefault="00073029" w:rsidP="00F67E96">
            <w:pPr>
              <w:tabs>
                <w:tab w:val="left" w:pos="851"/>
              </w:tabs>
              <w:rPr>
                <w:rFonts w:cs="Arial"/>
                <w:bCs/>
                <w:szCs w:val="24"/>
                <w:lang w:eastAsia="lt-LT"/>
              </w:rPr>
            </w:pPr>
            <w:r>
              <w:rPr>
                <w:rFonts w:cs="Arial"/>
                <w:bCs/>
                <w:szCs w:val="24"/>
                <w:lang w:eastAsia="lt-LT"/>
              </w:rPr>
              <w:t>Žemė</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1735A80A" w14:textId="77777777" w:rsidR="00073029" w:rsidRDefault="00073029" w:rsidP="00F67E96">
            <w:pPr>
              <w:tabs>
                <w:tab w:val="left" w:pos="851"/>
              </w:tabs>
              <w:rPr>
                <w:rFonts w:cs="Arial"/>
                <w:szCs w:val="24"/>
                <w:lang w:eastAsia="lt-LT"/>
              </w:rPr>
            </w:pPr>
            <w:r>
              <w:rPr>
                <w:rFonts w:cs="Arial"/>
                <w:szCs w:val="24"/>
                <w:lang w:eastAsia="lt-LT"/>
              </w:rPr>
              <w:t>Netinkama finansuoti.</w:t>
            </w:r>
          </w:p>
        </w:tc>
      </w:tr>
      <w:tr w:rsidR="00073029" w14:paraId="3608CAA3" w14:textId="77777777" w:rsidTr="003761F4">
        <w:tc>
          <w:tcPr>
            <w:tcW w:w="993" w:type="dxa"/>
            <w:tcBorders>
              <w:top w:val="single" w:sz="4" w:space="0" w:color="auto"/>
              <w:left w:val="single" w:sz="4" w:space="0" w:color="auto"/>
              <w:bottom w:val="single" w:sz="4" w:space="0" w:color="auto"/>
              <w:right w:val="single" w:sz="4" w:space="0" w:color="auto"/>
            </w:tcBorders>
            <w:shd w:val="clear" w:color="auto" w:fill="FFFFFF"/>
          </w:tcPr>
          <w:p w14:paraId="3C7B0A3C" w14:textId="77777777" w:rsidR="00073029" w:rsidRDefault="00073029" w:rsidP="00F67E96">
            <w:pPr>
              <w:tabs>
                <w:tab w:val="left" w:pos="851"/>
              </w:tabs>
              <w:rPr>
                <w:rFonts w:cs="Arial"/>
                <w:bCs/>
                <w:szCs w:val="24"/>
                <w:lang w:eastAsia="lt-LT"/>
              </w:rPr>
            </w:pPr>
            <w:r>
              <w:rPr>
                <w:rFonts w:cs="Arial"/>
                <w:bCs/>
                <w:szCs w:val="24"/>
                <w:lang w:eastAsia="lt-LT"/>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448387" w14:textId="77777777" w:rsidR="00073029" w:rsidRDefault="00073029" w:rsidP="00F67E96">
            <w:pPr>
              <w:tabs>
                <w:tab w:val="left" w:pos="851"/>
              </w:tabs>
              <w:rPr>
                <w:rFonts w:cs="Arial"/>
                <w:bCs/>
                <w:szCs w:val="24"/>
                <w:lang w:eastAsia="lt-LT"/>
              </w:rPr>
            </w:pPr>
            <w:r>
              <w:rPr>
                <w:rFonts w:cs="Arial"/>
                <w:bCs/>
                <w:szCs w:val="24"/>
                <w:lang w:eastAsia="lt-LT"/>
              </w:rPr>
              <w:t>Nekilnojamasis turtas</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7A76AE47" w14:textId="77777777" w:rsidR="00073029" w:rsidRDefault="00073029" w:rsidP="00F67E96">
            <w:pPr>
              <w:tabs>
                <w:tab w:val="left" w:pos="851"/>
              </w:tabs>
              <w:rPr>
                <w:rFonts w:cs="Arial"/>
                <w:b/>
                <w:bCs/>
                <w:szCs w:val="24"/>
                <w:lang w:eastAsia="lt-LT"/>
              </w:rPr>
            </w:pPr>
            <w:r>
              <w:rPr>
                <w:rFonts w:cs="Arial"/>
                <w:szCs w:val="24"/>
                <w:lang w:eastAsia="lt-LT"/>
              </w:rPr>
              <w:t>Netinkama finansuoti.</w:t>
            </w:r>
          </w:p>
        </w:tc>
      </w:tr>
      <w:tr w:rsidR="00073029" w14:paraId="2C700AA5" w14:textId="77777777" w:rsidTr="003761F4">
        <w:tc>
          <w:tcPr>
            <w:tcW w:w="993" w:type="dxa"/>
            <w:tcBorders>
              <w:top w:val="single" w:sz="4" w:space="0" w:color="auto"/>
              <w:left w:val="single" w:sz="4" w:space="0" w:color="auto"/>
              <w:bottom w:val="single" w:sz="4" w:space="0" w:color="auto"/>
              <w:right w:val="single" w:sz="4" w:space="0" w:color="auto"/>
            </w:tcBorders>
            <w:shd w:val="clear" w:color="auto" w:fill="FFFFFF"/>
          </w:tcPr>
          <w:p w14:paraId="0A5297F9" w14:textId="77777777" w:rsidR="00073029" w:rsidRDefault="00073029" w:rsidP="00F67E96">
            <w:pPr>
              <w:tabs>
                <w:tab w:val="left" w:pos="851"/>
              </w:tabs>
              <w:ind w:right="-57"/>
              <w:rPr>
                <w:rFonts w:cs="Arial"/>
                <w:bCs/>
                <w:szCs w:val="24"/>
                <w:lang w:eastAsia="lt-LT"/>
              </w:rPr>
            </w:pPr>
            <w:r>
              <w:rPr>
                <w:rFonts w:cs="Arial"/>
                <w:bCs/>
                <w:szCs w:val="24"/>
                <w:lang w:eastAsia="lt-LT"/>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9CED3F" w14:textId="77777777" w:rsidR="00073029" w:rsidRDefault="00073029" w:rsidP="00F67E96">
            <w:pPr>
              <w:tabs>
                <w:tab w:val="left" w:pos="851"/>
              </w:tabs>
              <w:ind w:right="-57"/>
              <w:rPr>
                <w:rFonts w:cs="Arial"/>
                <w:bCs/>
                <w:szCs w:val="24"/>
                <w:lang w:eastAsia="lt-LT"/>
              </w:rPr>
            </w:pPr>
            <w:r>
              <w:rPr>
                <w:rFonts w:cs="Arial"/>
                <w:bCs/>
                <w:szCs w:val="24"/>
                <w:lang w:eastAsia="lt-LT"/>
              </w:rPr>
              <w:t>Statyba, rekonstravimas, remontas ir kiti darbai</w:t>
            </w:r>
          </w:p>
        </w:tc>
        <w:tc>
          <w:tcPr>
            <w:tcW w:w="6549" w:type="dxa"/>
            <w:tcBorders>
              <w:top w:val="single" w:sz="4" w:space="0" w:color="auto"/>
              <w:left w:val="single" w:sz="4" w:space="0" w:color="auto"/>
              <w:bottom w:val="single" w:sz="4" w:space="0" w:color="auto"/>
              <w:right w:val="single" w:sz="4" w:space="0" w:color="auto"/>
            </w:tcBorders>
            <w:shd w:val="clear" w:color="auto" w:fill="FFFFFF"/>
          </w:tcPr>
          <w:p w14:paraId="28464FCC" w14:textId="77777777" w:rsidR="00073029" w:rsidRDefault="00073029" w:rsidP="00F67E96">
            <w:pPr>
              <w:tabs>
                <w:tab w:val="left" w:pos="851"/>
              </w:tabs>
              <w:rPr>
                <w:rFonts w:cs="Arial"/>
                <w:b/>
                <w:bCs/>
                <w:szCs w:val="24"/>
                <w:lang w:eastAsia="lt-LT"/>
              </w:rPr>
            </w:pPr>
            <w:r>
              <w:rPr>
                <w:rFonts w:cs="Arial"/>
                <w:szCs w:val="24"/>
                <w:lang w:eastAsia="lt-LT"/>
              </w:rPr>
              <w:t>Netinkama finansuoti.</w:t>
            </w:r>
          </w:p>
        </w:tc>
      </w:tr>
      <w:tr w:rsidR="00073029" w14:paraId="1FED5B17" w14:textId="77777777" w:rsidTr="003761F4">
        <w:tc>
          <w:tcPr>
            <w:tcW w:w="993" w:type="dxa"/>
            <w:tcBorders>
              <w:top w:val="single" w:sz="4" w:space="0" w:color="auto"/>
              <w:left w:val="single" w:sz="4" w:space="0" w:color="auto"/>
              <w:bottom w:val="single" w:sz="4" w:space="0" w:color="auto"/>
              <w:right w:val="single" w:sz="4" w:space="0" w:color="auto"/>
            </w:tcBorders>
            <w:shd w:val="clear" w:color="auto" w:fill="FFFFFF"/>
          </w:tcPr>
          <w:p w14:paraId="615524FF" w14:textId="77777777" w:rsidR="00073029" w:rsidRDefault="00073029" w:rsidP="00F67E96">
            <w:pPr>
              <w:tabs>
                <w:tab w:val="left" w:pos="851"/>
              </w:tabs>
              <w:rPr>
                <w:rFonts w:cs="Arial"/>
                <w:bCs/>
                <w:szCs w:val="24"/>
                <w:lang w:eastAsia="lt-LT"/>
              </w:rPr>
            </w:pPr>
            <w:r>
              <w:rPr>
                <w:rFonts w:cs="Arial"/>
                <w:bCs/>
                <w:szCs w:val="24"/>
                <w:lang w:eastAsia="lt-LT"/>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9284D" w14:textId="77777777" w:rsidR="00073029" w:rsidRDefault="00073029" w:rsidP="00F67E96">
            <w:pPr>
              <w:tabs>
                <w:tab w:val="left" w:pos="851"/>
              </w:tabs>
              <w:rPr>
                <w:rFonts w:cs="Arial"/>
                <w:bCs/>
                <w:szCs w:val="24"/>
                <w:lang w:eastAsia="lt-LT"/>
              </w:rPr>
            </w:pPr>
            <w:r>
              <w:rPr>
                <w:rFonts w:cs="Arial"/>
                <w:bCs/>
                <w:szCs w:val="24"/>
                <w:lang w:eastAsia="lt-LT"/>
              </w:rPr>
              <w:t>Įranga, įrenginiai ir kitas turtas</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350BC766" w14:textId="77777777" w:rsidR="00073029" w:rsidRDefault="00073029" w:rsidP="00F67E96">
            <w:pPr>
              <w:tabs>
                <w:tab w:val="left" w:pos="851"/>
              </w:tabs>
              <w:jc w:val="both"/>
              <w:rPr>
                <w:rFonts w:cs="Arial"/>
                <w:szCs w:val="24"/>
                <w:lang w:eastAsia="lt-LT"/>
              </w:rPr>
            </w:pPr>
            <w:r>
              <w:rPr>
                <w:rFonts w:cs="Arial"/>
                <w:szCs w:val="24"/>
                <w:lang w:eastAsia="lt-LT"/>
              </w:rPr>
              <w:t>Netinkama finansuoti.</w:t>
            </w:r>
          </w:p>
        </w:tc>
      </w:tr>
      <w:tr w:rsidR="00073029" w:rsidRPr="007E1463" w14:paraId="5E486F67" w14:textId="77777777" w:rsidTr="003761F4">
        <w:tc>
          <w:tcPr>
            <w:tcW w:w="993" w:type="dxa"/>
            <w:tcBorders>
              <w:top w:val="single" w:sz="4" w:space="0" w:color="auto"/>
              <w:left w:val="single" w:sz="4" w:space="0" w:color="auto"/>
              <w:bottom w:val="single" w:sz="4" w:space="0" w:color="auto"/>
              <w:right w:val="single" w:sz="4" w:space="0" w:color="auto"/>
            </w:tcBorders>
            <w:shd w:val="clear" w:color="auto" w:fill="FFFFFF"/>
          </w:tcPr>
          <w:p w14:paraId="6FCC3C52" w14:textId="77777777" w:rsidR="00073029" w:rsidRDefault="00073029" w:rsidP="00F67E96">
            <w:pPr>
              <w:tabs>
                <w:tab w:val="left" w:pos="851"/>
              </w:tabs>
              <w:rPr>
                <w:rFonts w:cs="Arial"/>
                <w:bCs/>
                <w:szCs w:val="24"/>
                <w:lang w:eastAsia="lt-LT"/>
              </w:rPr>
            </w:pPr>
          </w:p>
          <w:p w14:paraId="0933141F" w14:textId="77777777" w:rsidR="00073029" w:rsidRDefault="00073029" w:rsidP="00F67E96">
            <w:pPr>
              <w:tabs>
                <w:tab w:val="left" w:pos="851"/>
              </w:tabs>
              <w:rPr>
                <w:rFonts w:cs="Arial"/>
                <w:bCs/>
                <w:szCs w:val="24"/>
                <w:lang w:eastAsia="lt-LT"/>
              </w:rPr>
            </w:pPr>
          </w:p>
          <w:p w14:paraId="0797A655" w14:textId="77777777" w:rsidR="00073029" w:rsidRDefault="00073029" w:rsidP="00F67E96">
            <w:pPr>
              <w:tabs>
                <w:tab w:val="left" w:pos="851"/>
              </w:tabs>
              <w:rPr>
                <w:rFonts w:cs="Arial"/>
                <w:bCs/>
                <w:szCs w:val="24"/>
                <w:lang w:eastAsia="lt-LT"/>
              </w:rPr>
            </w:pPr>
          </w:p>
          <w:p w14:paraId="5FD4BFC7" w14:textId="77777777" w:rsidR="00073029" w:rsidRDefault="00073029" w:rsidP="00F67E96">
            <w:pPr>
              <w:tabs>
                <w:tab w:val="left" w:pos="851"/>
              </w:tabs>
              <w:rPr>
                <w:rFonts w:cs="Arial"/>
                <w:bCs/>
                <w:szCs w:val="24"/>
                <w:lang w:eastAsia="lt-LT"/>
              </w:rPr>
            </w:pPr>
          </w:p>
          <w:p w14:paraId="7FCE1845" w14:textId="77777777" w:rsidR="00073029" w:rsidRDefault="00073029" w:rsidP="00F67E96">
            <w:pPr>
              <w:tabs>
                <w:tab w:val="left" w:pos="851"/>
              </w:tabs>
              <w:rPr>
                <w:rFonts w:cs="Arial"/>
                <w:bCs/>
                <w:szCs w:val="24"/>
                <w:lang w:eastAsia="lt-LT"/>
              </w:rPr>
            </w:pPr>
          </w:p>
          <w:p w14:paraId="20860D3F" w14:textId="77777777" w:rsidR="00073029" w:rsidRDefault="00073029" w:rsidP="00F67E96">
            <w:pPr>
              <w:tabs>
                <w:tab w:val="left" w:pos="851"/>
              </w:tabs>
              <w:rPr>
                <w:rFonts w:cs="Arial"/>
                <w:bCs/>
                <w:szCs w:val="24"/>
                <w:lang w:eastAsia="lt-LT"/>
              </w:rPr>
            </w:pPr>
          </w:p>
          <w:p w14:paraId="51B6FF3B" w14:textId="77777777" w:rsidR="00073029" w:rsidRDefault="00073029" w:rsidP="00F67E96">
            <w:pPr>
              <w:tabs>
                <w:tab w:val="left" w:pos="851"/>
              </w:tabs>
              <w:rPr>
                <w:rFonts w:cs="Arial"/>
                <w:bCs/>
                <w:szCs w:val="24"/>
                <w:lang w:eastAsia="lt-LT"/>
              </w:rPr>
            </w:pPr>
          </w:p>
          <w:p w14:paraId="746A5000" w14:textId="77777777" w:rsidR="00073029" w:rsidRDefault="00073029" w:rsidP="00F67E96">
            <w:pPr>
              <w:tabs>
                <w:tab w:val="left" w:pos="851"/>
              </w:tabs>
              <w:rPr>
                <w:rFonts w:cs="Arial"/>
                <w:bCs/>
                <w:szCs w:val="24"/>
                <w:lang w:eastAsia="lt-LT"/>
              </w:rPr>
            </w:pPr>
          </w:p>
          <w:p w14:paraId="2D8BFA79" w14:textId="77777777" w:rsidR="00073029" w:rsidRDefault="00073029" w:rsidP="00F67E96">
            <w:pPr>
              <w:tabs>
                <w:tab w:val="left" w:pos="851"/>
              </w:tabs>
              <w:rPr>
                <w:rFonts w:cs="Arial"/>
                <w:bCs/>
                <w:szCs w:val="24"/>
                <w:lang w:eastAsia="lt-LT"/>
              </w:rPr>
            </w:pPr>
          </w:p>
          <w:p w14:paraId="6E14D224" w14:textId="77777777" w:rsidR="00073029" w:rsidRDefault="00073029" w:rsidP="00F67E96">
            <w:pPr>
              <w:tabs>
                <w:tab w:val="left" w:pos="851"/>
              </w:tabs>
              <w:rPr>
                <w:rFonts w:cs="Arial"/>
                <w:bCs/>
                <w:szCs w:val="24"/>
                <w:lang w:eastAsia="lt-LT"/>
              </w:rPr>
            </w:pPr>
          </w:p>
          <w:p w14:paraId="2FCE9548" w14:textId="77777777" w:rsidR="00073029" w:rsidRDefault="00073029" w:rsidP="00F67E96">
            <w:pPr>
              <w:tabs>
                <w:tab w:val="left" w:pos="851"/>
              </w:tabs>
              <w:rPr>
                <w:rFonts w:cs="Arial"/>
                <w:bCs/>
                <w:szCs w:val="24"/>
                <w:lang w:eastAsia="lt-LT"/>
              </w:rPr>
            </w:pPr>
          </w:p>
          <w:p w14:paraId="2341BBB5" w14:textId="77777777" w:rsidR="00073029" w:rsidRDefault="00073029" w:rsidP="00F67E96">
            <w:pPr>
              <w:tabs>
                <w:tab w:val="left" w:pos="851"/>
              </w:tabs>
              <w:rPr>
                <w:rFonts w:cs="Arial"/>
                <w:bCs/>
                <w:szCs w:val="24"/>
                <w:lang w:eastAsia="lt-LT"/>
              </w:rPr>
            </w:pPr>
          </w:p>
          <w:p w14:paraId="2BCACC59" w14:textId="77777777" w:rsidR="00073029" w:rsidRDefault="00073029" w:rsidP="00F67E96">
            <w:pPr>
              <w:tabs>
                <w:tab w:val="left" w:pos="851"/>
              </w:tabs>
              <w:rPr>
                <w:rFonts w:cs="Arial"/>
                <w:bCs/>
                <w:szCs w:val="24"/>
                <w:lang w:eastAsia="lt-LT"/>
              </w:rPr>
            </w:pPr>
          </w:p>
          <w:p w14:paraId="1E0E31A6" w14:textId="77777777" w:rsidR="00073029" w:rsidRDefault="00073029" w:rsidP="00F67E96">
            <w:pPr>
              <w:tabs>
                <w:tab w:val="left" w:pos="851"/>
              </w:tabs>
              <w:rPr>
                <w:rFonts w:cs="Arial"/>
                <w:bCs/>
                <w:szCs w:val="24"/>
                <w:lang w:eastAsia="lt-LT"/>
              </w:rPr>
            </w:pPr>
          </w:p>
          <w:p w14:paraId="21937371" w14:textId="77777777" w:rsidR="00073029" w:rsidRDefault="00073029" w:rsidP="00F67E96">
            <w:pPr>
              <w:tabs>
                <w:tab w:val="left" w:pos="851"/>
              </w:tabs>
              <w:rPr>
                <w:rFonts w:cs="Arial"/>
                <w:bCs/>
                <w:szCs w:val="24"/>
                <w:lang w:eastAsia="lt-LT"/>
              </w:rPr>
            </w:pPr>
          </w:p>
          <w:p w14:paraId="30C06A21" w14:textId="77777777" w:rsidR="00073029" w:rsidRDefault="00073029" w:rsidP="00F67E96">
            <w:pPr>
              <w:tabs>
                <w:tab w:val="left" w:pos="851"/>
              </w:tabs>
              <w:rPr>
                <w:rFonts w:cs="Arial"/>
                <w:bCs/>
                <w:szCs w:val="24"/>
                <w:lang w:eastAsia="lt-LT"/>
              </w:rPr>
            </w:pPr>
          </w:p>
          <w:p w14:paraId="60B430AE" w14:textId="77777777" w:rsidR="00073029" w:rsidRDefault="00073029" w:rsidP="00F67E96">
            <w:pPr>
              <w:tabs>
                <w:tab w:val="left" w:pos="851"/>
              </w:tabs>
              <w:rPr>
                <w:rFonts w:cs="Arial"/>
                <w:bCs/>
                <w:szCs w:val="24"/>
                <w:lang w:eastAsia="lt-LT"/>
              </w:rPr>
            </w:pPr>
          </w:p>
          <w:p w14:paraId="7BBC61FE" w14:textId="77777777" w:rsidR="00073029" w:rsidRDefault="00073029" w:rsidP="00F67E96">
            <w:pPr>
              <w:tabs>
                <w:tab w:val="left" w:pos="851"/>
              </w:tabs>
              <w:rPr>
                <w:rFonts w:cs="Arial"/>
                <w:bCs/>
                <w:szCs w:val="24"/>
                <w:lang w:eastAsia="lt-LT"/>
              </w:rPr>
            </w:pPr>
          </w:p>
          <w:p w14:paraId="050844DD" w14:textId="77777777" w:rsidR="00073029" w:rsidRDefault="00073029" w:rsidP="00F67E96">
            <w:pPr>
              <w:tabs>
                <w:tab w:val="left" w:pos="851"/>
              </w:tabs>
              <w:rPr>
                <w:rFonts w:cs="Arial"/>
                <w:bCs/>
                <w:szCs w:val="24"/>
                <w:lang w:eastAsia="lt-LT"/>
              </w:rPr>
            </w:pPr>
          </w:p>
          <w:p w14:paraId="294681DE" w14:textId="77777777" w:rsidR="00073029" w:rsidRDefault="00073029" w:rsidP="00F67E96">
            <w:pPr>
              <w:tabs>
                <w:tab w:val="left" w:pos="851"/>
              </w:tabs>
              <w:rPr>
                <w:rFonts w:cs="Arial"/>
                <w:bCs/>
                <w:szCs w:val="24"/>
                <w:lang w:eastAsia="lt-LT"/>
              </w:rPr>
            </w:pPr>
          </w:p>
          <w:p w14:paraId="10F0E23D" w14:textId="77777777" w:rsidR="00073029" w:rsidRDefault="00073029" w:rsidP="00F67E96">
            <w:pPr>
              <w:tabs>
                <w:tab w:val="left" w:pos="851"/>
              </w:tabs>
              <w:rPr>
                <w:rFonts w:cs="Arial"/>
                <w:bCs/>
                <w:szCs w:val="24"/>
                <w:lang w:eastAsia="lt-LT"/>
              </w:rPr>
            </w:pPr>
            <w:r>
              <w:rPr>
                <w:rFonts w:cs="Arial"/>
                <w:bCs/>
                <w:szCs w:val="24"/>
                <w:lang w:eastAsia="lt-LT"/>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407AB" w14:textId="77777777" w:rsidR="00073029" w:rsidRDefault="00073029" w:rsidP="00F67E96">
            <w:pPr>
              <w:tabs>
                <w:tab w:val="left" w:pos="851"/>
              </w:tabs>
              <w:rPr>
                <w:rFonts w:cs="Arial"/>
                <w:bCs/>
                <w:szCs w:val="24"/>
                <w:lang w:eastAsia="lt-LT"/>
              </w:rPr>
            </w:pPr>
            <w:r>
              <w:rPr>
                <w:rFonts w:cs="Arial"/>
                <w:bCs/>
                <w:szCs w:val="24"/>
                <w:lang w:eastAsia="lt-LT"/>
              </w:rPr>
              <w:lastRenderedPageBreak/>
              <w:t>Projekto vykdymas</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7546E5DD" w14:textId="77777777" w:rsidR="00073029" w:rsidRDefault="00073029" w:rsidP="00F67E96">
            <w:pPr>
              <w:jc w:val="both"/>
              <w:rPr>
                <w:rFonts w:eastAsia="Calibri"/>
                <w:color w:val="000000"/>
                <w:szCs w:val="24"/>
              </w:rPr>
            </w:pPr>
            <w:r>
              <w:rPr>
                <w:rFonts w:eastAsia="Calibri"/>
                <w:color w:val="000000"/>
                <w:szCs w:val="24"/>
              </w:rPr>
              <w:t>Tinkamomis finansuoti išlaidomis yra laikomos:</w:t>
            </w:r>
          </w:p>
          <w:p w14:paraId="3BED38B6" w14:textId="33373462" w:rsidR="00073029" w:rsidRDefault="00073029" w:rsidP="00F67E96">
            <w:pPr>
              <w:tabs>
                <w:tab w:val="left" w:pos="485"/>
              </w:tabs>
              <w:jc w:val="both"/>
              <w:rPr>
                <w:rFonts w:cs="Arial"/>
                <w:szCs w:val="24"/>
                <w:lang w:eastAsia="lt-LT"/>
              </w:rPr>
            </w:pPr>
            <w:r>
              <w:rPr>
                <w:rFonts w:cs="Arial"/>
                <w:szCs w:val="24"/>
                <w:lang w:eastAsia="lt-LT"/>
              </w:rPr>
              <w:t>5.1.</w:t>
            </w:r>
            <w:r>
              <w:rPr>
                <w:rFonts w:cs="Arial"/>
                <w:szCs w:val="24"/>
                <w:lang w:eastAsia="lt-LT"/>
              </w:rPr>
              <w:tab/>
            </w:r>
            <w:r>
              <w:rPr>
                <w:rFonts w:eastAsia="AngsanaUPC" w:cs="Arial"/>
                <w:bCs/>
                <w:szCs w:val="24"/>
                <w:lang w:eastAsia="lt-LT"/>
              </w:rPr>
              <w:t xml:space="preserve">verslo klasterio </w:t>
            </w:r>
            <w:r>
              <w:rPr>
                <w:rFonts w:cs="Arial"/>
                <w:szCs w:val="24"/>
                <w:lang w:eastAsia="lt-LT"/>
              </w:rPr>
              <w:t>narystės tarptautiniuose tinkluose (platformose</w:t>
            </w:r>
            <w:r w:rsidRPr="00DE7C7F">
              <w:rPr>
                <w:rFonts w:cs="Arial"/>
                <w:szCs w:val="24"/>
                <w:lang w:eastAsia="lt-LT"/>
              </w:rPr>
              <w:t xml:space="preserve">), </w:t>
            </w:r>
            <w:r w:rsidRPr="00073029">
              <w:rPr>
                <w:b/>
                <w:bCs/>
                <w:szCs w:val="24"/>
              </w:rPr>
              <w:t>tarptautinėse Europos ir pasaulio verslo organizacijose, klasteriuose</w:t>
            </w:r>
            <w:r>
              <w:rPr>
                <w:rFonts w:cs="Arial"/>
                <w:szCs w:val="24"/>
                <w:lang w:eastAsia="lt-LT"/>
              </w:rPr>
              <w:t xml:space="preserve"> mokestis. Šios išlaidos tinkamos finansuoti tik projekto įgyvendinimo metu;</w:t>
            </w:r>
          </w:p>
          <w:p w14:paraId="16A5677A" w14:textId="77777777" w:rsidR="00073029" w:rsidRDefault="00073029" w:rsidP="00F67E96">
            <w:pPr>
              <w:tabs>
                <w:tab w:val="left" w:pos="485"/>
              </w:tabs>
              <w:jc w:val="both"/>
              <w:rPr>
                <w:rFonts w:cs="Arial"/>
                <w:szCs w:val="24"/>
                <w:lang w:eastAsia="lt-LT"/>
              </w:rPr>
            </w:pPr>
            <w:r>
              <w:rPr>
                <w:rFonts w:cs="Arial"/>
                <w:szCs w:val="24"/>
                <w:lang w:eastAsia="lt-LT"/>
              </w:rPr>
              <w:t>5.2.</w:t>
            </w:r>
            <w:r>
              <w:rPr>
                <w:rFonts w:cs="Arial"/>
                <w:szCs w:val="24"/>
                <w:lang w:eastAsia="lt-LT"/>
              </w:rPr>
              <w:tab/>
              <w:t xml:space="preserve">verslo klasterio narių ekspertų darbo užmokestis (apmokamas taikant privačių juridinių asmenų projektų vykdančiojo personalo bei dalyvių darbo užmokesčio fiksuotuosius įkainius, kurie nustatomi vadovaujantis </w:t>
            </w:r>
            <w:r>
              <w:rPr>
                <w:color w:val="000000"/>
                <w:szCs w:val="24"/>
                <w:lang w:eastAsia="lt-LT"/>
              </w:rPr>
              <w:t xml:space="preserve">Lietuvos Respublikos finansų ministerijos </w:t>
            </w:r>
            <w:r>
              <w:rPr>
                <w:rFonts w:cs="Arial"/>
                <w:szCs w:val="24"/>
                <w:lang w:eastAsia="lt-LT"/>
              </w:rPr>
              <w:t>2016 m. vasario 19 d. patvirtinta „Privačių juridinių asmenų projektų vykdančiojo personalo bei dalyvių darbo užmokesčio fiksuotųjų įkainių nustatymo tyrimo ataskaita“</w:t>
            </w:r>
            <w:r>
              <w:rPr>
                <w:color w:val="000000"/>
                <w:szCs w:val="24"/>
                <w:lang w:eastAsia="lt-LT"/>
              </w:rPr>
              <w:t xml:space="preserve"> (2018 m. rugpjūčio 21 d. redakcija)</w:t>
            </w:r>
            <w:r>
              <w:rPr>
                <w:rFonts w:cs="Arial"/>
                <w:szCs w:val="24"/>
                <w:lang w:eastAsia="lt-LT"/>
              </w:rPr>
              <w:t xml:space="preserve">, </w:t>
            </w:r>
            <w:r>
              <w:rPr>
                <w:szCs w:val="24"/>
                <w:lang w:eastAsia="lt-LT"/>
              </w:rPr>
              <w:t>kuri skelbiama ES struktūrinių fondų svetainėje http://www.esinvesticijos.lt/lt/dokumentai/privaciu-juridiniu-asmenu-projektu-dalyviu-darbo-uzmokescio-fiksuotuju-ikainiu-nustatymo-tyrimo-ataskaita</w:t>
            </w:r>
            <w:r>
              <w:rPr>
                <w:rFonts w:cs="Arial"/>
                <w:szCs w:val="24"/>
                <w:lang w:eastAsia="lt-LT"/>
              </w:rPr>
              <w:t xml:space="preserve">) (toliau – privačių juridinių asmenų projektų vykdančiojo personalo bei dalyvių darbo </w:t>
            </w:r>
            <w:r>
              <w:rPr>
                <w:rFonts w:cs="Arial"/>
                <w:szCs w:val="24"/>
                <w:lang w:eastAsia="lt-LT"/>
              </w:rPr>
              <w:lastRenderedPageBreak/>
              <w:t xml:space="preserve">užmokesčio fiksuotieji įkainiai) ir komandiruočių (vykdančio personalo komandiruotės projekto veikloms vykdyti) transporto išlaidos (apmokamos taikant kuro ir viešojo transporto išlaidų fiksuotuosius įkainius, kurie nustatomi vadovaujantis </w:t>
            </w:r>
            <w:r>
              <w:rPr>
                <w:color w:val="000000"/>
                <w:szCs w:val="24"/>
                <w:lang w:eastAsia="lt-LT"/>
              </w:rPr>
              <w:t xml:space="preserve">Lietuvos Respublikos finansų ministerijos </w:t>
            </w:r>
            <w:r>
              <w:rPr>
                <w:rFonts w:cs="Arial"/>
                <w:szCs w:val="24"/>
                <w:lang w:eastAsia="lt-LT"/>
              </w:rPr>
              <w:t>2015 m. balandžio 24 d. patvirtinta „Kuro ir viešojo transporto išlaidų fiksuotųjų įkainių nustatymo tyrimo ataskaita</w:t>
            </w:r>
            <w:r>
              <w:rPr>
                <w:szCs w:val="24"/>
                <w:lang w:eastAsia="lt-LT"/>
              </w:rPr>
              <w:t>“, kuri skelbiama ES struktūrinių fondų svetainėje http://www.esinvesticijos.lt/lt/dokumentai/kuro-ir-viesojo-transporto-islaidu-fiksuotuju-ikainiu-nustatymo-tyrimo-ataskaita</w:t>
            </w:r>
            <w:r>
              <w:rPr>
                <w:rFonts w:cs="Arial"/>
                <w:szCs w:val="24"/>
                <w:lang w:eastAsia="lt-LT"/>
              </w:rPr>
              <w:t>ir komandiruočių išlaidos) (toliau – kuro ir viešojo transporto išlaidų fiksuotieji įkainiai);</w:t>
            </w:r>
          </w:p>
          <w:p w14:paraId="627F6020" w14:textId="77777777" w:rsidR="00073029" w:rsidRDefault="00073029" w:rsidP="00F67E96">
            <w:pPr>
              <w:tabs>
                <w:tab w:val="left" w:pos="485"/>
              </w:tabs>
              <w:jc w:val="both"/>
              <w:rPr>
                <w:rFonts w:cs="Arial"/>
                <w:szCs w:val="24"/>
                <w:lang w:eastAsia="lt-LT"/>
              </w:rPr>
            </w:pPr>
            <w:r>
              <w:rPr>
                <w:rFonts w:cs="Arial"/>
                <w:szCs w:val="24"/>
                <w:lang w:eastAsia="lt-LT"/>
              </w:rPr>
              <w:t>5.3.</w:t>
            </w:r>
            <w:r>
              <w:rPr>
                <w:rFonts w:cs="Arial"/>
                <w:szCs w:val="24"/>
                <w:lang w:eastAsia="lt-LT"/>
              </w:rPr>
              <w:tab/>
              <w:t>išlaidos, tiesiogiai susijusios su projekto veiklai vykdyti reikalingų tyrimų, analizių pirkimu. Šios išlaidos negali sudaryti daugiau nei 10 procentų tinkamų finansuoti išlaidų;</w:t>
            </w:r>
          </w:p>
          <w:p w14:paraId="4B979D4A" w14:textId="77777777" w:rsidR="00073029" w:rsidRDefault="00073029" w:rsidP="00F67E96">
            <w:pPr>
              <w:tabs>
                <w:tab w:val="left" w:pos="485"/>
              </w:tabs>
              <w:jc w:val="both"/>
              <w:rPr>
                <w:rFonts w:cs="Arial"/>
                <w:szCs w:val="24"/>
                <w:lang w:eastAsia="lt-LT"/>
              </w:rPr>
            </w:pPr>
            <w:r>
              <w:rPr>
                <w:rFonts w:cs="Arial"/>
                <w:szCs w:val="24"/>
                <w:lang w:eastAsia="lt-LT"/>
              </w:rPr>
              <w:t>5.4.</w:t>
            </w:r>
            <w:r>
              <w:rPr>
                <w:rFonts w:cs="Arial"/>
                <w:szCs w:val="24"/>
                <w:lang w:eastAsia="lt-LT"/>
              </w:rPr>
              <w:tab/>
              <w:t>rinkodaros priemonių, skirtų įmonių grupės paslaugų ir produktų žinomumui didinti, naujiems nariams pritraukti ar įsitraukti į tarptautinius tinklus (klasterius), verslo klasterio narių išlaidos (</w:t>
            </w:r>
            <w:r w:rsidRPr="00E057C8">
              <w:rPr>
                <w:rFonts w:cs="Arial"/>
                <w:strike/>
                <w:szCs w:val="24"/>
                <w:lang w:eastAsia="lt-LT"/>
              </w:rPr>
              <w:t>pvz.,</w:t>
            </w:r>
            <w:r>
              <w:rPr>
                <w:rFonts w:cs="Arial"/>
                <w:szCs w:val="24"/>
                <w:lang w:eastAsia="lt-LT"/>
              </w:rPr>
              <w:t xml:space="preserve"> lankstinukų, </w:t>
            </w:r>
            <w:r>
              <w:rPr>
                <w:szCs w:val="24"/>
                <w:lang w:eastAsia="lt-LT"/>
              </w:rPr>
              <w:t xml:space="preserve">interneto svetainės kūrimo, rinkodaros socialiniuose tinkluose, vaizdo reklamos internete, mobiliosios rinkodaros, reklamos elektroniniu paštu, reklamos interneto portaluose, turinio rinkodaros (internetiniai dienoraščiai, elektroninės knygos ir kiti elektroniniai leidiniai, nuotraukos ir 3D turai, instrukcijos ir vadovai </w:t>
            </w:r>
            <w:r w:rsidRPr="00E057C8">
              <w:rPr>
                <w:strike/>
                <w:szCs w:val="24"/>
                <w:lang w:eastAsia="lt-LT"/>
              </w:rPr>
              <w:t>ir pan.</w:t>
            </w:r>
            <w:r>
              <w:rPr>
                <w:szCs w:val="24"/>
                <w:lang w:eastAsia="lt-LT"/>
              </w:rPr>
              <w:t>) išlaidos)</w:t>
            </w:r>
            <w:r>
              <w:rPr>
                <w:rFonts w:cs="Arial"/>
                <w:szCs w:val="24"/>
                <w:lang w:eastAsia="lt-LT"/>
              </w:rPr>
              <w:t>;</w:t>
            </w:r>
          </w:p>
          <w:p w14:paraId="127A0EC8" w14:textId="77777777" w:rsidR="00073029" w:rsidRDefault="00073029" w:rsidP="00F67E96">
            <w:pPr>
              <w:tabs>
                <w:tab w:val="left" w:pos="485"/>
              </w:tabs>
              <w:jc w:val="both"/>
              <w:rPr>
                <w:szCs w:val="24"/>
                <w:lang w:eastAsia="lt-LT"/>
              </w:rPr>
            </w:pPr>
            <w:r>
              <w:rPr>
                <w:rFonts w:cs="Arial"/>
                <w:szCs w:val="24"/>
                <w:lang w:eastAsia="lt-LT"/>
              </w:rPr>
              <w:t>5.5.</w:t>
            </w:r>
            <w:r>
              <w:rPr>
                <w:rFonts w:cs="Arial"/>
                <w:szCs w:val="24"/>
                <w:lang w:eastAsia="lt-LT"/>
              </w:rPr>
              <w:tab/>
              <w:t>projektą vykdančio personalo darbo užmokesčio išlaidos (apmokamos taikant privačių juridinių asmenų projektų vykdančiojo personalo bei dalyvių darbo užmokesčio fiksuotuosius įkainius) ir projektą vykdančio personalo komandiruočių (vykdančio personalo komandiruotės projekto veikloms vykdyti) transporto išlaidos (apmokamos taikant kuro ir viešojo transporto išlaidų fiksuotuosius įkainius</w:t>
            </w:r>
            <w:r>
              <w:rPr>
                <w:szCs w:val="24"/>
                <w:lang w:eastAsia="lt-LT"/>
              </w:rPr>
              <w:t>);</w:t>
            </w:r>
          </w:p>
          <w:p w14:paraId="6F95BB89" w14:textId="14E1DA6E" w:rsidR="00073029" w:rsidRPr="00073029" w:rsidRDefault="00073029" w:rsidP="00E057C8">
            <w:pPr>
              <w:jc w:val="both"/>
              <w:rPr>
                <w:b/>
                <w:bCs/>
                <w:color w:val="222222"/>
                <w:szCs w:val="24"/>
              </w:rPr>
            </w:pPr>
            <w:r w:rsidRPr="00073029">
              <w:rPr>
                <w:b/>
                <w:bCs/>
                <w:szCs w:val="24"/>
              </w:rPr>
              <w:t>5.6. e</w:t>
            </w:r>
            <w:r w:rsidRPr="00073029">
              <w:rPr>
                <w:b/>
                <w:szCs w:val="24"/>
                <w:lang w:eastAsia="lt-LT"/>
              </w:rPr>
              <w:t>-</w:t>
            </w:r>
            <w:r w:rsidRPr="00073029">
              <w:rPr>
                <w:b/>
                <w:bCs/>
                <w:szCs w:val="24"/>
              </w:rPr>
              <w:t>paslaugų (</w:t>
            </w:r>
            <w:r w:rsidR="00E057C8">
              <w:rPr>
                <w:b/>
                <w:bCs/>
                <w:szCs w:val="24"/>
              </w:rPr>
              <w:t>e-konsultacijos; e-susitikimai</w:t>
            </w:r>
            <w:r w:rsidRPr="00073029">
              <w:rPr>
                <w:b/>
                <w:bCs/>
                <w:szCs w:val="24"/>
              </w:rPr>
              <w:t>) išlaidos</w:t>
            </w:r>
            <w:r w:rsidR="001F0BEB" w:rsidRPr="001F0BEB">
              <w:rPr>
                <w:b/>
                <w:bCs/>
                <w:szCs w:val="24"/>
              </w:rPr>
              <w:t xml:space="preserve">, </w:t>
            </w:r>
            <w:r w:rsidR="001F0BEB" w:rsidRPr="001F0BEB">
              <w:rPr>
                <w:b/>
                <w:bCs/>
                <w:color w:val="222222"/>
                <w:szCs w:val="24"/>
              </w:rPr>
              <w:t xml:space="preserve">kurios </w:t>
            </w:r>
            <w:r w:rsidR="001F0BEB" w:rsidRPr="001F0BEB">
              <w:rPr>
                <w:b/>
                <w:bCs/>
                <w:color w:val="000000" w:themeColor="text1"/>
              </w:rPr>
              <w:t xml:space="preserve">tinkamos finansuoti, jei yra patirtos ne anksčiau kaip 2020 m. vasario 26 d. (nuo </w:t>
            </w:r>
            <w:r w:rsidR="001F0BEB" w:rsidRPr="001F0BEB">
              <w:rPr>
                <w:b/>
                <w:bCs/>
                <w:color w:val="000000"/>
              </w:rPr>
              <w:t>valstybės lygio ekstremaliosios situacijos paskelbimo)</w:t>
            </w:r>
            <w:r w:rsidRPr="001F0BEB">
              <w:rPr>
                <w:b/>
                <w:szCs w:val="24"/>
                <w:lang w:eastAsia="lt-LT"/>
              </w:rPr>
              <w:t>.</w:t>
            </w:r>
          </w:p>
        </w:tc>
      </w:tr>
      <w:tr w:rsidR="00073029" w14:paraId="5E1F4732" w14:textId="77777777" w:rsidTr="003761F4">
        <w:tc>
          <w:tcPr>
            <w:tcW w:w="993" w:type="dxa"/>
            <w:tcBorders>
              <w:top w:val="single" w:sz="4" w:space="0" w:color="auto"/>
              <w:left w:val="single" w:sz="4" w:space="0" w:color="auto"/>
              <w:bottom w:val="single" w:sz="4" w:space="0" w:color="auto"/>
              <w:right w:val="single" w:sz="4" w:space="0" w:color="auto"/>
            </w:tcBorders>
            <w:shd w:val="clear" w:color="auto" w:fill="FFFFFF"/>
          </w:tcPr>
          <w:p w14:paraId="1BE6AD58" w14:textId="77777777" w:rsidR="00073029" w:rsidRDefault="00073029" w:rsidP="00F67E96">
            <w:pPr>
              <w:tabs>
                <w:tab w:val="left" w:pos="851"/>
              </w:tabs>
              <w:rPr>
                <w:rFonts w:cs="Arial"/>
                <w:bCs/>
                <w:szCs w:val="24"/>
                <w:lang w:eastAsia="lt-LT"/>
              </w:rPr>
            </w:pPr>
            <w:r>
              <w:rPr>
                <w:rFonts w:cs="Arial"/>
                <w:bCs/>
                <w:szCs w:val="24"/>
                <w:lang w:eastAsia="lt-LT"/>
              </w:rPr>
              <w:lastRenderedPageBreak/>
              <w:t>6.</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4C429" w14:textId="77777777" w:rsidR="00073029" w:rsidRDefault="00073029" w:rsidP="00F67E96">
            <w:pPr>
              <w:tabs>
                <w:tab w:val="left" w:pos="851"/>
              </w:tabs>
              <w:rPr>
                <w:rFonts w:cs="Arial"/>
                <w:bCs/>
                <w:szCs w:val="24"/>
                <w:lang w:eastAsia="lt-LT"/>
              </w:rPr>
            </w:pPr>
            <w:r>
              <w:rPr>
                <w:rFonts w:cs="Arial"/>
                <w:bCs/>
                <w:szCs w:val="24"/>
                <w:lang w:eastAsia="lt-LT"/>
              </w:rPr>
              <w:t xml:space="preserve">Informavimas apie projektą </w:t>
            </w:r>
          </w:p>
        </w:tc>
        <w:tc>
          <w:tcPr>
            <w:tcW w:w="6549" w:type="dxa"/>
            <w:tcBorders>
              <w:top w:val="single" w:sz="4" w:space="0" w:color="auto"/>
              <w:left w:val="single" w:sz="4" w:space="0" w:color="auto"/>
              <w:bottom w:val="single" w:sz="4" w:space="0" w:color="auto"/>
              <w:right w:val="single" w:sz="4" w:space="0" w:color="auto"/>
            </w:tcBorders>
            <w:shd w:val="clear" w:color="auto" w:fill="FFFFFF"/>
          </w:tcPr>
          <w:p w14:paraId="153645C5" w14:textId="77777777" w:rsidR="00073029" w:rsidRDefault="00073029" w:rsidP="00F67E96">
            <w:pPr>
              <w:jc w:val="both"/>
              <w:rPr>
                <w:rFonts w:eastAsia="Calibri"/>
                <w:color w:val="000000"/>
                <w:szCs w:val="24"/>
              </w:rPr>
            </w:pPr>
            <w:r>
              <w:rPr>
                <w:rFonts w:eastAsia="Calibri"/>
                <w:color w:val="000000"/>
                <w:szCs w:val="24"/>
              </w:rPr>
              <w:t xml:space="preserve">Tinkamomis finansuoti išlaidomis yra laikomos </w:t>
            </w:r>
            <w:r>
              <w:rPr>
                <w:rFonts w:cs="Arial"/>
                <w:szCs w:val="24"/>
                <w:lang w:eastAsia="lt-LT"/>
              </w:rPr>
              <w:t>išlaidos privalomiems informavimo apie projektą veiksmams.</w:t>
            </w:r>
          </w:p>
        </w:tc>
      </w:tr>
      <w:tr w:rsidR="00073029" w14:paraId="61AD169A" w14:textId="77777777" w:rsidTr="003761F4">
        <w:trPr>
          <w:trHeight w:val="681"/>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0FB1E94" w14:textId="77777777" w:rsidR="00073029" w:rsidRDefault="00073029" w:rsidP="00F67E96">
            <w:pPr>
              <w:tabs>
                <w:tab w:val="left" w:pos="851"/>
              </w:tabs>
              <w:rPr>
                <w:rFonts w:cs="Arial"/>
                <w:bCs/>
                <w:szCs w:val="24"/>
                <w:lang w:eastAsia="lt-LT"/>
              </w:rPr>
            </w:pPr>
            <w:r>
              <w:rPr>
                <w:rFonts w:cs="Arial"/>
                <w:bCs/>
                <w:szCs w:val="24"/>
                <w:lang w:eastAsia="lt-LT"/>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D116AA" w14:textId="77777777" w:rsidR="00073029" w:rsidRDefault="00073029" w:rsidP="00F67E96">
            <w:pPr>
              <w:tabs>
                <w:tab w:val="left" w:pos="851"/>
              </w:tabs>
              <w:rPr>
                <w:rFonts w:cs="Arial"/>
                <w:bCs/>
                <w:szCs w:val="24"/>
                <w:lang w:eastAsia="lt-LT"/>
              </w:rPr>
            </w:pPr>
            <w:r>
              <w:rPr>
                <w:rFonts w:cs="Arial"/>
                <w:bCs/>
                <w:szCs w:val="24"/>
                <w:lang w:eastAsia="lt-LT"/>
              </w:rPr>
              <w:t>Netiesioginės išlaidos ir kitos išlaidos pagal fiksuotąją projekto išlaidų normą</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2C5F5E30" w14:textId="77777777" w:rsidR="00073029" w:rsidRDefault="00073029" w:rsidP="00F67E96">
            <w:pPr>
              <w:tabs>
                <w:tab w:val="left" w:pos="851"/>
              </w:tabs>
              <w:jc w:val="both"/>
              <w:rPr>
                <w:rFonts w:cs="Arial"/>
                <w:szCs w:val="24"/>
                <w:lang w:eastAsia="lt-LT"/>
              </w:rPr>
            </w:pPr>
            <w:r>
              <w:rPr>
                <w:rFonts w:cs="Arial"/>
                <w:szCs w:val="24"/>
                <w:lang w:eastAsia="lt-LT"/>
              </w:rPr>
              <w:t xml:space="preserve">Netiesioginių projekto išlaidų suma pagal fiksuotąją normą apskaičiuojama vadovaujantis Projektų taisyklių 10 priedu. </w:t>
            </w:r>
          </w:p>
        </w:tc>
      </w:tr>
    </w:tbl>
    <w:p w14:paraId="0573F2A9" w14:textId="40EC2AC6" w:rsidR="003C5E3A" w:rsidRDefault="003C5E3A" w:rsidP="003641AC">
      <w:pPr>
        <w:jc w:val="both"/>
      </w:pPr>
    </w:p>
    <w:p w14:paraId="2170F51C" w14:textId="45B61C93" w:rsidR="00EB16C0" w:rsidRDefault="006012B5" w:rsidP="003641AC">
      <w:pPr>
        <w:jc w:val="both"/>
        <w:rPr>
          <w:sz w:val="20"/>
        </w:rPr>
      </w:pPr>
      <w:r>
        <w:t>E</w:t>
      </w:r>
      <w:r w:rsidR="007D171A">
        <w:t>konomikos ir inovacijų ministr</w:t>
      </w:r>
      <w:r>
        <w:t>as</w:t>
      </w:r>
      <w:r w:rsidR="00143BB3">
        <w:t xml:space="preserve">                                                              </w:t>
      </w:r>
      <w:r w:rsidR="004A384F">
        <w:t xml:space="preserve"> </w:t>
      </w:r>
      <w:r w:rsidR="00143BB3">
        <w:t xml:space="preserve">        </w:t>
      </w:r>
    </w:p>
    <w:p w14:paraId="797AD2C7" w14:textId="41F8D5F6" w:rsidR="00EB16C0" w:rsidRDefault="00EB16C0">
      <w:pPr>
        <w:tabs>
          <w:tab w:val="center" w:pos="4819"/>
          <w:tab w:val="right" w:pos="9638"/>
        </w:tabs>
        <w:jc w:val="both"/>
        <w:rPr>
          <w:sz w:val="20"/>
        </w:rPr>
      </w:pPr>
    </w:p>
    <w:p w14:paraId="0235046E" w14:textId="644C4734" w:rsidR="005F5258" w:rsidRDefault="005F5258">
      <w:pPr>
        <w:tabs>
          <w:tab w:val="center" w:pos="4819"/>
          <w:tab w:val="right" w:pos="9638"/>
        </w:tabs>
        <w:jc w:val="both"/>
        <w:rPr>
          <w:sz w:val="20"/>
        </w:rPr>
      </w:pPr>
    </w:p>
    <w:p w14:paraId="5D547AE4" w14:textId="5633AA2F" w:rsidR="005F5258" w:rsidRDefault="005F5258">
      <w:pPr>
        <w:tabs>
          <w:tab w:val="center" w:pos="4819"/>
          <w:tab w:val="right" w:pos="9638"/>
        </w:tabs>
        <w:jc w:val="both"/>
        <w:rPr>
          <w:sz w:val="20"/>
        </w:rPr>
      </w:pPr>
    </w:p>
    <w:p w14:paraId="1714B886" w14:textId="38F9BECD" w:rsidR="005F5258" w:rsidRDefault="005F5258">
      <w:pPr>
        <w:tabs>
          <w:tab w:val="center" w:pos="4819"/>
          <w:tab w:val="right" w:pos="9638"/>
        </w:tabs>
        <w:jc w:val="both"/>
        <w:rPr>
          <w:sz w:val="20"/>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5B581EA5"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6A02276" w14:textId="77777777" w:rsidR="00672FFE" w:rsidRPr="00B94DEA" w:rsidRDefault="008F2E8A">
      <w:pPr>
        <w:tabs>
          <w:tab w:val="center" w:pos="4819"/>
          <w:tab w:val="right" w:pos="9638"/>
        </w:tabs>
        <w:jc w:val="both"/>
        <w:rPr>
          <w:szCs w:val="24"/>
        </w:rPr>
      </w:pPr>
      <w:r w:rsidRPr="00B94DEA">
        <w:rPr>
          <w:szCs w:val="24"/>
        </w:rPr>
        <w:t>Europos Sąjungos investicijų planavimo</w:t>
      </w:r>
    </w:p>
    <w:p w14:paraId="52816DC5" w14:textId="2EB81890" w:rsidR="006C24D9" w:rsidRPr="00B94DEA" w:rsidRDefault="00192A94">
      <w:pPr>
        <w:tabs>
          <w:tab w:val="center" w:pos="4819"/>
          <w:tab w:val="right" w:pos="9638"/>
        </w:tabs>
        <w:jc w:val="both"/>
        <w:rPr>
          <w:szCs w:val="24"/>
        </w:rPr>
      </w:pPr>
      <w:r w:rsidRPr="00B94DEA">
        <w:rPr>
          <w:szCs w:val="24"/>
        </w:rPr>
        <w:t xml:space="preserve">skyriaus </w:t>
      </w:r>
      <w:r w:rsidR="00F302A0">
        <w:rPr>
          <w:szCs w:val="24"/>
        </w:rPr>
        <w:t>vyriausioji specialistė</w:t>
      </w:r>
    </w:p>
    <w:p w14:paraId="4A5CFC14" w14:textId="3C7D21AF" w:rsidR="005430E4" w:rsidRDefault="005430E4" w:rsidP="008D405F">
      <w:pPr>
        <w:tabs>
          <w:tab w:val="center" w:pos="4819"/>
          <w:tab w:val="right" w:pos="9638"/>
        </w:tabs>
        <w:jc w:val="both"/>
        <w:rPr>
          <w:szCs w:val="24"/>
        </w:rPr>
      </w:pPr>
    </w:p>
    <w:p w14:paraId="2781F870" w14:textId="2A33EEEF" w:rsidR="00F302A0" w:rsidRPr="00B94DEA" w:rsidRDefault="00F302A0" w:rsidP="008D405F">
      <w:pPr>
        <w:tabs>
          <w:tab w:val="center" w:pos="4819"/>
          <w:tab w:val="right" w:pos="9638"/>
        </w:tabs>
        <w:jc w:val="both"/>
        <w:rPr>
          <w:rFonts w:eastAsia="Calibri"/>
          <w:szCs w:val="24"/>
        </w:rPr>
      </w:pPr>
      <w:r>
        <w:rPr>
          <w:szCs w:val="24"/>
        </w:rPr>
        <w:t>Živilė Bilotienė</w:t>
      </w:r>
    </w:p>
    <w:sectPr w:rsidR="00F302A0" w:rsidRPr="00B94DEA" w:rsidSect="003761F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709"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BA27" w14:textId="77777777" w:rsidR="0082491E" w:rsidRDefault="0082491E">
      <w:pPr>
        <w:ind w:firstLine="851"/>
        <w:jc w:val="both"/>
        <w:rPr>
          <w:szCs w:val="24"/>
        </w:rPr>
      </w:pPr>
      <w:r>
        <w:rPr>
          <w:szCs w:val="24"/>
        </w:rPr>
        <w:separator/>
      </w:r>
    </w:p>
    <w:p w14:paraId="612653AA" w14:textId="77777777" w:rsidR="0082491E" w:rsidRDefault="0082491E"/>
    <w:p w14:paraId="1664975F" w14:textId="77777777" w:rsidR="0082491E" w:rsidRDefault="0082491E">
      <w:pPr>
        <w:ind w:firstLine="851"/>
        <w:jc w:val="both"/>
        <w:rPr>
          <w:szCs w:val="24"/>
        </w:rPr>
      </w:pPr>
    </w:p>
  </w:endnote>
  <w:endnote w:type="continuationSeparator" w:id="0">
    <w:p w14:paraId="78019A04" w14:textId="77777777" w:rsidR="0082491E" w:rsidRDefault="0082491E">
      <w:pPr>
        <w:ind w:firstLine="851"/>
        <w:jc w:val="both"/>
        <w:rPr>
          <w:szCs w:val="24"/>
        </w:rPr>
      </w:pPr>
      <w:r>
        <w:rPr>
          <w:szCs w:val="24"/>
        </w:rPr>
        <w:continuationSeparator/>
      </w:r>
    </w:p>
    <w:p w14:paraId="707E7673" w14:textId="77777777" w:rsidR="0082491E" w:rsidRDefault="0082491E"/>
    <w:p w14:paraId="3E93024D" w14:textId="77777777" w:rsidR="0082491E" w:rsidRDefault="0082491E">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D8480" w14:textId="77777777" w:rsidR="0082491E" w:rsidRDefault="0082491E">
      <w:pPr>
        <w:ind w:firstLine="851"/>
        <w:jc w:val="both"/>
        <w:rPr>
          <w:szCs w:val="24"/>
        </w:rPr>
      </w:pPr>
      <w:r>
        <w:rPr>
          <w:szCs w:val="24"/>
        </w:rPr>
        <w:separator/>
      </w:r>
    </w:p>
    <w:p w14:paraId="0520F107" w14:textId="77777777" w:rsidR="0082491E" w:rsidRDefault="0082491E"/>
    <w:p w14:paraId="5BCB5ACE" w14:textId="77777777" w:rsidR="0082491E" w:rsidRDefault="0082491E">
      <w:pPr>
        <w:ind w:firstLine="851"/>
        <w:jc w:val="both"/>
        <w:rPr>
          <w:szCs w:val="24"/>
        </w:rPr>
      </w:pPr>
    </w:p>
  </w:footnote>
  <w:footnote w:type="continuationSeparator" w:id="0">
    <w:p w14:paraId="52A7D2AE" w14:textId="77777777" w:rsidR="0082491E" w:rsidRDefault="0082491E">
      <w:pPr>
        <w:ind w:firstLine="851"/>
        <w:jc w:val="both"/>
        <w:rPr>
          <w:szCs w:val="24"/>
        </w:rPr>
      </w:pPr>
      <w:r>
        <w:rPr>
          <w:szCs w:val="24"/>
        </w:rPr>
        <w:continuationSeparator/>
      </w:r>
    </w:p>
    <w:p w14:paraId="0B4A4A03" w14:textId="77777777" w:rsidR="0082491E" w:rsidRDefault="0082491E"/>
    <w:p w14:paraId="3C05FEAD" w14:textId="77777777" w:rsidR="0082491E" w:rsidRDefault="0082491E">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5CFF371A"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A77318">
      <w:rPr>
        <w:noProof/>
        <w:szCs w:val="24"/>
      </w:rPr>
      <w:t>2</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5E8449D4" w:rsidR="00ED0306" w:rsidRPr="00F01E22" w:rsidRDefault="00BB707A">
    <w:pPr>
      <w:tabs>
        <w:tab w:val="center" w:pos="4819"/>
        <w:tab w:val="right" w:pos="9638"/>
      </w:tabs>
      <w:ind w:firstLine="851"/>
      <w:jc w:val="both"/>
      <w:rPr>
        <w:b/>
        <w:szCs w:val="24"/>
      </w:rPr>
    </w:pPr>
    <w:r>
      <w:rPr>
        <w:szCs w:val="24"/>
      </w:rPr>
      <w:tab/>
    </w:r>
    <w:r>
      <w:rPr>
        <w:szCs w:val="24"/>
      </w:rPr>
      <w:tab/>
    </w:r>
    <w:r w:rsidR="00581D63" w:rsidRPr="00C007A2">
      <w:rPr>
        <w:b/>
        <w:bCs/>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69E3"/>
    <w:multiLevelType w:val="hybridMultilevel"/>
    <w:tmpl w:val="E2B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2"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CA18E0"/>
    <w:multiLevelType w:val="hybridMultilevel"/>
    <w:tmpl w:val="F1503CD4"/>
    <w:lvl w:ilvl="0" w:tplc="0409000F">
      <w:start w:val="1"/>
      <w:numFmt w:val="decimal"/>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5" w15:restartNumberingAfterBreak="0">
    <w:nsid w:val="495D2E59"/>
    <w:multiLevelType w:val="hybridMultilevel"/>
    <w:tmpl w:val="8EE0C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D0D03"/>
    <w:multiLevelType w:val="hybridMultilevel"/>
    <w:tmpl w:val="7ADA77FE"/>
    <w:lvl w:ilvl="0" w:tplc="10C266BA">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en-US" w:vendorID="64" w:dllVersion="0" w:nlCheck="1" w:checkStyle="0"/>
  <w:proofState w:spelling="clean" w:grammar="clean"/>
  <w:defaultTabStop w:val="567"/>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0781B"/>
    <w:rsid w:val="000176DF"/>
    <w:rsid w:val="00022E1B"/>
    <w:rsid w:val="00023902"/>
    <w:rsid w:val="0003288A"/>
    <w:rsid w:val="00032B71"/>
    <w:rsid w:val="00036743"/>
    <w:rsid w:val="00045EE1"/>
    <w:rsid w:val="00051FF0"/>
    <w:rsid w:val="00057FB0"/>
    <w:rsid w:val="00060D98"/>
    <w:rsid w:val="00062609"/>
    <w:rsid w:val="00063341"/>
    <w:rsid w:val="000715F7"/>
    <w:rsid w:val="00073029"/>
    <w:rsid w:val="0007715E"/>
    <w:rsid w:val="000902BA"/>
    <w:rsid w:val="000941B4"/>
    <w:rsid w:val="00096227"/>
    <w:rsid w:val="000A1209"/>
    <w:rsid w:val="000A37F6"/>
    <w:rsid w:val="000A47B6"/>
    <w:rsid w:val="000B164D"/>
    <w:rsid w:val="000B2419"/>
    <w:rsid w:val="000B377F"/>
    <w:rsid w:val="000B3E4E"/>
    <w:rsid w:val="000B521B"/>
    <w:rsid w:val="000C66EE"/>
    <w:rsid w:val="000C7AA2"/>
    <w:rsid w:val="000C7B3B"/>
    <w:rsid w:val="000D0327"/>
    <w:rsid w:val="000D1F09"/>
    <w:rsid w:val="000D7FC1"/>
    <w:rsid w:val="000E2E31"/>
    <w:rsid w:val="000E301F"/>
    <w:rsid w:val="000E3E8B"/>
    <w:rsid w:val="000E6724"/>
    <w:rsid w:val="000E79FE"/>
    <w:rsid w:val="000F242F"/>
    <w:rsid w:val="000F3C92"/>
    <w:rsid w:val="000F5031"/>
    <w:rsid w:val="000F77C8"/>
    <w:rsid w:val="000F7EA0"/>
    <w:rsid w:val="0010052B"/>
    <w:rsid w:val="00116183"/>
    <w:rsid w:val="00124201"/>
    <w:rsid w:val="00125D1B"/>
    <w:rsid w:val="0013125F"/>
    <w:rsid w:val="001438DD"/>
    <w:rsid w:val="00143BB3"/>
    <w:rsid w:val="00143CBF"/>
    <w:rsid w:val="00147642"/>
    <w:rsid w:val="00157A5C"/>
    <w:rsid w:val="0016084A"/>
    <w:rsid w:val="00164EDC"/>
    <w:rsid w:val="00182D89"/>
    <w:rsid w:val="00184D08"/>
    <w:rsid w:val="001877EB"/>
    <w:rsid w:val="00187893"/>
    <w:rsid w:val="00192A94"/>
    <w:rsid w:val="001A51D8"/>
    <w:rsid w:val="001A5DE9"/>
    <w:rsid w:val="001B5B75"/>
    <w:rsid w:val="001B7ABE"/>
    <w:rsid w:val="001C1D95"/>
    <w:rsid w:val="001C1FF6"/>
    <w:rsid w:val="001C3567"/>
    <w:rsid w:val="001C5A8D"/>
    <w:rsid w:val="001D09BE"/>
    <w:rsid w:val="001D532B"/>
    <w:rsid w:val="001D59BB"/>
    <w:rsid w:val="001D6C71"/>
    <w:rsid w:val="001D7B66"/>
    <w:rsid w:val="001E3469"/>
    <w:rsid w:val="001F0BEB"/>
    <w:rsid w:val="001F2D4F"/>
    <w:rsid w:val="001F3B14"/>
    <w:rsid w:val="001F3FE3"/>
    <w:rsid w:val="001F4DE6"/>
    <w:rsid w:val="002039C1"/>
    <w:rsid w:val="00206631"/>
    <w:rsid w:val="00212DFA"/>
    <w:rsid w:val="00215F53"/>
    <w:rsid w:val="00226FBC"/>
    <w:rsid w:val="002311F2"/>
    <w:rsid w:val="0023416B"/>
    <w:rsid w:val="00235896"/>
    <w:rsid w:val="002422E3"/>
    <w:rsid w:val="00243475"/>
    <w:rsid w:val="0024795C"/>
    <w:rsid w:val="0025174E"/>
    <w:rsid w:val="00255095"/>
    <w:rsid w:val="0025739D"/>
    <w:rsid w:val="00257F98"/>
    <w:rsid w:val="00261138"/>
    <w:rsid w:val="00265CB1"/>
    <w:rsid w:val="002673B6"/>
    <w:rsid w:val="002733E9"/>
    <w:rsid w:val="0029637D"/>
    <w:rsid w:val="00297B5B"/>
    <w:rsid w:val="00297F60"/>
    <w:rsid w:val="002A4DB2"/>
    <w:rsid w:val="002A7E43"/>
    <w:rsid w:val="002B487E"/>
    <w:rsid w:val="002C5F09"/>
    <w:rsid w:val="002D6B5A"/>
    <w:rsid w:val="002E2B03"/>
    <w:rsid w:val="002E42A9"/>
    <w:rsid w:val="002F1439"/>
    <w:rsid w:val="002F21AE"/>
    <w:rsid w:val="002F6FEE"/>
    <w:rsid w:val="00303515"/>
    <w:rsid w:val="003059DA"/>
    <w:rsid w:val="00310FE7"/>
    <w:rsid w:val="00312C5E"/>
    <w:rsid w:val="00335D70"/>
    <w:rsid w:val="00346BEE"/>
    <w:rsid w:val="00351303"/>
    <w:rsid w:val="003525DC"/>
    <w:rsid w:val="00354A45"/>
    <w:rsid w:val="003620A9"/>
    <w:rsid w:val="003641AC"/>
    <w:rsid w:val="00367189"/>
    <w:rsid w:val="00367B05"/>
    <w:rsid w:val="00370EF6"/>
    <w:rsid w:val="00373A2D"/>
    <w:rsid w:val="003761F4"/>
    <w:rsid w:val="00384D0A"/>
    <w:rsid w:val="00392BBA"/>
    <w:rsid w:val="0039495B"/>
    <w:rsid w:val="00394FA9"/>
    <w:rsid w:val="003950B1"/>
    <w:rsid w:val="003A4CF1"/>
    <w:rsid w:val="003B7118"/>
    <w:rsid w:val="003C481C"/>
    <w:rsid w:val="003C5E3A"/>
    <w:rsid w:val="003C673E"/>
    <w:rsid w:val="003E11D3"/>
    <w:rsid w:val="003E30B8"/>
    <w:rsid w:val="003E730D"/>
    <w:rsid w:val="003F4BA2"/>
    <w:rsid w:val="003F4F04"/>
    <w:rsid w:val="003F5DCD"/>
    <w:rsid w:val="003F6D75"/>
    <w:rsid w:val="00401B1E"/>
    <w:rsid w:val="00402554"/>
    <w:rsid w:val="004064F7"/>
    <w:rsid w:val="00411A4D"/>
    <w:rsid w:val="00420EBA"/>
    <w:rsid w:val="0042501E"/>
    <w:rsid w:val="00431A04"/>
    <w:rsid w:val="0043332D"/>
    <w:rsid w:val="00440371"/>
    <w:rsid w:val="00442251"/>
    <w:rsid w:val="00453B31"/>
    <w:rsid w:val="00455D03"/>
    <w:rsid w:val="00456B4C"/>
    <w:rsid w:val="00457C81"/>
    <w:rsid w:val="00461D35"/>
    <w:rsid w:val="00471613"/>
    <w:rsid w:val="00473BA8"/>
    <w:rsid w:val="00484202"/>
    <w:rsid w:val="0048442A"/>
    <w:rsid w:val="004845F2"/>
    <w:rsid w:val="004A13A8"/>
    <w:rsid w:val="004A384F"/>
    <w:rsid w:val="004A62A5"/>
    <w:rsid w:val="004B1A16"/>
    <w:rsid w:val="004B3919"/>
    <w:rsid w:val="004B4C0D"/>
    <w:rsid w:val="004C2012"/>
    <w:rsid w:val="004C35C4"/>
    <w:rsid w:val="004C711D"/>
    <w:rsid w:val="004D014D"/>
    <w:rsid w:val="004E312D"/>
    <w:rsid w:val="004F1692"/>
    <w:rsid w:val="004F192B"/>
    <w:rsid w:val="00507E31"/>
    <w:rsid w:val="0051143A"/>
    <w:rsid w:val="005124A1"/>
    <w:rsid w:val="0051496E"/>
    <w:rsid w:val="005153A9"/>
    <w:rsid w:val="0051663D"/>
    <w:rsid w:val="00520EE7"/>
    <w:rsid w:val="005251DE"/>
    <w:rsid w:val="005257F6"/>
    <w:rsid w:val="00525EA1"/>
    <w:rsid w:val="00530CFB"/>
    <w:rsid w:val="00535362"/>
    <w:rsid w:val="005430E4"/>
    <w:rsid w:val="00546485"/>
    <w:rsid w:val="00550234"/>
    <w:rsid w:val="005503B8"/>
    <w:rsid w:val="00551B8D"/>
    <w:rsid w:val="00551CD0"/>
    <w:rsid w:val="00552C2D"/>
    <w:rsid w:val="005537AD"/>
    <w:rsid w:val="00554A7B"/>
    <w:rsid w:val="005754CF"/>
    <w:rsid w:val="0057707D"/>
    <w:rsid w:val="00581D63"/>
    <w:rsid w:val="00586CEF"/>
    <w:rsid w:val="00590F0F"/>
    <w:rsid w:val="00592B71"/>
    <w:rsid w:val="00595F81"/>
    <w:rsid w:val="0059630D"/>
    <w:rsid w:val="00597006"/>
    <w:rsid w:val="005A116A"/>
    <w:rsid w:val="005A6313"/>
    <w:rsid w:val="005B7210"/>
    <w:rsid w:val="005C4251"/>
    <w:rsid w:val="005D01DE"/>
    <w:rsid w:val="005D0CD3"/>
    <w:rsid w:val="005D2926"/>
    <w:rsid w:val="005D3AA5"/>
    <w:rsid w:val="005E06A6"/>
    <w:rsid w:val="005E3EA8"/>
    <w:rsid w:val="005F0229"/>
    <w:rsid w:val="005F3302"/>
    <w:rsid w:val="005F5258"/>
    <w:rsid w:val="005F6F1F"/>
    <w:rsid w:val="006012B5"/>
    <w:rsid w:val="00603E38"/>
    <w:rsid w:val="00613585"/>
    <w:rsid w:val="00616452"/>
    <w:rsid w:val="00616B1C"/>
    <w:rsid w:val="00622F0C"/>
    <w:rsid w:val="0063659E"/>
    <w:rsid w:val="006438DB"/>
    <w:rsid w:val="0064787E"/>
    <w:rsid w:val="00650D87"/>
    <w:rsid w:val="006524E3"/>
    <w:rsid w:val="00664774"/>
    <w:rsid w:val="00672FFE"/>
    <w:rsid w:val="00675192"/>
    <w:rsid w:val="00682CC9"/>
    <w:rsid w:val="006870A4"/>
    <w:rsid w:val="00695C3D"/>
    <w:rsid w:val="006A0090"/>
    <w:rsid w:val="006A2D0B"/>
    <w:rsid w:val="006A55F7"/>
    <w:rsid w:val="006A7852"/>
    <w:rsid w:val="006B2242"/>
    <w:rsid w:val="006B3A67"/>
    <w:rsid w:val="006B3ED9"/>
    <w:rsid w:val="006B743F"/>
    <w:rsid w:val="006C24D9"/>
    <w:rsid w:val="006C2D86"/>
    <w:rsid w:val="006C5D49"/>
    <w:rsid w:val="006E3B1E"/>
    <w:rsid w:val="006F555D"/>
    <w:rsid w:val="006F5D90"/>
    <w:rsid w:val="00704745"/>
    <w:rsid w:val="00705313"/>
    <w:rsid w:val="00707E9E"/>
    <w:rsid w:val="00714AAE"/>
    <w:rsid w:val="00715B6B"/>
    <w:rsid w:val="00722B12"/>
    <w:rsid w:val="00731A11"/>
    <w:rsid w:val="00733A10"/>
    <w:rsid w:val="00735F7E"/>
    <w:rsid w:val="007365F8"/>
    <w:rsid w:val="00745BC3"/>
    <w:rsid w:val="0074745B"/>
    <w:rsid w:val="00754EFE"/>
    <w:rsid w:val="00757B8C"/>
    <w:rsid w:val="007654BE"/>
    <w:rsid w:val="00765BCF"/>
    <w:rsid w:val="00770A23"/>
    <w:rsid w:val="00772D40"/>
    <w:rsid w:val="00781AD2"/>
    <w:rsid w:val="0078201E"/>
    <w:rsid w:val="00783B22"/>
    <w:rsid w:val="00791C53"/>
    <w:rsid w:val="0079345E"/>
    <w:rsid w:val="0079411D"/>
    <w:rsid w:val="00797A67"/>
    <w:rsid w:val="007A0221"/>
    <w:rsid w:val="007A1AC4"/>
    <w:rsid w:val="007A237B"/>
    <w:rsid w:val="007A7733"/>
    <w:rsid w:val="007B1F63"/>
    <w:rsid w:val="007B5401"/>
    <w:rsid w:val="007B6BE9"/>
    <w:rsid w:val="007C0251"/>
    <w:rsid w:val="007C4E1F"/>
    <w:rsid w:val="007D171A"/>
    <w:rsid w:val="007D7324"/>
    <w:rsid w:val="007E027D"/>
    <w:rsid w:val="007E04DE"/>
    <w:rsid w:val="007E4F2F"/>
    <w:rsid w:val="007E66F2"/>
    <w:rsid w:val="007E7504"/>
    <w:rsid w:val="007F2C8F"/>
    <w:rsid w:val="00803111"/>
    <w:rsid w:val="00803795"/>
    <w:rsid w:val="00814001"/>
    <w:rsid w:val="00815F06"/>
    <w:rsid w:val="00815F1C"/>
    <w:rsid w:val="00820EBD"/>
    <w:rsid w:val="00821363"/>
    <w:rsid w:val="00823C2E"/>
    <w:rsid w:val="0082491E"/>
    <w:rsid w:val="00833766"/>
    <w:rsid w:val="008467A2"/>
    <w:rsid w:val="00861699"/>
    <w:rsid w:val="00880B9A"/>
    <w:rsid w:val="00881201"/>
    <w:rsid w:val="00881395"/>
    <w:rsid w:val="00887530"/>
    <w:rsid w:val="00892287"/>
    <w:rsid w:val="008948A8"/>
    <w:rsid w:val="008A0F85"/>
    <w:rsid w:val="008A2FA1"/>
    <w:rsid w:val="008A5213"/>
    <w:rsid w:val="008A6DAE"/>
    <w:rsid w:val="008B1499"/>
    <w:rsid w:val="008B549F"/>
    <w:rsid w:val="008C0105"/>
    <w:rsid w:val="008C16AC"/>
    <w:rsid w:val="008C7026"/>
    <w:rsid w:val="008C7790"/>
    <w:rsid w:val="008D3C6A"/>
    <w:rsid w:val="008D405F"/>
    <w:rsid w:val="008D46BC"/>
    <w:rsid w:val="008D48F7"/>
    <w:rsid w:val="008D51D6"/>
    <w:rsid w:val="008E6BEE"/>
    <w:rsid w:val="008F2E8A"/>
    <w:rsid w:val="008F6844"/>
    <w:rsid w:val="00914F13"/>
    <w:rsid w:val="00915BA3"/>
    <w:rsid w:val="00932ECF"/>
    <w:rsid w:val="009407AA"/>
    <w:rsid w:val="0094179F"/>
    <w:rsid w:val="00950F9C"/>
    <w:rsid w:val="00952C0C"/>
    <w:rsid w:val="00953C60"/>
    <w:rsid w:val="009542FC"/>
    <w:rsid w:val="00957671"/>
    <w:rsid w:val="009617F1"/>
    <w:rsid w:val="00962038"/>
    <w:rsid w:val="00966281"/>
    <w:rsid w:val="00970448"/>
    <w:rsid w:val="00972EF9"/>
    <w:rsid w:val="0097396B"/>
    <w:rsid w:val="00975A60"/>
    <w:rsid w:val="00986F7A"/>
    <w:rsid w:val="00993E18"/>
    <w:rsid w:val="009A0D38"/>
    <w:rsid w:val="009B1927"/>
    <w:rsid w:val="009B5330"/>
    <w:rsid w:val="009C1A72"/>
    <w:rsid w:val="009E07D9"/>
    <w:rsid w:val="009E1C89"/>
    <w:rsid w:val="009E303B"/>
    <w:rsid w:val="009E30ED"/>
    <w:rsid w:val="009E41C5"/>
    <w:rsid w:val="009F46A6"/>
    <w:rsid w:val="009F4B03"/>
    <w:rsid w:val="00A00482"/>
    <w:rsid w:val="00A04672"/>
    <w:rsid w:val="00A11D0F"/>
    <w:rsid w:val="00A12C4A"/>
    <w:rsid w:val="00A13C8B"/>
    <w:rsid w:val="00A20018"/>
    <w:rsid w:val="00A22AFA"/>
    <w:rsid w:val="00A235E2"/>
    <w:rsid w:val="00A26E6A"/>
    <w:rsid w:val="00A277CF"/>
    <w:rsid w:val="00A27922"/>
    <w:rsid w:val="00A30E10"/>
    <w:rsid w:val="00A361D2"/>
    <w:rsid w:val="00A3628F"/>
    <w:rsid w:val="00A36B47"/>
    <w:rsid w:val="00A3738A"/>
    <w:rsid w:val="00A47260"/>
    <w:rsid w:val="00A5226E"/>
    <w:rsid w:val="00A56658"/>
    <w:rsid w:val="00A602AB"/>
    <w:rsid w:val="00A608E8"/>
    <w:rsid w:val="00A660A8"/>
    <w:rsid w:val="00A70AD6"/>
    <w:rsid w:val="00A70F92"/>
    <w:rsid w:val="00A77318"/>
    <w:rsid w:val="00A804CD"/>
    <w:rsid w:val="00A916C6"/>
    <w:rsid w:val="00AA2EA6"/>
    <w:rsid w:val="00AA74D2"/>
    <w:rsid w:val="00AB147F"/>
    <w:rsid w:val="00AB1660"/>
    <w:rsid w:val="00AB569C"/>
    <w:rsid w:val="00AB6202"/>
    <w:rsid w:val="00AD2616"/>
    <w:rsid w:val="00AD6B9F"/>
    <w:rsid w:val="00AD7A23"/>
    <w:rsid w:val="00AD7CDB"/>
    <w:rsid w:val="00AE247B"/>
    <w:rsid w:val="00AE5125"/>
    <w:rsid w:val="00AE5EF5"/>
    <w:rsid w:val="00AF1377"/>
    <w:rsid w:val="00AF3453"/>
    <w:rsid w:val="00AF389C"/>
    <w:rsid w:val="00AF606D"/>
    <w:rsid w:val="00AF77F6"/>
    <w:rsid w:val="00B032DE"/>
    <w:rsid w:val="00B03728"/>
    <w:rsid w:val="00B04A84"/>
    <w:rsid w:val="00B10D81"/>
    <w:rsid w:val="00B14533"/>
    <w:rsid w:val="00B160CA"/>
    <w:rsid w:val="00B21246"/>
    <w:rsid w:val="00B212A5"/>
    <w:rsid w:val="00B22DD8"/>
    <w:rsid w:val="00B2758B"/>
    <w:rsid w:val="00B35C3C"/>
    <w:rsid w:val="00B41F11"/>
    <w:rsid w:val="00B526FB"/>
    <w:rsid w:val="00B53E34"/>
    <w:rsid w:val="00B56CF8"/>
    <w:rsid w:val="00B6029F"/>
    <w:rsid w:val="00B61245"/>
    <w:rsid w:val="00B6416D"/>
    <w:rsid w:val="00B673E3"/>
    <w:rsid w:val="00B67712"/>
    <w:rsid w:val="00B72038"/>
    <w:rsid w:val="00B77167"/>
    <w:rsid w:val="00B8695E"/>
    <w:rsid w:val="00B94DEA"/>
    <w:rsid w:val="00B967DC"/>
    <w:rsid w:val="00B96A7B"/>
    <w:rsid w:val="00B97AA0"/>
    <w:rsid w:val="00BA03EE"/>
    <w:rsid w:val="00BA2517"/>
    <w:rsid w:val="00BA6653"/>
    <w:rsid w:val="00BA6CE9"/>
    <w:rsid w:val="00BB707A"/>
    <w:rsid w:val="00BC3C6E"/>
    <w:rsid w:val="00BC401C"/>
    <w:rsid w:val="00BD0A11"/>
    <w:rsid w:val="00BE0C93"/>
    <w:rsid w:val="00BE30D7"/>
    <w:rsid w:val="00BE4B5C"/>
    <w:rsid w:val="00C01D8C"/>
    <w:rsid w:val="00C139C8"/>
    <w:rsid w:val="00C14117"/>
    <w:rsid w:val="00C142FB"/>
    <w:rsid w:val="00C17F1A"/>
    <w:rsid w:val="00C22D24"/>
    <w:rsid w:val="00C25938"/>
    <w:rsid w:val="00C25D26"/>
    <w:rsid w:val="00C2787F"/>
    <w:rsid w:val="00C42366"/>
    <w:rsid w:val="00C438C9"/>
    <w:rsid w:val="00C47DC7"/>
    <w:rsid w:val="00C55A69"/>
    <w:rsid w:val="00C6098D"/>
    <w:rsid w:val="00C66DA0"/>
    <w:rsid w:val="00C702E9"/>
    <w:rsid w:val="00C7320D"/>
    <w:rsid w:val="00C77351"/>
    <w:rsid w:val="00C86DE3"/>
    <w:rsid w:val="00C9057F"/>
    <w:rsid w:val="00C94462"/>
    <w:rsid w:val="00C968B9"/>
    <w:rsid w:val="00CA1C4F"/>
    <w:rsid w:val="00CA241A"/>
    <w:rsid w:val="00CA2FC3"/>
    <w:rsid w:val="00CB2E00"/>
    <w:rsid w:val="00CB7F65"/>
    <w:rsid w:val="00CC60D3"/>
    <w:rsid w:val="00CE4F40"/>
    <w:rsid w:val="00CF00CA"/>
    <w:rsid w:val="00CF0535"/>
    <w:rsid w:val="00CF46C0"/>
    <w:rsid w:val="00CF5810"/>
    <w:rsid w:val="00CF6C59"/>
    <w:rsid w:val="00CF6F48"/>
    <w:rsid w:val="00D00C7D"/>
    <w:rsid w:val="00D35D9B"/>
    <w:rsid w:val="00D36488"/>
    <w:rsid w:val="00D375FE"/>
    <w:rsid w:val="00D4082C"/>
    <w:rsid w:val="00D421E4"/>
    <w:rsid w:val="00D47358"/>
    <w:rsid w:val="00D47D10"/>
    <w:rsid w:val="00D5336A"/>
    <w:rsid w:val="00D554DF"/>
    <w:rsid w:val="00D63B2C"/>
    <w:rsid w:val="00D7647B"/>
    <w:rsid w:val="00D76BE5"/>
    <w:rsid w:val="00D77F85"/>
    <w:rsid w:val="00D82282"/>
    <w:rsid w:val="00D8329B"/>
    <w:rsid w:val="00D84F72"/>
    <w:rsid w:val="00DA133F"/>
    <w:rsid w:val="00DA67D0"/>
    <w:rsid w:val="00DA7EB0"/>
    <w:rsid w:val="00DB007C"/>
    <w:rsid w:val="00DB00BE"/>
    <w:rsid w:val="00DB322F"/>
    <w:rsid w:val="00DB490D"/>
    <w:rsid w:val="00DB589A"/>
    <w:rsid w:val="00DB773A"/>
    <w:rsid w:val="00DC6EBA"/>
    <w:rsid w:val="00DC6F70"/>
    <w:rsid w:val="00DD069E"/>
    <w:rsid w:val="00DD5F7D"/>
    <w:rsid w:val="00DE1941"/>
    <w:rsid w:val="00DF2951"/>
    <w:rsid w:val="00E00C10"/>
    <w:rsid w:val="00E057C8"/>
    <w:rsid w:val="00E06E90"/>
    <w:rsid w:val="00E075BE"/>
    <w:rsid w:val="00E1346A"/>
    <w:rsid w:val="00E223EA"/>
    <w:rsid w:val="00E22577"/>
    <w:rsid w:val="00E22AAC"/>
    <w:rsid w:val="00E31391"/>
    <w:rsid w:val="00E32C8D"/>
    <w:rsid w:val="00E333A0"/>
    <w:rsid w:val="00E411AD"/>
    <w:rsid w:val="00E52253"/>
    <w:rsid w:val="00E61C41"/>
    <w:rsid w:val="00E6207D"/>
    <w:rsid w:val="00E624B6"/>
    <w:rsid w:val="00E63FE0"/>
    <w:rsid w:val="00E678A5"/>
    <w:rsid w:val="00E81931"/>
    <w:rsid w:val="00E81CA0"/>
    <w:rsid w:val="00E85B65"/>
    <w:rsid w:val="00EA2ABA"/>
    <w:rsid w:val="00EA2FE1"/>
    <w:rsid w:val="00EB0FC1"/>
    <w:rsid w:val="00EB16C0"/>
    <w:rsid w:val="00EB1C01"/>
    <w:rsid w:val="00EB3A23"/>
    <w:rsid w:val="00EB4186"/>
    <w:rsid w:val="00EB62BD"/>
    <w:rsid w:val="00EB6458"/>
    <w:rsid w:val="00EC5359"/>
    <w:rsid w:val="00ED0306"/>
    <w:rsid w:val="00ED095B"/>
    <w:rsid w:val="00EE434C"/>
    <w:rsid w:val="00EE68EC"/>
    <w:rsid w:val="00F01E22"/>
    <w:rsid w:val="00F02E94"/>
    <w:rsid w:val="00F03EBE"/>
    <w:rsid w:val="00F04E38"/>
    <w:rsid w:val="00F05B22"/>
    <w:rsid w:val="00F07C5C"/>
    <w:rsid w:val="00F103AD"/>
    <w:rsid w:val="00F1080E"/>
    <w:rsid w:val="00F115D6"/>
    <w:rsid w:val="00F14BDE"/>
    <w:rsid w:val="00F302A0"/>
    <w:rsid w:val="00F32FD8"/>
    <w:rsid w:val="00F3308E"/>
    <w:rsid w:val="00F40A37"/>
    <w:rsid w:val="00F43DAF"/>
    <w:rsid w:val="00F44F00"/>
    <w:rsid w:val="00F51813"/>
    <w:rsid w:val="00F541B3"/>
    <w:rsid w:val="00F6026D"/>
    <w:rsid w:val="00F61234"/>
    <w:rsid w:val="00F65474"/>
    <w:rsid w:val="00F66372"/>
    <w:rsid w:val="00F72E3C"/>
    <w:rsid w:val="00F81EA3"/>
    <w:rsid w:val="00F85101"/>
    <w:rsid w:val="00F90266"/>
    <w:rsid w:val="00F91085"/>
    <w:rsid w:val="00FA0D83"/>
    <w:rsid w:val="00FA11CC"/>
    <w:rsid w:val="00FA5AC2"/>
    <w:rsid w:val="00FB36C8"/>
    <w:rsid w:val="00FC01EF"/>
    <w:rsid w:val="00FC063E"/>
    <w:rsid w:val="00FC12DE"/>
    <w:rsid w:val="00FC33C4"/>
    <w:rsid w:val="00FE221B"/>
    <w:rsid w:val="00FE4F4B"/>
    <w:rsid w:val="00FE7DC4"/>
    <w:rsid w:val="00FF05FF"/>
    <w:rsid w:val="00FF3071"/>
    <w:rsid w:val="00FF5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 w:type="character" w:styleId="Strong">
    <w:name w:val="Strong"/>
    <w:basedOn w:val="DefaultParagraphFont"/>
    <w:uiPriority w:val="22"/>
    <w:qFormat/>
    <w:rsid w:val="00EE68E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265619915">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3.xml><?xml version="1.0" encoding="utf-8"?>
<ds:datastoreItem xmlns:ds="http://schemas.openxmlformats.org/officeDocument/2006/customXml" ds:itemID="{C4C9F7BA-50B7-439A-BCD6-8A7C70C6C090}">
  <ds:schemaRefs>
    <ds:schemaRef ds:uri="http://schemas.microsoft.com/office/2006/metadata/properties"/>
    <ds:schemaRef ds:uri="http://www.w3.org/XML/1998/namespace"/>
    <ds:schemaRef ds:uri="http://purl.org/dc/dcmitype/"/>
    <ds:schemaRef ds:uri="http://purl.org/dc/terms/"/>
    <ds:schemaRef ds:uri="d54348e1-8662-4887-9d6e-2f3aba196886"/>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3B226DA-5387-4DFE-AF20-4BCF2C09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3505</Words>
  <Characters>1999</Characters>
  <Application>Microsoft Office Word</Application>
  <DocSecurity>4</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5494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2019-11-11T11:24:00Z</cp:lastPrinted>
  <dcterms:created xsi:type="dcterms:W3CDTF">2020-10-21T08:55:00Z</dcterms:created>
  <dcterms:modified xsi:type="dcterms:W3CDTF">2020-10-21T08:55:00Z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