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B5E0F" w14:textId="77777777" w:rsidR="0036662A" w:rsidRDefault="0036662A" w:rsidP="0036662A">
      <w:pPr>
        <w:jc w:val="center"/>
        <w:rPr>
          <w:b/>
          <w:bCs/>
        </w:rPr>
      </w:pPr>
      <w:bookmarkStart w:id="0" w:name="_GoBack"/>
      <w:bookmarkEnd w:id="0"/>
      <w:r>
        <w:rPr>
          <w:b/>
          <w:bCs/>
        </w:rPr>
        <w:t xml:space="preserve">LIETUVOS RESPUBLIKOS </w:t>
      </w:r>
      <w:r w:rsidR="00FC1D93">
        <w:rPr>
          <w:b/>
          <w:bCs/>
        </w:rPr>
        <w:t>EKONOMIKOS IR INOVACIJŲ</w:t>
      </w:r>
      <w:r>
        <w:rPr>
          <w:b/>
          <w:bCs/>
        </w:rPr>
        <w:t xml:space="preserve"> MINISTERIJA</w:t>
      </w:r>
    </w:p>
    <w:p w14:paraId="2B844E20" w14:textId="77777777" w:rsidR="0036662A" w:rsidRDefault="0036662A" w:rsidP="0036662A">
      <w:pPr>
        <w:jc w:val="center"/>
        <w:rPr>
          <w:b/>
          <w:bCs/>
        </w:rPr>
      </w:pPr>
    </w:p>
    <w:p w14:paraId="0DB5F1F4" w14:textId="77777777" w:rsidR="0036662A" w:rsidRDefault="0036662A" w:rsidP="0036662A">
      <w:pPr>
        <w:jc w:val="center"/>
        <w:rPr>
          <w:b/>
          <w:bCs/>
        </w:rPr>
      </w:pPr>
      <w:r>
        <w:rPr>
          <w:b/>
          <w:bCs/>
        </w:rPr>
        <w:t xml:space="preserve">SOCIALINIŲ IR EKONOMINIŲ PARTNERIŲ PATEIKTŲ PASTABŲ IR PASIŪLYMŲ DĖL 2014–2020 METŲ EUROPOS SĄJUNGOS FONDŲ INVESTICIJŲ VEIKSMŲ </w:t>
      </w:r>
      <w:r w:rsidRPr="005E6937">
        <w:rPr>
          <w:b/>
          <w:bCs/>
        </w:rPr>
        <w:t xml:space="preserve">PROGRAMOS </w:t>
      </w:r>
      <w:bookmarkStart w:id="1" w:name="_Toc397069603"/>
      <w:r w:rsidR="00CB62FB" w:rsidRPr="005E6937">
        <w:rPr>
          <w:b/>
          <w:bCs/>
        </w:rPr>
        <w:t xml:space="preserve">13 PRIORITETO </w:t>
      </w:r>
      <w:r w:rsidR="005E6937" w:rsidRPr="005E6937">
        <w:rPr>
          <w:b/>
          <w:bCs/>
        </w:rPr>
        <w:t>„</w:t>
      </w:r>
      <w:r w:rsidR="00CB62FB" w:rsidRPr="005E6937">
        <w:rPr>
          <w:b/>
          <w:bCs/>
        </w:rPr>
        <w:t>EKONOMIKOS ATSIGAVIMAS IR ATSPARUMO DIDINIMAS COVID-19 KRIZĖS METU</w:t>
      </w:r>
      <w:bookmarkEnd w:id="1"/>
      <w:r w:rsidR="00CB62FB" w:rsidRPr="005E6937">
        <w:rPr>
          <w:b/>
          <w:bCs/>
        </w:rPr>
        <w:t>“</w:t>
      </w:r>
      <w:r w:rsidRPr="005E6937">
        <w:rPr>
          <w:b/>
          <w:bCs/>
        </w:rPr>
        <w:t xml:space="preserve"> PRIEMONĖS NR. </w:t>
      </w:r>
      <w:r w:rsidR="00CB62FB" w:rsidRPr="005E6937">
        <w:rPr>
          <w:b/>
          <w:bCs/>
        </w:rPr>
        <w:t>13.1.2-LVPA-T-860</w:t>
      </w:r>
      <w:r w:rsidR="00FC1D93" w:rsidRPr="005E6937">
        <w:rPr>
          <w:b/>
          <w:bCs/>
        </w:rPr>
        <w:t xml:space="preserve"> „</w:t>
      </w:r>
      <w:r w:rsidR="005E6937" w:rsidRPr="005E6937">
        <w:rPr>
          <w:b/>
          <w:bCs/>
        </w:rPr>
        <w:t>E-VERSLO MODELIS COVID-19</w:t>
      </w:r>
      <w:r w:rsidR="00FC1D93" w:rsidRPr="005E6937">
        <w:rPr>
          <w:b/>
          <w:bCs/>
        </w:rPr>
        <w:t xml:space="preserve">“ </w:t>
      </w:r>
      <w:r w:rsidR="005E6937">
        <w:rPr>
          <w:b/>
          <w:bCs/>
        </w:rPr>
        <w:t>ĮGYVENDINIMO PLANO IR PROJEKTŲ ATRANKOS KRITERIJŲ</w:t>
      </w:r>
      <w:r w:rsidR="00FC1D93">
        <w:rPr>
          <w:b/>
          <w:bCs/>
        </w:rPr>
        <w:t xml:space="preserve"> </w:t>
      </w:r>
      <w:r>
        <w:rPr>
          <w:b/>
          <w:bCs/>
        </w:rPr>
        <w:t>DERINIMAS</w:t>
      </w:r>
    </w:p>
    <w:p w14:paraId="180FC654"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12A8A3FE" w14:textId="77777777" w:rsidTr="00335D39">
        <w:tc>
          <w:tcPr>
            <w:tcW w:w="6804" w:type="dxa"/>
          </w:tcPr>
          <w:p w14:paraId="30385032"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7B69532B" w14:textId="07FE1486" w:rsidR="0036662A" w:rsidRDefault="005E6937" w:rsidP="00335D39">
            <w:pPr>
              <w:rPr>
                <w:szCs w:val="24"/>
              </w:rPr>
            </w:pPr>
            <w:r>
              <w:rPr>
                <w:szCs w:val="24"/>
              </w:rPr>
              <w:t>2020-</w:t>
            </w:r>
            <w:r w:rsidR="00E16ED7">
              <w:rPr>
                <w:szCs w:val="24"/>
              </w:rPr>
              <w:t>10-15</w:t>
            </w:r>
          </w:p>
        </w:tc>
      </w:tr>
      <w:tr w:rsidR="0036662A" w14:paraId="58F351F0" w14:textId="77777777" w:rsidTr="00335D39">
        <w:tc>
          <w:tcPr>
            <w:tcW w:w="6804" w:type="dxa"/>
          </w:tcPr>
          <w:p w14:paraId="6AA7F50D"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4870F340"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3030BDEF" w14:textId="77777777" w:rsidR="0036662A" w:rsidRPr="007070FE" w:rsidRDefault="009F6B9B" w:rsidP="00A96DA7">
            <w:sdt>
              <w:sdtPr>
                <w:id w:val="1312749902"/>
              </w:sdtPr>
              <w:sdtEndPr/>
              <w:sdtContent>
                <w:r w:rsidR="005E6937">
                  <w:rPr>
                    <w:szCs w:val="24"/>
                  </w:rPr>
                  <w:fldChar w:fldCharType="begin">
                    <w:ffData>
                      <w:name w:val=""/>
                      <w:enabled/>
                      <w:calcOnExit w:val="0"/>
                      <w:checkBox>
                        <w:sizeAuto/>
                        <w:default w:val="1"/>
                      </w:checkBox>
                    </w:ffData>
                  </w:fldChar>
                </w:r>
                <w:r w:rsidR="005E6937">
                  <w:rPr>
                    <w:szCs w:val="24"/>
                  </w:rPr>
                  <w:instrText xml:space="preserve"> FORMCHECKBOX </w:instrText>
                </w:r>
                <w:r>
                  <w:rPr>
                    <w:szCs w:val="24"/>
                  </w:rPr>
                </w:r>
                <w:r>
                  <w:rPr>
                    <w:szCs w:val="24"/>
                  </w:rPr>
                  <w:fldChar w:fldCharType="separate"/>
                </w:r>
                <w:r w:rsidR="005E6937">
                  <w:rPr>
                    <w:szCs w:val="24"/>
                  </w:rPr>
                  <w:fldChar w:fldCharType="end"/>
                </w:r>
                <w:r w:rsidR="0036662A">
                  <w:t xml:space="preserve"> </w:t>
                </w:r>
              </w:sdtContent>
            </w:sdt>
            <w:r w:rsidR="0036662A">
              <w:rPr>
                <w:szCs w:val="24"/>
              </w:rPr>
              <w:t xml:space="preserve">Taip </w:t>
            </w:r>
            <w:sdt>
              <w:sdtPr>
                <w:rPr>
                  <w:szCs w:val="24"/>
                </w:rPr>
                <w:id w:val="164368749"/>
              </w:sdtPr>
              <w:sdtEndPr/>
              <w:sdtContent>
                <w:sdt>
                  <w:sdtPr>
                    <w:rPr>
                      <w:szCs w:val="24"/>
                    </w:rPr>
                    <w:id w:val="-1878914393"/>
                  </w:sdtPr>
                  <w:sdtEndPr/>
                  <w:sdtContent>
                    <w:sdt>
                      <w:sdtPr>
                        <w:id w:val="1602680725"/>
                      </w:sdtPr>
                      <w:sdtEndPr/>
                      <w:sdtContent>
                        <w:r w:rsidR="00A96DA7">
                          <w:fldChar w:fldCharType="begin">
                            <w:ffData>
                              <w:name w:val="Check1"/>
                              <w:enabled/>
                              <w:calcOnExit w:val="0"/>
                              <w:checkBox>
                                <w:sizeAuto/>
                                <w:default w:val="0"/>
                              </w:checkBox>
                            </w:ffData>
                          </w:fldChar>
                        </w:r>
                        <w:r w:rsidR="00A96DA7">
                          <w:instrText xml:space="preserve"> FORMCHECKBOX </w:instrText>
                        </w:r>
                        <w:r>
                          <w:fldChar w:fldCharType="separate"/>
                        </w:r>
                        <w:r w:rsidR="00A96DA7">
                          <w:fldChar w:fldCharType="end"/>
                        </w:r>
                      </w:sdtContent>
                    </w:sdt>
                    <w:r w:rsidR="00FF41B5" w:rsidRPr="0036662A">
                      <w:rPr>
                        <w:szCs w:val="24"/>
                      </w:rPr>
                      <w:t xml:space="preserve"> </w:t>
                    </w:r>
                  </w:sdtContent>
                </w:sdt>
              </w:sdtContent>
            </w:sdt>
            <w:r w:rsidR="0036662A">
              <w:rPr>
                <w:szCs w:val="24"/>
              </w:rPr>
              <w:t>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4771A900" w14:textId="77777777" w:rsidTr="00335D39">
        <w:tc>
          <w:tcPr>
            <w:tcW w:w="6804" w:type="dxa"/>
          </w:tcPr>
          <w:p w14:paraId="099B5568"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27283BDE"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4D8D7942" w14:textId="77777777" w:rsidR="0036662A" w:rsidRDefault="009F6B9B" w:rsidP="005E6937">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5E6937">
                  <w:rPr>
                    <w:szCs w:val="24"/>
                  </w:rPr>
                  <w:fldChar w:fldCharType="begin">
                    <w:ffData>
                      <w:name w:val=""/>
                      <w:enabled/>
                      <w:calcOnExit w:val="0"/>
                      <w:checkBox>
                        <w:sizeAuto/>
                        <w:default w:val="1"/>
                      </w:checkBox>
                    </w:ffData>
                  </w:fldChar>
                </w:r>
                <w:r w:rsidR="005E6937">
                  <w:rPr>
                    <w:szCs w:val="24"/>
                  </w:rPr>
                  <w:instrText xml:space="preserve"> FORMCHECKBOX </w:instrText>
                </w:r>
                <w:r>
                  <w:rPr>
                    <w:szCs w:val="24"/>
                  </w:rPr>
                </w:r>
                <w:r>
                  <w:rPr>
                    <w:szCs w:val="24"/>
                  </w:rPr>
                  <w:fldChar w:fldCharType="separate"/>
                </w:r>
                <w:r w:rsidR="005E6937">
                  <w:rPr>
                    <w:szCs w:val="24"/>
                  </w:rPr>
                  <w:fldChar w:fldCharType="end"/>
                </w:r>
              </w:sdtContent>
            </w:sdt>
            <w:r w:rsidR="0036662A">
              <w:rPr>
                <w:szCs w:val="24"/>
              </w:rPr>
              <w:t xml:space="preserve"> Ne </w:t>
            </w:r>
          </w:p>
        </w:tc>
      </w:tr>
    </w:tbl>
    <w:p w14:paraId="6E6D3E89" w14:textId="77777777" w:rsidR="0036662A" w:rsidRPr="00781CA4" w:rsidRDefault="0036662A" w:rsidP="0036662A">
      <w:pPr>
        <w:rPr>
          <w:szCs w:val="24"/>
        </w:rPr>
      </w:pPr>
    </w:p>
    <w:tbl>
      <w:tblPr>
        <w:tblStyle w:val="TableGrid"/>
        <w:tblW w:w="14913" w:type="dxa"/>
        <w:tblInd w:w="108" w:type="dxa"/>
        <w:tblLayout w:type="fixed"/>
        <w:tblLook w:val="04A0" w:firstRow="1" w:lastRow="0" w:firstColumn="1" w:lastColumn="0" w:noHBand="0" w:noVBand="1"/>
      </w:tblPr>
      <w:tblGrid>
        <w:gridCol w:w="567"/>
        <w:gridCol w:w="1985"/>
        <w:gridCol w:w="5415"/>
        <w:gridCol w:w="6946"/>
      </w:tblGrid>
      <w:tr w:rsidR="0036662A" w:rsidRPr="00781CA4" w14:paraId="730D04B7" w14:textId="77777777" w:rsidTr="03C27651">
        <w:tc>
          <w:tcPr>
            <w:tcW w:w="567" w:type="dxa"/>
          </w:tcPr>
          <w:p w14:paraId="7005104B" w14:textId="77777777" w:rsidR="0036662A" w:rsidRPr="00781CA4" w:rsidRDefault="0036662A" w:rsidP="00335D39">
            <w:pPr>
              <w:jc w:val="center"/>
              <w:rPr>
                <w:b/>
                <w:szCs w:val="24"/>
              </w:rPr>
            </w:pPr>
            <w:r w:rsidRPr="00781CA4">
              <w:rPr>
                <w:b/>
                <w:szCs w:val="24"/>
              </w:rPr>
              <w:t>Nr.</w:t>
            </w:r>
          </w:p>
        </w:tc>
        <w:tc>
          <w:tcPr>
            <w:tcW w:w="1985" w:type="dxa"/>
          </w:tcPr>
          <w:p w14:paraId="0D4EF746" w14:textId="77777777" w:rsidR="0036662A" w:rsidRPr="00781CA4" w:rsidRDefault="0036662A" w:rsidP="00335D39">
            <w:pPr>
              <w:jc w:val="center"/>
              <w:rPr>
                <w:b/>
                <w:szCs w:val="24"/>
              </w:rPr>
            </w:pPr>
            <w:r w:rsidRPr="00781CA4">
              <w:rPr>
                <w:b/>
                <w:szCs w:val="24"/>
              </w:rPr>
              <w:t>Institucija</w:t>
            </w:r>
          </w:p>
        </w:tc>
        <w:tc>
          <w:tcPr>
            <w:tcW w:w="5415" w:type="dxa"/>
          </w:tcPr>
          <w:p w14:paraId="2970ECCE" w14:textId="77777777" w:rsidR="0036662A" w:rsidRPr="00781CA4" w:rsidRDefault="0036662A" w:rsidP="00335D39">
            <w:pPr>
              <w:jc w:val="center"/>
              <w:rPr>
                <w:b/>
                <w:szCs w:val="24"/>
              </w:rPr>
            </w:pPr>
            <w:r>
              <w:rPr>
                <w:b/>
                <w:bCs/>
              </w:rPr>
              <w:t>Pastabos ir pasiūlymai</w:t>
            </w:r>
          </w:p>
        </w:tc>
        <w:tc>
          <w:tcPr>
            <w:tcW w:w="6946" w:type="dxa"/>
          </w:tcPr>
          <w:p w14:paraId="6C397366"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B84BE2" w:rsidRPr="00781CA4" w14:paraId="2113DDBA" w14:textId="77777777" w:rsidTr="03C27651">
        <w:tc>
          <w:tcPr>
            <w:tcW w:w="567" w:type="dxa"/>
          </w:tcPr>
          <w:p w14:paraId="557AD9A3" w14:textId="77777777" w:rsidR="00B84BE2" w:rsidRPr="0038099D" w:rsidRDefault="00B84BE2" w:rsidP="0036662A">
            <w:pPr>
              <w:pStyle w:val="ListParagraph"/>
              <w:numPr>
                <w:ilvl w:val="0"/>
                <w:numId w:val="1"/>
              </w:numPr>
              <w:jc w:val="both"/>
            </w:pPr>
          </w:p>
        </w:tc>
        <w:tc>
          <w:tcPr>
            <w:tcW w:w="1985" w:type="dxa"/>
          </w:tcPr>
          <w:p w14:paraId="64FC377A" w14:textId="4BE33F8C" w:rsidR="00B84BE2" w:rsidRPr="00B84BE2" w:rsidRDefault="00604899" w:rsidP="00335D39">
            <w:pPr>
              <w:rPr>
                <w:b/>
              </w:rPr>
            </w:pPr>
            <w:r w:rsidRPr="00604899">
              <w:rPr>
                <w:b/>
                <w:bCs/>
                <w:lang w:eastAsia="en-GB"/>
              </w:rPr>
              <w:t>UAB "Ferox Baltic"</w:t>
            </w:r>
          </w:p>
        </w:tc>
        <w:tc>
          <w:tcPr>
            <w:tcW w:w="5415" w:type="dxa"/>
          </w:tcPr>
          <w:p w14:paraId="1D9A4DDA" w14:textId="4BB11CAB" w:rsidR="00B84BE2" w:rsidRPr="0038099D" w:rsidRDefault="00604899" w:rsidP="00482936">
            <w:pPr>
              <w:spacing w:before="100" w:after="100"/>
              <w:jc w:val="both"/>
            </w:pPr>
            <w:r>
              <w:t>Gal būtų galima patikslinti, ar gauti nuorodas, kuom vadovaujantis bus aiškinama sąvoka "vykdoma veikla nebus susijusi su eksporto veikla". Ar e-prekyba ne tik LR teritorijoje bus traktuojama kaip eksporto veikla?</w:t>
            </w:r>
          </w:p>
        </w:tc>
        <w:tc>
          <w:tcPr>
            <w:tcW w:w="6946" w:type="dxa"/>
          </w:tcPr>
          <w:p w14:paraId="2E49FB3E" w14:textId="77777777" w:rsidR="00C45C5B" w:rsidRDefault="00C45C5B" w:rsidP="00C45C5B">
            <w:pPr>
              <w:jc w:val="both"/>
              <w:rPr>
                <w:szCs w:val="24"/>
              </w:rPr>
            </w:pPr>
            <w:r>
              <w:t xml:space="preserve">Informuojame, kad valstybės pagalba pagal šią priemonę įgyvendinamiems projektams bus teikiama vadovaujantis </w:t>
            </w:r>
            <w:r w:rsidRPr="00242552">
              <w:rPr>
                <w:szCs w:val="24"/>
              </w:rPr>
              <w:t>2013 m. gru</w:t>
            </w:r>
            <w:r>
              <w:rPr>
                <w:szCs w:val="24"/>
              </w:rPr>
              <w:t>odžio 18 d. Komisijos reglamento</w:t>
            </w:r>
            <w:r w:rsidRPr="00242552">
              <w:rPr>
                <w:szCs w:val="24"/>
              </w:rPr>
              <w:t xml:space="preserve"> (ES) Nr. 1407/2013 dėl Sutarties dėl Europos Sąjungos veikimo 107 ir 108 straipsnių taikymo </w:t>
            </w:r>
            <w:r w:rsidRPr="00242552">
              <w:rPr>
                <w:i/>
                <w:szCs w:val="24"/>
              </w:rPr>
              <w:t>de minimis</w:t>
            </w:r>
            <w:r w:rsidRPr="00242552">
              <w:rPr>
                <w:szCs w:val="24"/>
              </w:rPr>
              <w:t xml:space="preserve"> pagalbai (OL 2013 L 352,</w:t>
            </w:r>
            <w:r>
              <w:rPr>
                <w:szCs w:val="24"/>
              </w:rPr>
              <w:t xml:space="preserve"> </w:t>
            </w:r>
            <w:r w:rsidRPr="00242552">
              <w:rPr>
                <w:szCs w:val="24"/>
              </w:rPr>
              <w:t xml:space="preserve">p. </w:t>
            </w:r>
            <w:r>
              <w:rPr>
                <w:szCs w:val="24"/>
              </w:rPr>
              <w:t>1</w:t>
            </w:r>
            <w:r w:rsidRPr="00242552">
              <w:rPr>
                <w:szCs w:val="24"/>
              </w:rPr>
              <w:t>) (toliau –</w:t>
            </w:r>
            <w:r>
              <w:rPr>
                <w:szCs w:val="24"/>
              </w:rPr>
              <w:t xml:space="preserve"> </w:t>
            </w:r>
            <w:r>
              <w:rPr>
                <w:i/>
                <w:szCs w:val="24"/>
              </w:rPr>
              <w:t xml:space="preserve">de minimis </w:t>
            </w:r>
            <w:r>
              <w:rPr>
                <w:szCs w:val="24"/>
              </w:rPr>
              <w:t>reglamentas</w:t>
            </w:r>
            <w:r w:rsidRPr="00242552">
              <w:rPr>
                <w:szCs w:val="24"/>
              </w:rPr>
              <w:t>)</w:t>
            </w:r>
            <w:r>
              <w:rPr>
                <w:szCs w:val="24"/>
              </w:rPr>
              <w:t xml:space="preserve">, nuostatomis. </w:t>
            </w:r>
            <w:r w:rsidRPr="003B6D5B">
              <w:rPr>
                <w:szCs w:val="24"/>
              </w:rPr>
              <w:t xml:space="preserve">Finansavimas gali būti skiriamas pareiškėjams visose srityse, </w:t>
            </w:r>
            <w:r w:rsidRPr="003F482E">
              <w:rPr>
                <w:b/>
                <w:szCs w:val="24"/>
              </w:rPr>
              <w:t xml:space="preserve">išskyrus </w:t>
            </w:r>
            <w:r w:rsidRPr="003F482E">
              <w:rPr>
                <w:b/>
                <w:i/>
                <w:szCs w:val="24"/>
              </w:rPr>
              <w:t xml:space="preserve">de minimis </w:t>
            </w:r>
            <w:r w:rsidRPr="003F482E">
              <w:rPr>
                <w:b/>
                <w:szCs w:val="24"/>
              </w:rPr>
              <w:t>reglamento 1 straipsnio 1 dalyje išvardytus sektorius ir veiklas</w:t>
            </w:r>
            <w:r>
              <w:rPr>
                <w:szCs w:val="24"/>
              </w:rPr>
              <w:t xml:space="preserve"> bei </w:t>
            </w:r>
            <w:r w:rsidRPr="003B6D5B">
              <w:rPr>
                <w:szCs w:val="24"/>
              </w:rPr>
              <w:t>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nustatytus apribojimus.</w:t>
            </w:r>
          </w:p>
          <w:p w14:paraId="67385336" w14:textId="77777777" w:rsidR="00C45C5B" w:rsidRPr="006D04D3" w:rsidRDefault="00C45C5B" w:rsidP="00C45C5B">
            <w:pPr>
              <w:pStyle w:val="CM1"/>
              <w:spacing w:before="200" w:after="200"/>
              <w:jc w:val="both"/>
              <w:rPr>
                <w:lang w:val="lt-LT"/>
              </w:rPr>
            </w:pPr>
            <w:r w:rsidRPr="006D04D3">
              <w:rPr>
                <w:i/>
                <w:lang w:val="lt-LT"/>
              </w:rPr>
              <w:t>D</w:t>
            </w:r>
            <w:r w:rsidRPr="006D04D3">
              <w:rPr>
                <w:rFonts w:ascii="Times New Roman" w:hAnsi="Times New Roman"/>
                <w:i/>
                <w:lang w:val="lt-LT"/>
              </w:rPr>
              <w:t xml:space="preserve">e minimis </w:t>
            </w:r>
            <w:r w:rsidRPr="006D04D3">
              <w:rPr>
                <w:rFonts w:ascii="Times New Roman" w:hAnsi="Times New Roman"/>
                <w:lang w:val="lt-LT"/>
              </w:rPr>
              <w:t>reglamento 1 straipsn</w:t>
            </w:r>
            <w:r w:rsidRPr="006D04D3">
              <w:rPr>
                <w:lang w:val="lt-LT"/>
              </w:rPr>
              <w:t xml:space="preserve">io 1 dalies d) punktas numato, </w:t>
            </w:r>
            <w:r w:rsidRPr="006D04D3">
              <w:rPr>
                <w:rFonts w:ascii="Times New Roman" w:hAnsi="Times New Roman"/>
                <w:lang w:val="lt-LT"/>
              </w:rPr>
              <w:t xml:space="preserve">kad „šis reglamentas taikomas pagalbai, teikiamai įmonėms visuose </w:t>
            </w:r>
            <w:r w:rsidRPr="006D04D3">
              <w:rPr>
                <w:rFonts w:ascii="Times New Roman" w:hAnsi="Times New Roman"/>
                <w:lang w:val="lt-LT"/>
              </w:rPr>
              <w:lastRenderedPageBreak/>
              <w:t xml:space="preserve">sektoriuose, išskyrus; d) </w:t>
            </w:r>
            <w:r w:rsidRPr="006D04D3">
              <w:rPr>
                <w:lang w:val="lt-LT"/>
              </w:rPr>
              <w:t xml:space="preserve">pagalbą su eksportu susijusiai veiklai trečiosiose šalyse arba valstybėse narėse, t. y. pagalbą, tiesiogiai susijusią su eksportuojamais kiekiais, platinimo tinklo kūrimu bei veikla, arba kitomis einamosiomis išlaidomis, susijusiomis su eksporto veikla. </w:t>
            </w:r>
          </w:p>
          <w:p w14:paraId="5424C12E" w14:textId="2900AE88" w:rsidR="004A5FBC" w:rsidRPr="00C45C5B" w:rsidRDefault="00C45C5B" w:rsidP="0009694E">
            <w:pPr>
              <w:jc w:val="both"/>
              <w:rPr>
                <w:lang w:eastAsia="en-US"/>
              </w:rPr>
            </w:pPr>
            <w:r>
              <w:t>T</w:t>
            </w:r>
            <w:r w:rsidR="0009694E">
              <w:t>aigi pažymime, kad tinkamomis</w:t>
            </w:r>
            <w:r>
              <w:t xml:space="preserve"> </w:t>
            </w:r>
            <w:r w:rsidR="0009694E">
              <w:t>išlaidomis</w:t>
            </w:r>
            <w:r>
              <w:t xml:space="preserve"> pagal Priemonę galės būti </w:t>
            </w:r>
            <w:r w:rsidR="0009694E">
              <w:t xml:space="preserve">tik tos projekto įgyvendinimo išlaidos, kurios nepažeis </w:t>
            </w:r>
            <w:r w:rsidR="0009694E" w:rsidRPr="006D04D3">
              <w:rPr>
                <w:i/>
              </w:rPr>
              <w:t xml:space="preserve">De minimis </w:t>
            </w:r>
            <w:r w:rsidR="0009694E" w:rsidRPr="006D04D3">
              <w:t>reglamento 1 straipsn</w:t>
            </w:r>
            <w:r w:rsidR="0009694E">
              <w:t>io 1 dalies d) punkto nuostatų.</w:t>
            </w:r>
          </w:p>
        </w:tc>
      </w:tr>
      <w:tr w:rsidR="00262BAD" w:rsidRPr="00C70D14" w14:paraId="1E4BF44F" w14:textId="77777777" w:rsidTr="03C27651">
        <w:tc>
          <w:tcPr>
            <w:tcW w:w="567" w:type="dxa"/>
          </w:tcPr>
          <w:p w14:paraId="126D6D9A" w14:textId="77777777" w:rsidR="00262BAD" w:rsidRPr="0038099D" w:rsidRDefault="00262BAD" w:rsidP="0036662A">
            <w:pPr>
              <w:pStyle w:val="ListParagraph"/>
              <w:numPr>
                <w:ilvl w:val="0"/>
                <w:numId w:val="1"/>
              </w:numPr>
              <w:jc w:val="both"/>
            </w:pPr>
          </w:p>
        </w:tc>
        <w:tc>
          <w:tcPr>
            <w:tcW w:w="1985" w:type="dxa"/>
          </w:tcPr>
          <w:p w14:paraId="479E2DC0" w14:textId="77777777" w:rsidR="004E7809" w:rsidRPr="004E7809" w:rsidRDefault="004E7809" w:rsidP="004E7809">
            <w:pPr>
              <w:rPr>
                <w:b/>
                <w:lang w:eastAsia="en-US"/>
              </w:rPr>
            </w:pPr>
            <w:r w:rsidRPr="004E7809">
              <w:rPr>
                <w:b/>
              </w:rPr>
              <w:t>Simonas Žunda, konsultantas</w:t>
            </w:r>
          </w:p>
          <w:p w14:paraId="1A4DFBE3" w14:textId="77777777" w:rsidR="004E7809" w:rsidRPr="004E7809" w:rsidRDefault="004E7809" w:rsidP="004E7809">
            <w:pPr>
              <w:rPr>
                <w:b/>
              </w:rPr>
            </w:pPr>
            <w:r w:rsidRPr="004E7809">
              <w:rPr>
                <w:b/>
              </w:rPr>
              <w:t>VšĮ Consensus Europae</w:t>
            </w:r>
          </w:p>
          <w:p w14:paraId="0B127627" w14:textId="6B5F71D0" w:rsidR="00262BAD" w:rsidRPr="00B84BE2" w:rsidRDefault="00262BAD" w:rsidP="00335D39">
            <w:pPr>
              <w:rPr>
                <w:b/>
              </w:rPr>
            </w:pPr>
          </w:p>
        </w:tc>
        <w:tc>
          <w:tcPr>
            <w:tcW w:w="5415" w:type="dxa"/>
          </w:tcPr>
          <w:p w14:paraId="4BDEA69D" w14:textId="77777777" w:rsidR="004E7809" w:rsidRDefault="004E7809" w:rsidP="004E7809">
            <w:pPr>
              <w:jc w:val="both"/>
              <w:rPr>
                <w:lang w:eastAsia="en-US"/>
              </w:rPr>
            </w:pPr>
            <w:r>
              <w:t>Atkreipiame dėmesį, kad tiek PĮP, tiek ir atrankos kriterijuose numatyta finansuoti 2 veiklas:</w:t>
            </w:r>
          </w:p>
          <w:p w14:paraId="37AAC3EE" w14:textId="77777777" w:rsidR="004E7809" w:rsidRDefault="004E7809" w:rsidP="004E7809">
            <w:pPr>
              <w:jc w:val="both"/>
            </w:pPr>
            <w:r>
              <w:t>1.3.1. nuotolinių darbo vietų sprendimų diegimas;</w:t>
            </w:r>
          </w:p>
          <w:p w14:paraId="2D2B54B5" w14:textId="77777777" w:rsidR="004E7809" w:rsidRDefault="004E7809" w:rsidP="004E7809">
            <w:pPr>
              <w:jc w:val="both"/>
            </w:pPr>
            <w:r>
              <w:t>1.3.2. e-pardavimo sandorių sudarymo sprendimų diegimas. </w:t>
            </w:r>
          </w:p>
          <w:p w14:paraId="725D7606" w14:textId="77777777" w:rsidR="004E7809" w:rsidRDefault="004E7809" w:rsidP="004E7809">
            <w:pPr>
              <w:jc w:val="both"/>
            </w:pPr>
            <w:r>
              <w:t>Siūlyčiau veiklas papildyti:</w:t>
            </w:r>
          </w:p>
          <w:p w14:paraId="0685AEF5" w14:textId="6A4086B9" w:rsidR="004E7809" w:rsidRDefault="004E7809" w:rsidP="004E7809">
            <w:pPr>
              <w:jc w:val="both"/>
            </w:pPr>
            <w:r>
              <w:t> 1.3.3. Diegti gaminamų gaminių ir (ar) teikiamų paslaugų) skaitmeninimo sprendimus. Tai apimtų produktų ar paslaugų virtualizavimo, vizualizavimo, konfigūravimo el.</w:t>
            </w:r>
            <w:r w:rsidR="00BB54BC">
              <w:t xml:space="preserve"> </w:t>
            </w:r>
            <w:r>
              <w:t>erdvėje e-sprendimų diegimą.</w:t>
            </w:r>
          </w:p>
          <w:p w14:paraId="51959A56" w14:textId="77777777" w:rsidR="004E7809" w:rsidRDefault="004E7809" w:rsidP="004E7809">
            <w:pPr>
              <w:jc w:val="both"/>
            </w:pPr>
          </w:p>
          <w:p w14:paraId="734EAAF5" w14:textId="77777777" w:rsidR="004E7809" w:rsidRDefault="004E7809" w:rsidP="004E7809">
            <w:pPr>
              <w:jc w:val="both"/>
            </w:pPr>
            <w:r>
              <w:t>Vien atsiskaitymo sprendimų diegimas nepakankamas, reikia sudaryti galimybes MVĮ e-sprendimais teikti paslaugas, konfigūruoti, vizualizuoti produktus, ne tik atsiskaityti už juos.</w:t>
            </w:r>
          </w:p>
          <w:p w14:paraId="74D473E0" w14:textId="44FE8D40" w:rsidR="00262BAD" w:rsidRPr="00A23A62" w:rsidRDefault="00262BAD" w:rsidP="000A52A5">
            <w:pPr>
              <w:jc w:val="both"/>
              <w:rPr>
                <w:szCs w:val="24"/>
              </w:rPr>
            </w:pPr>
          </w:p>
        </w:tc>
        <w:tc>
          <w:tcPr>
            <w:tcW w:w="6946" w:type="dxa"/>
          </w:tcPr>
          <w:p w14:paraId="51E40D49" w14:textId="05F0FB01" w:rsidR="007C746F" w:rsidRPr="007C746F" w:rsidRDefault="007C746F" w:rsidP="005F5ED3">
            <w:pPr>
              <w:jc w:val="both"/>
              <w:rPr>
                <w:rFonts w:eastAsia="AngsanaUPC"/>
                <w:bCs/>
                <w:iCs/>
                <w:szCs w:val="24"/>
              </w:rPr>
            </w:pPr>
            <w:r w:rsidRPr="007C746F">
              <w:rPr>
                <w:rFonts w:eastAsia="AngsanaUPC"/>
                <w:bCs/>
                <w:iCs/>
                <w:szCs w:val="24"/>
              </w:rPr>
              <w:t>Neatsižvelgta.</w:t>
            </w:r>
          </w:p>
          <w:p w14:paraId="5D67F2F3" w14:textId="3B5E740A" w:rsidR="00CA6D3F" w:rsidRDefault="007C746F" w:rsidP="00C5534D">
            <w:pPr>
              <w:spacing w:after="160"/>
              <w:jc w:val="both"/>
              <w:rPr>
                <w:szCs w:val="24"/>
              </w:rPr>
            </w:pPr>
            <w:r w:rsidRPr="007C746F">
              <w:rPr>
                <w:rFonts w:eastAsia="AngsanaUPC"/>
                <w:bCs/>
                <w:iCs/>
                <w:szCs w:val="24"/>
              </w:rPr>
              <w:t xml:space="preserve">Informuojame, kad </w:t>
            </w:r>
            <w:r w:rsidR="00213C33">
              <w:rPr>
                <w:rFonts w:eastAsia="AngsanaUPC"/>
                <w:bCs/>
                <w:iCs/>
                <w:szCs w:val="24"/>
              </w:rPr>
              <w:t xml:space="preserve">šia </w:t>
            </w:r>
            <w:r>
              <w:rPr>
                <w:rFonts w:eastAsia="AngsanaUPC"/>
                <w:bCs/>
                <w:iCs/>
                <w:szCs w:val="24"/>
              </w:rPr>
              <w:t xml:space="preserve">priemone </w:t>
            </w:r>
            <w:r w:rsidRPr="007C746F">
              <w:rPr>
                <w:szCs w:val="24"/>
              </w:rPr>
              <w:t xml:space="preserve">numatoma prisidėti prie </w:t>
            </w:r>
            <w:r w:rsidRPr="007C746F">
              <w:rPr>
                <w:szCs w:val="24"/>
                <w:lang w:val="fr-FR" w:eastAsia="en-US"/>
              </w:rPr>
              <w:t>2014–2020 m. Europos Sąjungos fondų investicijų veiksmų programos (toliau – Veiksmų programa) naujo 13 prioriteto „</w:t>
            </w:r>
            <w:r w:rsidRPr="007C746F">
              <w:rPr>
                <w:bCs/>
                <w:iCs/>
                <w:szCs w:val="24"/>
                <w:lang w:val="fr-FR"/>
              </w:rPr>
              <w:t>Ekonomikos atsigavimas ir atsparumo didinimas</w:t>
            </w:r>
            <w:r w:rsidRPr="007C746F">
              <w:rPr>
                <w:szCs w:val="24"/>
                <w:lang w:val="fr-FR" w:eastAsia="en-US"/>
              </w:rPr>
              <w:t xml:space="preserve"> COVID-19 krizės metu</w:t>
            </w:r>
            <w:r w:rsidRPr="007C746F">
              <w:rPr>
                <w:szCs w:val="24"/>
                <w:lang w:eastAsia="en-US"/>
              </w:rPr>
              <w:t xml:space="preserve">“ 13.1.2 konkretaus </w:t>
            </w:r>
            <w:r w:rsidRPr="007C746F">
              <w:rPr>
                <w:szCs w:val="24"/>
              </w:rPr>
              <w:t>uždavinio „</w:t>
            </w:r>
            <w:r w:rsidRPr="007C746F">
              <w:rPr>
                <w:szCs w:val="24"/>
                <w:lang w:eastAsia="en-US"/>
              </w:rPr>
              <w:t xml:space="preserve">Skatinti skaitmeninimą ir inovacijas, siekiant įveikti COVID-19 pandemijos sukeltas pasekmes ekonomikai“ </w:t>
            </w:r>
            <w:r w:rsidR="00213C33">
              <w:rPr>
                <w:szCs w:val="24"/>
              </w:rPr>
              <w:t>veiklos „</w:t>
            </w:r>
            <w:r w:rsidR="00213C33" w:rsidRPr="00213C33">
              <w:rPr>
                <w:rFonts w:eastAsia="AngsanaUPC"/>
                <w:b/>
                <w:bCs/>
                <w:iCs/>
                <w:szCs w:val="24"/>
              </w:rPr>
              <w:t>E-verslo modelių diegimas, persiorientuojant į procesų, produktų, paslaugų skaitmeninimą, įmonės gaminamų produktų ir (ar) teikiamų paslaugų elektroninę prekybą ir pristatymą (skirta MVĮ)“</w:t>
            </w:r>
            <w:r w:rsidR="00070181">
              <w:rPr>
                <w:rFonts w:eastAsia="AngsanaUPC"/>
                <w:b/>
                <w:bCs/>
                <w:iCs/>
                <w:szCs w:val="24"/>
              </w:rPr>
              <w:t xml:space="preserve"> </w:t>
            </w:r>
            <w:r w:rsidR="00070181" w:rsidRPr="00070181">
              <w:rPr>
                <w:rFonts w:eastAsia="AngsanaUPC"/>
                <w:bCs/>
                <w:iCs/>
                <w:szCs w:val="24"/>
              </w:rPr>
              <w:t>įgyvendinimo</w:t>
            </w:r>
            <w:r w:rsidRPr="00070181">
              <w:rPr>
                <w:szCs w:val="24"/>
              </w:rPr>
              <w:t>.</w:t>
            </w:r>
            <w:r w:rsidRPr="007C746F">
              <w:rPr>
                <w:szCs w:val="24"/>
              </w:rPr>
              <w:t xml:space="preserve"> Pažymime, kad Veiksmų programos projektas</w:t>
            </w:r>
            <w:r w:rsidR="00BB54BC">
              <w:rPr>
                <w:szCs w:val="24"/>
              </w:rPr>
              <w:t>, kuriame nurodyta aukščiau paminėta e- verslo modelių diegimo veikla,</w:t>
            </w:r>
            <w:r w:rsidRPr="007C746F">
              <w:rPr>
                <w:szCs w:val="24"/>
              </w:rPr>
              <w:t xml:space="preserve"> šiuo metu derinamas su Europos Komisija ir tik gavus Europos Komisijos pritarimą, galėsime pr</w:t>
            </w:r>
            <w:r w:rsidR="00CA6D3F">
              <w:rPr>
                <w:szCs w:val="24"/>
              </w:rPr>
              <w:t>adėti įgyvendinti Priemonę.</w:t>
            </w:r>
          </w:p>
          <w:p w14:paraId="7CD9F534" w14:textId="6EB4EF7A" w:rsidR="00953EC6" w:rsidRDefault="00CA6D3F" w:rsidP="00C5534D">
            <w:pPr>
              <w:spacing w:after="160"/>
              <w:jc w:val="both"/>
              <w:rPr>
                <w:bCs/>
              </w:rPr>
            </w:pPr>
            <w:r>
              <w:rPr>
                <w:szCs w:val="24"/>
              </w:rPr>
              <w:t>Be to,</w:t>
            </w:r>
            <w:r w:rsidR="00DB0BAD">
              <w:t xml:space="preserve"> ši priemonė įtraukta į </w:t>
            </w:r>
            <w:r w:rsidR="00DB0BAD">
              <w:rPr>
                <w:szCs w:val="24"/>
              </w:rPr>
              <w:t>Ateities ekonomikos DNR planą</w:t>
            </w:r>
            <w:r w:rsidR="00DB0BAD" w:rsidRPr="00E271E7">
              <w:rPr>
                <w:szCs w:val="24"/>
              </w:rPr>
              <w:t xml:space="preserve">, kuriam pritarta </w:t>
            </w:r>
            <w:r w:rsidR="00DB0BAD" w:rsidRPr="00E271E7">
              <w:rPr>
                <w:rFonts w:eastAsiaTheme="minorEastAsia"/>
                <w:szCs w:val="24"/>
              </w:rPr>
              <w:t>Lietuvos Respublikos Vyriausybės 2020 m. birželio 10 d. pasitarimo protokolu Nr. 28,</w:t>
            </w:r>
            <w:r w:rsidR="00DB0BAD">
              <w:rPr>
                <w:rFonts w:eastAsiaTheme="minorEastAsia"/>
                <w:szCs w:val="24"/>
              </w:rPr>
              <w:t xml:space="preserve"> ir Ateities DNR plane numatytas toks veiksmas – </w:t>
            </w:r>
            <w:r w:rsidR="00DB0BAD">
              <w:rPr>
                <w:bCs/>
              </w:rPr>
              <w:t xml:space="preserve">E-VERSLO MODELIS (e-verslo modelių </w:t>
            </w:r>
            <w:r w:rsidR="00DB0BAD" w:rsidRPr="000376B5">
              <w:rPr>
                <w:bCs/>
              </w:rPr>
              <w:t>diegimas, persiorientuojant į procesų,</w:t>
            </w:r>
            <w:r w:rsidR="00DB0BAD">
              <w:rPr>
                <w:bCs/>
              </w:rPr>
              <w:t xml:space="preserve"> produktų, paslaugų skaitmenizavim</w:t>
            </w:r>
            <w:r w:rsidR="00DB0BAD" w:rsidRPr="000376B5">
              <w:rPr>
                <w:bCs/>
              </w:rPr>
              <w:t>ą, elektroninę prekybą ir pristatymą</w:t>
            </w:r>
            <w:r w:rsidR="00DB0BAD">
              <w:rPr>
                <w:bCs/>
              </w:rPr>
              <w:t>).</w:t>
            </w:r>
          </w:p>
          <w:p w14:paraId="728682AD" w14:textId="431718ED" w:rsidR="00FA70BE" w:rsidRPr="00FA70BE" w:rsidRDefault="00FA70BE" w:rsidP="00FA70BE">
            <w:pPr>
              <w:contextualSpacing/>
              <w:jc w:val="both"/>
              <w:rPr>
                <w:bCs/>
              </w:rPr>
            </w:pPr>
            <w:r>
              <w:rPr>
                <w:bCs/>
              </w:rPr>
              <w:t xml:space="preserve">Taip pat atkreipiame dėmesį, kad </w:t>
            </w:r>
            <w:r w:rsidRPr="00FA70BE">
              <w:rPr>
                <w:bCs/>
              </w:rPr>
              <w:t xml:space="preserve">1.3.2 </w:t>
            </w:r>
            <w:r>
              <w:rPr>
                <w:bCs/>
              </w:rPr>
              <w:t>veikla apims</w:t>
            </w:r>
            <w:r w:rsidRPr="00FA70BE">
              <w:rPr>
                <w:bCs/>
              </w:rPr>
              <w:t xml:space="preserve"> e-</w:t>
            </w:r>
            <w:r>
              <w:rPr>
                <w:bCs/>
              </w:rPr>
              <w:t xml:space="preserve">pardavimo </w:t>
            </w:r>
            <w:r w:rsidR="00C071C4">
              <w:rPr>
                <w:bCs/>
              </w:rPr>
              <w:t xml:space="preserve">sandoriams sudaryti reikiamus sprendimus </w:t>
            </w:r>
            <w:r w:rsidRPr="00FA70BE">
              <w:rPr>
                <w:bCs/>
              </w:rPr>
              <w:t xml:space="preserve">(supažindinimas ir </w:t>
            </w:r>
            <w:r w:rsidRPr="00FA70BE">
              <w:rPr>
                <w:bCs/>
              </w:rPr>
              <w:lastRenderedPageBreak/>
              <w:t>užsakymų priėmimas, ir paslaugos teikimas (ar</w:t>
            </w:r>
            <w:r w:rsidR="00C071C4">
              <w:rPr>
                <w:bCs/>
              </w:rPr>
              <w:t xml:space="preserve"> gaminio</w:t>
            </w:r>
            <w:r w:rsidRPr="00FA70BE">
              <w:rPr>
                <w:bCs/>
              </w:rPr>
              <w:t xml:space="preserve"> pardavimas), ir apmokėjimas)</w:t>
            </w:r>
            <w:r w:rsidR="00C071C4">
              <w:rPr>
                <w:bCs/>
              </w:rPr>
              <w:t>.</w:t>
            </w:r>
          </w:p>
          <w:p w14:paraId="504265E5" w14:textId="3C9E0203" w:rsidR="0034134F" w:rsidRPr="004D7E69" w:rsidRDefault="03C27651" w:rsidP="03C27651">
            <w:pPr>
              <w:spacing w:after="160"/>
              <w:ind w:firstLine="175"/>
              <w:jc w:val="both"/>
            </w:pPr>
            <w:r>
              <w:t>Informuojame, kad veiklą, skirtą „</w:t>
            </w:r>
            <w:r w:rsidRPr="03C27651">
              <w:rPr>
                <w:rFonts w:eastAsia="Calibri"/>
                <w:b/>
                <w:bCs/>
              </w:rPr>
              <w:t>skatinti MVĮ skaitmeninimą, įskaitant ir e-komerciją, prioritetą teikiant tokių skaitmeninių technologijų plėtrai, kurios</w:t>
            </w:r>
            <w:r w:rsidRPr="03C27651">
              <w:rPr>
                <w:b/>
                <w:bCs/>
              </w:rPr>
              <w:t xml:space="preserve"> sudarytų sąlygas tobulinti MVĮ gamybos procesus, kurti inovatyvius produktus ir inovatyvius verslo modelius: s</w:t>
            </w:r>
            <w:r w:rsidRPr="03C27651">
              <w:rPr>
                <w:rFonts w:eastAsia="Calibri"/>
                <w:b/>
                <w:bCs/>
                <w:noProof/>
              </w:rPr>
              <w:t>katinti kurti ir diegti skaitmeninius sprendimus, skirtus nuotoliniam ugdymui ar kasdieninei darbinei veiklai užtikrinti verslo įmonėse</w:t>
            </w:r>
            <w:r w:rsidRPr="03C27651">
              <w:rPr>
                <w:rFonts w:eastAsia="Calibri"/>
                <w:noProof/>
              </w:rPr>
              <w:t>“ planuojama įgyvendinti naujuoju 2021</w:t>
            </w:r>
            <w:r w:rsidRPr="03C27651">
              <w:rPr>
                <w:rFonts w:ascii="Times" w:eastAsia="Times" w:hAnsi="Times" w:cs="Times"/>
                <w:noProof/>
                <w:color w:val="000000" w:themeColor="text1"/>
                <w:szCs w:val="24"/>
              </w:rPr>
              <w:t>–</w:t>
            </w:r>
            <w:r w:rsidRPr="03C27651">
              <w:rPr>
                <w:rFonts w:eastAsia="Calibri"/>
                <w:noProof/>
              </w:rPr>
              <w:t>2027 m. programavimo laikotarpiu pagal 2021</w:t>
            </w:r>
            <w:r w:rsidRPr="03C27651">
              <w:rPr>
                <w:rFonts w:ascii="Times" w:eastAsia="Times" w:hAnsi="Times" w:cs="Times"/>
                <w:noProof/>
                <w:color w:val="000000" w:themeColor="text1"/>
                <w:szCs w:val="24"/>
              </w:rPr>
              <w:t>–</w:t>
            </w:r>
            <w:r w:rsidRPr="03C27651">
              <w:rPr>
                <w:rFonts w:eastAsia="Calibri"/>
                <w:noProof/>
              </w:rPr>
              <w:t>2027 m. Veiksmų programos 1.2 konkretų uždavinį „Pasinaudoti skaitmeninimo teikiama nauda piliečiams, įmonėms ir vyriausybėms“.</w:t>
            </w:r>
          </w:p>
        </w:tc>
      </w:tr>
      <w:tr w:rsidR="00220A66" w:rsidRPr="00C70D14" w14:paraId="424BE844" w14:textId="77777777" w:rsidTr="03C27651">
        <w:tc>
          <w:tcPr>
            <w:tcW w:w="567" w:type="dxa"/>
          </w:tcPr>
          <w:p w14:paraId="790DAF05" w14:textId="77777777" w:rsidR="00220A66" w:rsidRPr="0038099D" w:rsidRDefault="00220A66" w:rsidP="0036662A">
            <w:pPr>
              <w:pStyle w:val="ListParagraph"/>
              <w:numPr>
                <w:ilvl w:val="0"/>
                <w:numId w:val="1"/>
              </w:numPr>
              <w:jc w:val="both"/>
            </w:pPr>
          </w:p>
        </w:tc>
        <w:tc>
          <w:tcPr>
            <w:tcW w:w="1985" w:type="dxa"/>
          </w:tcPr>
          <w:p w14:paraId="1D0047DB" w14:textId="1ABE3CAA" w:rsidR="00220A66" w:rsidRPr="00206A17" w:rsidRDefault="00206A17" w:rsidP="004E7809">
            <w:pPr>
              <w:rPr>
                <w:b/>
              </w:rPr>
            </w:pPr>
            <w:r w:rsidRPr="00206A17">
              <w:rPr>
                <w:b/>
              </w:rPr>
              <w:t>Vismantas Satkauskas</w:t>
            </w:r>
            <w:r w:rsidRPr="00206A17">
              <w:rPr>
                <w:b/>
              </w:rPr>
              <w:br/>
              <w:t>Direktorius</w:t>
            </w:r>
            <w:r w:rsidRPr="00206A17">
              <w:rPr>
                <w:b/>
              </w:rPr>
              <w:br/>
              <w:t>UAB "Sėkmės sprendimai"</w:t>
            </w:r>
          </w:p>
        </w:tc>
        <w:tc>
          <w:tcPr>
            <w:tcW w:w="5415" w:type="dxa"/>
          </w:tcPr>
          <w:p w14:paraId="61AC92EB" w14:textId="77777777" w:rsidR="00206A17" w:rsidRPr="00206A17" w:rsidRDefault="00206A17" w:rsidP="00206A17">
            <w:pPr>
              <w:spacing w:after="200" w:line="276" w:lineRule="auto"/>
              <w:jc w:val="both"/>
              <w:rPr>
                <w:lang w:eastAsia="en-US"/>
              </w:rPr>
            </w:pPr>
            <w:r w:rsidRPr="00206A17">
              <w:t>Kaip pabrėžiama DNR plane ir kituose strateginiuose dokumentuose, svarbu ne tik minimizuotis tiesioginius pandemijos sukeltus padarinius, bet ir orientuoti verslus į aukštą pridėtinę vertę kuriančius veiklos modelius, darbo našumo augimą. Verslo efektyvumo didinimas leis ne tik kovoti su tiesioginiais pandemijos padariniai, bet ir suteiks resursų ir galimybių geriau prisitaikyti prie kintančios situacijos plačiąją prasme, o tuo pačiu didinti Lietuvos tarptautinį konkurencingumą.</w:t>
            </w:r>
          </w:p>
          <w:p w14:paraId="348D28A0" w14:textId="77777777" w:rsidR="00206A17" w:rsidRPr="00206A17" w:rsidRDefault="00206A17" w:rsidP="00206A17">
            <w:pPr>
              <w:spacing w:after="200" w:line="276" w:lineRule="auto"/>
              <w:jc w:val="both"/>
            </w:pPr>
            <w:r w:rsidRPr="00206A17">
              <w:t>Atrankos kriterijų projekte suformuotas remiamos veiklos apibrėžimas apima tik 2 tiesiogiai į pandemijos poveikio mažinimą nukreiptas veiklas:</w:t>
            </w:r>
          </w:p>
          <w:p w14:paraId="265C4124" w14:textId="77777777" w:rsidR="00206A17" w:rsidRPr="00206A17" w:rsidRDefault="00206A17" w:rsidP="00206A17">
            <w:pPr>
              <w:numPr>
                <w:ilvl w:val="0"/>
                <w:numId w:val="10"/>
              </w:numPr>
              <w:spacing w:before="100" w:beforeAutospacing="1" w:after="100" w:afterAutospacing="1"/>
              <w:jc w:val="both"/>
            </w:pPr>
            <w:r w:rsidRPr="00206A17">
              <w:t>nuotolinių darbo vietų sprendimų diegimas;</w:t>
            </w:r>
          </w:p>
          <w:p w14:paraId="3C3BD2B4" w14:textId="77777777" w:rsidR="00206A17" w:rsidRPr="00206A17" w:rsidRDefault="00206A17" w:rsidP="00206A17">
            <w:pPr>
              <w:numPr>
                <w:ilvl w:val="0"/>
                <w:numId w:val="10"/>
              </w:numPr>
              <w:spacing w:before="100" w:beforeAutospacing="1" w:after="100" w:afterAutospacing="1"/>
              <w:jc w:val="both"/>
            </w:pPr>
            <w:r w:rsidRPr="00206A17">
              <w:t>e-pardavimo sandorių sudarymo sprendimų diegimas. </w:t>
            </w:r>
          </w:p>
          <w:p w14:paraId="5E0F07F3" w14:textId="77777777" w:rsidR="00206A17" w:rsidRPr="00206A17" w:rsidRDefault="00206A17" w:rsidP="00206A17">
            <w:pPr>
              <w:spacing w:after="200" w:line="276" w:lineRule="auto"/>
              <w:jc w:val="both"/>
            </w:pPr>
            <w:r w:rsidRPr="00206A17">
              <w:lastRenderedPageBreak/>
              <w:t xml:space="preserve">Todėl PRAŠOME atsižvelgiant į aukščiau pateiktus argumentus papildyti antrąją veiklą, ją išdėstant taip: </w:t>
            </w:r>
          </w:p>
          <w:p w14:paraId="01B0D6D7" w14:textId="77777777" w:rsidR="00206A17" w:rsidRPr="00206A17" w:rsidRDefault="00206A17" w:rsidP="00206A17">
            <w:pPr>
              <w:numPr>
                <w:ilvl w:val="0"/>
                <w:numId w:val="11"/>
              </w:numPr>
              <w:spacing w:before="100" w:beforeAutospacing="1" w:after="100" w:afterAutospacing="1"/>
              <w:jc w:val="both"/>
            </w:pPr>
            <w:r w:rsidRPr="00206A17">
              <w:t xml:space="preserve">e-pardavimo sandorių sudarymo sprendimų diegimas, </w:t>
            </w:r>
            <w:r w:rsidRPr="00206A17">
              <w:rPr>
                <w:rStyle w:val="gmail-msoins"/>
                <w:b/>
              </w:rPr>
              <w:t>apimant: ryšių su klientais ir tiekėjais, subrangovais valdymo sistemas; logistikos bei sandėlio valdymo sistemas; verslo valdymo sistemas; bei kitus sprendimus, kurie leidžia efektyviau vykdyti e-pardavimo veiklas</w:t>
            </w:r>
            <w:r w:rsidRPr="00206A17">
              <w:rPr>
                <w:b/>
              </w:rPr>
              <w:t>.</w:t>
            </w:r>
            <w:r w:rsidRPr="00206A17">
              <w:t> </w:t>
            </w:r>
          </w:p>
          <w:p w14:paraId="2ED16BE9" w14:textId="1F2FA46F" w:rsidR="00220A66" w:rsidRDefault="00206A17" w:rsidP="00206A17">
            <w:pPr>
              <w:spacing w:after="200" w:line="276" w:lineRule="auto"/>
              <w:jc w:val="both"/>
            </w:pPr>
            <w:r w:rsidRPr="00206A17">
              <w:t>Siūloma naudoti  platesnė formuluotė užtikrins, jog nebus apsiribojama tik internetinio pardavimo sprendimais, bet projektai apims ir kitus iki pardavimo vedančius įmonės procesus, kurių skaitmeninimas bei optimizavimas būtinas ne tik e-pardavimams, bet ir norint pasiekti ilgalaikį našumo bei konkurencingumo augimą.</w:t>
            </w:r>
          </w:p>
        </w:tc>
        <w:tc>
          <w:tcPr>
            <w:tcW w:w="6946" w:type="dxa"/>
          </w:tcPr>
          <w:p w14:paraId="6276CDFC" w14:textId="77777777" w:rsidR="00220A66" w:rsidRDefault="00206A17" w:rsidP="005F5ED3">
            <w:pPr>
              <w:jc w:val="both"/>
              <w:rPr>
                <w:rFonts w:eastAsia="AngsanaUPC"/>
                <w:bCs/>
                <w:iCs/>
                <w:szCs w:val="24"/>
              </w:rPr>
            </w:pPr>
            <w:r>
              <w:rPr>
                <w:rFonts w:eastAsia="AngsanaUPC"/>
                <w:bCs/>
                <w:iCs/>
                <w:szCs w:val="24"/>
              </w:rPr>
              <w:lastRenderedPageBreak/>
              <w:t>Atsižvelgta dalinai.</w:t>
            </w:r>
          </w:p>
          <w:p w14:paraId="0FA621DF" w14:textId="77777777" w:rsidR="008F644F" w:rsidRDefault="008F644F" w:rsidP="005F5ED3">
            <w:pPr>
              <w:jc w:val="both"/>
              <w:rPr>
                <w:bCs/>
              </w:rPr>
            </w:pPr>
            <w:r>
              <w:t xml:space="preserve">Pažymime, kad ši priemonė įtraukta į </w:t>
            </w:r>
            <w:r>
              <w:rPr>
                <w:szCs w:val="24"/>
              </w:rPr>
              <w:t>Ateities ekonomikos DNR planą</w:t>
            </w:r>
            <w:r w:rsidRPr="00E271E7">
              <w:rPr>
                <w:szCs w:val="24"/>
              </w:rPr>
              <w:t xml:space="preserve">, kuriam pritarta </w:t>
            </w:r>
            <w:r w:rsidRPr="00E271E7">
              <w:rPr>
                <w:rFonts w:eastAsiaTheme="minorEastAsia"/>
                <w:szCs w:val="24"/>
              </w:rPr>
              <w:t>Lietuvos Respublikos Vyriausybės 2020 m. birželio 10 d. pasitarimo protokolu Nr. 28,</w:t>
            </w:r>
            <w:r>
              <w:rPr>
                <w:rFonts w:eastAsiaTheme="minorEastAsia"/>
                <w:szCs w:val="24"/>
              </w:rPr>
              <w:t xml:space="preserve"> ir Ateities DNR plane numatytas toks veiksmas – </w:t>
            </w:r>
            <w:r>
              <w:rPr>
                <w:bCs/>
              </w:rPr>
              <w:t xml:space="preserve">E-VERSLO MODELIS (e-verslo modelių </w:t>
            </w:r>
            <w:r w:rsidRPr="000376B5">
              <w:rPr>
                <w:bCs/>
              </w:rPr>
              <w:t>diegimas, persiorientuojant į procesų,</w:t>
            </w:r>
            <w:r>
              <w:rPr>
                <w:bCs/>
              </w:rPr>
              <w:t xml:space="preserve"> produktų, paslaugų skaitmenizavim</w:t>
            </w:r>
            <w:r w:rsidRPr="000376B5">
              <w:rPr>
                <w:bCs/>
              </w:rPr>
              <w:t>ą, elektroninę prekybą ir pristatymą</w:t>
            </w:r>
            <w:r>
              <w:rPr>
                <w:bCs/>
              </w:rPr>
              <w:t>).</w:t>
            </w:r>
          </w:p>
          <w:p w14:paraId="33258AD5" w14:textId="30EF18A5" w:rsidR="00206A17" w:rsidRPr="007C746F" w:rsidRDefault="003B3E72" w:rsidP="003B3E72">
            <w:pPr>
              <w:jc w:val="both"/>
              <w:rPr>
                <w:rFonts w:eastAsia="AngsanaUPC"/>
                <w:bCs/>
                <w:iCs/>
                <w:szCs w:val="24"/>
              </w:rPr>
            </w:pPr>
            <w:r>
              <w:rPr>
                <w:bCs/>
              </w:rPr>
              <w:t>Atsižvelgiant į tai,</w:t>
            </w:r>
            <w:r w:rsidR="008F644F">
              <w:rPr>
                <w:bCs/>
              </w:rPr>
              <w:t xml:space="preserve"> šia priemone siekiama paskatinti </w:t>
            </w:r>
            <w:r w:rsidR="008F644F">
              <w:t>e-verslo modelių diegimą</w:t>
            </w:r>
            <w:r>
              <w:t>, t. y. elektronines parduotuves, siūlančia</w:t>
            </w:r>
            <w:r w:rsidR="008F644F" w:rsidRPr="00211DD8">
              <w:t xml:space="preserve">s nusipirkti </w:t>
            </w:r>
            <w:r>
              <w:t>gaminius</w:t>
            </w:r>
            <w:r w:rsidR="008F644F" w:rsidRPr="00211DD8">
              <w:t xml:space="preserve"> (paslaugas) virtualiose parduotuvėse, bei užsakymų valdymo </w:t>
            </w:r>
            <w:r>
              <w:t>modeliai, skirtus</w:t>
            </w:r>
            <w:r w:rsidR="008F644F" w:rsidRPr="00211DD8">
              <w:t xml:space="preserve"> </w:t>
            </w:r>
            <w:r w:rsidR="00843AC7">
              <w:t xml:space="preserve">išoriniams verslo procesams, t. y. </w:t>
            </w:r>
            <w:r>
              <w:t>MVĮ</w:t>
            </w:r>
            <w:r w:rsidR="008F644F" w:rsidRPr="00211DD8">
              <w:t xml:space="preserve"> santykių su kitomis įmonėmis (produktų tiekėjais,</w:t>
            </w:r>
            <w:r w:rsidR="00843AC7">
              <w:t xml:space="preserve"> </w:t>
            </w:r>
            <w:r>
              <w:t>tiekėjais, subrangovais</w:t>
            </w:r>
            <w:r w:rsidR="008F644F" w:rsidRPr="00211DD8">
              <w:t>) perkėlimui į virtualią erdvę, siekiant sumažinti trad</w:t>
            </w:r>
            <w:r w:rsidR="00843AC7">
              <w:t>icinių verslo transakcijų kiekį.</w:t>
            </w:r>
            <w:r w:rsidR="003A7D2A">
              <w:t xml:space="preserve"> Vidinių įmonės procesų valdymo sistemos remiamos nebus.</w:t>
            </w:r>
          </w:p>
        </w:tc>
      </w:tr>
      <w:tr w:rsidR="00262BAD" w:rsidRPr="00C70D14" w14:paraId="0F4D4DC3" w14:textId="77777777" w:rsidTr="03C27651">
        <w:tc>
          <w:tcPr>
            <w:tcW w:w="567" w:type="dxa"/>
          </w:tcPr>
          <w:p w14:paraId="2FDA1A50" w14:textId="77777777" w:rsidR="00262BAD" w:rsidRPr="0038099D" w:rsidRDefault="00262BAD" w:rsidP="0036662A">
            <w:pPr>
              <w:pStyle w:val="ListParagraph"/>
              <w:numPr>
                <w:ilvl w:val="0"/>
                <w:numId w:val="1"/>
              </w:numPr>
              <w:jc w:val="both"/>
            </w:pPr>
          </w:p>
        </w:tc>
        <w:tc>
          <w:tcPr>
            <w:tcW w:w="1985" w:type="dxa"/>
          </w:tcPr>
          <w:p w14:paraId="5D3048C0" w14:textId="55DCEB01" w:rsidR="00262BAD" w:rsidRDefault="00E17F55" w:rsidP="00E17F55">
            <w:r>
              <w:rPr>
                <w:b/>
                <w:bCs/>
                <w:sz w:val="23"/>
                <w:szCs w:val="23"/>
              </w:rPr>
              <w:t>MB „Probila“</w:t>
            </w:r>
          </w:p>
        </w:tc>
        <w:tc>
          <w:tcPr>
            <w:tcW w:w="5415" w:type="dxa"/>
          </w:tcPr>
          <w:p w14:paraId="00E745E3" w14:textId="77777777" w:rsidR="00B728AB" w:rsidRDefault="00B728AB" w:rsidP="00B728AB">
            <w:pPr>
              <w:pStyle w:val="Default"/>
              <w:jc w:val="both"/>
            </w:pPr>
            <w:r w:rsidRPr="00B728AB">
              <w:t>Projektų atrank</w:t>
            </w:r>
            <w:r>
              <w:t>os kriterijaus numeryje Nr. 2. n</w:t>
            </w:r>
            <w:r w:rsidRPr="00B728AB">
              <w:t>urodyta, kad „</w:t>
            </w:r>
            <w:r w:rsidRPr="00B728AB">
              <w:rPr>
                <w:iCs/>
              </w:rPr>
              <w:t>2. Pareiškėjas yra MVĮ, veikianti ne trumpiau kaip vienerius metus ir kurios vidutinės pačios MVĮ pagamintos produkcijos metinės pajamos per pastaruosius 3 finansinius metus arba per laiką nuo MVĮ įregistravimo dienos (jeigu MVĮ įregistruota mažiau nei prieš 3 pastaruosius finansinius metus) yra ne mažesnės kaip 50 000 Eur.</w:t>
            </w:r>
            <w:r w:rsidRPr="00B728AB">
              <w:t xml:space="preserve">“. </w:t>
            </w:r>
          </w:p>
          <w:p w14:paraId="3BC79687" w14:textId="73F45ED7" w:rsidR="00B728AB" w:rsidRPr="00B728AB" w:rsidRDefault="00B728AB" w:rsidP="00B728AB">
            <w:pPr>
              <w:pStyle w:val="Default"/>
              <w:jc w:val="both"/>
            </w:pPr>
            <w:r w:rsidRPr="00B728AB">
              <w:t xml:space="preserve">Ar turime suprasti, kad įmonė, veikianti mažiau nei 3 finansinius metus, taip pat turi turėti vidutinę metinę 50 000 Eur apyvartą? Jei taip, atsižvelgiant į tai, kad mažų įmonių, veikiančių tik iki 3 finansinių metų dar stipriau patiria neigiamas pasekmes dėl COVID-19, o </w:t>
            </w:r>
            <w:r w:rsidRPr="00B728AB">
              <w:lastRenderedPageBreak/>
              <w:t xml:space="preserve">pajamos dar sunkiau auga, </w:t>
            </w:r>
            <w:r w:rsidRPr="00B728AB">
              <w:rPr>
                <w:b/>
              </w:rPr>
              <w:t>siūlome šį projektų atrankos kriterijų išdėstyti taip</w:t>
            </w:r>
            <w:r w:rsidRPr="00B728AB">
              <w:t xml:space="preserve">: </w:t>
            </w:r>
          </w:p>
          <w:p w14:paraId="41C61782" w14:textId="72E6931B" w:rsidR="00A40AF7" w:rsidRPr="00B728AB" w:rsidRDefault="00B728AB" w:rsidP="00B728AB">
            <w:pPr>
              <w:jc w:val="both"/>
              <w:rPr>
                <w:szCs w:val="24"/>
              </w:rPr>
            </w:pPr>
            <w:r w:rsidRPr="00B728AB">
              <w:rPr>
                <w:iCs/>
                <w:szCs w:val="24"/>
              </w:rPr>
              <w:t xml:space="preserve">„Pareiškėjas yra MVĮ, veikianti ne trumpiau kaip vienerius metus ir kurios vidutinės pačios MVĮ pagamintos produkcijos metinės pajamos per pastaruosius 3 finansinius metus </w:t>
            </w:r>
            <w:r w:rsidRPr="00B728AB">
              <w:rPr>
                <w:b/>
                <w:bCs/>
                <w:iCs/>
                <w:szCs w:val="24"/>
              </w:rPr>
              <w:t xml:space="preserve">arba bendros pajamos </w:t>
            </w:r>
            <w:r w:rsidRPr="00B728AB">
              <w:rPr>
                <w:iCs/>
                <w:szCs w:val="24"/>
              </w:rPr>
              <w:t>per laiką nuo MVĮ įregistravimo dienos (jeigu MVĮ įregistruota mažiau nei prieš 3 pastaruosius finansinius metus) yra ne mažesnės kaip 50 000 Eur.</w:t>
            </w:r>
            <w:r w:rsidRPr="00B728AB">
              <w:rPr>
                <w:szCs w:val="24"/>
              </w:rPr>
              <w:t>“</w:t>
            </w:r>
          </w:p>
        </w:tc>
        <w:tc>
          <w:tcPr>
            <w:tcW w:w="6946" w:type="dxa"/>
          </w:tcPr>
          <w:p w14:paraId="6780BA41" w14:textId="26D93955" w:rsidR="00262BAD" w:rsidRDefault="009254AC" w:rsidP="00335D39">
            <w:r>
              <w:lastRenderedPageBreak/>
              <w:t>Neatsižvelgta.</w:t>
            </w:r>
          </w:p>
          <w:p w14:paraId="50763C42" w14:textId="02EA9590" w:rsidR="007A5AF5" w:rsidRDefault="009254AC" w:rsidP="007A5AF5">
            <w:pPr>
              <w:jc w:val="both"/>
            </w:pPr>
            <w:r>
              <w:t>Pažymime, kad 50 000 EUR vidutinių pajamų dydis buvo nustatytas, a</w:t>
            </w:r>
            <w:r w:rsidR="007A5AF5">
              <w:t xml:space="preserve">tsižvelgus į gautus </w:t>
            </w:r>
            <w:r>
              <w:t xml:space="preserve">socialinių ekonominių partnerių </w:t>
            </w:r>
            <w:r w:rsidR="007A5AF5">
              <w:t>pasiūlymus</w:t>
            </w:r>
            <w:r w:rsidR="00393BED">
              <w:t xml:space="preserve"> pirmojo viešojo aptarimo, vykusio nuo 2020-08-21iki 2020-08-28 d. metu</w:t>
            </w:r>
            <w:r w:rsidR="007A5AF5">
              <w:t xml:space="preserve">, </w:t>
            </w:r>
            <w:r w:rsidR="0059238B">
              <w:t xml:space="preserve">atitinkamai </w:t>
            </w:r>
            <w:r w:rsidR="007A5AF5">
              <w:t xml:space="preserve">nutarta </w:t>
            </w:r>
            <w:r w:rsidR="007A5AF5" w:rsidRPr="00175036">
              <w:t xml:space="preserve">MVĮ pagamintos produkcijos </w:t>
            </w:r>
            <w:r w:rsidR="007A5AF5">
              <w:t>vidutinių metinių pajamų sumą sumaž</w:t>
            </w:r>
            <w:r w:rsidR="0059238B">
              <w:t>inti iš 145 000 eurų į 50</w:t>
            </w:r>
            <w:r w:rsidR="007A5AF5">
              <w:t xml:space="preserve"> 000 eurų. </w:t>
            </w:r>
          </w:p>
          <w:p w14:paraId="62F2985A" w14:textId="77777777" w:rsidR="00BF1B7E" w:rsidRDefault="00BF1B7E" w:rsidP="00BF1B7E">
            <w:pPr>
              <w:jc w:val="both"/>
              <w:rPr>
                <w:bCs/>
              </w:rPr>
            </w:pPr>
            <w:r>
              <w:t xml:space="preserve">Pažymime, kad specialusis projektų atrankos kriterijus </w:t>
            </w:r>
            <w:r w:rsidRPr="00BF1B7E">
              <w:rPr>
                <w:b/>
              </w:rPr>
              <w:t>„Pareiškėjas yra MVĮ, veikianti ne trumpiau kaip vienerius metus ir kurios vidutinės pačios MVĮ pagamintos produkcijos metinės pajamos per pastaruosius 3 finansinius metus arba per laiką nuo MVĮ įregistravimo dienos (jeigu MVĮ įregistruota mažiau nei prieš 3 pastaruosius finansinius metus) yra ne mažesnės kaip 50 000 Eur“</w:t>
            </w:r>
            <w:r w:rsidRPr="00175036">
              <w:t xml:space="preserve"> </w:t>
            </w:r>
            <w:r>
              <w:t xml:space="preserve">pasirinktas siekiant </w:t>
            </w:r>
            <w:r w:rsidRPr="00175036">
              <w:t xml:space="preserve">įvertinti, ar pareiškėjas turi pakankamai patirties </w:t>
            </w:r>
            <w:r w:rsidRPr="00175036">
              <w:lastRenderedPageBreak/>
              <w:t>įgyvendinti projektą. Remiantis 20</w:t>
            </w:r>
            <w:r>
              <w:t>14</w:t>
            </w:r>
            <w:r w:rsidRPr="00175036">
              <w:t>–20</w:t>
            </w:r>
            <w:r>
              <w:t>20</w:t>
            </w:r>
            <w:r w:rsidRPr="00175036">
              <w:t xml:space="preserve"> m. finansavimo laikotarpio patirtimi, MVĮ,</w:t>
            </w:r>
            <w:r>
              <w:t xml:space="preserve"> kurioms buvo keliamas reikalavimas turėti tam tikrą dydį pajamų, sėkmingiau įgyvendino </w:t>
            </w:r>
            <w:r w:rsidRPr="00175036">
              <w:t>iš Europos Sąjungos fondų lėšų bendrai finansuojamus projektus.</w:t>
            </w:r>
            <w:r w:rsidR="00CC2C73">
              <w:t xml:space="preserve"> </w:t>
            </w:r>
            <w:r w:rsidR="00CC2C73">
              <w:rPr>
                <w:bCs/>
              </w:rPr>
              <w:t>Šiuo kriterijumi siekiama užtikrinti pareiškėjo finansinį pajėgumą ir gebėjimą pačiam prisidėti prie projekto įgyvendinimo, taip pat siekiama užtikrinti, kad pareiškėjas nebus ką tik įsteigta įmonė.</w:t>
            </w:r>
          </w:p>
          <w:p w14:paraId="0FCB8F83" w14:textId="77777777" w:rsidR="00CC2C73" w:rsidRPr="00C70D14" w:rsidRDefault="00CC2C73" w:rsidP="00BF1B7E">
            <w:pPr>
              <w:jc w:val="both"/>
            </w:pPr>
            <w:r>
              <w:rPr>
                <w:bCs/>
              </w:rPr>
              <w:t xml:space="preserve">Atsižvelgiant į tai, manytina, kad tikslinga vertinti </w:t>
            </w:r>
            <w:r>
              <w:t>vidutines pačios MVĮ pagamintos produkcijos metines pajamas.</w:t>
            </w:r>
          </w:p>
        </w:tc>
      </w:tr>
      <w:tr w:rsidR="00F53CA8" w:rsidRPr="00C70D14" w14:paraId="54053A64" w14:textId="77777777" w:rsidTr="03C27651">
        <w:tc>
          <w:tcPr>
            <w:tcW w:w="567" w:type="dxa"/>
            <w:vMerge w:val="restart"/>
          </w:tcPr>
          <w:p w14:paraId="23ACFC05" w14:textId="77777777" w:rsidR="00F53CA8" w:rsidRPr="0038099D" w:rsidRDefault="00F53CA8" w:rsidP="0036662A">
            <w:pPr>
              <w:pStyle w:val="ListParagraph"/>
              <w:numPr>
                <w:ilvl w:val="0"/>
                <w:numId w:val="1"/>
              </w:numPr>
              <w:jc w:val="both"/>
            </w:pPr>
          </w:p>
        </w:tc>
        <w:tc>
          <w:tcPr>
            <w:tcW w:w="1985" w:type="dxa"/>
            <w:vMerge w:val="restart"/>
          </w:tcPr>
          <w:p w14:paraId="3E4D1EEA" w14:textId="0A7A7519" w:rsidR="00F53CA8" w:rsidRDefault="00F53CA8" w:rsidP="00335D39">
            <w:r>
              <w:t>Vaidas Baronas</w:t>
            </w:r>
          </w:p>
        </w:tc>
        <w:tc>
          <w:tcPr>
            <w:tcW w:w="5415" w:type="dxa"/>
          </w:tcPr>
          <w:p w14:paraId="01BED972" w14:textId="0F452669" w:rsidR="00F53CA8" w:rsidRPr="00F53CA8" w:rsidRDefault="00F53CA8" w:rsidP="00F53CA8">
            <w:pPr>
              <w:pStyle w:val="ListParagraph"/>
              <w:numPr>
                <w:ilvl w:val="0"/>
                <w:numId w:val="12"/>
              </w:numPr>
              <w:spacing w:line="252" w:lineRule="auto"/>
              <w:ind w:left="0" w:firstLine="360"/>
              <w:jc w:val="both"/>
              <w:rPr>
                <w:color w:val="000000"/>
              </w:rPr>
            </w:pPr>
            <w:r>
              <w:t xml:space="preserve">Pastabos – </w:t>
            </w:r>
            <w:r w:rsidRPr="00F53CA8">
              <w:rPr>
                <w:color w:val="000000"/>
              </w:rPr>
              <w:t xml:space="preserve">R.N.842 stebėsenos rodiklis, planas 20%, lyginant su 2018. Manau tai nėra pagrįsta, nes lyginti reiktų pagal paskutinius aktualius t. y. 2019 m. kaip minimum. </w:t>
            </w:r>
          </w:p>
          <w:p w14:paraId="2FAD174F" w14:textId="104D4F56" w:rsidR="00F53CA8" w:rsidRPr="00EB2DFC" w:rsidRDefault="00F53CA8" w:rsidP="004A7D9C">
            <w:pPr>
              <w:spacing w:line="252" w:lineRule="auto"/>
              <w:jc w:val="both"/>
            </w:pPr>
            <w:r>
              <w:rPr>
                <w:color w:val="000000"/>
              </w:rPr>
              <w:t>Po to priemonės logika pakeisti darbo vietas į nuotolines ir perkelti operacijas į el. erdvę, tai vien dėl to ar tikrai augs pardavimai 20% iki 2023m?, kai visa rinka akivaizdžiai stos  šiais ir tikėtina kitais metais</w:t>
            </w:r>
          </w:p>
          <w:p w14:paraId="1E640300" w14:textId="77777777" w:rsidR="00F53CA8" w:rsidRDefault="00F53CA8" w:rsidP="004A7D9C">
            <w:pPr>
              <w:spacing w:line="252" w:lineRule="auto"/>
              <w:jc w:val="both"/>
              <w:rPr>
                <w:color w:val="000000"/>
              </w:rPr>
            </w:pPr>
            <w:r>
              <w:rPr>
                <w:color w:val="000000"/>
              </w:rPr>
              <w:t>Subsidijas gaunančių įmonių skaičius yra per mažas, nes poreikis rinkoje daug didesnis. Taip pat iš to skaičiaus padalinus gaunama labai maža vidutinė vertė per įmonę.</w:t>
            </w:r>
          </w:p>
          <w:p w14:paraId="7DD3CD8B" w14:textId="77777777" w:rsidR="00F53CA8" w:rsidRDefault="00F53CA8" w:rsidP="004A7D9C">
            <w:pPr>
              <w:spacing w:line="252" w:lineRule="auto"/>
              <w:jc w:val="both"/>
              <w:rPr>
                <w:color w:val="000000"/>
              </w:rPr>
            </w:pPr>
            <w:r>
              <w:rPr>
                <w:color w:val="000000"/>
              </w:rPr>
              <w:t>Tęstinė projektų atranka taip pat nėra geras mechanizmas su ganėtinai mažu paramos katiliuku, nes kaip ir minėjau poreikis rinkoje itin didelis.</w:t>
            </w:r>
          </w:p>
          <w:p w14:paraId="1AF0A7C1" w14:textId="204640FC" w:rsidR="00F53CA8" w:rsidRPr="000A52A5" w:rsidRDefault="00F53CA8" w:rsidP="004A7D9C">
            <w:pPr>
              <w:rPr>
                <w:szCs w:val="24"/>
              </w:rPr>
            </w:pPr>
          </w:p>
        </w:tc>
        <w:tc>
          <w:tcPr>
            <w:tcW w:w="6946" w:type="dxa"/>
          </w:tcPr>
          <w:p w14:paraId="02D0BE0C" w14:textId="77777777" w:rsidR="00F53CA8" w:rsidRDefault="00F53CA8" w:rsidP="00220A66">
            <w:pPr>
              <w:jc w:val="both"/>
            </w:pPr>
            <w:r>
              <w:t>Atsižvelgta.</w:t>
            </w:r>
          </w:p>
          <w:p w14:paraId="5E460CEC" w14:textId="51534B18" w:rsidR="00281AC7" w:rsidRDefault="001F0537" w:rsidP="004E0E66">
            <w:pPr>
              <w:jc w:val="both"/>
            </w:pPr>
            <w:r>
              <w:t xml:space="preserve">Informuojame, kad </w:t>
            </w:r>
            <w:r w:rsidR="004E0E66">
              <w:t>i</w:t>
            </w:r>
            <w:r w:rsidRPr="001F0537">
              <w:t>nvesticijas gavusios įmonės pajamų padidėjimas skaičiuojamas kaip įmonės, dalyvavusios projekto veiklose, pajamų pokytis, kuris apskaičiuojamas kaip skirtumas tarp pajamų per 1 metus po projekto finansavimo pabaigos ir pa</w:t>
            </w:r>
            <w:r w:rsidR="004E0E66">
              <w:t xml:space="preserve">jamų paraiškos pateikimo metais </w:t>
            </w:r>
            <w:r w:rsidR="00281AC7" w:rsidRPr="001F0537">
              <w:t>(pagal su paraiška pateiktų paraiškos pateikimo metų finansinės atskaitomybės dokumentų duomenis)</w:t>
            </w:r>
            <w:r w:rsidR="004E0E66">
              <w:t xml:space="preserve">, t. y. </w:t>
            </w:r>
            <w:r w:rsidR="0084156F">
              <w:t xml:space="preserve">pateikus paraišką, </w:t>
            </w:r>
            <w:r w:rsidR="004E0E66">
              <w:t>turės b</w:t>
            </w:r>
            <w:r w:rsidR="0084156F">
              <w:t>ūti nurodyti 2020 m. įmonės pajamų duomenys</w:t>
            </w:r>
            <w:r w:rsidR="00842DE6">
              <w:t xml:space="preserve"> </w:t>
            </w:r>
            <w:r w:rsidR="0084156F">
              <w:t>(nepatvirtinti)</w:t>
            </w:r>
            <w:r w:rsidR="00281AC7" w:rsidRPr="001F0537">
              <w:t>.</w:t>
            </w:r>
          </w:p>
          <w:p w14:paraId="3060991A" w14:textId="77777777" w:rsidR="00B76633" w:rsidRDefault="00B76633" w:rsidP="004E0E66">
            <w:pPr>
              <w:jc w:val="both"/>
              <w:rPr>
                <w:szCs w:val="24"/>
              </w:rPr>
            </w:pPr>
            <w:r>
              <w:t xml:space="preserve">Rezultato stebėsenos rodiklis R.N. 842 </w:t>
            </w:r>
            <w:r w:rsidRPr="007E2402">
              <w:rPr>
                <w:color w:val="000000"/>
                <w:szCs w:val="24"/>
              </w:rPr>
              <w:t>„Investicijas gavusios įmonės pajamų padidėjimas“</w:t>
            </w:r>
            <w:r>
              <w:rPr>
                <w:color w:val="000000"/>
                <w:szCs w:val="24"/>
              </w:rPr>
              <w:t xml:space="preserve"> bus taikomas tik 2-ajai Priemone remiamai veiklai – </w:t>
            </w:r>
            <w:r w:rsidRPr="00F427E1">
              <w:rPr>
                <w:szCs w:val="24"/>
              </w:rPr>
              <w:t>e-pardavimo sandorių sudarymo sprendimų diegimas</w:t>
            </w:r>
            <w:r w:rsidR="00BB48F1">
              <w:rPr>
                <w:szCs w:val="24"/>
              </w:rPr>
              <w:t>.</w:t>
            </w:r>
          </w:p>
          <w:p w14:paraId="4AB97095" w14:textId="77777777" w:rsidR="00BB48F1" w:rsidRDefault="00BB48F1" w:rsidP="004E0E66">
            <w:pPr>
              <w:jc w:val="both"/>
              <w:rPr>
                <w:color w:val="000000"/>
                <w:szCs w:val="24"/>
              </w:rPr>
            </w:pPr>
            <w:r>
              <w:rPr>
                <w:color w:val="000000"/>
                <w:szCs w:val="24"/>
              </w:rPr>
              <w:t xml:space="preserve">Produkto stebėsenos rodiklio „Subsidijas gaunančių įmonių skaičius“ reikšmė apskaičiuota proporcingai planuojamai skirti </w:t>
            </w:r>
            <w:r w:rsidR="000455AB">
              <w:rPr>
                <w:color w:val="000000"/>
                <w:szCs w:val="24"/>
              </w:rPr>
              <w:t xml:space="preserve">Priemonės įgyvendinimui </w:t>
            </w:r>
            <w:r>
              <w:rPr>
                <w:color w:val="000000"/>
                <w:szCs w:val="24"/>
              </w:rPr>
              <w:t>Europos Sąjungos lėšų</w:t>
            </w:r>
            <w:r w:rsidR="000455AB">
              <w:rPr>
                <w:color w:val="000000"/>
                <w:szCs w:val="24"/>
              </w:rPr>
              <w:t xml:space="preserve"> sumai (iki 60 mln. EUR) bei atsižvelgiant į rizikas dėl projektų sutarčių nutraukimo.</w:t>
            </w:r>
          </w:p>
          <w:p w14:paraId="7F5DFECF" w14:textId="21E32596" w:rsidR="000C2EF4" w:rsidRPr="00B76633" w:rsidRDefault="00D4615E" w:rsidP="00D4615E">
            <w:pPr>
              <w:jc w:val="both"/>
              <w:rPr>
                <w:color w:val="000000"/>
                <w:szCs w:val="24"/>
              </w:rPr>
            </w:pPr>
            <w:r>
              <w:rPr>
                <w:szCs w:val="24"/>
              </w:rPr>
              <w:t xml:space="preserve">Priemonei įgyvendinti pasirinktas projektų atrankos būdas – tęstinė projektų atranka, nes šis būdas leis užtikrinti, kad projektai būtų įgyvendinami operatyviai ir pagal poreikį, kas leistų pasiekti greitų ir būtinų rezultatų. Taip pat visas priemonės administravimo procesas vyktų paprasčiau ir greičiau, todėl būtų užtikrintas priemonės įgyvendinimas laiku pagal teisės aktuose </w:t>
            </w:r>
            <w:r w:rsidRPr="00C86200">
              <w:rPr>
                <w:szCs w:val="24"/>
              </w:rPr>
              <w:t>nustatytus terminus.</w:t>
            </w:r>
          </w:p>
        </w:tc>
      </w:tr>
      <w:tr w:rsidR="00172010" w:rsidRPr="00C70D14" w14:paraId="670EC7ED" w14:textId="77777777" w:rsidTr="03C27651">
        <w:tc>
          <w:tcPr>
            <w:tcW w:w="567" w:type="dxa"/>
            <w:vMerge/>
          </w:tcPr>
          <w:p w14:paraId="679DFD72" w14:textId="77777777" w:rsidR="00172010" w:rsidRPr="0038099D" w:rsidRDefault="00172010" w:rsidP="00172010">
            <w:pPr>
              <w:pStyle w:val="ListParagraph"/>
              <w:numPr>
                <w:ilvl w:val="0"/>
                <w:numId w:val="1"/>
              </w:numPr>
              <w:jc w:val="both"/>
            </w:pPr>
          </w:p>
        </w:tc>
        <w:tc>
          <w:tcPr>
            <w:tcW w:w="1985" w:type="dxa"/>
            <w:vMerge/>
          </w:tcPr>
          <w:p w14:paraId="3310E691" w14:textId="77777777" w:rsidR="00172010" w:rsidRDefault="00172010" w:rsidP="00172010"/>
        </w:tc>
        <w:tc>
          <w:tcPr>
            <w:tcW w:w="5415" w:type="dxa"/>
          </w:tcPr>
          <w:p w14:paraId="7C9ADB12" w14:textId="77777777" w:rsidR="00172010" w:rsidRPr="00F53CA8" w:rsidRDefault="00172010" w:rsidP="00172010">
            <w:pPr>
              <w:pStyle w:val="ListParagraph"/>
              <w:numPr>
                <w:ilvl w:val="0"/>
                <w:numId w:val="12"/>
              </w:numPr>
              <w:spacing w:line="252" w:lineRule="auto"/>
              <w:rPr>
                <w:color w:val="000000"/>
              </w:rPr>
            </w:pPr>
            <w:r w:rsidRPr="00F53CA8">
              <w:rPr>
                <w:color w:val="000000"/>
              </w:rPr>
              <w:t>Atrankos kriterijai:</w:t>
            </w:r>
          </w:p>
          <w:p w14:paraId="5BD3403E" w14:textId="77777777" w:rsidR="00172010" w:rsidRDefault="00172010" w:rsidP="00172010">
            <w:pPr>
              <w:spacing w:line="252" w:lineRule="auto"/>
              <w:jc w:val="both"/>
              <w:rPr>
                <w:lang w:eastAsia="en-US"/>
              </w:rPr>
            </w:pPr>
            <w:r>
              <w:t xml:space="preserve">Pareiškėjas yra MVĮ, veikianti ne trumpiau kaip vienerius metus ir kurios vidutinės pačios MVĮ </w:t>
            </w:r>
            <w:r>
              <w:lastRenderedPageBreak/>
              <w:t>pagamintos produkcijos metinės pajamos per pastaruosius 3 finansinius metus arba per laiką nuo MVĮ įregistravimo dienos (jeigu MVĮ įregistruota mažiau nei prieš 3 pastaruosius finansinius metus) yra ne mažesnės kaip 50 000 Eur</w:t>
            </w:r>
          </w:p>
          <w:p w14:paraId="52546A5B" w14:textId="77777777" w:rsidR="00172010" w:rsidRDefault="00172010" w:rsidP="00172010">
            <w:pPr>
              <w:spacing w:line="252" w:lineRule="auto"/>
            </w:pPr>
          </w:p>
          <w:p w14:paraId="0B810B1D" w14:textId="77777777" w:rsidR="00172010" w:rsidRDefault="00172010" w:rsidP="00172010">
            <w:pPr>
              <w:spacing w:line="252" w:lineRule="auto"/>
            </w:pPr>
            <w:r>
              <w:t>Siūlymas keisti:</w:t>
            </w:r>
          </w:p>
          <w:p w14:paraId="526D5418" w14:textId="286D8DC0" w:rsidR="00172010" w:rsidRPr="00262BAD" w:rsidRDefault="00172010" w:rsidP="00172010">
            <w:pPr>
              <w:spacing w:line="252" w:lineRule="auto"/>
              <w:jc w:val="both"/>
            </w:pPr>
            <w:r>
              <w:t>Pareiškėjas yra MVĮ, veikianti ne trumpiau kaip vienerius metus ir kurios vidutinės metinės pajamos per pastaruosius 3 finansinius metus arba per laiką nuo MVĮ įregistravimo dienos (jeigu MVĮ įregistruota mažiau nei prieš 3 pastaruosius finansinius metus) yra ne mažesnės kaip 50 000 Eur, t. y. nevertinti gamybos aspekto. Argumentai: visoms įmonėms bus sunku, tame tarpe prekybinėms, o jų eliminavimas iš galimos paramos trukdys ekonomikos kritimo stabdymui. Taip pat pastebėtina, jog kriterijaus pagrindime nėra nurodyta, kodėl būtent tik gamintojai.</w:t>
            </w:r>
          </w:p>
        </w:tc>
        <w:tc>
          <w:tcPr>
            <w:tcW w:w="6946" w:type="dxa"/>
          </w:tcPr>
          <w:p w14:paraId="71031855" w14:textId="77777777" w:rsidR="00172010" w:rsidRDefault="00172010" w:rsidP="00172010">
            <w:r>
              <w:lastRenderedPageBreak/>
              <w:t>Neatsižvelgta.</w:t>
            </w:r>
          </w:p>
          <w:p w14:paraId="1EC97083" w14:textId="77777777" w:rsidR="00172010" w:rsidRDefault="00172010" w:rsidP="00172010">
            <w:pPr>
              <w:jc w:val="both"/>
            </w:pPr>
            <w:r>
              <w:t xml:space="preserve">Pažymime, kad 50 000 EUR vidutinių pajamų dydis buvo nustatytas, atsižvelgus į gautus socialinių ekonominių partnerių pasiūlymus </w:t>
            </w:r>
            <w:r>
              <w:lastRenderedPageBreak/>
              <w:t xml:space="preserve">pirmojo viešojo aptarimo, vykusio nuo 2020-08-21iki 2020-08-28 d. metu, atitinkamai nutarta </w:t>
            </w:r>
            <w:r w:rsidRPr="00175036">
              <w:t xml:space="preserve">MVĮ pagamintos produkcijos </w:t>
            </w:r>
            <w:r>
              <w:t xml:space="preserve">vidutinių metinių pajamų sumą sumažinti iš 145 000 eurų į 50 000 eurų. </w:t>
            </w:r>
          </w:p>
          <w:p w14:paraId="1FF72337" w14:textId="2C868402" w:rsidR="00172010" w:rsidRPr="00C70D14" w:rsidRDefault="03C27651" w:rsidP="007A34FE">
            <w:pPr>
              <w:jc w:val="both"/>
            </w:pPr>
            <w:r>
              <w:t xml:space="preserve">Pažymime, kad specialusis projektų atrankos kriterijus </w:t>
            </w:r>
            <w:r w:rsidRPr="03C27651">
              <w:rPr>
                <w:b/>
                <w:bCs/>
              </w:rPr>
              <w:t>„Pareiškėjas yra MVĮ, veikianti ne trumpiau kaip vienerius metus ir kurios vidutinės pačios MVĮ pagamintos produkcijos metinės pajamos per pastaruosius 3 finansinius metus arba per laiką nuo MVĮ įregistravimo dienos (jeigu MVĮ įregistruota mažiau nei prieš 3 pastaruosius finansinius metus) yra ne mažesnės kaip 50 000 Eur“</w:t>
            </w:r>
            <w:r>
              <w:t xml:space="preserve"> pasirinktas, siekiant paremti lietuviškos produkcijos gamintojus, t. y. MVĮ, kurios pačios gamina gaminius arba teikia paslaugas. Taip pat siekiant įvertinti, ar pareiškėjas turi pakankamai patirties įgyvendinti projektą, t. y. nėra ką tik įsteigta įmonė, ir gali pats prisidėti finansiškai prie projekto įgyvendinimo. Remiantis 2014–2020 m. finansavimo laikotarpio patirtimi, MVĮ, kurioms buvo keliamas reikalavimas turėti tam tikrą dydį pajamų, sėkmingiau įgyvendino iš Europos Sąjungos fondų lėšų bendrai finansuojamus projektus. </w:t>
            </w:r>
          </w:p>
        </w:tc>
      </w:tr>
      <w:tr w:rsidR="00172010" w:rsidRPr="00C70D14" w14:paraId="04465847" w14:textId="77777777" w:rsidTr="03C27651">
        <w:tc>
          <w:tcPr>
            <w:tcW w:w="567" w:type="dxa"/>
          </w:tcPr>
          <w:p w14:paraId="3D18ABDC" w14:textId="77777777" w:rsidR="00172010" w:rsidRPr="0038099D" w:rsidRDefault="00172010" w:rsidP="00172010">
            <w:pPr>
              <w:pStyle w:val="ListParagraph"/>
              <w:numPr>
                <w:ilvl w:val="0"/>
                <w:numId w:val="1"/>
              </w:numPr>
              <w:jc w:val="both"/>
            </w:pPr>
          </w:p>
        </w:tc>
        <w:tc>
          <w:tcPr>
            <w:tcW w:w="1985" w:type="dxa"/>
          </w:tcPr>
          <w:p w14:paraId="7685EBD0" w14:textId="67ACEDBE" w:rsidR="00172010" w:rsidRDefault="00172010" w:rsidP="00172010"/>
        </w:tc>
        <w:tc>
          <w:tcPr>
            <w:tcW w:w="5415" w:type="dxa"/>
          </w:tcPr>
          <w:p w14:paraId="6FFD99BE" w14:textId="77777777" w:rsidR="00172010" w:rsidRDefault="00172010" w:rsidP="00172010">
            <w:pPr>
              <w:pStyle w:val="ListParagraph"/>
              <w:numPr>
                <w:ilvl w:val="0"/>
                <w:numId w:val="12"/>
              </w:numPr>
              <w:spacing w:line="252" w:lineRule="auto"/>
            </w:pPr>
            <w:r>
              <w:t>Kitas:</w:t>
            </w:r>
          </w:p>
          <w:p w14:paraId="6F000EF9" w14:textId="77777777" w:rsidR="00172010" w:rsidRDefault="00172010" w:rsidP="00172010">
            <w:pPr>
              <w:spacing w:line="252" w:lineRule="auto"/>
              <w:jc w:val="both"/>
            </w:pPr>
            <w:r>
              <w:t>Vertinama, ar pareiškėjo pajamų pokytis, apskaičiuojamas kaip skirtumas tarp pajamų per 1 metus po projekto finansavimo pabaigos ir pajamų paraiškos pateikimo metais (2020 m.), yra ne mažesnis negu 20 procentų arba ne mažesnis negu prašomo finansavimo suma</w:t>
            </w:r>
          </w:p>
          <w:p w14:paraId="704B5785" w14:textId="77777777" w:rsidR="00172010" w:rsidRDefault="00172010" w:rsidP="00172010">
            <w:pPr>
              <w:spacing w:line="252" w:lineRule="auto"/>
            </w:pPr>
          </w:p>
          <w:p w14:paraId="15698D45" w14:textId="77777777" w:rsidR="00172010" w:rsidRDefault="00172010" w:rsidP="00172010">
            <w:pPr>
              <w:spacing w:line="252" w:lineRule="auto"/>
            </w:pPr>
            <w:r>
              <w:t>Siūlymas:</w:t>
            </w:r>
          </w:p>
          <w:p w14:paraId="0D5D3E9A" w14:textId="6F3A2EBC" w:rsidR="00172010" w:rsidRDefault="00172010" w:rsidP="00172010">
            <w:pPr>
              <w:spacing w:line="252" w:lineRule="auto"/>
              <w:jc w:val="both"/>
              <w:rPr>
                <w:lang w:eastAsia="en-US"/>
              </w:rPr>
            </w:pPr>
            <w:r>
              <w:t>Vertinama, ar pareiškėjo pajamų pokytis, apskaičiuojamas kaip skirtumas tarp pajamų per 1 metus po projekto finansavimo pabaigos ir pajamų paraiškos pateikimo metais (2019 m.), yra ne mažesnis negu prašomo finansavimo suma</w:t>
            </w:r>
          </w:p>
          <w:p w14:paraId="4D3745B4" w14:textId="77777777" w:rsidR="00172010" w:rsidRDefault="00172010" w:rsidP="00172010">
            <w:pPr>
              <w:spacing w:line="252" w:lineRule="auto"/>
              <w:rPr>
                <w:color w:val="000000"/>
              </w:rPr>
            </w:pPr>
          </w:p>
          <w:p w14:paraId="5C79E73A" w14:textId="7FAD225C" w:rsidR="00172010" w:rsidRDefault="00172010" w:rsidP="00172010">
            <w:pPr>
              <w:spacing w:line="252" w:lineRule="auto"/>
              <w:jc w:val="both"/>
              <w:rPr>
                <w:color w:val="000000"/>
                <w:lang w:val="en-US"/>
              </w:rPr>
            </w:pPr>
            <w:r>
              <w:rPr>
                <w:color w:val="000000"/>
              </w:rPr>
              <w:t>Argumentai: 20% yra optimistiškai per daug pvz. 2021m t.y. metais kai bus baigtas projektas nes tuo metu ekonomika tikrai neatsigaus, o nuotolinis darbas ir nauja Sistema tikrai nepakels efektyvumo per pirmus metus 20%</w:t>
            </w:r>
          </w:p>
          <w:p w14:paraId="4BA877EF" w14:textId="3489BE3A" w:rsidR="00172010" w:rsidRDefault="00172010" w:rsidP="00172010">
            <w:pPr>
              <w:spacing w:line="252" w:lineRule="auto"/>
              <w:jc w:val="both"/>
              <w:rPr>
                <w:color w:val="000000"/>
              </w:rPr>
            </w:pPr>
            <w:r>
              <w:rPr>
                <w:color w:val="000000"/>
              </w:rPr>
              <w:t>Be to 2020m rezultatų nebus be galutiniu be 2021.04.30 tai jei planuojama skirti finansavimą tik tada, tai gal jau bus per vėlu, todėl reikia (siūloma) imti turimus duomenis pvz. 2019m. be to pastaba ta kad nesueina su rodikliais, todėl siūlymas jei liekama 20% tai lyginti 2019 su 2023 m.</w:t>
            </w:r>
          </w:p>
          <w:p w14:paraId="05EF9A08" w14:textId="1B6626AA" w:rsidR="00172010" w:rsidRDefault="00172010" w:rsidP="00172010">
            <w:pPr>
              <w:spacing w:line="252" w:lineRule="auto"/>
              <w:jc w:val="both"/>
            </w:pPr>
            <w:r>
              <w:rPr>
                <w:color w:val="000000"/>
              </w:rPr>
              <w:t xml:space="preserve">Be to, nelabai logiška ateities rodiklį naudoti atrankai. Siūlymas naudoti istorinį pvz. 2019 ir 2020m apyvartos mažėjimas. </w:t>
            </w:r>
          </w:p>
        </w:tc>
        <w:tc>
          <w:tcPr>
            <w:tcW w:w="6946" w:type="dxa"/>
          </w:tcPr>
          <w:p w14:paraId="56176557" w14:textId="77777777" w:rsidR="00172010" w:rsidRPr="00B04D4E" w:rsidRDefault="003C4765" w:rsidP="00172010">
            <w:pPr>
              <w:jc w:val="both"/>
              <w:rPr>
                <w:bCs/>
              </w:rPr>
            </w:pPr>
            <w:r w:rsidRPr="00B04D4E">
              <w:rPr>
                <w:bCs/>
              </w:rPr>
              <w:lastRenderedPageBreak/>
              <w:t>Atsižvelgta, paaiškinta.</w:t>
            </w:r>
          </w:p>
          <w:p w14:paraId="5FC4414A" w14:textId="77777777" w:rsidR="003C4765" w:rsidRPr="00B04D4E" w:rsidRDefault="003C4765" w:rsidP="00172010">
            <w:pPr>
              <w:jc w:val="both"/>
              <w:rPr>
                <w:bCs/>
              </w:rPr>
            </w:pPr>
            <w:r w:rsidRPr="00B04D4E">
              <w:rPr>
                <w:bCs/>
              </w:rPr>
              <w:t xml:space="preserve">Šis kriterijus bus vertinamas atsižvelgiant į 2 alternatyvas: </w:t>
            </w:r>
          </w:p>
          <w:p w14:paraId="494997FE" w14:textId="77C7627B" w:rsidR="003C4765" w:rsidRPr="00B04D4E" w:rsidRDefault="00E40A7D" w:rsidP="003C4765">
            <w:pPr>
              <w:pStyle w:val="ListParagraph"/>
              <w:numPr>
                <w:ilvl w:val="0"/>
                <w:numId w:val="13"/>
              </w:numPr>
              <w:jc w:val="both"/>
              <w:rPr>
                <w:bCs/>
              </w:rPr>
            </w:pPr>
            <w:r>
              <w:rPr>
                <w:bCs/>
              </w:rPr>
              <w:t>Bus vertinama, ar pareiškėjo pajamų pokytis, apskaičiuojamas kaip skirtumas tarp pajamų per 1 metus po projekto finansavimo pabaigos ir pajamų paraiškos pateikimo metais (2020 m.), yra ne mažesnis negu 20 procentų</w:t>
            </w:r>
          </w:p>
          <w:p w14:paraId="371A0404" w14:textId="2A0613CD" w:rsidR="00136C2E" w:rsidRPr="00B04D4E" w:rsidRDefault="00136C2E" w:rsidP="00136C2E">
            <w:pPr>
              <w:pStyle w:val="ListParagraph"/>
              <w:jc w:val="both"/>
              <w:rPr>
                <w:bCs/>
              </w:rPr>
            </w:pPr>
            <w:r w:rsidRPr="00B04D4E">
              <w:rPr>
                <w:bCs/>
              </w:rPr>
              <w:t>ARBA</w:t>
            </w:r>
          </w:p>
          <w:p w14:paraId="05EB50A4" w14:textId="104D2891" w:rsidR="00E40A7D" w:rsidRPr="00B04D4E" w:rsidRDefault="00136C2E" w:rsidP="002E7CDE">
            <w:pPr>
              <w:pStyle w:val="ListParagraph"/>
              <w:numPr>
                <w:ilvl w:val="0"/>
                <w:numId w:val="13"/>
              </w:numPr>
              <w:jc w:val="both"/>
              <w:rPr>
                <w:bCs/>
              </w:rPr>
            </w:pPr>
            <w:r>
              <w:rPr>
                <w:bCs/>
              </w:rPr>
              <w:t>Bus v</w:t>
            </w:r>
            <w:r w:rsidR="00E40A7D">
              <w:rPr>
                <w:bCs/>
              </w:rPr>
              <w:t>ertinama, ar pareiškėjo pajamų pokytis, apskaičiuojamas kaip skirtumas tarp pajamų per 1 metus po projekto finansavimo pabaigos ir pajamų paraiškos pateikimo metais (2020 m.), yra ne mažesnis negu prašomo finansavimo suma.</w:t>
            </w:r>
          </w:p>
          <w:p w14:paraId="7B19EEE1" w14:textId="6BDF4996" w:rsidR="00B04D4E" w:rsidRPr="002E7CDE" w:rsidRDefault="00B04D4E" w:rsidP="002E7CDE">
            <w:pPr>
              <w:pStyle w:val="CommentText"/>
              <w:spacing w:line="240" w:lineRule="auto"/>
              <w:rPr>
                <w:bCs/>
                <w:sz w:val="24"/>
                <w:lang w:val="lt-LT" w:eastAsia="lt-LT"/>
              </w:rPr>
            </w:pPr>
            <w:r>
              <w:rPr>
                <w:bCs/>
                <w:sz w:val="24"/>
                <w:lang w:val="lt-LT" w:eastAsia="lt-LT"/>
              </w:rPr>
              <w:t xml:space="preserve">Nutarta vertinti MVĮ </w:t>
            </w:r>
            <w:r w:rsidRPr="00B04D4E">
              <w:rPr>
                <w:bCs/>
                <w:sz w:val="24"/>
                <w:lang w:val="lt-LT" w:eastAsia="lt-LT"/>
              </w:rPr>
              <w:t>pajamas</w:t>
            </w:r>
            <w:r>
              <w:rPr>
                <w:bCs/>
                <w:sz w:val="24"/>
                <w:lang w:val="lt-LT" w:eastAsia="lt-LT"/>
              </w:rPr>
              <w:t xml:space="preserve"> paraiškos pateikimo metais (</w:t>
            </w:r>
            <w:r w:rsidRPr="00B04D4E">
              <w:rPr>
                <w:bCs/>
                <w:sz w:val="24"/>
                <w:lang w:val="lt-LT" w:eastAsia="lt-LT"/>
              </w:rPr>
              <w:t xml:space="preserve">2020 </w:t>
            </w:r>
            <w:r>
              <w:rPr>
                <w:bCs/>
                <w:sz w:val="24"/>
                <w:lang w:val="lt-LT" w:eastAsia="lt-LT"/>
              </w:rPr>
              <w:t>m.), nes manytina</w:t>
            </w:r>
            <w:r w:rsidRPr="00B04D4E">
              <w:rPr>
                <w:bCs/>
                <w:sz w:val="24"/>
                <w:lang w:val="lt-LT" w:eastAsia="lt-LT"/>
              </w:rPr>
              <w:t>, kad neteisin</w:t>
            </w:r>
            <w:r w:rsidR="002E7CDE">
              <w:rPr>
                <w:bCs/>
                <w:sz w:val="24"/>
                <w:lang w:val="lt-LT" w:eastAsia="lt-LT"/>
              </w:rPr>
              <w:t>ga imti paskutinės patvirtintos</w:t>
            </w:r>
            <w:r>
              <w:rPr>
                <w:bCs/>
                <w:sz w:val="24"/>
                <w:lang w:val="lt-LT" w:eastAsia="lt-LT"/>
              </w:rPr>
              <w:t xml:space="preserve"> </w:t>
            </w:r>
            <w:r w:rsidR="002E7CDE">
              <w:rPr>
                <w:bCs/>
                <w:sz w:val="24"/>
                <w:lang w:val="lt-LT" w:eastAsia="lt-LT"/>
              </w:rPr>
              <w:t>finansinės atskaitomybės</w:t>
            </w:r>
            <w:r w:rsidRPr="00B04D4E">
              <w:rPr>
                <w:bCs/>
                <w:sz w:val="24"/>
                <w:lang w:val="lt-LT" w:eastAsia="lt-LT"/>
              </w:rPr>
              <w:t xml:space="preserve"> duomenis už 2019 m., nes 2020 m. </w:t>
            </w:r>
            <w:r w:rsidR="002E7CDE">
              <w:rPr>
                <w:bCs/>
                <w:sz w:val="24"/>
                <w:lang w:val="lt-LT" w:eastAsia="lt-LT"/>
              </w:rPr>
              <w:t xml:space="preserve">įmonės veiklos ir </w:t>
            </w:r>
            <w:r w:rsidR="002E7CDE">
              <w:rPr>
                <w:bCs/>
                <w:sz w:val="24"/>
                <w:lang w:val="lt-LT" w:eastAsia="lt-LT"/>
              </w:rPr>
              <w:lastRenderedPageBreak/>
              <w:t xml:space="preserve">atitinkamai pajamų, </w:t>
            </w:r>
            <w:r w:rsidRPr="00B04D4E">
              <w:rPr>
                <w:bCs/>
                <w:sz w:val="24"/>
                <w:lang w:val="lt-LT" w:eastAsia="lt-LT"/>
              </w:rPr>
              <w:t>situacija gali būti kardinaliai pasikeitusi dėl COVID</w:t>
            </w:r>
            <w:r w:rsidR="002E7CDE">
              <w:rPr>
                <w:bCs/>
                <w:sz w:val="24"/>
                <w:lang w:val="lt-LT" w:eastAsia="lt-LT"/>
              </w:rPr>
              <w:t>-19</w:t>
            </w:r>
            <w:r w:rsidRPr="00B04D4E">
              <w:rPr>
                <w:bCs/>
                <w:sz w:val="24"/>
                <w:lang w:val="lt-LT" w:eastAsia="lt-LT"/>
              </w:rPr>
              <w:t xml:space="preserve"> įtakos. </w:t>
            </w:r>
            <w:r w:rsidRPr="002E7CDE">
              <w:rPr>
                <w:bCs/>
                <w:sz w:val="24"/>
                <w:lang w:val="lt-LT" w:eastAsia="lt-LT"/>
              </w:rPr>
              <w:t xml:space="preserve">Paraiškos </w:t>
            </w:r>
            <w:r w:rsidR="002E7CDE">
              <w:rPr>
                <w:bCs/>
                <w:sz w:val="24"/>
                <w:lang w:val="lt-LT" w:eastAsia="lt-LT"/>
              </w:rPr>
              <w:t>pateikimo metu</w:t>
            </w:r>
            <w:r w:rsidRPr="002E7CDE">
              <w:rPr>
                <w:bCs/>
                <w:sz w:val="24"/>
                <w:lang w:val="lt-LT" w:eastAsia="lt-LT"/>
              </w:rPr>
              <w:t xml:space="preserve"> pareiškėjai pateiks preliminarius </w:t>
            </w:r>
            <w:r w:rsidR="002E7CDE">
              <w:rPr>
                <w:bCs/>
                <w:sz w:val="24"/>
                <w:lang w:val="lt-LT" w:eastAsia="lt-LT"/>
              </w:rPr>
              <w:t>(nepatvirtintus) pajamų duomenis</w:t>
            </w:r>
            <w:r w:rsidRPr="002E7CDE">
              <w:rPr>
                <w:bCs/>
                <w:sz w:val="24"/>
                <w:lang w:val="lt-LT" w:eastAsia="lt-LT"/>
              </w:rPr>
              <w:t xml:space="preserve"> ir įsipareigos pa</w:t>
            </w:r>
            <w:r w:rsidR="002E7CDE">
              <w:rPr>
                <w:bCs/>
                <w:sz w:val="24"/>
                <w:lang w:val="lt-LT" w:eastAsia="lt-LT"/>
              </w:rPr>
              <w:t>siekti tam tikrą pokytį (proc.).</w:t>
            </w:r>
          </w:p>
          <w:p w14:paraId="5CF8925F" w14:textId="77777777" w:rsidR="00717C57" w:rsidRPr="00B04D4E" w:rsidRDefault="00717C57" w:rsidP="003C13A5">
            <w:pPr>
              <w:jc w:val="both"/>
              <w:rPr>
                <w:bCs/>
              </w:rPr>
            </w:pPr>
            <w:r w:rsidRPr="00B04D4E">
              <w:rPr>
                <w:bCs/>
              </w:rPr>
              <w:t xml:space="preserve">Atsižvelgiant į tai, kad </w:t>
            </w:r>
            <w:r>
              <w:rPr>
                <w:bCs/>
              </w:rPr>
              <w:t>s</w:t>
            </w:r>
            <w:r w:rsidR="003C13A5">
              <w:rPr>
                <w:bCs/>
              </w:rPr>
              <w:t>tebėsenos rodiklio</w:t>
            </w:r>
            <w:r w:rsidRPr="00717C57">
              <w:rPr>
                <w:bCs/>
              </w:rPr>
              <w:t xml:space="preserve"> </w:t>
            </w:r>
            <w:r>
              <w:rPr>
                <w:bCs/>
              </w:rPr>
              <w:t>„</w:t>
            </w:r>
            <w:r w:rsidR="003C13A5" w:rsidRPr="003C13A5">
              <w:rPr>
                <w:bCs/>
              </w:rPr>
              <w:t>Investicijas gavusios įmonės pajamų padidėjimas“</w:t>
            </w:r>
            <w:r>
              <w:rPr>
                <w:bCs/>
              </w:rPr>
              <w:t xml:space="preserve"> </w:t>
            </w:r>
            <w:r w:rsidR="003C13A5">
              <w:rPr>
                <w:bCs/>
              </w:rPr>
              <w:t>pasiekimas matuojamas</w:t>
            </w:r>
            <w:r w:rsidRPr="00717C57">
              <w:rPr>
                <w:bCs/>
              </w:rPr>
              <w:t xml:space="preserve">, kai pateikiami finansinės atskaitomybės dokumentai, pažymos ir kiti dokumentai, patvirtinantys </w:t>
            </w:r>
            <w:r w:rsidRPr="0084156F">
              <w:rPr>
                <w:b/>
                <w:bCs/>
              </w:rPr>
              <w:t>per 1 metus po projekto finansavimo pabaigos</w:t>
            </w:r>
            <w:r w:rsidRPr="00717C57">
              <w:rPr>
                <w:bCs/>
              </w:rPr>
              <w:t xml:space="preserve"> pasie</w:t>
            </w:r>
            <w:r w:rsidR="003C13A5">
              <w:rPr>
                <w:bCs/>
              </w:rPr>
              <w:t xml:space="preserve">ktą stebėsenos rodiklio reikšmę, atitinkamai bus vertinamas </w:t>
            </w:r>
            <w:r w:rsidR="003C13A5" w:rsidRPr="00B04D4E">
              <w:rPr>
                <w:bCs/>
              </w:rPr>
              <w:t>pareiškėjo pajamų pokytis, apskaičiuojamas kaip skirtumas tarp pajamų per 1 metus po projekto finansavimo pabaigos ir pajamų paraiškos pateikimo metais.</w:t>
            </w:r>
          </w:p>
          <w:p w14:paraId="0B543896" w14:textId="4ACAF142" w:rsidR="00CB4C53" w:rsidRPr="00B04D4E" w:rsidRDefault="03C27651" w:rsidP="03C27651">
            <w:pPr>
              <w:pStyle w:val="CommentText"/>
              <w:rPr>
                <w:sz w:val="24"/>
                <w:szCs w:val="24"/>
                <w:lang w:val="lt-LT" w:eastAsia="lt-LT"/>
              </w:rPr>
            </w:pPr>
            <w:r w:rsidRPr="03C27651">
              <w:rPr>
                <w:sz w:val="24"/>
                <w:szCs w:val="24"/>
                <w:lang w:val="lt-LT" w:eastAsia="lt-LT"/>
              </w:rPr>
              <w:t>Taip pat remiantis 2014</w:t>
            </w:r>
            <w:r w:rsidRPr="03C27651">
              <w:rPr>
                <w:rFonts w:ascii="Times" w:eastAsia="Times" w:hAnsi="Times" w:cs="Times"/>
                <w:color w:val="000000" w:themeColor="text1"/>
                <w:lang w:val="lt-LT"/>
              </w:rPr>
              <w:t>–</w:t>
            </w:r>
            <w:r w:rsidRPr="03C27651">
              <w:rPr>
                <w:sz w:val="24"/>
                <w:szCs w:val="24"/>
                <w:lang w:val="lt-LT" w:eastAsia="lt-LT"/>
              </w:rPr>
              <w:t>2020 m. programavimo patirtimi, nustatyta, kad smulkūs, nedideli projektai didžiausią apčiuopiamą įtaką turi per trumpą laikotarpį, o po 2-3 metų, jei ir būtų pajamų augimas, tai tikėtina, ne dėl projekto įtakos.</w:t>
            </w:r>
          </w:p>
          <w:p w14:paraId="2AAE858E" w14:textId="44326925" w:rsidR="00CB4C53" w:rsidRPr="00B04D4E" w:rsidRDefault="00CB4C53" w:rsidP="003C13A5">
            <w:pPr>
              <w:jc w:val="both"/>
              <w:rPr>
                <w:bCs/>
              </w:rPr>
            </w:pPr>
          </w:p>
        </w:tc>
      </w:tr>
    </w:tbl>
    <w:p w14:paraId="4F59EF97" w14:textId="77777777" w:rsidR="005C5ECB" w:rsidRPr="0036662A" w:rsidRDefault="005C5ECB">
      <w:pPr>
        <w:rPr>
          <w:b/>
          <w:bCs/>
          <w:caps/>
          <w:szCs w:val="24"/>
        </w:rPr>
      </w:pPr>
    </w:p>
    <w:sectPr w:rsidR="005C5ECB" w:rsidRPr="0036662A" w:rsidSect="008F1792">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DF585" w14:textId="77777777" w:rsidR="00875DF0" w:rsidRDefault="00875DF0" w:rsidP="008F1792">
      <w:r>
        <w:separator/>
      </w:r>
    </w:p>
  </w:endnote>
  <w:endnote w:type="continuationSeparator" w:id="0">
    <w:p w14:paraId="31319B0A" w14:textId="77777777" w:rsidR="00875DF0" w:rsidRDefault="00875DF0" w:rsidP="008F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1C44" w14:textId="77777777" w:rsidR="008F1792" w:rsidRDefault="008F1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136D" w14:textId="77777777" w:rsidR="008F1792" w:rsidRDefault="008F1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1AC5" w14:textId="77777777" w:rsidR="008F1792" w:rsidRDefault="008F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29015" w14:textId="77777777" w:rsidR="00875DF0" w:rsidRDefault="00875DF0" w:rsidP="008F1792">
      <w:r>
        <w:separator/>
      </w:r>
    </w:p>
  </w:footnote>
  <w:footnote w:type="continuationSeparator" w:id="0">
    <w:p w14:paraId="5A9DB83F" w14:textId="77777777" w:rsidR="00875DF0" w:rsidRDefault="00875DF0" w:rsidP="008F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FBA0" w14:textId="77777777" w:rsidR="008F1792" w:rsidRDefault="008F1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449174"/>
      <w:docPartObj>
        <w:docPartGallery w:val="Page Numbers (Top of Page)"/>
        <w:docPartUnique/>
      </w:docPartObj>
    </w:sdtPr>
    <w:sdtEndPr>
      <w:rPr>
        <w:noProof/>
      </w:rPr>
    </w:sdtEndPr>
    <w:sdtContent>
      <w:p w14:paraId="7CF30E09" w14:textId="65FD5E42" w:rsidR="008F1792" w:rsidRDefault="008F1792">
        <w:pPr>
          <w:pStyle w:val="Header"/>
          <w:jc w:val="center"/>
        </w:pPr>
        <w:r>
          <w:fldChar w:fldCharType="begin"/>
        </w:r>
        <w:r>
          <w:instrText xml:space="preserve"> PAGE   \* MERGEFORMAT </w:instrText>
        </w:r>
        <w:r>
          <w:fldChar w:fldCharType="separate"/>
        </w:r>
        <w:r w:rsidR="009F6B9B">
          <w:rPr>
            <w:noProof/>
          </w:rPr>
          <w:t>2</w:t>
        </w:r>
        <w:r>
          <w:rPr>
            <w:noProof/>
          </w:rPr>
          <w:fldChar w:fldCharType="end"/>
        </w:r>
      </w:p>
    </w:sdtContent>
  </w:sdt>
  <w:p w14:paraId="136E685B" w14:textId="77777777" w:rsidR="008F1792" w:rsidRDefault="008F1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EC76" w14:textId="77777777" w:rsidR="008F1792" w:rsidRDefault="008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513C"/>
    <w:multiLevelType w:val="hybridMultilevel"/>
    <w:tmpl w:val="299CD032"/>
    <w:lvl w:ilvl="0" w:tplc="67E2E9F0">
      <w:start w:val="1"/>
      <w:numFmt w:val="decimal"/>
      <w:lvlText w:val="%1."/>
      <w:lvlJc w:val="left"/>
      <w:pPr>
        <w:ind w:left="720" w:hanging="360"/>
      </w:pPr>
      <w:rPr>
        <w:rFonts w:ascii="Calibri" w:eastAsia="Calibri" w:hAnsi="Calibri" w:hint="default"/>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A60393"/>
    <w:multiLevelType w:val="hybridMultilevel"/>
    <w:tmpl w:val="B9B26774"/>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2" w15:restartNumberingAfterBreak="0">
    <w:nsid w:val="10E54965"/>
    <w:multiLevelType w:val="hybridMultilevel"/>
    <w:tmpl w:val="82268B04"/>
    <w:lvl w:ilvl="0" w:tplc="DA6ACD0A">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114A07"/>
    <w:multiLevelType w:val="hybridMultilevel"/>
    <w:tmpl w:val="7E8A117E"/>
    <w:lvl w:ilvl="0" w:tplc="DB666B44">
      <w:start w:val="1"/>
      <w:numFmt w:val="bullet"/>
      <w:lvlText w:val=""/>
      <w:lvlJc w:val="left"/>
      <w:pPr>
        <w:tabs>
          <w:tab w:val="num" w:pos="720"/>
        </w:tabs>
        <w:ind w:left="720" w:hanging="360"/>
      </w:pPr>
      <w:rPr>
        <w:rFonts w:ascii="Symbol" w:hAnsi="Symbol" w:hint="default"/>
        <w:sz w:val="20"/>
      </w:rPr>
    </w:lvl>
    <w:lvl w:ilvl="1" w:tplc="93943A36">
      <w:start w:val="1"/>
      <w:numFmt w:val="bullet"/>
      <w:lvlText w:val="o"/>
      <w:lvlJc w:val="left"/>
      <w:pPr>
        <w:tabs>
          <w:tab w:val="num" w:pos="1440"/>
        </w:tabs>
        <w:ind w:left="1440" w:hanging="360"/>
      </w:pPr>
      <w:rPr>
        <w:rFonts w:ascii="Courier New" w:hAnsi="Courier New" w:cs="Times New Roman" w:hint="default"/>
        <w:sz w:val="20"/>
      </w:rPr>
    </w:lvl>
    <w:lvl w:ilvl="2" w:tplc="78A02B5C">
      <w:start w:val="1"/>
      <w:numFmt w:val="bullet"/>
      <w:lvlText w:val=""/>
      <w:lvlJc w:val="left"/>
      <w:pPr>
        <w:tabs>
          <w:tab w:val="num" w:pos="2160"/>
        </w:tabs>
        <w:ind w:left="2160" w:hanging="360"/>
      </w:pPr>
      <w:rPr>
        <w:rFonts w:ascii="Wingdings" w:hAnsi="Wingdings" w:hint="default"/>
        <w:sz w:val="20"/>
      </w:rPr>
    </w:lvl>
    <w:lvl w:ilvl="3" w:tplc="F77CEC54">
      <w:start w:val="1"/>
      <w:numFmt w:val="bullet"/>
      <w:lvlText w:val=""/>
      <w:lvlJc w:val="left"/>
      <w:pPr>
        <w:tabs>
          <w:tab w:val="num" w:pos="2880"/>
        </w:tabs>
        <w:ind w:left="2880" w:hanging="360"/>
      </w:pPr>
      <w:rPr>
        <w:rFonts w:ascii="Wingdings" w:hAnsi="Wingdings" w:hint="default"/>
        <w:sz w:val="20"/>
      </w:rPr>
    </w:lvl>
    <w:lvl w:ilvl="4" w:tplc="F4701768">
      <w:start w:val="1"/>
      <w:numFmt w:val="bullet"/>
      <w:lvlText w:val=""/>
      <w:lvlJc w:val="left"/>
      <w:pPr>
        <w:tabs>
          <w:tab w:val="num" w:pos="3600"/>
        </w:tabs>
        <w:ind w:left="3600" w:hanging="360"/>
      </w:pPr>
      <w:rPr>
        <w:rFonts w:ascii="Wingdings" w:hAnsi="Wingdings" w:hint="default"/>
        <w:sz w:val="20"/>
      </w:rPr>
    </w:lvl>
    <w:lvl w:ilvl="5" w:tplc="75C6A88E">
      <w:start w:val="1"/>
      <w:numFmt w:val="bullet"/>
      <w:lvlText w:val=""/>
      <w:lvlJc w:val="left"/>
      <w:pPr>
        <w:tabs>
          <w:tab w:val="num" w:pos="4320"/>
        </w:tabs>
        <w:ind w:left="4320" w:hanging="360"/>
      </w:pPr>
      <w:rPr>
        <w:rFonts w:ascii="Wingdings" w:hAnsi="Wingdings" w:hint="default"/>
        <w:sz w:val="20"/>
      </w:rPr>
    </w:lvl>
    <w:lvl w:ilvl="6" w:tplc="F4C60148">
      <w:start w:val="1"/>
      <w:numFmt w:val="bullet"/>
      <w:lvlText w:val=""/>
      <w:lvlJc w:val="left"/>
      <w:pPr>
        <w:tabs>
          <w:tab w:val="num" w:pos="5040"/>
        </w:tabs>
        <w:ind w:left="5040" w:hanging="360"/>
      </w:pPr>
      <w:rPr>
        <w:rFonts w:ascii="Wingdings" w:hAnsi="Wingdings" w:hint="default"/>
        <w:sz w:val="20"/>
      </w:rPr>
    </w:lvl>
    <w:lvl w:ilvl="7" w:tplc="69C06640">
      <w:start w:val="1"/>
      <w:numFmt w:val="bullet"/>
      <w:lvlText w:val=""/>
      <w:lvlJc w:val="left"/>
      <w:pPr>
        <w:tabs>
          <w:tab w:val="num" w:pos="5760"/>
        </w:tabs>
        <w:ind w:left="5760" w:hanging="360"/>
      </w:pPr>
      <w:rPr>
        <w:rFonts w:ascii="Wingdings" w:hAnsi="Wingdings" w:hint="default"/>
        <w:sz w:val="20"/>
      </w:rPr>
    </w:lvl>
    <w:lvl w:ilvl="8" w:tplc="3646627C">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8189A"/>
    <w:multiLevelType w:val="hybridMultilevel"/>
    <w:tmpl w:val="BF3E4622"/>
    <w:lvl w:ilvl="0" w:tplc="0409000F">
      <w:start w:val="1"/>
      <w:numFmt w:val="decimal"/>
      <w:lvlText w:val="%1."/>
      <w:lvlJc w:val="left"/>
      <w:pPr>
        <w:ind w:left="720" w:hanging="360"/>
      </w:pPr>
      <w:rPr>
        <w:rFonts w:hint="default"/>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06A7228"/>
    <w:multiLevelType w:val="hybridMultilevel"/>
    <w:tmpl w:val="5C9C4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378F2"/>
    <w:multiLevelType w:val="hybridMultilevel"/>
    <w:tmpl w:val="341CA80A"/>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E282685"/>
    <w:multiLevelType w:val="hybridMultilevel"/>
    <w:tmpl w:val="9B9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12274"/>
    <w:multiLevelType w:val="hybridMultilevel"/>
    <w:tmpl w:val="5DC6E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51A29"/>
    <w:multiLevelType w:val="hybridMultilevel"/>
    <w:tmpl w:val="A534607E"/>
    <w:lvl w:ilvl="0" w:tplc="7534C122">
      <w:start w:val="1"/>
      <w:numFmt w:val="bullet"/>
      <w:lvlText w:val=""/>
      <w:lvlJc w:val="left"/>
      <w:pPr>
        <w:tabs>
          <w:tab w:val="num" w:pos="720"/>
        </w:tabs>
        <w:ind w:left="720" w:hanging="360"/>
      </w:pPr>
      <w:rPr>
        <w:rFonts w:ascii="Symbol" w:hAnsi="Symbol" w:hint="default"/>
        <w:sz w:val="20"/>
      </w:rPr>
    </w:lvl>
    <w:lvl w:ilvl="1" w:tplc="B956CA5C">
      <w:start w:val="1"/>
      <w:numFmt w:val="bullet"/>
      <w:lvlText w:val="o"/>
      <w:lvlJc w:val="left"/>
      <w:pPr>
        <w:tabs>
          <w:tab w:val="num" w:pos="1440"/>
        </w:tabs>
        <w:ind w:left="1440" w:hanging="360"/>
      </w:pPr>
      <w:rPr>
        <w:rFonts w:ascii="Courier New" w:hAnsi="Courier New" w:cs="Times New Roman" w:hint="default"/>
        <w:sz w:val="20"/>
      </w:rPr>
    </w:lvl>
    <w:lvl w:ilvl="2" w:tplc="C1789BC6">
      <w:start w:val="1"/>
      <w:numFmt w:val="bullet"/>
      <w:lvlText w:val=""/>
      <w:lvlJc w:val="left"/>
      <w:pPr>
        <w:tabs>
          <w:tab w:val="num" w:pos="2160"/>
        </w:tabs>
        <w:ind w:left="2160" w:hanging="360"/>
      </w:pPr>
      <w:rPr>
        <w:rFonts w:ascii="Wingdings" w:hAnsi="Wingdings" w:hint="default"/>
        <w:sz w:val="20"/>
      </w:rPr>
    </w:lvl>
    <w:lvl w:ilvl="3" w:tplc="A85A0832">
      <w:start w:val="1"/>
      <w:numFmt w:val="bullet"/>
      <w:lvlText w:val=""/>
      <w:lvlJc w:val="left"/>
      <w:pPr>
        <w:tabs>
          <w:tab w:val="num" w:pos="2880"/>
        </w:tabs>
        <w:ind w:left="2880" w:hanging="360"/>
      </w:pPr>
      <w:rPr>
        <w:rFonts w:ascii="Wingdings" w:hAnsi="Wingdings" w:hint="default"/>
        <w:sz w:val="20"/>
      </w:rPr>
    </w:lvl>
    <w:lvl w:ilvl="4" w:tplc="A57C2CE8">
      <w:start w:val="1"/>
      <w:numFmt w:val="bullet"/>
      <w:lvlText w:val=""/>
      <w:lvlJc w:val="left"/>
      <w:pPr>
        <w:tabs>
          <w:tab w:val="num" w:pos="3600"/>
        </w:tabs>
        <w:ind w:left="3600" w:hanging="360"/>
      </w:pPr>
      <w:rPr>
        <w:rFonts w:ascii="Wingdings" w:hAnsi="Wingdings" w:hint="default"/>
        <w:sz w:val="20"/>
      </w:rPr>
    </w:lvl>
    <w:lvl w:ilvl="5" w:tplc="1ECCE116">
      <w:start w:val="1"/>
      <w:numFmt w:val="bullet"/>
      <w:lvlText w:val=""/>
      <w:lvlJc w:val="left"/>
      <w:pPr>
        <w:tabs>
          <w:tab w:val="num" w:pos="4320"/>
        </w:tabs>
        <w:ind w:left="4320" w:hanging="360"/>
      </w:pPr>
      <w:rPr>
        <w:rFonts w:ascii="Wingdings" w:hAnsi="Wingdings" w:hint="default"/>
        <w:sz w:val="20"/>
      </w:rPr>
    </w:lvl>
    <w:lvl w:ilvl="6" w:tplc="C6D8C5E4">
      <w:start w:val="1"/>
      <w:numFmt w:val="bullet"/>
      <w:lvlText w:val=""/>
      <w:lvlJc w:val="left"/>
      <w:pPr>
        <w:tabs>
          <w:tab w:val="num" w:pos="5040"/>
        </w:tabs>
        <w:ind w:left="5040" w:hanging="360"/>
      </w:pPr>
      <w:rPr>
        <w:rFonts w:ascii="Wingdings" w:hAnsi="Wingdings" w:hint="default"/>
        <w:sz w:val="20"/>
      </w:rPr>
    </w:lvl>
    <w:lvl w:ilvl="7" w:tplc="318E8684">
      <w:start w:val="1"/>
      <w:numFmt w:val="bullet"/>
      <w:lvlText w:val=""/>
      <w:lvlJc w:val="left"/>
      <w:pPr>
        <w:tabs>
          <w:tab w:val="num" w:pos="5760"/>
        </w:tabs>
        <w:ind w:left="5760" w:hanging="360"/>
      </w:pPr>
      <w:rPr>
        <w:rFonts w:ascii="Wingdings" w:hAnsi="Wingdings" w:hint="default"/>
        <w:sz w:val="20"/>
      </w:rPr>
    </w:lvl>
    <w:lvl w:ilvl="8" w:tplc="F006CBC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DE14E6"/>
    <w:multiLevelType w:val="hybridMultilevel"/>
    <w:tmpl w:val="3FA298D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95644"/>
    <w:multiLevelType w:val="hybridMultilevel"/>
    <w:tmpl w:val="F1469B68"/>
    <w:lvl w:ilvl="0" w:tplc="7C763548">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1"/>
  </w:num>
  <w:num w:numId="6">
    <w:abstractNumId w:val="5"/>
  </w:num>
  <w:num w:numId="7">
    <w:abstractNumId w:val="6"/>
  </w:num>
  <w:num w:numId="8">
    <w:abstractNumId w:val="7"/>
  </w:num>
  <w:num w:numId="9">
    <w:abstractNumId w:val="1"/>
  </w:num>
  <w:num w:numId="10">
    <w:abstractNumId w:val="9"/>
  </w:num>
  <w:num w:numId="11">
    <w:abstractNumId w:val="3"/>
  </w:num>
  <w:num w:numId="12">
    <w:abstractNumId w:val="1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01246"/>
    <w:rsid w:val="0001428A"/>
    <w:rsid w:val="00016435"/>
    <w:rsid w:val="0002249E"/>
    <w:rsid w:val="000240C4"/>
    <w:rsid w:val="00024AB8"/>
    <w:rsid w:val="00032985"/>
    <w:rsid w:val="000455AB"/>
    <w:rsid w:val="00046DFE"/>
    <w:rsid w:val="00050427"/>
    <w:rsid w:val="00053D41"/>
    <w:rsid w:val="00070136"/>
    <w:rsid w:val="00070181"/>
    <w:rsid w:val="00070ED6"/>
    <w:rsid w:val="000746AB"/>
    <w:rsid w:val="000928FD"/>
    <w:rsid w:val="0009694E"/>
    <w:rsid w:val="000A3FD2"/>
    <w:rsid w:val="000A52A5"/>
    <w:rsid w:val="000B1AF5"/>
    <w:rsid w:val="000B2D7C"/>
    <w:rsid w:val="000C2EF4"/>
    <w:rsid w:val="000D0666"/>
    <w:rsid w:val="000D3EFE"/>
    <w:rsid w:val="000E1F0C"/>
    <w:rsid w:val="000E275C"/>
    <w:rsid w:val="000E7A99"/>
    <w:rsid w:val="000F5CE6"/>
    <w:rsid w:val="00105F91"/>
    <w:rsid w:val="001061D4"/>
    <w:rsid w:val="00115372"/>
    <w:rsid w:val="00132FF1"/>
    <w:rsid w:val="00136C2E"/>
    <w:rsid w:val="00145C81"/>
    <w:rsid w:val="001577E4"/>
    <w:rsid w:val="00172010"/>
    <w:rsid w:val="0018373E"/>
    <w:rsid w:val="00184FC3"/>
    <w:rsid w:val="00194702"/>
    <w:rsid w:val="001A5935"/>
    <w:rsid w:val="001C2F60"/>
    <w:rsid w:val="001D6507"/>
    <w:rsid w:val="001E4CE7"/>
    <w:rsid w:val="001E6748"/>
    <w:rsid w:val="001E67A5"/>
    <w:rsid w:val="001F0537"/>
    <w:rsid w:val="0020434A"/>
    <w:rsid w:val="00206A17"/>
    <w:rsid w:val="00213C33"/>
    <w:rsid w:val="00220A66"/>
    <w:rsid w:val="00221B3E"/>
    <w:rsid w:val="00225EF1"/>
    <w:rsid w:val="00234AE2"/>
    <w:rsid w:val="00241C69"/>
    <w:rsid w:val="00247BB5"/>
    <w:rsid w:val="00262BAD"/>
    <w:rsid w:val="00270AE5"/>
    <w:rsid w:val="00281AC7"/>
    <w:rsid w:val="002923A6"/>
    <w:rsid w:val="002A27A2"/>
    <w:rsid w:val="002B0082"/>
    <w:rsid w:val="002C79BA"/>
    <w:rsid w:val="002D4D56"/>
    <w:rsid w:val="002E1B28"/>
    <w:rsid w:val="002E673F"/>
    <w:rsid w:val="002E7CDE"/>
    <w:rsid w:val="00330EC9"/>
    <w:rsid w:val="0034134F"/>
    <w:rsid w:val="003529B3"/>
    <w:rsid w:val="00366151"/>
    <w:rsid w:val="0036662A"/>
    <w:rsid w:val="00382BDA"/>
    <w:rsid w:val="003865B8"/>
    <w:rsid w:val="00393BED"/>
    <w:rsid w:val="003A1AD9"/>
    <w:rsid w:val="003A7D2A"/>
    <w:rsid w:val="003B2FAE"/>
    <w:rsid w:val="003B3E72"/>
    <w:rsid w:val="003C13A5"/>
    <w:rsid w:val="003C4765"/>
    <w:rsid w:val="003E27E5"/>
    <w:rsid w:val="003E77A4"/>
    <w:rsid w:val="003F482E"/>
    <w:rsid w:val="003F5676"/>
    <w:rsid w:val="004136A8"/>
    <w:rsid w:val="004378EE"/>
    <w:rsid w:val="00441C29"/>
    <w:rsid w:val="00452AAF"/>
    <w:rsid w:val="00465A52"/>
    <w:rsid w:val="00475E13"/>
    <w:rsid w:val="00482936"/>
    <w:rsid w:val="00482B56"/>
    <w:rsid w:val="004A2464"/>
    <w:rsid w:val="004A5F41"/>
    <w:rsid w:val="004A5FBC"/>
    <w:rsid w:val="004A7D9C"/>
    <w:rsid w:val="004C44BD"/>
    <w:rsid w:val="004D11D5"/>
    <w:rsid w:val="004D7E69"/>
    <w:rsid w:val="004E0E66"/>
    <w:rsid w:val="004E6B69"/>
    <w:rsid w:val="004E7809"/>
    <w:rsid w:val="004F0E9C"/>
    <w:rsid w:val="004F4853"/>
    <w:rsid w:val="005004F3"/>
    <w:rsid w:val="0054453C"/>
    <w:rsid w:val="00547C74"/>
    <w:rsid w:val="005516A5"/>
    <w:rsid w:val="005533C2"/>
    <w:rsid w:val="0055346A"/>
    <w:rsid w:val="00571253"/>
    <w:rsid w:val="00581B51"/>
    <w:rsid w:val="0059238B"/>
    <w:rsid w:val="00593EE0"/>
    <w:rsid w:val="005A1672"/>
    <w:rsid w:val="005B1293"/>
    <w:rsid w:val="005B79FB"/>
    <w:rsid w:val="005C5B4A"/>
    <w:rsid w:val="005C5ECB"/>
    <w:rsid w:val="005C7529"/>
    <w:rsid w:val="005E0604"/>
    <w:rsid w:val="005E6937"/>
    <w:rsid w:val="005F038F"/>
    <w:rsid w:val="005F0F88"/>
    <w:rsid w:val="005F5ED3"/>
    <w:rsid w:val="00604899"/>
    <w:rsid w:val="006106A7"/>
    <w:rsid w:val="00645605"/>
    <w:rsid w:val="006547F4"/>
    <w:rsid w:val="0065660E"/>
    <w:rsid w:val="00665BE2"/>
    <w:rsid w:val="00677B1E"/>
    <w:rsid w:val="006824CC"/>
    <w:rsid w:val="006A1E78"/>
    <w:rsid w:val="006A22E2"/>
    <w:rsid w:val="006B0D85"/>
    <w:rsid w:val="006B526A"/>
    <w:rsid w:val="006B75D2"/>
    <w:rsid w:val="006C0163"/>
    <w:rsid w:val="006C1F65"/>
    <w:rsid w:val="006D04D3"/>
    <w:rsid w:val="006E16C9"/>
    <w:rsid w:val="006E5A16"/>
    <w:rsid w:val="00707C95"/>
    <w:rsid w:val="00717C57"/>
    <w:rsid w:val="0072623F"/>
    <w:rsid w:val="00741C32"/>
    <w:rsid w:val="00742585"/>
    <w:rsid w:val="00745BAC"/>
    <w:rsid w:val="00747BC9"/>
    <w:rsid w:val="007537EC"/>
    <w:rsid w:val="00761496"/>
    <w:rsid w:val="007769FC"/>
    <w:rsid w:val="00792C61"/>
    <w:rsid w:val="007A34FE"/>
    <w:rsid w:val="007A5AF5"/>
    <w:rsid w:val="007B3E81"/>
    <w:rsid w:val="007C746F"/>
    <w:rsid w:val="007D3038"/>
    <w:rsid w:val="007F5F38"/>
    <w:rsid w:val="0080172F"/>
    <w:rsid w:val="008359DC"/>
    <w:rsid w:val="0084156F"/>
    <w:rsid w:val="00842DE6"/>
    <w:rsid w:val="00843AC7"/>
    <w:rsid w:val="0085384B"/>
    <w:rsid w:val="00856EDA"/>
    <w:rsid w:val="008576A6"/>
    <w:rsid w:val="00865C80"/>
    <w:rsid w:val="008663E3"/>
    <w:rsid w:val="00875DF0"/>
    <w:rsid w:val="00885C3D"/>
    <w:rsid w:val="008A53CB"/>
    <w:rsid w:val="008C0FBD"/>
    <w:rsid w:val="008C2669"/>
    <w:rsid w:val="008C3DAE"/>
    <w:rsid w:val="008D5F38"/>
    <w:rsid w:val="008E3C68"/>
    <w:rsid w:val="008F1792"/>
    <w:rsid w:val="008F38C3"/>
    <w:rsid w:val="008F644F"/>
    <w:rsid w:val="009254AC"/>
    <w:rsid w:val="00926630"/>
    <w:rsid w:val="00933886"/>
    <w:rsid w:val="00947C9D"/>
    <w:rsid w:val="00953EC6"/>
    <w:rsid w:val="00954EEB"/>
    <w:rsid w:val="00956C1E"/>
    <w:rsid w:val="0097341D"/>
    <w:rsid w:val="0099342A"/>
    <w:rsid w:val="009A662F"/>
    <w:rsid w:val="009B3957"/>
    <w:rsid w:val="009B4714"/>
    <w:rsid w:val="009D3B8E"/>
    <w:rsid w:val="009D3BAD"/>
    <w:rsid w:val="009E1857"/>
    <w:rsid w:val="009E69E2"/>
    <w:rsid w:val="009F6B9B"/>
    <w:rsid w:val="00A00DB1"/>
    <w:rsid w:val="00A23A62"/>
    <w:rsid w:val="00A24DB0"/>
    <w:rsid w:val="00A2721F"/>
    <w:rsid w:val="00A35603"/>
    <w:rsid w:val="00A40AF7"/>
    <w:rsid w:val="00A4128B"/>
    <w:rsid w:val="00A47552"/>
    <w:rsid w:val="00A47E71"/>
    <w:rsid w:val="00A52C00"/>
    <w:rsid w:val="00A54BBD"/>
    <w:rsid w:val="00A5687C"/>
    <w:rsid w:val="00A6632E"/>
    <w:rsid w:val="00A74209"/>
    <w:rsid w:val="00A80ADA"/>
    <w:rsid w:val="00A845D7"/>
    <w:rsid w:val="00A84AF4"/>
    <w:rsid w:val="00A91F0C"/>
    <w:rsid w:val="00A96DA7"/>
    <w:rsid w:val="00AB119C"/>
    <w:rsid w:val="00AC4B6C"/>
    <w:rsid w:val="00AD0F16"/>
    <w:rsid w:val="00AD480C"/>
    <w:rsid w:val="00AD5789"/>
    <w:rsid w:val="00AE0AC3"/>
    <w:rsid w:val="00AF0A0D"/>
    <w:rsid w:val="00AF25D0"/>
    <w:rsid w:val="00AF2A89"/>
    <w:rsid w:val="00B04D4E"/>
    <w:rsid w:val="00B0591B"/>
    <w:rsid w:val="00B06DF8"/>
    <w:rsid w:val="00B14AA0"/>
    <w:rsid w:val="00B26628"/>
    <w:rsid w:val="00B26866"/>
    <w:rsid w:val="00B46548"/>
    <w:rsid w:val="00B7017D"/>
    <w:rsid w:val="00B728AB"/>
    <w:rsid w:val="00B7378D"/>
    <w:rsid w:val="00B75709"/>
    <w:rsid w:val="00B76633"/>
    <w:rsid w:val="00B8118B"/>
    <w:rsid w:val="00B8169D"/>
    <w:rsid w:val="00B84BE2"/>
    <w:rsid w:val="00B9676C"/>
    <w:rsid w:val="00BA3F54"/>
    <w:rsid w:val="00BB138B"/>
    <w:rsid w:val="00BB48F1"/>
    <w:rsid w:val="00BB54BC"/>
    <w:rsid w:val="00BC5BDA"/>
    <w:rsid w:val="00BC65A6"/>
    <w:rsid w:val="00BD17AE"/>
    <w:rsid w:val="00BE1E8F"/>
    <w:rsid w:val="00BE6468"/>
    <w:rsid w:val="00BE6CC1"/>
    <w:rsid w:val="00BF1B7E"/>
    <w:rsid w:val="00BF587A"/>
    <w:rsid w:val="00C071C4"/>
    <w:rsid w:val="00C1054C"/>
    <w:rsid w:val="00C25B44"/>
    <w:rsid w:val="00C3317D"/>
    <w:rsid w:val="00C33E49"/>
    <w:rsid w:val="00C35591"/>
    <w:rsid w:val="00C41BD5"/>
    <w:rsid w:val="00C41EDB"/>
    <w:rsid w:val="00C45C5B"/>
    <w:rsid w:val="00C535B1"/>
    <w:rsid w:val="00C5534D"/>
    <w:rsid w:val="00C6260A"/>
    <w:rsid w:val="00C6740A"/>
    <w:rsid w:val="00C80FE1"/>
    <w:rsid w:val="00C85AC1"/>
    <w:rsid w:val="00C916C8"/>
    <w:rsid w:val="00C94B40"/>
    <w:rsid w:val="00C97E60"/>
    <w:rsid w:val="00CA2E85"/>
    <w:rsid w:val="00CA6AE7"/>
    <w:rsid w:val="00CA6D3F"/>
    <w:rsid w:val="00CB2790"/>
    <w:rsid w:val="00CB4C53"/>
    <w:rsid w:val="00CB505F"/>
    <w:rsid w:val="00CB5FE1"/>
    <w:rsid w:val="00CB62FB"/>
    <w:rsid w:val="00CC2C73"/>
    <w:rsid w:val="00CE007D"/>
    <w:rsid w:val="00CE53AB"/>
    <w:rsid w:val="00CF2C5D"/>
    <w:rsid w:val="00CF7C87"/>
    <w:rsid w:val="00D244E1"/>
    <w:rsid w:val="00D4615E"/>
    <w:rsid w:val="00D548C8"/>
    <w:rsid w:val="00D54ED4"/>
    <w:rsid w:val="00D66763"/>
    <w:rsid w:val="00D95C43"/>
    <w:rsid w:val="00DB0BAD"/>
    <w:rsid w:val="00DB3586"/>
    <w:rsid w:val="00DC5385"/>
    <w:rsid w:val="00DC7728"/>
    <w:rsid w:val="00DC7AB7"/>
    <w:rsid w:val="00DD78E9"/>
    <w:rsid w:val="00DE1BD0"/>
    <w:rsid w:val="00DE4224"/>
    <w:rsid w:val="00DE693B"/>
    <w:rsid w:val="00E16ED7"/>
    <w:rsid w:val="00E17F55"/>
    <w:rsid w:val="00E307F8"/>
    <w:rsid w:val="00E314FC"/>
    <w:rsid w:val="00E40A7D"/>
    <w:rsid w:val="00E47926"/>
    <w:rsid w:val="00E53DCA"/>
    <w:rsid w:val="00E6399A"/>
    <w:rsid w:val="00E847CD"/>
    <w:rsid w:val="00E95B1A"/>
    <w:rsid w:val="00EB13E2"/>
    <w:rsid w:val="00EB2DFC"/>
    <w:rsid w:val="00EC036E"/>
    <w:rsid w:val="00EC0828"/>
    <w:rsid w:val="00EC0FEB"/>
    <w:rsid w:val="00EC6B07"/>
    <w:rsid w:val="00EE1C98"/>
    <w:rsid w:val="00EF0A83"/>
    <w:rsid w:val="00EF5D3D"/>
    <w:rsid w:val="00F16636"/>
    <w:rsid w:val="00F17A0F"/>
    <w:rsid w:val="00F2222D"/>
    <w:rsid w:val="00F36CEF"/>
    <w:rsid w:val="00F43952"/>
    <w:rsid w:val="00F449CA"/>
    <w:rsid w:val="00F45F44"/>
    <w:rsid w:val="00F46B15"/>
    <w:rsid w:val="00F53CA8"/>
    <w:rsid w:val="00F56078"/>
    <w:rsid w:val="00F74AD4"/>
    <w:rsid w:val="00F7759E"/>
    <w:rsid w:val="00F80CC4"/>
    <w:rsid w:val="00F8394C"/>
    <w:rsid w:val="00FA1C73"/>
    <w:rsid w:val="00FA2FE9"/>
    <w:rsid w:val="00FA70BE"/>
    <w:rsid w:val="00FB6760"/>
    <w:rsid w:val="00FC1D93"/>
    <w:rsid w:val="00FD0EAB"/>
    <w:rsid w:val="00FE2A36"/>
    <w:rsid w:val="00FF41B5"/>
    <w:rsid w:val="03C276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AD57"/>
  <w15:docId w15:val="{28CA31FF-D8FF-4AAD-9793-87D41ECB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paragraph" w:styleId="Heading1">
    <w:name w:val="heading 1"/>
    <w:basedOn w:val="Normal"/>
    <w:link w:val="Heading1Char"/>
    <w:uiPriority w:val="9"/>
    <w:qFormat/>
    <w:rsid w:val="00C80FE1"/>
    <w:pPr>
      <w:spacing w:before="100" w:beforeAutospacing="1" w:after="100" w:afterAutospacing="1"/>
      <w:outlineLvl w:val="0"/>
    </w:pPr>
    <w:rPr>
      <w:rFonts w:eastAsiaTheme="minorHAnsi"/>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customStyle="1" w:styleId="Heading1Char">
    <w:name w:val="Heading 1 Char"/>
    <w:basedOn w:val="DefaultParagraphFont"/>
    <w:link w:val="Heading1"/>
    <w:uiPriority w:val="9"/>
    <w:rsid w:val="00C80FE1"/>
    <w:rPr>
      <w:b/>
      <w:bCs/>
      <w:kern w:val="36"/>
      <w:sz w:val="48"/>
      <w:szCs w:val="48"/>
      <w:lang w:val="en-US"/>
    </w:rPr>
  </w:style>
  <w:style w:type="character" w:styleId="Hyperlink">
    <w:name w:val="Hyperlink"/>
    <w:basedOn w:val="DefaultParagraphFont"/>
    <w:uiPriority w:val="99"/>
    <w:semiHidden/>
    <w:unhideWhenUsed/>
    <w:rsid w:val="00262BAD"/>
    <w:rPr>
      <w:color w:val="0563C1"/>
      <w:u w:val="single"/>
    </w:rPr>
  </w:style>
  <w:style w:type="character" w:styleId="CommentReference">
    <w:name w:val="annotation reference"/>
    <w:uiPriority w:val="99"/>
    <w:unhideWhenUsed/>
    <w:rsid w:val="0065660E"/>
    <w:rPr>
      <w:sz w:val="16"/>
      <w:szCs w:val="16"/>
    </w:rPr>
  </w:style>
  <w:style w:type="paragraph" w:styleId="CommentText">
    <w:name w:val="annotation text"/>
    <w:basedOn w:val="Normal"/>
    <w:link w:val="CommentTextChar"/>
    <w:uiPriority w:val="99"/>
    <w:unhideWhenUsed/>
    <w:rsid w:val="0065660E"/>
    <w:pPr>
      <w:widowControl w:val="0"/>
      <w:adjustRightInd w:val="0"/>
      <w:spacing w:line="360" w:lineRule="atLeast"/>
      <w:jc w:val="both"/>
      <w:textAlignment w:val="baseline"/>
    </w:pPr>
    <w:rPr>
      <w:sz w:val="20"/>
      <w:lang w:val="en-US" w:eastAsia="en-US"/>
    </w:rPr>
  </w:style>
  <w:style w:type="character" w:customStyle="1" w:styleId="CommentTextChar">
    <w:name w:val="Comment Text Char"/>
    <w:basedOn w:val="DefaultParagraphFont"/>
    <w:link w:val="CommentText"/>
    <w:uiPriority w:val="99"/>
    <w:rsid w:val="0065660E"/>
    <w:rPr>
      <w:rFonts w:eastAsia="Times New Roman"/>
      <w:sz w:val="20"/>
      <w:szCs w:val="20"/>
      <w:lang w:val="en-US"/>
    </w:rPr>
  </w:style>
  <w:style w:type="paragraph" w:customStyle="1" w:styleId="CM1">
    <w:name w:val="CM1"/>
    <w:basedOn w:val="Normal"/>
    <w:next w:val="Normal"/>
    <w:uiPriority w:val="99"/>
    <w:rsid w:val="00D95C43"/>
    <w:pPr>
      <w:autoSpaceDE w:val="0"/>
      <w:autoSpaceDN w:val="0"/>
      <w:adjustRightInd w:val="0"/>
    </w:pPr>
    <w:rPr>
      <w:rFonts w:ascii="EUAlbertina" w:eastAsiaTheme="minorHAnsi" w:hAnsi="EUAlbertina"/>
      <w:szCs w:val="24"/>
      <w:lang w:val="en-US" w:eastAsia="en-US"/>
    </w:rPr>
  </w:style>
  <w:style w:type="paragraph" w:customStyle="1" w:styleId="CM3">
    <w:name w:val="CM3"/>
    <w:basedOn w:val="Normal"/>
    <w:next w:val="Normal"/>
    <w:uiPriority w:val="99"/>
    <w:rsid w:val="00D95C43"/>
    <w:pPr>
      <w:autoSpaceDE w:val="0"/>
      <w:autoSpaceDN w:val="0"/>
      <w:adjustRightInd w:val="0"/>
    </w:pPr>
    <w:rPr>
      <w:rFonts w:ascii="EUAlbertina" w:eastAsiaTheme="minorHAnsi" w:hAnsi="EUAlbertina"/>
      <w:szCs w:val="24"/>
      <w:lang w:val="en-US" w:eastAsia="en-US"/>
    </w:rPr>
  </w:style>
  <w:style w:type="paragraph" w:styleId="Header">
    <w:name w:val="header"/>
    <w:basedOn w:val="Normal"/>
    <w:link w:val="HeaderChar"/>
    <w:uiPriority w:val="99"/>
    <w:unhideWhenUsed/>
    <w:rsid w:val="008F1792"/>
    <w:pPr>
      <w:tabs>
        <w:tab w:val="center" w:pos="4986"/>
        <w:tab w:val="right" w:pos="9972"/>
      </w:tabs>
    </w:pPr>
  </w:style>
  <w:style w:type="character" w:customStyle="1" w:styleId="HeaderChar">
    <w:name w:val="Header Char"/>
    <w:basedOn w:val="DefaultParagraphFont"/>
    <w:link w:val="Header"/>
    <w:uiPriority w:val="99"/>
    <w:rsid w:val="008F1792"/>
    <w:rPr>
      <w:rFonts w:eastAsia="Times New Roman"/>
      <w:szCs w:val="20"/>
      <w:lang w:eastAsia="lt-LT"/>
    </w:rPr>
  </w:style>
  <w:style w:type="paragraph" w:styleId="Footer">
    <w:name w:val="footer"/>
    <w:basedOn w:val="Normal"/>
    <w:link w:val="FooterChar"/>
    <w:uiPriority w:val="99"/>
    <w:unhideWhenUsed/>
    <w:rsid w:val="008F1792"/>
    <w:pPr>
      <w:tabs>
        <w:tab w:val="center" w:pos="4986"/>
        <w:tab w:val="right" w:pos="9972"/>
      </w:tabs>
    </w:pPr>
  </w:style>
  <w:style w:type="character" w:customStyle="1" w:styleId="FooterChar">
    <w:name w:val="Footer Char"/>
    <w:basedOn w:val="DefaultParagraphFont"/>
    <w:link w:val="Footer"/>
    <w:uiPriority w:val="99"/>
    <w:rsid w:val="008F1792"/>
    <w:rPr>
      <w:rFonts w:eastAsia="Times New Roman"/>
      <w:szCs w:val="20"/>
      <w:lang w:eastAsia="lt-LT"/>
    </w:rPr>
  </w:style>
  <w:style w:type="paragraph" w:styleId="CommentSubject">
    <w:name w:val="annotation subject"/>
    <w:basedOn w:val="CommentText"/>
    <w:next w:val="CommentText"/>
    <w:link w:val="CommentSubjectChar"/>
    <w:uiPriority w:val="99"/>
    <w:semiHidden/>
    <w:unhideWhenUsed/>
    <w:rsid w:val="006D04D3"/>
    <w:pPr>
      <w:widowControl/>
      <w:adjustRightInd/>
      <w:spacing w:line="240" w:lineRule="auto"/>
      <w:jc w:val="left"/>
      <w:textAlignment w:val="auto"/>
    </w:pPr>
    <w:rPr>
      <w:b/>
      <w:bCs/>
      <w:lang w:val="lt-LT" w:eastAsia="lt-LT"/>
    </w:rPr>
  </w:style>
  <w:style w:type="character" w:customStyle="1" w:styleId="CommentSubjectChar">
    <w:name w:val="Comment Subject Char"/>
    <w:basedOn w:val="CommentTextChar"/>
    <w:link w:val="CommentSubject"/>
    <w:uiPriority w:val="99"/>
    <w:semiHidden/>
    <w:rsid w:val="006D04D3"/>
    <w:rPr>
      <w:rFonts w:eastAsia="Times New Roman"/>
      <w:b/>
      <w:bCs/>
      <w:sz w:val="20"/>
      <w:szCs w:val="20"/>
      <w:lang w:val="en-US" w:eastAsia="lt-LT"/>
    </w:rPr>
  </w:style>
  <w:style w:type="paragraph" w:customStyle="1" w:styleId="Default">
    <w:name w:val="Default"/>
    <w:rsid w:val="00B728AB"/>
    <w:pPr>
      <w:autoSpaceDE w:val="0"/>
      <w:autoSpaceDN w:val="0"/>
      <w:adjustRightInd w:val="0"/>
      <w:spacing w:after="0"/>
      <w:jc w:val="left"/>
    </w:pPr>
    <w:rPr>
      <w:color w:val="000000"/>
      <w:szCs w:val="24"/>
      <w:lang w:val="en-US"/>
    </w:rPr>
  </w:style>
  <w:style w:type="character" w:customStyle="1" w:styleId="gmail-msoins">
    <w:name w:val="gmail-msoins"/>
    <w:basedOn w:val="DefaultParagraphFont"/>
    <w:rsid w:val="0020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7701">
      <w:bodyDiv w:val="1"/>
      <w:marLeft w:val="0"/>
      <w:marRight w:val="0"/>
      <w:marTop w:val="0"/>
      <w:marBottom w:val="0"/>
      <w:divBdr>
        <w:top w:val="none" w:sz="0" w:space="0" w:color="auto"/>
        <w:left w:val="none" w:sz="0" w:space="0" w:color="auto"/>
        <w:bottom w:val="none" w:sz="0" w:space="0" w:color="auto"/>
        <w:right w:val="none" w:sz="0" w:space="0" w:color="auto"/>
      </w:divBdr>
    </w:div>
    <w:div w:id="249629600">
      <w:bodyDiv w:val="1"/>
      <w:marLeft w:val="0"/>
      <w:marRight w:val="0"/>
      <w:marTop w:val="0"/>
      <w:marBottom w:val="0"/>
      <w:divBdr>
        <w:top w:val="none" w:sz="0" w:space="0" w:color="auto"/>
        <w:left w:val="none" w:sz="0" w:space="0" w:color="auto"/>
        <w:bottom w:val="none" w:sz="0" w:space="0" w:color="auto"/>
        <w:right w:val="none" w:sz="0" w:space="0" w:color="auto"/>
      </w:divBdr>
    </w:div>
    <w:div w:id="254477785">
      <w:bodyDiv w:val="1"/>
      <w:marLeft w:val="0"/>
      <w:marRight w:val="0"/>
      <w:marTop w:val="0"/>
      <w:marBottom w:val="0"/>
      <w:divBdr>
        <w:top w:val="none" w:sz="0" w:space="0" w:color="auto"/>
        <w:left w:val="none" w:sz="0" w:space="0" w:color="auto"/>
        <w:bottom w:val="none" w:sz="0" w:space="0" w:color="auto"/>
        <w:right w:val="none" w:sz="0" w:space="0" w:color="auto"/>
      </w:divBdr>
    </w:div>
    <w:div w:id="342517879">
      <w:bodyDiv w:val="1"/>
      <w:marLeft w:val="0"/>
      <w:marRight w:val="0"/>
      <w:marTop w:val="0"/>
      <w:marBottom w:val="0"/>
      <w:divBdr>
        <w:top w:val="none" w:sz="0" w:space="0" w:color="auto"/>
        <w:left w:val="none" w:sz="0" w:space="0" w:color="auto"/>
        <w:bottom w:val="none" w:sz="0" w:space="0" w:color="auto"/>
        <w:right w:val="none" w:sz="0" w:space="0" w:color="auto"/>
      </w:divBdr>
    </w:div>
    <w:div w:id="484053629">
      <w:bodyDiv w:val="1"/>
      <w:marLeft w:val="0"/>
      <w:marRight w:val="0"/>
      <w:marTop w:val="0"/>
      <w:marBottom w:val="0"/>
      <w:divBdr>
        <w:top w:val="none" w:sz="0" w:space="0" w:color="auto"/>
        <w:left w:val="none" w:sz="0" w:space="0" w:color="auto"/>
        <w:bottom w:val="none" w:sz="0" w:space="0" w:color="auto"/>
        <w:right w:val="none" w:sz="0" w:space="0" w:color="auto"/>
      </w:divBdr>
    </w:div>
    <w:div w:id="538707372">
      <w:bodyDiv w:val="1"/>
      <w:marLeft w:val="0"/>
      <w:marRight w:val="0"/>
      <w:marTop w:val="0"/>
      <w:marBottom w:val="0"/>
      <w:divBdr>
        <w:top w:val="none" w:sz="0" w:space="0" w:color="auto"/>
        <w:left w:val="none" w:sz="0" w:space="0" w:color="auto"/>
        <w:bottom w:val="none" w:sz="0" w:space="0" w:color="auto"/>
        <w:right w:val="none" w:sz="0" w:space="0" w:color="auto"/>
      </w:divBdr>
    </w:div>
    <w:div w:id="587345014">
      <w:bodyDiv w:val="1"/>
      <w:marLeft w:val="0"/>
      <w:marRight w:val="0"/>
      <w:marTop w:val="0"/>
      <w:marBottom w:val="0"/>
      <w:divBdr>
        <w:top w:val="none" w:sz="0" w:space="0" w:color="auto"/>
        <w:left w:val="none" w:sz="0" w:space="0" w:color="auto"/>
        <w:bottom w:val="none" w:sz="0" w:space="0" w:color="auto"/>
        <w:right w:val="none" w:sz="0" w:space="0" w:color="auto"/>
      </w:divBdr>
    </w:div>
    <w:div w:id="757411383">
      <w:bodyDiv w:val="1"/>
      <w:marLeft w:val="0"/>
      <w:marRight w:val="0"/>
      <w:marTop w:val="0"/>
      <w:marBottom w:val="0"/>
      <w:divBdr>
        <w:top w:val="none" w:sz="0" w:space="0" w:color="auto"/>
        <w:left w:val="none" w:sz="0" w:space="0" w:color="auto"/>
        <w:bottom w:val="none" w:sz="0" w:space="0" w:color="auto"/>
        <w:right w:val="none" w:sz="0" w:space="0" w:color="auto"/>
      </w:divBdr>
    </w:div>
    <w:div w:id="789516082">
      <w:bodyDiv w:val="1"/>
      <w:marLeft w:val="0"/>
      <w:marRight w:val="0"/>
      <w:marTop w:val="0"/>
      <w:marBottom w:val="0"/>
      <w:divBdr>
        <w:top w:val="none" w:sz="0" w:space="0" w:color="auto"/>
        <w:left w:val="none" w:sz="0" w:space="0" w:color="auto"/>
        <w:bottom w:val="none" w:sz="0" w:space="0" w:color="auto"/>
        <w:right w:val="none" w:sz="0" w:space="0" w:color="auto"/>
      </w:divBdr>
    </w:div>
    <w:div w:id="851529924">
      <w:bodyDiv w:val="1"/>
      <w:marLeft w:val="0"/>
      <w:marRight w:val="0"/>
      <w:marTop w:val="0"/>
      <w:marBottom w:val="0"/>
      <w:divBdr>
        <w:top w:val="none" w:sz="0" w:space="0" w:color="auto"/>
        <w:left w:val="none" w:sz="0" w:space="0" w:color="auto"/>
        <w:bottom w:val="none" w:sz="0" w:space="0" w:color="auto"/>
        <w:right w:val="none" w:sz="0" w:space="0" w:color="auto"/>
      </w:divBdr>
    </w:div>
    <w:div w:id="990644035">
      <w:bodyDiv w:val="1"/>
      <w:marLeft w:val="0"/>
      <w:marRight w:val="0"/>
      <w:marTop w:val="0"/>
      <w:marBottom w:val="0"/>
      <w:divBdr>
        <w:top w:val="none" w:sz="0" w:space="0" w:color="auto"/>
        <w:left w:val="none" w:sz="0" w:space="0" w:color="auto"/>
        <w:bottom w:val="none" w:sz="0" w:space="0" w:color="auto"/>
        <w:right w:val="none" w:sz="0" w:space="0" w:color="auto"/>
      </w:divBdr>
    </w:div>
    <w:div w:id="1159075742">
      <w:bodyDiv w:val="1"/>
      <w:marLeft w:val="0"/>
      <w:marRight w:val="0"/>
      <w:marTop w:val="0"/>
      <w:marBottom w:val="0"/>
      <w:divBdr>
        <w:top w:val="none" w:sz="0" w:space="0" w:color="auto"/>
        <w:left w:val="none" w:sz="0" w:space="0" w:color="auto"/>
        <w:bottom w:val="none" w:sz="0" w:space="0" w:color="auto"/>
        <w:right w:val="none" w:sz="0" w:space="0" w:color="auto"/>
      </w:divBdr>
    </w:div>
    <w:div w:id="1265722187">
      <w:bodyDiv w:val="1"/>
      <w:marLeft w:val="0"/>
      <w:marRight w:val="0"/>
      <w:marTop w:val="0"/>
      <w:marBottom w:val="0"/>
      <w:divBdr>
        <w:top w:val="none" w:sz="0" w:space="0" w:color="auto"/>
        <w:left w:val="none" w:sz="0" w:space="0" w:color="auto"/>
        <w:bottom w:val="none" w:sz="0" w:space="0" w:color="auto"/>
        <w:right w:val="none" w:sz="0" w:space="0" w:color="auto"/>
      </w:divBdr>
    </w:div>
    <w:div w:id="1295526034">
      <w:bodyDiv w:val="1"/>
      <w:marLeft w:val="0"/>
      <w:marRight w:val="0"/>
      <w:marTop w:val="0"/>
      <w:marBottom w:val="0"/>
      <w:divBdr>
        <w:top w:val="none" w:sz="0" w:space="0" w:color="auto"/>
        <w:left w:val="none" w:sz="0" w:space="0" w:color="auto"/>
        <w:bottom w:val="none" w:sz="0" w:space="0" w:color="auto"/>
        <w:right w:val="none" w:sz="0" w:space="0" w:color="auto"/>
      </w:divBdr>
    </w:div>
    <w:div w:id="1474057150">
      <w:bodyDiv w:val="1"/>
      <w:marLeft w:val="0"/>
      <w:marRight w:val="0"/>
      <w:marTop w:val="0"/>
      <w:marBottom w:val="0"/>
      <w:divBdr>
        <w:top w:val="none" w:sz="0" w:space="0" w:color="auto"/>
        <w:left w:val="none" w:sz="0" w:space="0" w:color="auto"/>
        <w:bottom w:val="none" w:sz="0" w:space="0" w:color="auto"/>
        <w:right w:val="none" w:sz="0" w:space="0" w:color="auto"/>
      </w:divBdr>
    </w:div>
    <w:div w:id="1600675458">
      <w:bodyDiv w:val="1"/>
      <w:marLeft w:val="0"/>
      <w:marRight w:val="0"/>
      <w:marTop w:val="0"/>
      <w:marBottom w:val="0"/>
      <w:divBdr>
        <w:top w:val="none" w:sz="0" w:space="0" w:color="auto"/>
        <w:left w:val="none" w:sz="0" w:space="0" w:color="auto"/>
        <w:bottom w:val="none" w:sz="0" w:space="0" w:color="auto"/>
        <w:right w:val="none" w:sz="0" w:space="0" w:color="auto"/>
      </w:divBdr>
    </w:div>
    <w:div w:id="1729720707">
      <w:bodyDiv w:val="1"/>
      <w:marLeft w:val="0"/>
      <w:marRight w:val="0"/>
      <w:marTop w:val="0"/>
      <w:marBottom w:val="0"/>
      <w:divBdr>
        <w:top w:val="none" w:sz="0" w:space="0" w:color="auto"/>
        <w:left w:val="none" w:sz="0" w:space="0" w:color="auto"/>
        <w:bottom w:val="none" w:sz="0" w:space="0" w:color="auto"/>
        <w:right w:val="none" w:sz="0" w:space="0" w:color="auto"/>
      </w:divBdr>
    </w:div>
    <w:div w:id="1896817758">
      <w:bodyDiv w:val="1"/>
      <w:marLeft w:val="0"/>
      <w:marRight w:val="0"/>
      <w:marTop w:val="0"/>
      <w:marBottom w:val="0"/>
      <w:divBdr>
        <w:top w:val="none" w:sz="0" w:space="0" w:color="auto"/>
        <w:left w:val="none" w:sz="0" w:space="0" w:color="auto"/>
        <w:bottom w:val="none" w:sz="0" w:space="0" w:color="auto"/>
        <w:right w:val="none" w:sz="0" w:space="0" w:color="auto"/>
      </w:divBdr>
    </w:div>
    <w:div w:id="2028748725">
      <w:bodyDiv w:val="1"/>
      <w:marLeft w:val="0"/>
      <w:marRight w:val="0"/>
      <w:marTop w:val="0"/>
      <w:marBottom w:val="0"/>
      <w:divBdr>
        <w:top w:val="none" w:sz="0" w:space="0" w:color="auto"/>
        <w:left w:val="none" w:sz="0" w:space="0" w:color="auto"/>
        <w:bottom w:val="none" w:sz="0" w:space="0" w:color="auto"/>
        <w:right w:val="none" w:sz="0" w:space="0" w:color="auto"/>
      </w:divBdr>
    </w:div>
    <w:div w:id="21233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10920</Words>
  <Characters>6225</Characters>
  <Application>Microsoft Office Word</Application>
  <DocSecurity>4</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Božena Zaikovska-Tomkevičienė</dc:creator>
  <cp:lastModifiedBy>Viluniene Jurgita</cp:lastModifiedBy>
  <cp:revision>2</cp:revision>
  <dcterms:created xsi:type="dcterms:W3CDTF">2020-11-04T14:08:00Z</dcterms:created>
  <dcterms:modified xsi:type="dcterms:W3CDTF">2020-11-04T14:08:00Z</dcterms:modified>
</cp:coreProperties>
</file>