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92872" w14:textId="3E11BA06" w:rsidR="0036662A" w:rsidRDefault="0036662A" w:rsidP="0072281D">
      <w:pPr>
        <w:jc w:val="center"/>
        <w:rPr>
          <w:b/>
          <w:bCs/>
        </w:rPr>
      </w:pPr>
      <w:bookmarkStart w:id="0" w:name="_GoBack"/>
      <w:bookmarkEnd w:id="0"/>
      <w:r>
        <w:rPr>
          <w:b/>
          <w:bCs/>
        </w:rPr>
        <w:t>LIETUVOS RESPUBLIKOS</w:t>
      </w:r>
      <w:r w:rsidR="00F90937">
        <w:rPr>
          <w:b/>
          <w:bCs/>
        </w:rPr>
        <w:t xml:space="preserve"> EKONOMIKOS IR INOVACIJŲ </w:t>
      </w:r>
      <w:r>
        <w:rPr>
          <w:b/>
          <w:bCs/>
        </w:rPr>
        <w:t>MINISTERIJA</w:t>
      </w:r>
    </w:p>
    <w:p w14:paraId="1B192873" w14:textId="77777777" w:rsidR="0036662A" w:rsidRDefault="0036662A" w:rsidP="0072281D">
      <w:pPr>
        <w:jc w:val="center"/>
        <w:rPr>
          <w:b/>
          <w:bCs/>
        </w:rPr>
      </w:pPr>
    </w:p>
    <w:p w14:paraId="1B192874" w14:textId="60FA6C4E" w:rsidR="0036662A" w:rsidRPr="00BE4B26" w:rsidRDefault="0036662A" w:rsidP="00BE4B26">
      <w:pPr>
        <w:jc w:val="center"/>
        <w:rPr>
          <w:rFonts w:eastAsia="Calibri"/>
          <w:szCs w:val="24"/>
        </w:rPr>
      </w:pPr>
      <w:r>
        <w:rPr>
          <w:b/>
          <w:bCs/>
        </w:rPr>
        <w:t xml:space="preserve">SOCIALINIŲ IR EKONOMINIŲ PARTNERIŲ PATEIKTŲ PASTABŲ IR PASIŪLYMŲ DĖL </w:t>
      </w:r>
      <w:r w:rsidR="0012141E">
        <w:rPr>
          <w:rFonts w:eastAsia="Calibri"/>
          <w:b/>
          <w:kern w:val="16"/>
          <w:szCs w:val="24"/>
        </w:rPr>
        <w:t xml:space="preserve">2014–2020 METŲ EUROPOS SĄJUNGOS FONDŲ INVESTICIJŲ VEIKSMŲ PROGRAMOS </w:t>
      </w:r>
      <w:r w:rsidR="00BE4B26" w:rsidRPr="00BE4B26">
        <w:rPr>
          <w:rFonts w:eastAsia="Calibri"/>
          <w:b/>
          <w:bCs/>
          <w:kern w:val="16"/>
          <w:szCs w:val="24"/>
        </w:rPr>
        <w:t xml:space="preserve">9 PRIORITETO „VISUOMENĖS ŠVIETIMAS IR ŽMOGIŠKŲJŲ IŠTEKLIŲ POTENCIALO DIDINIMAS“ </w:t>
      </w:r>
      <w:r w:rsidR="00793365" w:rsidRPr="00793365">
        <w:rPr>
          <w:rFonts w:eastAsia="Calibri"/>
          <w:b/>
          <w:bCs/>
          <w:kern w:val="16"/>
          <w:szCs w:val="24"/>
        </w:rPr>
        <w:t>PRIEMONĖS NR. 09.4.3-ESFA-T-846 „MOKYMAI UŽSIENIO INVESTUOTOJŲ DARBUOTOJAMS</w:t>
      </w:r>
      <w:r w:rsidR="00793365">
        <w:rPr>
          <w:rFonts w:eastAsia="Calibri"/>
          <w:b/>
          <w:bCs/>
          <w:kern w:val="16"/>
          <w:szCs w:val="24"/>
        </w:rPr>
        <w:t>“</w:t>
      </w:r>
      <w:r w:rsidR="00BE4B26" w:rsidRPr="00BE4B26">
        <w:rPr>
          <w:rFonts w:eastAsia="Calibri"/>
          <w:b/>
          <w:bCs/>
          <w:kern w:val="16"/>
          <w:szCs w:val="24"/>
        </w:rPr>
        <w:t xml:space="preserve"> PROJEKTŲ</w:t>
      </w:r>
      <w:r w:rsidR="00793365">
        <w:rPr>
          <w:rFonts w:eastAsia="Calibri"/>
          <w:b/>
          <w:bCs/>
          <w:kern w:val="16"/>
          <w:szCs w:val="24"/>
        </w:rPr>
        <w:t xml:space="preserve"> FINANSAVIMO SĄLYGŲ APRAŠO</w:t>
      </w:r>
      <w:r w:rsidR="00007793">
        <w:rPr>
          <w:rFonts w:eastAsia="Calibri"/>
          <w:b/>
          <w:bCs/>
          <w:kern w:val="16"/>
          <w:szCs w:val="24"/>
        </w:rPr>
        <w:t xml:space="preserve"> NR.2 </w:t>
      </w:r>
      <w:r w:rsidR="00BE4B26" w:rsidRPr="00BE4B26">
        <w:rPr>
          <w:rFonts w:eastAsia="Calibri"/>
          <w:b/>
          <w:bCs/>
          <w:kern w:val="16"/>
          <w:szCs w:val="24"/>
        </w:rPr>
        <w:t xml:space="preserve"> </w:t>
      </w:r>
      <w:r w:rsidR="00847D95">
        <w:rPr>
          <w:b/>
          <w:bCs/>
        </w:rPr>
        <w:t>KEITIMO</w:t>
      </w:r>
      <w:r>
        <w:rPr>
          <w:b/>
          <w:bCs/>
        </w:rPr>
        <w:t xml:space="preserve"> DERINIMAS</w:t>
      </w:r>
    </w:p>
    <w:p w14:paraId="1B192875" w14:textId="77777777" w:rsidR="0036662A" w:rsidRDefault="0036662A" w:rsidP="0072281D">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1B192878" w14:textId="77777777" w:rsidTr="0012141E">
        <w:trPr>
          <w:trHeight w:val="330"/>
        </w:trPr>
        <w:tc>
          <w:tcPr>
            <w:tcW w:w="6804" w:type="dxa"/>
          </w:tcPr>
          <w:p w14:paraId="1B192876" w14:textId="77777777" w:rsidR="0036662A" w:rsidRPr="00DC6A9A" w:rsidRDefault="0036662A" w:rsidP="0072281D">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1B192877" w14:textId="5BD3654D" w:rsidR="0036662A" w:rsidRPr="003756C5" w:rsidRDefault="005C3B7F" w:rsidP="0072281D">
            <w:pPr>
              <w:rPr>
                <w:szCs w:val="24"/>
                <w:lang w:val="en-US"/>
              </w:rPr>
            </w:pPr>
            <w:r>
              <w:rPr>
                <w:szCs w:val="24"/>
              </w:rPr>
              <w:t>20</w:t>
            </w:r>
            <w:r w:rsidR="003756C5">
              <w:rPr>
                <w:szCs w:val="24"/>
              </w:rPr>
              <w:t>20-</w:t>
            </w:r>
            <w:r w:rsidR="00BC7656">
              <w:rPr>
                <w:szCs w:val="24"/>
              </w:rPr>
              <w:t>10</w:t>
            </w:r>
            <w:r w:rsidR="00847D95">
              <w:rPr>
                <w:szCs w:val="24"/>
              </w:rPr>
              <w:t>-</w:t>
            </w:r>
            <w:r w:rsidR="00BC7656">
              <w:rPr>
                <w:szCs w:val="24"/>
              </w:rPr>
              <w:t>20</w:t>
            </w:r>
          </w:p>
        </w:tc>
      </w:tr>
      <w:tr w:rsidR="0036662A" w14:paraId="1B19287C" w14:textId="77777777" w:rsidTr="00335D39">
        <w:tc>
          <w:tcPr>
            <w:tcW w:w="6804" w:type="dxa"/>
          </w:tcPr>
          <w:p w14:paraId="1B192879" w14:textId="77777777" w:rsidR="0036662A" w:rsidRDefault="0036662A" w:rsidP="0072281D">
            <w:pPr>
              <w:rPr>
                <w:b/>
                <w:szCs w:val="24"/>
              </w:rPr>
            </w:pPr>
            <w:r w:rsidRPr="00DC6A9A">
              <w:rPr>
                <w:b/>
                <w:szCs w:val="24"/>
              </w:rPr>
              <w:t>Ar gauta pastabų</w:t>
            </w:r>
            <w:r>
              <w:rPr>
                <w:b/>
                <w:szCs w:val="24"/>
              </w:rPr>
              <w:t xml:space="preserve"> ir (ar) pasiūlymų</w:t>
            </w:r>
            <w:r w:rsidRPr="00DC6A9A">
              <w:rPr>
                <w:b/>
                <w:szCs w:val="24"/>
              </w:rPr>
              <w:t>?</w:t>
            </w:r>
          </w:p>
          <w:p w14:paraId="1B19287A" w14:textId="77777777" w:rsidR="0036662A" w:rsidRPr="0036662A" w:rsidRDefault="0036662A" w:rsidP="0072281D">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1B19287B" w14:textId="65C27D5A" w:rsidR="0036662A" w:rsidRPr="007070FE" w:rsidRDefault="00C33192" w:rsidP="0012141E">
            <w:sdt>
              <w:sdtPr>
                <w:id w:val="1312749902"/>
              </w:sdtPr>
              <w:sdtEndPr/>
              <w:sdtContent>
                <w:r w:rsidR="00BC7656">
                  <w:fldChar w:fldCharType="begin">
                    <w:ffData>
                      <w:name w:val=""/>
                      <w:enabled/>
                      <w:calcOnExit w:val="0"/>
                      <w:checkBox>
                        <w:sizeAuto/>
                        <w:default w:val="1"/>
                      </w:checkBox>
                    </w:ffData>
                  </w:fldChar>
                </w:r>
                <w:r w:rsidR="00BC7656">
                  <w:instrText xml:space="preserve"> FORMCHECKBOX </w:instrText>
                </w:r>
                <w:r>
                  <w:fldChar w:fldCharType="separate"/>
                </w:r>
                <w:r w:rsidR="00BC7656">
                  <w:fldChar w:fldCharType="end"/>
                </w:r>
                <w:r w:rsidR="0036662A">
                  <w:t xml:space="preserve"> </w:t>
                </w:r>
              </w:sdtContent>
            </w:sdt>
            <w:r w:rsidR="0036662A">
              <w:rPr>
                <w:szCs w:val="24"/>
              </w:rPr>
              <w:t xml:space="preserve">Taip </w:t>
            </w:r>
            <w:sdt>
              <w:sdtPr>
                <w:id w:val="-1063942054"/>
              </w:sdtPr>
              <w:sdtEndPr/>
              <w:sdtContent>
                <w:r w:rsidR="00BC7656">
                  <w:rPr>
                    <w:b/>
                    <w:szCs w:val="24"/>
                  </w:rPr>
                  <w:fldChar w:fldCharType="begin">
                    <w:ffData>
                      <w:name w:val=""/>
                      <w:enabled/>
                      <w:calcOnExit w:val="0"/>
                      <w:checkBox>
                        <w:sizeAuto/>
                        <w:default w:val="0"/>
                      </w:checkBox>
                    </w:ffData>
                  </w:fldChar>
                </w:r>
                <w:r w:rsidR="00BC7656">
                  <w:rPr>
                    <w:b/>
                    <w:szCs w:val="24"/>
                  </w:rPr>
                  <w:instrText xml:space="preserve"> FORMCHECKBOX </w:instrText>
                </w:r>
                <w:r>
                  <w:rPr>
                    <w:b/>
                    <w:szCs w:val="24"/>
                  </w:rPr>
                </w:r>
                <w:r>
                  <w:rPr>
                    <w:b/>
                    <w:szCs w:val="24"/>
                  </w:rPr>
                  <w:fldChar w:fldCharType="separate"/>
                </w:r>
                <w:r w:rsidR="00BC7656">
                  <w:rPr>
                    <w:b/>
                    <w:szCs w:val="24"/>
                  </w:rPr>
                  <w:fldChar w:fldCharType="end"/>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1B192880" w14:textId="77777777" w:rsidTr="00335D39">
        <w:tc>
          <w:tcPr>
            <w:tcW w:w="6804" w:type="dxa"/>
          </w:tcPr>
          <w:p w14:paraId="1B19287D" w14:textId="77777777" w:rsidR="0036662A" w:rsidRDefault="0036662A" w:rsidP="0072281D">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1B19287E" w14:textId="77777777" w:rsidR="0036662A" w:rsidRPr="00E7584D" w:rsidRDefault="0036662A" w:rsidP="0072281D">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1B19287F" w14:textId="68A9A9F1" w:rsidR="0036662A" w:rsidRDefault="00C33192" w:rsidP="0072281D">
            <w:pPr>
              <w:rPr>
                <w:szCs w:val="24"/>
              </w:rPr>
            </w:pPr>
            <w:sdt>
              <w:sdtPr>
                <w:id w:val="-1548671976"/>
              </w:sdtPr>
              <w:sdtEndPr/>
              <w:sdtContent/>
            </w:sdt>
            <w:sdt>
              <w:sdtPr>
                <w:id w:val="1992828949"/>
              </w:sdtPr>
              <w:sdtEndPr/>
              <w:sdtContent>
                <w:sdt>
                  <w:sdtPr>
                    <w:id w:val="-220442639"/>
                  </w:sdtPr>
                  <w:sdtEndPr/>
                  <w:sdtContent>
                    <w:sdt>
                      <w:sdtPr>
                        <w:id w:val="2116476447"/>
                      </w:sdtPr>
                      <w:sdtEndPr/>
                      <w:sdtContent>
                        <w:sdt>
                          <w:sdtPr>
                            <w:id w:val="-1432728646"/>
                          </w:sdtPr>
                          <w:sdtEndPr/>
                          <w:sdtContent>
                            <w:r w:rsidR="0012141E">
                              <w:fldChar w:fldCharType="begin">
                                <w:ffData>
                                  <w:name w:val=""/>
                                  <w:enabled/>
                                  <w:calcOnExit w:val="0"/>
                                  <w:checkBox>
                                    <w:sizeAuto/>
                                    <w:default w:val="0"/>
                                  </w:checkBox>
                                </w:ffData>
                              </w:fldChar>
                            </w:r>
                            <w:r w:rsidR="0012141E">
                              <w:instrText xml:space="preserve"> FORMCHECKBOX </w:instrText>
                            </w:r>
                            <w:r>
                              <w:fldChar w:fldCharType="separate"/>
                            </w:r>
                            <w:r w:rsidR="0012141E">
                              <w:fldChar w:fldCharType="end"/>
                            </w:r>
                          </w:sdtContent>
                        </w:sdt>
                      </w:sdtContent>
                    </w:sdt>
                    <w:r w:rsidR="003756C5">
                      <w:t xml:space="preserve"> </w:t>
                    </w:r>
                  </w:sdtContent>
                </w:sdt>
              </w:sdtContent>
            </w:sdt>
            <w:r w:rsidR="003756C5">
              <w:rPr>
                <w:szCs w:val="24"/>
              </w:rPr>
              <w:t xml:space="preserve"> </w:t>
            </w:r>
            <w:r w:rsidR="0036662A">
              <w:rPr>
                <w:szCs w:val="24"/>
              </w:rPr>
              <w:t xml:space="preserve">Taip </w:t>
            </w:r>
            <w:sdt>
              <w:sdtPr>
                <w:id w:val="-338542889"/>
              </w:sdtPr>
              <w:sdtEndPr/>
              <w:sdtContent>
                <w:sdt>
                  <w:sdtPr>
                    <w:id w:val="-1815640395"/>
                  </w:sdtPr>
                  <w:sdtEndPr/>
                  <w:sdtContent>
                    <w:sdt>
                      <w:sdtPr>
                        <w:id w:val="1755162504"/>
                      </w:sdtPr>
                      <w:sdtEndPr/>
                      <w:sdtContent>
                        <w:r w:rsidR="00BC7656">
                          <w:fldChar w:fldCharType="begin">
                            <w:ffData>
                              <w:name w:val=""/>
                              <w:enabled/>
                              <w:calcOnExit w:val="0"/>
                              <w:checkBox>
                                <w:sizeAuto/>
                                <w:default w:val="1"/>
                              </w:checkBox>
                            </w:ffData>
                          </w:fldChar>
                        </w:r>
                        <w:r w:rsidR="00BC7656">
                          <w:instrText xml:space="preserve"> FORMCHECKBOX </w:instrText>
                        </w:r>
                        <w:r>
                          <w:fldChar w:fldCharType="separate"/>
                        </w:r>
                        <w:r w:rsidR="00BC7656">
                          <w:fldChar w:fldCharType="end"/>
                        </w:r>
                      </w:sdtContent>
                    </w:sdt>
                  </w:sdtContent>
                </w:sdt>
              </w:sdtContent>
            </w:sdt>
            <w:r w:rsidR="0036662A">
              <w:rPr>
                <w:szCs w:val="24"/>
              </w:rPr>
              <w:t xml:space="preserve"> Ne </w:t>
            </w:r>
          </w:p>
        </w:tc>
      </w:tr>
    </w:tbl>
    <w:p w14:paraId="1B192881" w14:textId="77777777" w:rsidR="0036662A" w:rsidRPr="00781CA4" w:rsidRDefault="0036662A" w:rsidP="0072281D">
      <w:pPr>
        <w:rPr>
          <w:szCs w:val="24"/>
        </w:rPr>
      </w:pPr>
    </w:p>
    <w:tbl>
      <w:tblPr>
        <w:tblStyle w:val="TableGrid"/>
        <w:tblW w:w="14742" w:type="dxa"/>
        <w:tblInd w:w="108" w:type="dxa"/>
        <w:tblLayout w:type="fixed"/>
        <w:tblLook w:val="04A0" w:firstRow="1" w:lastRow="0" w:firstColumn="1" w:lastColumn="0" w:noHBand="0" w:noVBand="1"/>
      </w:tblPr>
      <w:tblGrid>
        <w:gridCol w:w="738"/>
        <w:gridCol w:w="1814"/>
        <w:gridCol w:w="7541"/>
        <w:gridCol w:w="4649"/>
      </w:tblGrid>
      <w:tr w:rsidR="0036662A" w:rsidRPr="00781CA4" w14:paraId="1B192886" w14:textId="77777777" w:rsidTr="5720FE43">
        <w:tc>
          <w:tcPr>
            <w:tcW w:w="738" w:type="dxa"/>
          </w:tcPr>
          <w:p w14:paraId="1B192882" w14:textId="77777777" w:rsidR="0036662A" w:rsidRPr="00781CA4" w:rsidRDefault="0036662A" w:rsidP="0072281D">
            <w:pPr>
              <w:jc w:val="center"/>
              <w:rPr>
                <w:b/>
                <w:szCs w:val="24"/>
              </w:rPr>
            </w:pPr>
            <w:r w:rsidRPr="00781CA4">
              <w:rPr>
                <w:b/>
                <w:szCs w:val="24"/>
              </w:rPr>
              <w:t>Nr.</w:t>
            </w:r>
          </w:p>
        </w:tc>
        <w:tc>
          <w:tcPr>
            <w:tcW w:w="1814" w:type="dxa"/>
          </w:tcPr>
          <w:p w14:paraId="1B192883" w14:textId="77777777" w:rsidR="0036662A" w:rsidRPr="00781CA4" w:rsidRDefault="0036662A" w:rsidP="0072281D">
            <w:pPr>
              <w:jc w:val="center"/>
              <w:rPr>
                <w:b/>
                <w:szCs w:val="24"/>
              </w:rPr>
            </w:pPr>
            <w:r w:rsidRPr="00781CA4">
              <w:rPr>
                <w:b/>
                <w:szCs w:val="24"/>
              </w:rPr>
              <w:t>Institucija</w:t>
            </w:r>
          </w:p>
        </w:tc>
        <w:tc>
          <w:tcPr>
            <w:tcW w:w="7541" w:type="dxa"/>
          </w:tcPr>
          <w:p w14:paraId="1B192884" w14:textId="77777777" w:rsidR="0036662A" w:rsidRPr="00781CA4" w:rsidRDefault="0036662A" w:rsidP="0072281D">
            <w:pPr>
              <w:jc w:val="center"/>
              <w:rPr>
                <w:b/>
                <w:szCs w:val="24"/>
              </w:rPr>
            </w:pPr>
            <w:r>
              <w:rPr>
                <w:b/>
                <w:bCs/>
              </w:rPr>
              <w:t>Pastabos ir pasiūlymai</w:t>
            </w:r>
          </w:p>
        </w:tc>
        <w:tc>
          <w:tcPr>
            <w:tcW w:w="4649" w:type="dxa"/>
          </w:tcPr>
          <w:p w14:paraId="1B192885" w14:textId="77777777" w:rsidR="0036662A" w:rsidRPr="00781CA4" w:rsidRDefault="0036662A" w:rsidP="0072281D">
            <w:pPr>
              <w:jc w:val="center"/>
              <w:rPr>
                <w:b/>
                <w:szCs w:val="24"/>
              </w:rPr>
            </w:pPr>
            <w:r>
              <w:rPr>
                <w:b/>
                <w:bCs/>
              </w:rPr>
              <w:t>Pastabų ir pasiūlymų vertinimas ir (jei taikoma) argumentai, kodėl neatsižvelgta į pastabas ar pasiūlymus</w:t>
            </w:r>
          </w:p>
        </w:tc>
      </w:tr>
      <w:tr w:rsidR="00C946AC" w:rsidRPr="00781CA4" w14:paraId="6C39ADC8" w14:textId="77777777" w:rsidTr="5720FE43">
        <w:tc>
          <w:tcPr>
            <w:tcW w:w="738" w:type="dxa"/>
          </w:tcPr>
          <w:p w14:paraId="73BC7D4B" w14:textId="5FA8DE49" w:rsidR="00C946AC" w:rsidRPr="004F6566" w:rsidRDefault="00C946AC" w:rsidP="00C946AC">
            <w:pPr>
              <w:pStyle w:val="ListParagraph"/>
              <w:numPr>
                <w:ilvl w:val="0"/>
                <w:numId w:val="1"/>
              </w:numPr>
              <w:jc w:val="both"/>
              <w:rPr>
                <w:lang w:val="en-US"/>
              </w:rPr>
            </w:pPr>
            <w:r>
              <w:rPr>
                <w:lang w:val="en-US"/>
              </w:rPr>
              <w:t>11</w:t>
            </w:r>
          </w:p>
        </w:tc>
        <w:tc>
          <w:tcPr>
            <w:tcW w:w="1814" w:type="dxa"/>
          </w:tcPr>
          <w:p w14:paraId="684AB337" w14:textId="77777777" w:rsidR="00C946AC" w:rsidRPr="00BC7656" w:rsidRDefault="00C946AC" w:rsidP="00C946AC">
            <w:r w:rsidRPr="00BC7656">
              <w:t xml:space="preserve">Lietuvos pramonininkų konfederacija ir Lietuvos inovacijų centras </w:t>
            </w:r>
          </w:p>
          <w:p w14:paraId="211FAA1F" w14:textId="25148E86" w:rsidR="00C946AC" w:rsidRPr="004F6566" w:rsidRDefault="00C946AC" w:rsidP="00C946AC"/>
        </w:tc>
        <w:tc>
          <w:tcPr>
            <w:tcW w:w="7541" w:type="dxa"/>
          </w:tcPr>
          <w:p w14:paraId="31C34AA7" w14:textId="77777777" w:rsidR="00C946AC" w:rsidRDefault="00C946AC" w:rsidP="00C946AC">
            <w:pPr>
              <w:jc w:val="both"/>
              <w:rPr>
                <w:rFonts w:eastAsia="Calibri"/>
                <w:szCs w:val="24"/>
              </w:rPr>
            </w:pPr>
            <w:r>
              <w:rPr>
                <w:rFonts w:eastAsia="Calibri"/>
                <w:szCs w:val="24"/>
              </w:rPr>
              <w:t>Manome, kad šios Aprašo nuostatos laikytinos (i) ribojančiomis pritraukiant užsienio investuotojus į Lietuvą, verslo skaitmeninės transformacijos (pramonė 4.0) ir žiedinės ekonomikos plėtros sąlygomis, bei prieštaraujančiomis kitoms Aprašo nuostatoms, todėl, kad:</w:t>
            </w:r>
          </w:p>
          <w:p w14:paraId="2C13C342" w14:textId="77777777" w:rsidR="00C946AC" w:rsidRDefault="00C946AC" w:rsidP="00C946AC">
            <w:pPr>
              <w:jc w:val="both"/>
              <w:rPr>
                <w:rFonts w:eastAsia="Calibri"/>
                <w:szCs w:val="24"/>
              </w:rPr>
            </w:pPr>
          </w:p>
          <w:p w14:paraId="0D36859C" w14:textId="77777777" w:rsidR="00C946AC" w:rsidRPr="005523DC" w:rsidRDefault="00C946AC" w:rsidP="00C946AC">
            <w:pPr>
              <w:pStyle w:val="ListParagraph"/>
              <w:numPr>
                <w:ilvl w:val="0"/>
                <w:numId w:val="5"/>
              </w:numPr>
              <w:jc w:val="both"/>
              <w:rPr>
                <w:rFonts w:eastAsia="Calibri"/>
                <w:szCs w:val="24"/>
              </w:rPr>
            </w:pPr>
            <w:r>
              <w:rPr>
                <w:rFonts w:eastAsia="Calibri"/>
                <w:szCs w:val="24"/>
              </w:rPr>
              <w:t xml:space="preserve">Pagal Aprašą remiama veikla – užsienio investuotojų, investuojančių Lietuvos Respublikos teritorijoje į gamybą ir (ar) paslaugas, </w:t>
            </w:r>
            <w:r w:rsidRPr="00E26A01">
              <w:rPr>
                <w:rFonts w:eastAsia="Calibri"/>
                <w:b/>
                <w:bCs/>
                <w:szCs w:val="24"/>
              </w:rPr>
              <w:t>darbuotojų mokymas</w:t>
            </w:r>
            <w:r>
              <w:rPr>
                <w:rFonts w:eastAsia="Calibri"/>
                <w:szCs w:val="24"/>
              </w:rPr>
              <w:t xml:space="preserve"> ir kvalifikacijos tobulinimas arba naujos kvalifikacijos suteikimas, įskaitant mokymo darbo vietoje organizavimą. V</w:t>
            </w:r>
            <w:r>
              <w:t>adovaujantis LR Darbo kodekso 21.2. p. – „</w:t>
            </w:r>
            <w:r w:rsidRPr="00C8589A">
              <w:rPr>
                <w:i/>
                <w:iCs/>
              </w:rPr>
              <w:t>Darbuotojas – fizinis asmuo, įsipareigojęs atlygintinai atlikti darbo funkciją pagal darbo sutartį su darbdaviu</w:t>
            </w:r>
            <w:r>
              <w:rPr>
                <w:i/>
                <w:iCs/>
              </w:rPr>
              <w:t>“. Tai yra darbuotojams priskiriami visi fiziniai asmenys (tame tarpe ir įvairaus lygio vadovai, o ne tik techniniai ar pagalbiniai specialistai) su kuriais yra sudarytos darbo sutartys.</w:t>
            </w:r>
          </w:p>
          <w:p w14:paraId="7FB061D9" w14:textId="77777777" w:rsidR="00C946AC" w:rsidRDefault="00C946AC" w:rsidP="00C946AC">
            <w:pPr>
              <w:pStyle w:val="ListParagraph"/>
              <w:numPr>
                <w:ilvl w:val="0"/>
                <w:numId w:val="5"/>
              </w:numPr>
              <w:jc w:val="both"/>
              <w:rPr>
                <w:rFonts w:eastAsia="Calibri"/>
                <w:szCs w:val="24"/>
              </w:rPr>
            </w:pPr>
            <w:r>
              <w:rPr>
                <w:rFonts w:eastAsia="Calibri"/>
                <w:szCs w:val="24"/>
              </w:rPr>
              <w:t>Priemonės tikslas – sudaryti sąlygas užsienio investuotojų darbuotojams įgyti specifinių kompetencijų ir prisitaikyti prie ūkio pokyčių. Apraše nurodoma, kad „</w:t>
            </w:r>
            <w:r>
              <w:rPr>
                <w:b/>
                <w:iCs/>
                <w:color w:val="000000"/>
                <w:szCs w:val="24"/>
              </w:rPr>
              <w:t xml:space="preserve">Specifinės kompetencijos </w:t>
            </w:r>
            <w:r>
              <w:rPr>
                <w:iCs/>
                <w:color w:val="000000"/>
                <w:szCs w:val="24"/>
              </w:rPr>
              <w:t>– kompetencijos,</w:t>
            </w:r>
            <w:r>
              <w:rPr>
                <w:b/>
                <w:iCs/>
                <w:color w:val="000000"/>
                <w:szCs w:val="24"/>
              </w:rPr>
              <w:t xml:space="preserve"> </w:t>
            </w:r>
            <w:r>
              <w:rPr>
                <w:iCs/>
                <w:color w:val="000000"/>
                <w:szCs w:val="24"/>
              </w:rPr>
              <w:t>būtinos konkrečioje darbo vietoje, norint</w:t>
            </w:r>
            <w:r>
              <w:rPr>
                <w:rFonts w:eastAsia="Calibri"/>
                <w:color w:val="000000"/>
              </w:rPr>
              <w:t xml:space="preserve"> atlikti </w:t>
            </w:r>
            <w:r>
              <w:rPr>
                <w:iCs/>
                <w:color w:val="000000"/>
                <w:szCs w:val="24"/>
              </w:rPr>
              <w:t xml:space="preserve">tiesiogiai su darbu susijusias operacijas ir funkcijos“. Pavyzdžiui, pagal </w:t>
            </w:r>
            <w:r w:rsidRPr="00C8589A">
              <w:rPr>
                <w:rFonts w:eastAsia="Calibri"/>
                <w:b/>
                <w:bCs/>
                <w:szCs w:val="24"/>
              </w:rPr>
              <w:t xml:space="preserve">Valstybės tarnautojų </w:t>
            </w:r>
            <w:r w:rsidRPr="00C8589A">
              <w:rPr>
                <w:rFonts w:eastAsia="Calibri"/>
                <w:b/>
                <w:bCs/>
                <w:szCs w:val="24"/>
              </w:rPr>
              <w:lastRenderedPageBreak/>
              <w:t>kompetencijų modelyje</w:t>
            </w:r>
            <w:r w:rsidRPr="00C8589A">
              <w:rPr>
                <w:rFonts w:eastAsia="Calibri"/>
                <w:szCs w:val="24"/>
              </w:rPr>
              <w:t xml:space="preserve"> taikomą specifinės kompetencijos sąvoką „</w:t>
            </w:r>
            <w:r w:rsidRPr="00C8589A">
              <w:rPr>
                <w:rFonts w:eastAsia="Calibri"/>
                <w:i/>
                <w:iCs/>
                <w:szCs w:val="24"/>
              </w:rPr>
              <w:t>Specifinės ir profesinės kompetencijos, reikalingos vykdant profesinės veiklos funkcijas</w:t>
            </w:r>
            <w:r w:rsidRPr="00C8589A">
              <w:rPr>
                <w:rFonts w:eastAsia="Calibri"/>
                <w:szCs w:val="24"/>
              </w:rPr>
              <w:t xml:space="preserve">“, </w:t>
            </w:r>
            <w:hyperlink r:id="rId5" w:history="1">
              <w:r w:rsidRPr="00117D14">
                <w:rPr>
                  <w:rStyle w:val="Hyperlink"/>
                  <w:rFonts w:eastAsia="Calibri"/>
                  <w:szCs w:val="24"/>
                </w:rPr>
                <w:t>http://portalas.vtd.lt/upload/News/291/Valstybes_tarnybos_aktualijos_2014_spalis.pdf</w:t>
              </w:r>
            </w:hyperlink>
            <w:r>
              <w:rPr>
                <w:rFonts w:eastAsia="Calibri"/>
                <w:szCs w:val="24"/>
              </w:rPr>
              <w:t>. Specifinės kompetencijos yra reikalingos visiems  darbuotojams, tame tarpe ir vadovams, atliekant atitinkamas funkcijas, numatytas darbo sutartyse.</w:t>
            </w:r>
          </w:p>
          <w:p w14:paraId="2CA6BA2B" w14:textId="77777777" w:rsidR="00C946AC" w:rsidRPr="00355A7A" w:rsidRDefault="00C946AC" w:rsidP="00C946AC">
            <w:pPr>
              <w:pStyle w:val="ListParagraph"/>
              <w:numPr>
                <w:ilvl w:val="0"/>
                <w:numId w:val="5"/>
              </w:numPr>
              <w:jc w:val="both"/>
              <w:rPr>
                <w:rFonts w:eastAsia="Calibri"/>
                <w:szCs w:val="24"/>
              </w:rPr>
            </w:pPr>
            <w:r w:rsidRPr="00355A7A">
              <w:rPr>
                <w:rFonts w:eastAsia="Calibri"/>
                <w:szCs w:val="24"/>
              </w:rPr>
              <w:t xml:space="preserve">  Vadybos funkcijo</w:t>
            </w:r>
            <w:r>
              <w:rPr>
                <w:rFonts w:eastAsia="Calibri"/>
                <w:szCs w:val="24"/>
              </w:rPr>
              <w:t>m</w:t>
            </w:r>
            <w:r w:rsidRPr="00355A7A">
              <w:rPr>
                <w:rFonts w:eastAsia="Calibri"/>
                <w:szCs w:val="24"/>
              </w:rPr>
              <w:t>s atlikti reikalingos specifinės kompetencijos, pavyzdžiui vadovavimo mokymai, yra galimi pagal  BBIR (</w:t>
            </w:r>
            <w:hyperlink r:id="rId6" w:history="1">
              <w:r w:rsidRPr="00355A7A">
                <w:rPr>
                  <w:rFonts w:eastAsia="Calibri"/>
                  <w:szCs w:val="24"/>
                </w:rPr>
                <w:t>https://ec.europa.eu/competition/state_aid/legislation/practical_guide_gber_en.pdf</w:t>
              </w:r>
            </w:hyperlink>
            <w:r w:rsidRPr="00355A7A">
              <w:rPr>
                <w:rFonts w:eastAsia="Calibri"/>
                <w:szCs w:val="24"/>
              </w:rPr>
              <w:t xml:space="preserve"> ): „</w:t>
            </w:r>
            <w:proofErr w:type="spellStart"/>
            <w:r w:rsidRPr="00355A7A">
              <w:rPr>
                <w:rFonts w:eastAsia="Calibri"/>
                <w:szCs w:val="24"/>
              </w:rPr>
              <w:t>The</w:t>
            </w:r>
            <w:proofErr w:type="spellEnd"/>
            <w:r w:rsidRPr="00355A7A">
              <w:rPr>
                <w:rFonts w:eastAsia="Calibri"/>
                <w:szCs w:val="24"/>
              </w:rPr>
              <w:t xml:space="preserve"> </w:t>
            </w:r>
            <w:proofErr w:type="spellStart"/>
            <w:r w:rsidRPr="00355A7A">
              <w:rPr>
                <w:rFonts w:eastAsia="Calibri"/>
                <w:szCs w:val="24"/>
              </w:rPr>
              <w:t>purpose</w:t>
            </w:r>
            <w:proofErr w:type="spellEnd"/>
            <w:r w:rsidRPr="00355A7A">
              <w:rPr>
                <w:rFonts w:eastAsia="Calibri"/>
                <w:szCs w:val="24"/>
              </w:rPr>
              <w:t xml:space="preserve"> </w:t>
            </w:r>
            <w:proofErr w:type="spellStart"/>
            <w:r w:rsidRPr="00355A7A">
              <w:rPr>
                <w:rFonts w:eastAsia="Calibri"/>
                <w:szCs w:val="24"/>
              </w:rPr>
              <w:t>of</w:t>
            </w:r>
            <w:proofErr w:type="spellEnd"/>
            <w:r w:rsidRPr="00355A7A">
              <w:rPr>
                <w:rFonts w:eastAsia="Calibri"/>
                <w:szCs w:val="24"/>
              </w:rPr>
              <w:t xml:space="preserve"> </w:t>
            </w:r>
            <w:proofErr w:type="spellStart"/>
            <w:r w:rsidRPr="00355A7A">
              <w:rPr>
                <w:rFonts w:eastAsia="Calibri"/>
                <w:szCs w:val="24"/>
              </w:rPr>
              <w:t>Article</w:t>
            </w:r>
            <w:proofErr w:type="spellEnd"/>
            <w:r w:rsidRPr="00355A7A">
              <w:rPr>
                <w:rFonts w:eastAsia="Calibri"/>
                <w:szCs w:val="24"/>
              </w:rPr>
              <w:t xml:space="preserve"> 31(2) </w:t>
            </w:r>
            <w:proofErr w:type="spellStart"/>
            <w:r w:rsidRPr="00355A7A">
              <w:rPr>
                <w:rFonts w:eastAsia="Calibri"/>
                <w:szCs w:val="24"/>
              </w:rPr>
              <w:t>is</w:t>
            </w:r>
            <w:proofErr w:type="spellEnd"/>
            <w:r w:rsidRPr="00355A7A">
              <w:rPr>
                <w:rFonts w:eastAsia="Calibri"/>
                <w:szCs w:val="24"/>
              </w:rPr>
              <w:t xml:space="preserve"> to </w:t>
            </w:r>
            <w:proofErr w:type="spellStart"/>
            <w:r w:rsidRPr="00355A7A">
              <w:rPr>
                <w:rFonts w:eastAsia="Calibri"/>
                <w:szCs w:val="24"/>
              </w:rPr>
              <w:t>allow</w:t>
            </w:r>
            <w:proofErr w:type="spellEnd"/>
            <w:r w:rsidRPr="00355A7A">
              <w:rPr>
                <w:rFonts w:eastAsia="Calibri"/>
                <w:szCs w:val="24"/>
              </w:rPr>
              <w:t xml:space="preserve"> </w:t>
            </w:r>
            <w:proofErr w:type="spellStart"/>
            <w:r w:rsidRPr="00355A7A">
              <w:rPr>
                <w:rFonts w:eastAsia="Calibri"/>
                <w:szCs w:val="24"/>
              </w:rPr>
              <w:t>for</w:t>
            </w:r>
            <w:proofErr w:type="spellEnd"/>
            <w:r w:rsidRPr="00355A7A">
              <w:rPr>
                <w:rFonts w:eastAsia="Calibri"/>
                <w:szCs w:val="24"/>
              </w:rPr>
              <w:t xml:space="preserve"> </w:t>
            </w:r>
            <w:proofErr w:type="spellStart"/>
            <w:r w:rsidRPr="00355A7A">
              <w:rPr>
                <w:rFonts w:eastAsia="Calibri"/>
                <w:szCs w:val="24"/>
              </w:rPr>
              <w:t>the</w:t>
            </w:r>
            <w:proofErr w:type="spellEnd"/>
            <w:r w:rsidRPr="00355A7A">
              <w:rPr>
                <w:rFonts w:eastAsia="Calibri"/>
                <w:szCs w:val="24"/>
              </w:rPr>
              <w:t xml:space="preserve"> </w:t>
            </w:r>
            <w:proofErr w:type="spellStart"/>
            <w:r w:rsidRPr="00355A7A">
              <w:rPr>
                <w:rFonts w:eastAsia="Calibri"/>
                <w:szCs w:val="24"/>
              </w:rPr>
              <w:t>support</w:t>
            </w:r>
            <w:proofErr w:type="spellEnd"/>
            <w:r w:rsidRPr="00355A7A">
              <w:rPr>
                <w:rFonts w:eastAsia="Calibri"/>
                <w:szCs w:val="24"/>
              </w:rPr>
              <w:t xml:space="preserve"> </w:t>
            </w:r>
            <w:proofErr w:type="spellStart"/>
            <w:r w:rsidRPr="00355A7A">
              <w:rPr>
                <w:rFonts w:eastAsia="Calibri"/>
                <w:szCs w:val="24"/>
              </w:rPr>
              <w:t>of</w:t>
            </w:r>
            <w:proofErr w:type="spellEnd"/>
            <w:r w:rsidRPr="00355A7A">
              <w:rPr>
                <w:rFonts w:eastAsia="Calibri"/>
                <w:szCs w:val="24"/>
              </w:rPr>
              <w:t xml:space="preserve"> </w:t>
            </w:r>
            <w:proofErr w:type="spellStart"/>
            <w:r w:rsidRPr="00355A7A">
              <w:rPr>
                <w:rFonts w:eastAsia="Calibri"/>
                <w:szCs w:val="24"/>
              </w:rPr>
              <w:t>training</w:t>
            </w:r>
            <w:proofErr w:type="spellEnd"/>
            <w:r w:rsidRPr="00355A7A">
              <w:rPr>
                <w:rFonts w:eastAsia="Calibri"/>
                <w:szCs w:val="24"/>
              </w:rPr>
              <w:t xml:space="preserve"> </w:t>
            </w:r>
            <w:proofErr w:type="spellStart"/>
            <w:r w:rsidRPr="00355A7A">
              <w:rPr>
                <w:rFonts w:eastAsia="Calibri"/>
                <w:szCs w:val="24"/>
              </w:rPr>
              <w:t>measures</w:t>
            </w:r>
            <w:proofErr w:type="spellEnd"/>
            <w:r w:rsidRPr="00355A7A">
              <w:rPr>
                <w:rFonts w:eastAsia="Calibri"/>
                <w:szCs w:val="24"/>
              </w:rPr>
              <w:t xml:space="preserve"> </w:t>
            </w:r>
            <w:proofErr w:type="spellStart"/>
            <w:r w:rsidRPr="00355A7A">
              <w:rPr>
                <w:rFonts w:eastAsia="Calibri"/>
                <w:szCs w:val="24"/>
              </w:rPr>
              <w:t>undertaken</w:t>
            </w:r>
            <w:proofErr w:type="spellEnd"/>
            <w:r w:rsidRPr="00355A7A">
              <w:rPr>
                <w:rFonts w:eastAsia="Calibri"/>
                <w:szCs w:val="24"/>
              </w:rPr>
              <w:t xml:space="preserve"> </w:t>
            </w:r>
            <w:proofErr w:type="spellStart"/>
            <w:r w:rsidRPr="00355A7A">
              <w:rPr>
                <w:rFonts w:eastAsia="Calibri"/>
                <w:szCs w:val="24"/>
              </w:rPr>
              <w:t>by</w:t>
            </w:r>
            <w:proofErr w:type="spellEnd"/>
            <w:r w:rsidRPr="00355A7A">
              <w:rPr>
                <w:rFonts w:eastAsia="Calibri"/>
                <w:szCs w:val="24"/>
              </w:rPr>
              <w:t xml:space="preserve"> </w:t>
            </w:r>
            <w:proofErr w:type="spellStart"/>
            <w:r w:rsidRPr="00355A7A">
              <w:rPr>
                <w:rFonts w:eastAsia="Calibri"/>
                <w:szCs w:val="24"/>
              </w:rPr>
              <w:t>enterprises</w:t>
            </w:r>
            <w:proofErr w:type="spellEnd"/>
            <w:r w:rsidRPr="00355A7A">
              <w:rPr>
                <w:rFonts w:eastAsia="Calibri"/>
                <w:szCs w:val="24"/>
              </w:rPr>
              <w:t xml:space="preserve"> </w:t>
            </w:r>
            <w:proofErr w:type="spellStart"/>
            <w:r w:rsidRPr="00355A7A">
              <w:rPr>
                <w:rFonts w:eastAsia="Calibri"/>
                <w:szCs w:val="24"/>
              </w:rPr>
              <w:t>with</w:t>
            </w:r>
            <w:proofErr w:type="spellEnd"/>
            <w:r w:rsidRPr="00355A7A">
              <w:rPr>
                <w:rFonts w:eastAsia="Calibri"/>
                <w:szCs w:val="24"/>
              </w:rPr>
              <w:t xml:space="preserve"> </w:t>
            </w:r>
            <w:proofErr w:type="spellStart"/>
            <w:r w:rsidRPr="00355A7A">
              <w:rPr>
                <w:rFonts w:eastAsia="Calibri"/>
                <w:szCs w:val="24"/>
              </w:rPr>
              <w:t>the</w:t>
            </w:r>
            <w:proofErr w:type="spellEnd"/>
            <w:r w:rsidRPr="00355A7A">
              <w:rPr>
                <w:rFonts w:eastAsia="Calibri"/>
                <w:szCs w:val="24"/>
              </w:rPr>
              <w:t xml:space="preserve"> </w:t>
            </w:r>
            <w:proofErr w:type="spellStart"/>
            <w:r w:rsidRPr="00355A7A">
              <w:rPr>
                <w:rFonts w:eastAsia="Calibri"/>
                <w:szCs w:val="24"/>
              </w:rPr>
              <w:t>purpose</w:t>
            </w:r>
            <w:proofErr w:type="spellEnd"/>
            <w:r w:rsidRPr="00355A7A">
              <w:rPr>
                <w:rFonts w:eastAsia="Calibri"/>
                <w:szCs w:val="24"/>
              </w:rPr>
              <w:t xml:space="preserve"> </w:t>
            </w:r>
            <w:proofErr w:type="spellStart"/>
            <w:r w:rsidRPr="00355A7A">
              <w:rPr>
                <w:rFonts w:eastAsia="Calibri"/>
                <w:szCs w:val="24"/>
              </w:rPr>
              <w:t>of</w:t>
            </w:r>
            <w:proofErr w:type="spellEnd"/>
            <w:r w:rsidRPr="00355A7A">
              <w:rPr>
                <w:rFonts w:eastAsia="Calibri"/>
                <w:szCs w:val="24"/>
              </w:rPr>
              <w:t xml:space="preserve"> </w:t>
            </w:r>
            <w:proofErr w:type="spellStart"/>
            <w:r w:rsidRPr="00355A7A">
              <w:rPr>
                <w:rFonts w:eastAsia="Calibri"/>
                <w:szCs w:val="24"/>
              </w:rPr>
              <w:t>developing</w:t>
            </w:r>
            <w:proofErr w:type="spellEnd"/>
            <w:r w:rsidRPr="00355A7A">
              <w:rPr>
                <w:rFonts w:eastAsia="Calibri"/>
                <w:szCs w:val="24"/>
              </w:rPr>
              <w:t xml:space="preserve"> </w:t>
            </w:r>
            <w:proofErr w:type="spellStart"/>
            <w:r w:rsidRPr="00355A7A">
              <w:rPr>
                <w:rFonts w:eastAsia="Calibri"/>
                <w:szCs w:val="24"/>
              </w:rPr>
              <w:t>and</w:t>
            </w:r>
            <w:proofErr w:type="spellEnd"/>
            <w:r w:rsidRPr="00355A7A">
              <w:rPr>
                <w:rFonts w:eastAsia="Calibri"/>
                <w:szCs w:val="24"/>
              </w:rPr>
              <w:t xml:space="preserve"> </w:t>
            </w:r>
            <w:proofErr w:type="spellStart"/>
            <w:r w:rsidRPr="00355A7A">
              <w:rPr>
                <w:rFonts w:eastAsia="Calibri"/>
                <w:szCs w:val="24"/>
              </w:rPr>
              <w:t>updating</w:t>
            </w:r>
            <w:proofErr w:type="spellEnd"/>
            <w:r w:rsidRPr="00355A7A">
              <w:rPr>
                <w:rFonts w:eastAsia="Calibri"/>
                <w:szCs w:val="24"/>
              </w:rPr>
              <w:t xml:space="preserve"> </w:t>
            </w:r>
            <w:proofErr w:type="spellStart"/>
            <w:r w:rsidRPr="00355A7A">
              <w:rPr>
                <w:rFonts w:eastAsia="Calibri"/>
                <w:szCs w:val="24"/>
              </w:rPr>
              <w:t>the</w:t>
            </w:r>
            <w:proofErr w:type="spellEnd"/>
            <w:r w:rsidRPr="00355A7A">
              <w:rPr>
                <w:rFonts w:eastAsia="Calibri"/>
                <w:szCs w:val="24"/>
              </w:rPr>
              <w:t xml:space="preserve"> </w:t>
            </w:r>
            <w:proofErr w:type="spellStart"/>
            <w:r w:rsidRPr="00355A7A">
              <w:rPr>
                <w:rFonts w:eastAsia="Calibri"/>
                <w:szCs w:val="24"/>
              </w:rPr>
              <w:t>knowledge</w:t>
            </w:r>
            <w:proofErr w:type="spellEnd"/>
            <w:r w:rsidRPr="00355A7A">
              <w:rPr>
                <w:rFonts w:eastAsia="Calibri"/>
                <w:szCs w:val="24"/>
              </w:rPr>
              <w:t xml:space="preserve"> </w:t>
            </w:r>
            <w:proofErr w:type="spellStart"/>
            <w:r w:rsidRPr="00355A7A">
              <w:rPr>
                <w:rFonts w:eastAsia="Calibri"/>
                <w:szCs w:val="24"/>
              </w:rPr>
              <w:t>of</w:t>
            </w:r>
            <w:proofErr w:type="spellEnd"/>
            <w:r w:rsidRPr="00355A7A">
              <w:rPr>
                <w:rFonts w:eastAsia="Calibri"/>
                <w:szCs w:val="24"/>
              </w:rPr>
              <w:t xml:space="preserve"> </w:t>
            </w:r>
            <w:proofErr w:type="spellStart"/>
            <w:r w:rsidRPr="00355A7A">
              <w:rPr>
                <w:rFonts w:eastAsia="Calibri"/>
                <w:szCs w:val="24"/>
              </w:rPr>
              <w:t>their</w:t>
            </w:r>
            <w:proofErr w:type="spellEnd"/>
            <w:r w:rsidRPr="00355A7A">
              <w:rPr>
                <w:rFonts w:eastAsia="Calibri"/>
                <w:szCs w:val="24"/>
              </w:rPr>
              <w:t xml:space="preserve"> </w:t>
            </w:r>
            <w:proofErr w:type="spellStart"/>
            <w:r w:rsidRPr="00355A7A">
              <w:rPr>
                <w:rFonts w:eastAsia="Calibri"/>
                <w:szCs w:val="24"/>
              </w:rPr>
              <w:t>workforce</w:t>
            </w:r>
            <w:proofErr w:type="spellEnd"/>
            <w:r w:rsidRPr="00355A7A">
              <w:rPr>
                <w:rFonts w:eastAsia="Calibri"/>
                <w:szCs w:val="24"/>
              </w:rPr>
              <w:t xml:space="preserve"> (</w:t>
            </w:r>
            <w:proofErr w:type="spellStart"/>
            <w:r w:rsidRPr="00355A7A">
              <w:rPr>
                <w:rFonts w:eastAsia="Calibri"/>
                <w:szCs w:val="24"/>
              </w:rPr>
              <w:t>e.g</w:t>
            </w:r>
            <w:proofErr w:type="spellEnd"/>
            <w:r w:rsidRPr="00355A7A">
              <w:rPr>
                <w:rFonts w:eastAsia="Calibri"/>
                <w:szCs w:val="24"/>
              </w:rPr>
              <w:t xml:space="preserve">. </w:t>
            </w:r>
            <w:proofErr w:type="spellStart"/>
            <w:r w:rsidRPr="00355A7A">
              <w:rPr>
                <w:rFonts w:eastAsia="Calibri"/>
                <w:szCs w:val="24"/>
              </w:rPr>
              <w:t>management</w:t>
            </w:r>
            <w:proofErr w:type="spellEnd"/>
            <w:r w:rsidRPr="00355A7A">
              <w:rPr>
                <w:rFonts w:eastAsia="Calibri"/>
                <w:szCs w:val="24"/>
              </w:rPr>
              <w:t xml:space="preserve"> </w:t>
            </w:r>
            <w:proofErr w:type="spellStart"/>
            <w:r w:rsidRPr="00355A7A">
              <w:rPr>
                <w:rFonts w:eastAsia="Calibri"/>
                <w:szCs w:val="24"/>
              </w:rPr>
              <w:t>trainings</w:t>
            </w:r>
            <w:proofErr w:type="spellEnd"/>
            <w:r w:rsidRPr="00355A7A">
              <w:rPr>
                <w:rFonts w:eastAsia="Calibri"/>
                <w:szCs w:val="24"/>
              </w:rPr>
              <w:t xml:space="preserve">, </w:t>
            </w:r>
            <w:proofErr w:type="spellStart"/>
            <w:r w:rsidRPr="00355A7A">
              <w:rPr>
                <w:rFonts w:eastAsia="Calibri"/>
                <w:szCs w:val="24"/>
              </w:rPr>
              <w:t>language</w:t>
            </w:r>
            <w:proofErr w:type="spellEnd"/>
            <w:r w:rsidRPr="00355A7A">
              <w:rPr>
                <w:rFonts w:eastAsia="Calibri"/>
                <w:szCs w:val="24"/>
              </w:rPr>
              <w:t xml:space="preserve"> </w:t>
            </w:r>
            <w:proofErr w:type="spellStart"/>
            <w:r w:rsidRPr="00355A7A">
              <w:rPr>
                <w:rFonts w:eastAsia="Calibri"/>
                <w:szCs w:val="24"/>
              </w:rPr>
              <w:t>trainings</w:t>
            </w:r>
            <w:proofErr w:type="spellEnd"/>
            <w:r w:rsidRPr="00355A7A">
              <w:rPr>
                <w:rFonts w:eastAsia="Calibri"/>
                <w:szCs w:val="24"/>
              </w:rPr>
              <w:t>)</w:t>
            </w:r>
            <w:r>
              <w:rPr>
                <w:rFonts w:eastAsia="Calibri"/>
                <w:szCs w:val="24"/>
              </w:rPr>
              <w:t>“</w:t>
            </w:r>
            <w:r w:rsidRPr="00355A7A">
              <w:rPr>
                <w:rFonts w:eastAsia="Calibri"/>
                <w:szCs w:val="24"/>
              </w:rPr>
              <w:t xml:space="preserve">. </w:t>
            </w:r>
          </w:p>
          <w:p w14:paraId="1340D2AC" w14:textId="77777777" w:rsidR="00C946AC" w:rsidRPr="00355A7A" w:rsidRDefault="00C946AC" w:rsidP="00C946AC">
            <w:pPr>
              <w:pStyle w:val="ListParagraph"/>
              <w:numPr>
                <w:ilvl w:val="0"/>
                <w:numId w:val="5"/>
              </w:numPr>
              <w:jc w:val="both"/>
              <w:rPr>
                <w:iCs/>
                <w:color w:val="000000"/>
                <w:szCs w:val="24"/>
              </w:rPr>
            </w:pPr>
            <w:r>
              <w:rPr>
                <w:iCs/>
                <w:color w:val="000000"/>
                <w:szCs w:val="24"/>
              </w:rPr>
              <w:t>R</w:t>
            </w:r>
            <w:r w:rsidRPr="00355A7A">
              <w:rPr>
                <w:iCs/>
                <w:color w:val="000000"/>
                <w:szCs w:val="24"/>
              </w:rPr>
              <w:t>emiantis 2020 m. Mažų ir vidutinių įmonių kompetencijų poreikio siekiant pasiruošti ir įveikti pramonė 4.0 iššūkius analizės (</w:t>
            </w:r>
            <w:hyperlink r:id="rId7" w:history="1">
              <w:r w:rsidRPr="00355A7A">
                <w:rPr>
                  <w:iCs/>
                  <w:color w:val="000000"/>
                  <w:szCs w:val="24"/>
                </w:rPr>
                <w:t>https://www.esf.lt/data/public/uploads/2020/07/mvi-kompetenciju-poreikio-siekiant-pasiruosti-ir-iveikti-pramone-4.0-iss....pdf</w:t>
              </w:r>
            </w:hyperlink>
            <w:r w:rsidRPr="00355A7A">
              <w:rPr>
                <w:iCs/>
                <w:color w:val="000000"/>
                <w:szCs w:val="24"/>
              </w:rPr>
              <w:t xml:space="preserve"> ) duomenimis pagrindinės kompetencijos, susijusios su Pramonė 4.0, kurios bus aktualios visuose pramonės sektoriuose ateinantį dešimtmetį yra: </w:t>
            </w:r>
          </w:p>
          <w:p w14:paraId="38DEDC2A" w14:textId="77777777" w:rsidR="00C946AC" w:rsidRPr="00355A7A" w:rsidRDefault="00C946AC" w:rsidP="00C946AC">
            <w:pPr>
              <w:pStyle w:val="ListParagraph"/>
              <w:numPr>
                <w:ilvl w:val="0"/>
                <w:numId w:val="6"/>
              </w:numPr>
              <w:jc w:val="both"/>
              <w:rPr>
                <w:iCs/>
                <w:color w:val="000000"/>
                <w:szCs w:val="24"/>
              </w:rPr>
            </w:pPr>
            <w:r w:rsidRPr="00355A7A">
              <w:rPr>
                <w:iCs/>
                <w:color w:val="000000"/>
                <w:szCs w:val="24"/>
              </w:rPr>
              <w:t xml:space="preserve">1) techniniai įgūdžiai, iš kurių svarbiausi yra - proceso atlikimui reikalingos žinios/gamybos proceso ir procedūrų holistinis suvokimas bei sisteminės žinios, suvokimas ir supratimas; </w:t>
            </w:r>
          </w:p>
          <w:p w14:paraId="58B0FC44" w14:textId="77777777" w:rsidR="00C946AC" w:rsidRPr="00355A7A" w:rsidRDefault="00C946AC" w:rsidP="00C946AC">
            <w:pPr>
              <w:pStyle w:val="ListParagraph"/>
              <w:numPr>
                <w:ilvl w:val="0"/>
                <w:numId w:val="6"/>
              </w:numPr>
              <w:jc w:val="both"/>
              <w:rPr>
                <w:iCs/>
                <w:color w:val="000000"/>
                <w:szCs w:val="24"/>
              </w:rPr>
            </w:pPr>
            <w:r w:rsidRPr="00355A7A">
              <w:rPr>
                <w:iCs/>
                <w:color w:val="000000"/>
                <w:szCs w:val="24"/>
              </w:rPr>
              <w:t xml:space="preserve">2) duomenų ir IT įgūdžiai (ypatingai aktualūs vidutinės ir auštos profesinės kvalifikacijos darbuotojams), iš kurių svarbiausi yra - duomenų vertinimo ir analizės gebėjimai bei saugumo ir apsaugos tvarkant neskelbtinus duomenis įgūdžiai; </w:t>
            </w:r>
          </w:p>
          <w:p w14:paraId="18CAA1B6" w14:textId="77777777" w:rsidR="00C946AC" w:rsidRPr="00355A7A" w:rsidRDefault="00C946AC" w:rsidP="00C946AC">
            <w:pPr>
              <w:pStyle w:val="ListParagraph"/>
              <w:numPr>
                <w:ilvl w:val="0"/>
                <w:numId w:val="6"/>
              </w:numPr>
              <w:jc w:val="both"/>
              <w:rPr>
                <w:iCs/>
                <w:color w:val="000000"/>
                <w:szCs w:val="24"/>
              </w:rPr>
            </w:pPr>
            <w:r w:rsidRPr="00355A7A">
              <w:rPr>
                <w:iCs/>
                <w:color w:val="000000"/>
                <w:szCs w:val="24"/>
              </w:rPr>
              <w:t xml:space="preserve">3) Socialiniai įgūdžiai (ypatingai aktualūs vidutinės ir auštos profesinės kvalifikacijos darbuotojams) iš kurių svarbiausi yra - bendradarbiavimo, bendravimo, komandiniai ir kooperavimosi įgūdžiai bei komunikavimo kompetencijos; </w:t>
            </w:r>
          </w:p>
          <w:p w14:paraId="30AA70E6" w14:textId="77777777" w:rsidR="00C946AC" w:rsidRPr="00535821" w:rsidRDefault="00C946AC" w:rsidP="00C946AC">
            <w:pPr>
              <w:pStyle w:val="ListParagraph"/>
              <w:numPr>
                <w:ilvl w:val="0"/>
                <w:numId w:val="5"/>
              </w:numPr>
              <w:jc w:val="both"/>
              <w:rPr>
                <w:rFonts w:eastAsia="Calibri"/>
                <w:szCs w:val="24"/>
              </w:rPr>
            </w:pPr>
            <w:r w:rsidRPr="00186DEB">
              <w:rPr>
                <w:rFonts w:eastAsia="Calibri"/>
                <w:szCs w:val="24"/>
              </w:rPr>
              <w:t>UAB „ESTEP Vilnius“ ir UAB “</w:t>
            </w:r>
            <w:proofErr w:type="spellStart"/>
            <w:r w:rsidRPr="00186DEB">
              <w:rPr>
                <w:rFonts w:eastAsia="Calibri"/>
                <w:szCs w:val="24"/>
              </w:rPr>
              <w:t>Visionary</w:t>
            </w:r>
            <w:proofErr w:type="spellEnd"/>
            <w:r w:rsidRPr="00186DEB">
              <w:rPr>
                <w:rFonts w:eastAsia="Calibri"/>
                <w:szCs w:val="24"/>
              </w:rPr>
              <w:t xml:space="preserve"> Analytics“ 2018 m. atliktame 2014–2020 m. Europos Sąjungos fondų investicijų veiksmų programos </w:t>
            </w:r>
            <w:r w:rsidRPr="00186DEB">
              <w:rPr>
                <w:rFonts w:eastAsia="Calibri"/>
                <w:szCs w:val="24"/>
              </w:rPr>
              <w:lastRenderedPageBreak/>
              <w:t xml:space="preserve">tarpiniame vertinime „Atvejo studija: 2014–2020 m. ES fondų investicijų į mokymąsi visą gyvenimą (toliau - MVG) tinkamumo ir suderinamumo vertinimas“ </w:t>
            </w:r>
            <w:hyperlink r:id="rId8" w:history="1">
              <w:r w:rsidRPr="00186DEB">
                <w:rPr>
                  <w:rFonts w:eastAsia="Calibri"/>
                  <w:szCs w:val="24"/>
                </w:rPr>
                <w:t>https://epale.ec.europa.eu/sites/default/files/mvg-atvejissuderintas.pdf</w:t>
              </w:r>
            </w:hyperlink>
            <w:r w:rsidRPr="00186DEB">
              <w:rPr>
                <w:rFonts w:eastAsia="Calibri"/>
                <w:szCs w:val="24"/>
              </w:rPr>
              <w:t xml:space="preserve"> pateikiami šie argumentai rekomenduojantys vadovų kvalifikacijos kėlimą:</w:t>
            </w:r>
          </w:p>
          <w:p w14:paraId="15BA00B9" w14:textId="77777777" w:rsidR="00C946AC" w:rsidRPr="00186DEB" w:rsidRDefault="00C946AC" w:rsidP="00C946AC">
            <w:pPr>
              <w:pStyle w:val="ListParagraph"/>
              <w:numPr>
                <w:ilvl w:val="0"/>
                <w:numId w:val="6"/>
              </w:numPr>
              <w:jc w:val="both"/>
              <w:rPr>
                <w:iCs/>
                <w:color w:val="000000"/>
                <w:szCs w:val="24"/>
              </w:rPr>
            </w:pPr>
            <w:r w:rsidRPr="00186DEB">
              <w:rPr>
                <w:iCs/>
                <w:color w:val="000000"/>
                <w:szCs w:val="24"/>
              </w:rPr>
              <w:t>Per įvairius specifinius reikalavimus itin ribojama tai, ko mokyti. ŪM administruojamose priemonėse siūloma per menka mokymosi formų įvairovė. Tai nesudaro tinkamų prielaidų mokytis visoms darbuotojų ir vadovų grupėms. (20 psl.)</w:t>
            </w:r>
          </w:p>
          <w:p w14:paraId="1BBA7288" w14:textId="77777777" w:rsidR="00C946AC" w:rsidRPr="00186DEB" w:rsidRDefault="00C946AC" w:rsidP="00C946AC">
            <w:pPr>
              <w:pStyle w:val="ListParagraph"/>
              <w:numPr>
                <w:ilvl w:val="0"/>
                <w:numId w:val="6"/>
              </w:numPr>
              <w:jc w:val="both"/>
              <w:rPr>
                <w:iCs/>
                <w:color w:val="000000"/>
                <w:szCs w:val="24"/>
              </w:rPr>
            </w:pPr>
            <w:r w:rsidRPr="00186DEB">
              <w:rPr>
                <w:iCs/>
                <w:color w:val="000000"/>
                <w:szCs w:val="24"/>
              </w:rPr>
              <w:t>Vertinimą atlikusių ekspertų nuomone, ŪM atveju galėtų būti trys priemonės, skirtos įmonių darbuotojų ir vadovų mokymams. Viena jų - Priemonė užsienio investuotojų darbuotojų mokymui (</w:t>
            </w:r>
            <w:proofErr w:type="spellStart"/>
            <w:r w:rsidRPr="00186DEB">
              <w:rPr>
                <w:iCs/>
                <w:color w:val="000000"/>
                <w:szCs w:val="24"/>
              </w:rPr>
              <w:t>t.y</w:t>
            </w:r>
            <w:proofErr w:type="spellEnd"/>
            <w:r w:rsidRPr="00186DEB">
              <w:rPr>
                <w:iCs/>
                <w:color w:val="000000"/>
                <w:szCs w:val="24"/>
              </w:rPr>
              <w:t>. priemonė Nr. 09.4.3-ESFA-T-846 „Mokymai užsienio investuotojų darbuotojams, pagal kurią dar bus skelbiami kvietimai; pareiškėjai – įmonės); (27 psl.)</w:t>
            </w:r>
          </w:p>
          <w:p w14:paraId="5AC87D28" w14:textId="77777777" w:rsidR="00C946AC" w:rsidRPr="00186DEB" w:rsidRDefault="00C946AC" w:rsidP="00C946AC">
            <w:pPr>
              <w:pStyle w:val="ListParagraph"/>
              <w:numPr>
                <w:ilvl w:val="0"/>
                <w:numId w:val="6"/>
              </w:numPr>
              <w:jc w:val="both"/>
              <w:rPr>
                <w:iCs/>
                <w:color w:val="000000"/>
                <w:szCs w:val="24"/>
              </w:rPr>
            </w:pPr>
            <w:r w:rsidRPr="00186DEB">
              <w:rPr>
                <w:iCs/>
                <w:color w:val="000000"/>
                <w:szCs w:val="24"/>
              </w:rPr>
              <w:t>Vertinimas, ar skiriamos investicijos atitinka vertinamų tikslinių grupių MVG poreikius, parodė (Įmonių darbuotojų atveju):</w:t>
            </w:r>
          </w:p>
          <w:p w14:paraId="587658BF" w14:textId="77777777" w:rsidR="00C946AC" w:rsidRDefault="00C946AC" w:rsidP="00C946AC">
            <w:pPr>
              <w:pStyle w:val="ListParagraph"/>
              <w:numPr>
                <w:ilvl w:val="0"/>
                <w:numId w:val="4"/>
              </w:numPr>
              <w:spacing w:after="120"/>
              <w:jc w:val="both"/>
              <w:rPr>
                <w:rFonts w:eastAsia="Calibri"/>
                <w:szCs w:val="24"/>
              </w:rPr>
            </w:pPr>
            <w:r w:rsidRPr="00FE28CE">
              <w:rPr>
                <w:rFonts w:eastAsia="Calibri"/>
                <w:szCs w:val="24"/>
              </w:rPr>
              <w:t xml:space="preserve">Netinkamai parinktos tikslinės grupės: nediferencijuojama parama darbuotojams išskiriant pažeidžiamus darbuotojus; nepakankamas dėmesys labai mažoms ir mažoms įmonėms, įsikūrusioms ne didžiuosiuose šalies miestuose, </w:t>
            </w:r>
            <w:r w:rsidRPr="00186DEB">
              <w:rPr>
                <w:rFonts w:eastAsia="Calibri"/>
                <w:szCs w:val="24"/>
              </w:rPr>
              <w:t>ir įmonių vadovų mokymui</w:t>
            </w:r>
            <w:r w:rsidRPr="00FE28CE">
              <w:rPr>
                <w:rFonts w:eastAsia="Calibri"/>
                <w:szCs w:val="24"/>
              </w:rPr>
              <w:t>;</w:t>
            </w:r>
          </w:p>
          <w:p w14:paraId="4F3782D5" w14:textId="77777777" w:rsidR="00C946AC" w:rsidRDefault="00C946AC" w:rsidP="00C946AC">
            <w:pPr>
              <w:pStyle w:val="ListParagraph"/>
              <w:numPr>
                <w:ilvl w:val="0"/>
                <w:numId w:val="4"/>
              </w:numPr>
              <w:spacing w:after="120"/>
              <w:jc w:val="both"/>
              <w:rPr>
                <w:rFonts w:eastAsia="Calibri"/>
                <w:szCs w:val="24"/>
              </w:rPr>
            </w:pPr>
            <w:r w:rsidRPr="00FE28CE">
              <w:rPr>
                <w:rFonts w:eastAsia="Calibri"/>
                <w:szCs w:val="24"/>
              </w:rPr>
              <w:t xml:space="preserve">Intervencijos tik iš dalies atitinka tikslinių grupių poreikius: </w:t>
            </w:r>
            <w:r w:rsidRPr="00186DEB">
              <w:rPr>
                <w:rFonts w:eastAsia="Calibri"/>
                <w:szCs w:val="24"/>
              </w:rPr>
              <w:t>pernelyg ribojama mokymų įvairovė; nepakankamai kreipiama dėmesio priemonėms, kurios reikšmingai plėtotų mokymosi kultūrą</w:t>
            </w:r>
            <w:r>
              <w:rPr>
                <w:rFonts w:eastAsia="Calibri"/>
                <w:szCs w:val="24"/>
              </w:rPr>
              <w:t xml:space="preserve"> </w:t>
            </w:r>
            <w:r w:rsidRPr="00FE28CE">
              <w:rPr>
                <w:rFonts w:eastAsia="Calibri"/>
                <w:szCs w:val="24"/>
              </w:rPr>
              <w:t>(31 psl.)</w:t>
            </w:r>
          </w:p>
          <w:p w14:paraId="1FA3115A" w14:textId="77777777" w:rsidR="00C946AC" w:rsidRPr="00807E1E" w:rsidRDefault="00C946AC" w:rsidP="00C946AC">
            <w:pPr>
              <w:pStyle w:val="ListParagraph"/>
              <w:numPr>
                <w:ilvl w:val="0"/>
                <w:numId w:val="5"/>
              </w:numPr>
              <w:jc w:val="both"/>
              <w:rPr>
                <w:rStyle w:val="Hyperlink"/>
                <w:rFonts w:eastAsia="Calibri"/>
                <w:szCs w:val="24"/>
              </w:rPr>
            </w:pPr>
            <w:r>
              <w:rPr>
                <w:rFonts w:eastAsia="Calibri"/>
                <w:szCs w:val="24"/>
              </w:rPr>
              <w:t>Sėkminga verslo skaitmeninė ir žiedinė transformacija nėra įmanoma be visų įmonės darbuotojų (tame tarpe, įvairių lygių vadovai) įsitraukimo, jų gebėjimų (turėjimo specifinių kompetencijų) vykdant jiems priskirtas funkcijas, pavyzdžiui: valdyti skaitmeninių technologinių diegimą; vykdyti verslo procesų skaitmenizavimo projektų planavimą ir projektavimą; užtikrinti pavaldinių įsitraukimą į skaitmeninius verslo procesus; dirbti su skaitmeninėmis technologijomis įvairiose verslo procesuose ir t.t.</w:t>
            </w:r>
            <w:r>
              <w:t xml:space="preserve"> </w:t>
            </w:r>
            <w:r>
              <w:rPr>
                <w:rFonts w:eastAsia="Calibri"/>
                <w:szCs w:val="24"/>
              </w:rPr>
              <w:t>Atitinkami specifiniai</w:t>
            </w:r>
            <w:r w:rsidRPr="00C8589A">
              <w:rPr>
                <w:rFonts w:eastAsia="Calibri"/>
                <w:szCs w:val="24"/>
              </w:rPr>
              <w:t xml:space="preserve"> įgūdžiai tampa aktualūs daugelyje </w:t>
            </w:r>
            <w:r w:rsidRPr="00C8589A">
              <w:rPr>
                <w:rFonts w:eastAsia="Calibri"/>
                <w:szCs w:val="24"/>
              </w:rPr>
              <w:lastRenderedPageBreak/>
              <w:t>įmonės veiklos sričių: analitikoje, valdyme, modernizavime ir t.t.</w:t>
            </w:r>
            <w:hyperlink r:id="rId9" w:history="1">
              <w:r w:rsidRPr="00775F30">
                <w:rPr>
                  <w:rStyle w:val="Hyperlink"/>
                </w:rPr>
                <w:t>https://www.esf.lt/data/public/uploads/2020/07/mvi-kompetenciju-poreikio-siekiant-pasiruosti-ir-iveikti-pramone-4.0-iss....pdf</w:t>
              </w:r>
            </w:hyperlink>
          </w:p>
          <w:p w14:paraId="4DDD79B8" w14:textId="77777777" w:rsidR="00C946AC" w:rsidRDefault="00C946AC" w:rsidP="00C946AC">
            <w:pPr>
              <w:jc w:val="both"/>
              <w:rPr>
                <w:rFonts w:eastAsia="Calibri"/>
                <w:szCs w:val="24"/>
              </w:rPr>
            </w:pPr>
          </w:p>
          <w:p w14:paraId="44936162" w14:textId="77777777" w:rsidR="00C946AC" w:rsidRPr="00C02361" w:rsidRDefault="00C946AC" w:rsidP="00C946AC">
            <w:pPr>
              <w:jc w:val="both"/>
              <w:rPr>
                <w:rFonts w:eastAsia="Calibri"/>
                <w:szCs w:val="24"/>
              </w:rPr>
            </w:pPr>
            <w:r w:rsidRPr="00C02361">
              <w:rPr>
                <w:rFonts w:eastAsia="Calibri"/>
                <w:szCs w:val="24"/>
              </w:rPr>
              <w:t xml:space="preserve">Vadovų grandies </w:t>
            </w:r>
            <w:r>
              <w:rPr>
                <w:rFonts w:eastAsia="Calibri"/>
                <w:szCs w:val="24"/>
              </w:rPr>
              <w:t>ne</w:t>
            </w:r>
            <w:r w:rsidRPr="00C02361">
              <w:rPr>
                <w:rFonts w:eastAsia="Calibri"/>
                <w:szCs w:val="24"/>
              </w:rPr>
              <w:t>eliminavimas iš darbuotojų aibės, kuriems būtų formuojamos atitinkamos specifinės kompetencijos  ir nesiaurinimas specifinių kompetencijų sampratos geriau atlieptų įmonių ir jų darbuotojų poreikius efektyviau atl</w:t>
            </w:r>
            <w:r>
              <w:rPr>
                <w:rFonts w:eastAsia="Calibri"/>
                <w:szCs w:val="24"/>
              </w:rPr>
              <w:t xml:space="preserve">ikti </w:t>
            </w:r>
            <w:r w:rsidRPr="00C02361">
              <w:rPr>
                <w:rFonts w:eastAsia="Calibri"/>
                <w:szCs w:val="24"/>
              </w:rPr>
              <w:t xml:space="preserve"> atitinkamas funkcijas verslo skaitmeninės ir žiedinės transformacijos sąlygomis bei didintų priemonės Nr. 09.4.3-ESFA-T-846 „Mokymai užsienio investuotojų darbuotojams“ efektyvumą</w:t>
            </w:r>
            <w:r>
              <w:rPr>
                <w:rFonts w:eastAsia="Calibri"/>
                <w:szCs w:val="24"/>
              </w:rPr>
              <w:t xml:space="preserve"> pritraukiant užsienio investuotojus.</w:t>
            </w:r>
          </w:p>
          <w:p w14:paraId="650BC8C3" w14:textId="77777777" w:rsidR="00C946AC" w:rsidRDefault="00C946AC" w:rsidP="00C946AC">
            <w:pPr>
              <w:pStyle w:val="ListParagraph"/>
              <w:jc w:val="both"/>
              <w:rPr>
                <w:rFonts w:eastAsia="Calibri"/>
                <w:szCs w:val="24"/>
              </w:rPr>
            </w:pPr>
          </w:p>
          <w:p w14:paraId="1021CAB7" w14:textId="77777777" w:rsidR="00C946AC" w:rsidRPr="00C02361" w:rsidRDefault="00C946AC" w:rsidP="00C946AC">
            <w:pPr>
              <w:ind w:firstLine="851"/>
              <w:jc w:val="both"/>
              <w:rPr>
                <w:rFonts w:eastAsia="Calibri"/>
                <w:b/>
                <w:bCs/>
                <w:szCs w:val="24"/>
              </w:rPr>
            </w:pPr>
            <w:r w:rsidRPr="00C02361">
              <w:rPr>
                <w:rFonts w:eastAsia="Calibri"/>
                <w:b/>
                <w:bCs/>
                <w:szCs w:val="24"/>
              </w:rPr>
              <w:t>Siūlome iš Aprašo eliminuoti šias</w:t>
            </w:r>
            <w:r>
              <w:rPr>
                <w:rFonts w:eastAsia="Calibri"/>
                <w:b/>
                <w:bCs/>
                <w:szCs w:val="24"/>
              </w:rPr>
              <w:t>,</w:t>
            </w:r>
            <w:r w:rsidRPr="00C02361">
              <w:rPr>
                <w:rFonts w:eastAsia="Calibri"/>
                <w:b/>
                <w:bCs/>
                <w:szCs w:val="24"/>
              </w:rPr>
              <w:t xml:space="preserve"> netinkamomis finansuoti išlaidomis laikomų išlaidų</w:t>
            </w:r>
            <w:r>
              <w:rPr>
                <w:rFonts w:eastAsia="Calibri"/>
                <w:b/>
                <w:bCs/>
                <w:szCs w:val="24"/>
              </w:rPr>
              <w:t>,</w:t>
            </w:r>
            <w:r w:rsidRPr="00C02361">
              <w:rPr>
                <w:rFonts w:eastAsia="Calibri"/>
                <w:b/>
                <w:bCs/>
                <w:szCs w:val="24"/>
              </w:rPr>
              <w:t xml:space="preserve"> nuostatas:</w:t>
            </w:r>
          </w:p>
          <w:p w14:paraId="7B6A9B34" w14:textId="77777777" w:rsidR="00C946AC" w:rsidRPr="00C02361" w:rsidRDefault="00C946AC" w:rsidP="00C946AC">
            <w:pPr>
              <w:ind w:firstLine="851"/>
              <w:jc w:val="both"/>
              <w:rPr>
                <w:rFonts w:eastAsia="Calibri"/>
                <w:i/>
                <w:iCs/>
                <w:szCs w:val="24"/>
              </w:rPr>
            </w:pPr>
            <w:r>
              <w:rPr>
                <w:rFonts w:eastAsia="Calibri"/>
                <w:szCs w:val="24"/>
              </w:rPr>
              <w:t xml:space="preserve"> </w:t>
            </w:r>
            <w:r w:rsidRPr="00C02361">
              <w:rPr>
                <w:rFonts w:eastAsia="Calibri"/>
                <w:i/>
                <w:iCs/>
                <w:szCs w:val="24"/>
              </w:rPr>
              <w:t xml:space="preserve">43.5. mokymai, skirti komandos, organizacijos kultūrai formuoti, asmeniniam efektyvumui, vadovavimo (įskaitant </w:t>
            </w:r>
            <w:r w:rsidRPr="00C02361">
              <w:rPr>
                <w:i/>
                <w:iCs/>
              </w:rPr>
              <w:t xml:space="preserve">ugdančiojo vadovavimo (angl. </w:t>
            </w:r>
            <w:proofErr w:type="spellStart"/>
            <w:r w:rsidRPr="00C02361">
              <w:rPr>
                <w:i/>
                <w:iCs/>
              </w:rPr>
              <w:t>coaching</w:t>
            </w:r>
            <w:proofErr w:type="spellEnd"/>
            <w:r w:rsidRPr="00C02361">
              <w:rPr>
                <w:i/>
                <w:iCs/>
              </w:rPr>
              <w:t> </w:t>
            </w:r>
            <w:r w:rsidRPr="00C02361">
              <w:rPr>
                <w:rFonts w:eastAsia="Calibri"/>
                <w:i/>
                <w:iCs/>
                <w:szCs w:val="24"/>
              </w:rPr>
              <w:t xml:space="preserve">) kompetencijoms ugdyti (pvz., konfliktams spręsti, stresui valdyti, bendravimui, motyvavimui, laikui planuoti, emociniam intelektui, lyderystei, pozityviam mąstymui, veiklai planuoti, organizacijos pokyčiams, personalui valdyti, </w:t>
            </w:r>
            <w:r w:rsidRPr="00C02361">
              <w:rPr>
                <w:i/>
                <w:iCs/>
              </w:rPr>
              <w:t>grįžtamajam ryšiui suteikti, susirinkimų vedimo, užduočių delegavimo, funkcijų paskirstymo kompetencijoms ugdyti,</w:t>
            </w:r>
            <w:r w:rsidRPr="00C02361">
              <w:rPr>
                <w:rFonts w:eastAsia="Calibri"/>
                <w:i/>
                <w:iCs/>
                <w:szCs w:val="24"/>
              </w:rPr>
              <w:t xml:space="preserve"> kūrybiškumo gebėjimams ugdyti ir pan.);</w:t>
            </w:r>
          </w:p>
          <w:p w14:paraId="56CE351C" w14:textId="43D11A18" w:rsidR="00C946AC" w:rsidRDefault="00C946AC" w:rsidP="00C946AC">
            <w:pPr>
              <w:jc w:val="both"/>
              <w:rPr>
                <w:b/>
                <w:bCs/>
              </w:rPr>
            </w:pPr>
            <w:r w:rsidRPr="00C02361">
              <w:rPr>
                <w:rFonts w:eastAsia="Calibri"/>
                <w:i/>
                <w:iCs/>
                <w:szCs w:val="24"/>
              </w:rPr>
              <w:t>43.6. aukščiausio lygio vadovų (įmonės generalinis direktorius, vykdomasis direktorius) ir pagrindinių veiklų (gamybos, pardavimų, finansų, personalo valdymo, klientų aptarnavimo, informacinių technologijų ir pan.) vadovų mokymų išlaidos.</w:t>
            </w:r>
          </w:p>
        </w:tc>
        <w:tc>
          <w:tcPr>
            <w:tcW w:w="4649" w:type="dxa"/>
          </w:tcPr>
          <w:p w14:paraId="4244AA68" w14:textId="77777777" w:rsidR="00C946AC" w:rsidRDefault="008F0A97" w:rsidP="00C946AC">
            <w:pPr>
              <w:jc w:val="both"/>
              <w:rPr>
                <w:b/>
                <w:bCs/>
              </w:rPr>
            </w:pPr>
            <w:r w:rsidRPr="008F0A97">
              <w:rPr>
                <w:b/>
                <w:bCs/>
              </w:rPr>
              <w:lastRenderedPageBreak/>
              <w:t>Neatsižvelgta.</w:t>
            </w:r>
            <w:r>
              <w:rPr>
                <w:b/>
                <w:bCs/>
              </w:rPr>
              <w:t xml:space="preserve"> </w:t>
            </w:r>
          </w:p>
          <w:p w14:paraId="1291B377" w14:textId="3A07F7C2" w:rsidR="00810A32" w:rsidRDefault="5720FE43" w:rsidP="00C946AC">
            <w:pPr>
              <w:jc w:val="both"/>
            </w:pPr>
            <w:r>
              <w:t>Pažymėtina, kad priemonės „Mokymai užsienio investuotojų darbuotojams“ tikslas – sudaryti sąlygas užsienio investuotojų darbuotojams įgyti specifinių kompetencijų ir prisitaikyti prie ūkio pokyčių</w:t>
            </w:r>
            <w:r w:rsidR="00AF1FB9">
              <w:t>.</w:t>
            </w:r>
          </w:p>
          <w:p w14:paraId="2E0CF9A3" w14:textId="5EB8AF2E" w:rsidR="008440D8" w:rsidRPr="00AF1FB9" w:rsidRDefault="00442F5E" w:rsidP="00442F5E">
            <w:pPr>
              <w:jc w:val="both"/>
              <w:rPr>
                <w:lang w:val="en-GB"/>
              </w:rPr>
            </w:pPr>
            <w:r>
              <w:t xml:space="preserve">Europos </w:t>
            </w:r>
            <w:r w:rsidRPr="00442F5E">
              <w:t xml:space="preserve">audito </w:t>
            </w:r>
            <w:r>
              <w:t>rūmai</w:t>
            </w:r>
            <w:r w:rsidR="00C129B0">
              <w:t xml:space="preserve"> po </w:t>
            </w:r>
            <w:r w:rsidR="00C129B0" w:rsidRPr="00C129B0">
              <w:t>2016 m. gruodžio 5–16 d. atlikto 2014–2020 m. išankstinio prevencinio sistemos audito Nr. REGC214LT0049</w:t>
            </w:r>
            <w:r w:rsidR="00C129B0">
              <w:t xml:space="preserve"> </w:t>
            </w:r>
            <w:r>
              <w:t xml:space="preserve">buvo pateikę </w:t>
            </w:r>
            <w:r w:rsidRPr="00442F5E">
              <w:t>išvad</w:t>
            </w:r>
            <w:r>
              <w:t>ą</w:t>
            </w:r>
            <w:r w:rsidRPr="00442F5E">
              <w:t>, kad Europos socialinio fondo (ESF) lėšų naudojimas aukščiausio lygio vadovams yra neefektyvus</w:t>
            </w:r>
            <w:r>
              <w:t xml:space="preserve">. </w:t>
            </w:r>
            <w:r w:rsidR="008440D8" w:rsidRPr="008440D8">
              <w:t>L</w:t>
            </w:r>
            <w:r w:rsidR="008440D8">
              <w:t>ietuva</w:t>
            </w:r>
            <w:r w:rsidR="008440D8" w:rsidRPr="008440D8">
              <w:t xml:space="preserve"> iš dalies sutiko su </w:t>
            </w:r>
            <w:r w:rsidR="008440D8">
              <w:t>pateikta</w:t>
            </w:r>
            <w:r w:rsidR="008440D8" w:rsidRPr="008440D8">
              <w:t xml:space="preserve"> rekomendacija ir </w:t>
            </w:r>
            <w:r w:rsidR="008440D8">
              <w:t xml:space="preserve">Europos </w:t>
            </w:r>
            <w:r w:rsidR="008440D8" w:rsidRPr="008440D8">
              <w:t xml:space="preserve">Komisijai pranešė, kad priemonės nuostatos pakeistos. </w:t>
            </w:r>
          </w:p>
          <w:p w14:paraId="3FD868CF" w14:textId="3AF042B1" w:rsidR="00442F5E" w:rsidRPr="00810A32" w:rsidRDefault="008440D8" w:rsidP="00AB7D27">
            <w:pPr>
              <w:jc w:val="both"/>
              <w:rPr>
                <w:lang w:val="en-US"/>
              </w:rPr>
            </w:pPr>
            <w:r>
              <w:t xml:space="preserve">Atkreipiame dėmesį, kad </w:t>
            </w:r>
            <w:r w:rsidR="00442F5E">
              <w:t>ESF</w:t>
            </w:r>
            <w:r w:rsidR="00442F5E" w:rsidRPr="00442F5E">
              <w:t xml:space="preserve"> lėšos turi būti skirtos labiausiai pažeidžiamoms tikslinėms grupėms – mokymų atveju žmonėms su žemesne kvalifikacija, nes jiems </w:t>
            </w:r>
            <w:r w:rsidR="00442F5E" w:rsidRPr="00442F5E">
              <w:lastRenderedPageBreak/>
              <w:t xml:space="preserve">sudėtingiausia prisitaikyti prie ekonomikos pokyčių ir jie nėra patys linkę kelti kvalifikacijos. </w:t>
            </w:r>
            <w:r w:rsidR="009420DB">
              <w:t>Pritariame</w:t>
            </w:r>
            <w:r>
              <w:t>, kad vadov</w:t>
            </w:r>
            <w:r w:rsidR="009420DB">
              <w:t>ai</w:t>
            </w:r>
            <w:r>
              <w:t xml:space="preserve"> turi būti įtraukti į mokymus, ypatingai tuos, kurie skirti bendr</w:t>
            </w:r>
            <w:r w:rsidR="009420DB">
              <w:t>am</w:t>
            </w:r>
            <w:r>
              <w:t xml:space="preserve"> įmonės/organizacijos tiks</w:t>
            </w:r>
            <w:r w:rsidR="009420DB">
              <w:t>l</w:t>
            </w:r>
            <w:r>
              <w:t xml:space="preserve">ų siekimui, tačiau įvertinus tai, kad </w:t>
            </w:r>
            <w:r w:rsidR="00442F5E" w:rsidRPr="00442F5E">
              <w:t xml:space="preserve">vadovai </w:t>
            </w:r>
            <w:r w:rsidR="00442F5E">
              <w:t xml:space="preserve">dažniausiai </w:t>
            </w:r>
            <w:r w:rsidR="00442F5E" w:rsidRPr="00442F5E">
              <w:t>yra labiau išsilavinę, su gan</w:t>
            </w:r>
            <w:r w:rsidR="00442F5E">
              <w:t>a</w:t>
            </w:r>
            <w:r w:rsidR="00442F5E" w:rsidRPr="00442F5E">
              <w:t xml:space="preserve"> aukšta kvalifikacija bei g</w:t>
            </w:r>
            <w:r w:rsidR="00442F5E">
              <w:t>aunantys didesnį darbo užmokestį</w:t>
            </w:r>
            <w:r w:rsidR="00442F5E" w:rsidRPr="00442F5E">
              <w:t xml:space="preserve">, </w:t>
            </w:r>
            <w:r>
              <w:t xml:space="preserve">turi </w:t>
            </w:r>
            <w:r w:rsidR="009420DB">
              <w:t xml:space="preserve">visas </w:t>
            </w:r>
            <w:r>
              <w:t xml:space="preserve">galimybes patys arba įmonės </w:t>
            </w:r>
            <w:r w:rsidR="00AB7D27">
              <w:t xml:space="preserve">pagalba finansuoti savo įgūdžių tobulinimą, nesinaudojant ESF investicijomis. </w:t>
            </w:r>
          </w:p>
        </w:tc>
      </w:tr>
      <w:tr w:rsidR="00C946AC" w:rsidRPr="00781CA4" w14:paraId="61D609E7" w14:textId="77777777" w:rsidTr="5720FE43">
        <w:tc>
          <w:tcPr>
            <w:tcW w:w="738" w:type="dxa"/>
          </w:tcPr>
          <w:p w14:paraId="66DD0BCB" w14:textId="77777777" w:rsidR="00C946AC" w:rsidRPr="004F6566" w:rsidRDefault="00C946AC" w:rsidP="00C946AC">
            <w:pPr>
              <w:pStyle w:val="ListParagraph"/>
              <w:numPr>
                <w:ilvl w:val="0"/>
                <w:numId w:val="1"/>
              </w:numPr>
              <w:jc w:val="both"/>
              <w:rPr>
                <w:lang w:val="en-US"/>
              </w:rPr>
            </w:pPr>
          </w:p>
        </w:tc>
        <w:tc>
          <w:tcPr>
            <w:tcW w:w="1814" w:type="dxa"/>
            <w:shd w:val="clear" w:color="auto" w:fill="auto"/>
          </w:tcPr>
          <w:p w14:paraId="5A76CA93" w14:textId="3ED0D90B" w:rsidR="00C946AC" w:rsidRPr="00BC7656" w:rsidRDefault="00C946AC" w:rsidP="00C946AC">
            <w:r w:rsidRPr="00BC7656">
              <w:t>„Investuok Lietuvoje</w:t>
            </w:r>
            <w:r>
              <w:t>“</w:t>
            </w:r>
          </w:p>
          <w:p w14:paraId="1A4641F8" w14:textId="77777777" w:rsidR="00C946AC" w:rsidRPr="00BC7656" w:rsidRDefault="00C946AC" w:rsidP="00C946AC"/>
          <w:p w14:paraId="491A5EF6" w14:textId="77777777" w:rsidR="00C946AC" w:rsidRPr="00BC7656" w:rsidRDefault="00C946AC" w:rsidP="00C946AC"/>
        </w:tc>
        <w:tc>
          <w:tcPr>
            <w:tcW w:w="7541" w:type="dxa"/>
          </w:tcPr>
          <w:p w14:paraId="516EA065" w14:textId="77777777" w:rsidR="00C946AC" w:rsidRPr="00BC7656" w:rsidRDefault="00C946AC" w:rsidP="00C946AC">
            <w:pPr>
              <w:spacing w:after="160" w:line="259" w:lineRule="auto"/>
              <w:rPr>
                <w:rFonts w:ascii="Calibri" w:eastAsia="Calibri" w:hAnsi="Calibri"/>
                <w:sz w:val="22"/>
                <w:szCs w:val="22"/>
                <w:lang w:eastAsia="en-US"/>
              </w:rPr>
            </w:pPr>
            <w:r w:rsidRPr="00BC7656">
              <w:rPr>
                <w:rFonts w:ascii="Calibri" w:eastAsia="Calibri" w:hAnsi="Calibri"/>
                <w:sz w:val="22"/>
                <w:szCs w:val="22"/>
                <w:lang w:eastAsia="en-US"/>
              </w:rPr>
              <w:t xml:space="preserve">Naujoje redakcijoje yra keičiamas „Lemiamos įtakos apibrėžimas“ referuojant į LR Konkurencijos įstatymą. Siūlome palikti praeito kvietimo Apraše buvusį apibrėžimą, kadangi naujas </w:t>
            </w:r>
            <w:r w:rsidRPr="00BC7656">
              <w:rPr>
                <w:rFonts w:ascii="Calibri" w:eastAsia="Calibri" w:hAnsi="Calibri"/>
                <w:b/>
                <w:bCs/>
                <w:sz w:val="22"/>
                <w:szCs w:val="22"/>
                <w:lang w:eastAsia="en-US"/>
              </w:rPr>
              <w:t>apibrėžimas tik didina potencialiems pareiškėjams administracinę naštą</w:t>
            </w:r>
            <w:r w:rsidRPr="00BC7656">
              <w:rPr>
                <w:rFonts w:ascii="Calibri" w:eastAsia="Calibri" w:hAnsi="Calibri"/>
                <w:sz w:val="22"/>
                <w:szCs w:val="22"/>
                <w:lang w:eastAsia="en-US"/>
              </w:rPr>
              <w:t xml:space="preserve">, įrodinėjant lemiamos įtakos faktą. </w:t>
            </w:r>
          </w:p>
          <w:p w14:paraId="341EAD1F" w14:textId="78EECD48" w:rsidR="00C946AC" w:rsidRPr="00BC7656" w:rsidRDefault="00C946AC" w:rsidP="00C946AC">
            <w:pPr>
              <w:spacing w:after="160" w:line="259" w:lineRule="auto"/>
              <w:rPr>
                <w:rFonts w:ascii="Calibri" w:eastAsia="Calibri" w:hAnsi="Calibri"/>
                <w:b/>
                <w:bCs/>
                <w:sz w:val="22"/>
                <w:szCs w:val="22"/>
                <w:lang w:eastAsia="en-US"/>
              </w:rPr>
            </w:pPr>
            <w:r w:rsidRPr="00BC7656">
              <w:rPr>
                <w:rFonts w:ascii="Calibri" w:eastAsia="Calibri" w:hAnsi="Calibri"/>
                <w:sz w:val="22"/>
                <w:szCs w:val="22"/>
                <w:lang w:eastAsia="en-US"/>
              </w:rPr>
              <w:t xml:space="preserve">Pažymime, kad „Lemiamos įtakos“ apibrėžimas (2020-04-10 d. redakcija) aiškiai apibrėžia, kada kontroliuojantis asmuo daro lemiamą įtaką: „(...) kontroliuojantis asmuo įgyvendina ar turi galimybę įgyvendinti savo sprendimus dėl kontroliuojamo ūkio subjekto ūkinės veiklos, organų sprendimų ar personalo sudėties t. y. kontroliuojantis asmuo tiesiogiai </w:t>
            </w:r>
            <w:r w:rsidRPr="00BC7656">
              <w:rPr>
                <w:rFonts w:ascii="Calibri" w:eastAsia="Calibri" w:hAnsi="Calibri"/>
                <w:b/>
                <w:bCs/>
                <w:sz w:val="22"/>
                <w:szCs w:val="22"/>
                <w:lang w:eastAsia="en-US"/>
              </w:rPr>
              <w:t xml:space="preserve">turi daugiau nei 50 procentų balso </w:t>
            </w:r>
            <w:r w:rsidRPr="00BC7656">
              <w:rPr>
                <w:rFonts w:ascii="Calibri" w:eastAsia="Calibri" w:hAnsi="Calibri"/>
                <w:b/>
                <w:bCs/>
                <w:sz w:val="22"/>
                <w:szCs w:val="22"/>
                <w:lang w:eastAsia="en-US"/>
              </w:rPr>
              <w:lastRenderedPageBreak/>
              <w:t>teisių arba kontroliuojantis asmuo tokias teises turi per tiesiogiai valdomą dukterinę įmonę</w:t>
            </w:r>
            <w:r w:rsidRPr="00BC7656">
              <w:rPr>
                <w:rFonts w:ascii="Calibri" w:eastAsia="Calibri" w:hAnsi="Calibri"/>
                <w:sz w:val="22"/>
                <w:szCs w:val="22"/>
                <w:lang w:eastAsia="en-US"/>
              </w:rPr>
              <w:t xml:space="preserve">.“. Tuo tarpu šiuo metu paskelbtame pakeitimo projekte, dalies apibrėžimo nebelieka, nurodant, kad „Lemiama įtaka“ suprantama, kaip tai apibrėžia LR Konkurencijos įstatymas, kur apsiribojama tik paaiškinimu apie padėtį, kai kontroliuojantis asmuo įgyvendina ar turi galimybę įgyvendinti savo sprendimus dėl kontroliuojamo ūkio subjekto ūkinės veiklos, organų sprendimų ar personalo sudėties, tačiau </w:t>
            </w:r>
            <w:r w:rsidRPr="00BC7656">
              <w:rPr>
                <w:rFonts w:ascii="Calibri" w:eastAsia="Calibri" w:hAnsi="Calibri"/>
                <w:b/>
                <w:bCs/>
                <w:sz w:val="22"/>
                <w:szCs w:val="22"/>
                <w:lang w:eastAsia="en-US"/>
              </w:rPr>
              <w:t>nepaaiškinama kokiu būdu ta galimybė realizuojama</w:t>
            </w:r>
            <w:r w:rsidRPr="00BC7656">
              <w:rPr>
                <w:rFonts w:ascii="Calibri" w:eastAsia="Calibri" w:hAnsi="Calibri"/>
                <w:sz w:val="22"/>
                <w:szCs w:val="22"/>
                <w:lang w:eastAsia="en-US"/>
              </w:rPr>
              <w:t xml:space="preserve">. Atitinkamai, pareiškėjams atsiranda prievolė papildomai įrodyti Lemiamos įtakos buvimą ir jos įgyvendinimo būdą. Pabrėžtina, kad </w:t>
            </w:r>
            <w:r w:rsidRPr="00BC7656">
              <w:rPr>
                <w:rFonts w:ascii="Calibri" w:eastAsia="Calibri" w:hAnsi="Calibri"/>
                <w:b/>
                <w:bCs/>
                <w:sz w:val="22"/>
                <w:szCs w:val="22"/>
                <w:lang w:eastAsia="en-US"/>
              </w:rPr>
              <w:t xml:space="preserve">LR Konkurencijos įstatymas nekalba apie Lemiamos įtakos įgyvendinimo būdą, todėl vertinama, kad ji gali būtų įgyvendinama tiek tiesiogiai turint daugiau nei </w:t>
            </w:r>
            <w:r w:rsidRPr="00BC7656">
              <w:rPr>
                <w:rFonts w:ascii="Calibri" w:eastAsia="Calibri" w:hAnsi="Calibri"/>
                <w:b/>
                <w:bCs/>
                <w:sz w:val="22"/>
                <w:szCs w:val="22"/>
                <w:lang w:val="en-US" w:eastAsia="en-US"/>
              </w:rPr>
              <w:t xml:space="preserve">50 proc. </w:t>
            </w:r>
            <w:r w:rsidRPr="00BC7656">
              <w:rPr>
                <w:rFonts w:ascii="Calibri" w:eastAsia="Calibri" w:hAnsi="Calibri"/>
                <w:b/>
                <w:bCs/>
                <w:sz w:val="22"/>
                <w:szCs w:val="22"/>
                <w:lang w:eastAsia="en-US"/>
              </w:rPr>
              <w:t xml:space="preserve">balso teisių arba turint tokias teises per tiesiogiai valdomą dukterinę įmonę. Taigi pareiškėjui </w:t>
            </w:r>
            <w:r w:rsidRPr="00BC7656">
              <w:rPr>
                <w:rFonts w:ascii="Calibri" w:eastAsia="Calibri" w:hAnsi="Calibri"/>
                <w:b/>
                <w:bCs/>
                <w:sz w:val="22"/>
                <w:szCs w:val="22"/>
                <w:u w:val="single"/>
                <w:lang w:eastAsia="en-US"/>
              </w:rPr>
              <w:t>papildomai atsiranda prievolė įrodyti būdą, kaip įgyvendinama „Lemiama įtaka“.</w:t>
            </w:r>
          </w:p>
          <w:p w14:paraId="17E4601F" w14:textId="77777777" w:rsidR="00C946AC" w:rsidRPr="00BC7656" w:rsidRDefault="00C946AC" w:rsidP="00C946AC">
            <w:pPr>
              <w:spacing w:after="160" w:line="259" w:lineRule="auto"/>
              <w:rPr>
                <w:rFonts w:ascii="Calibri" w:eastAsia="Calibri" w:hAnsi="Calibri"/>
                <w:sz w:val="22"/>
                <w:szCs w:val="22"/>
                <w:lang w:eastAsia="en-US"/>
              </w:rPr>
            </w:pPr>
            <w:r w:rsidRPr="00BC7656">
              <w:rPr>
                <w:rFonts w:ascii="Calibri" w:eastAsia="Calibri" w:hAnsi="Calibri"/>
                <w:b/>
                <w:bCs/>
                <w:sz w:val="22"/>
                <w:szCs w:val="22"/>
                <w:lang w:eastAsia="en-US"/>
              </w:rPr>
              <w:t xml:space="preserve">Atsižvelgiant į paaiškinimą ir siekiant mažinti, o ne didinti administracinę naštą, siūlome palikti </w:t>
            </w:r>
            <w:r w:rsidRPr="00BC7656">
              <w:rPr>
                <w:rFonts w:ascii="Calibri" w:eastAsia="Calibri" w:hAnsi="Calibri"/>
                <w:b/>
                <w:bCs/>
                <w:sz w:val="22"/>
                <w:szCs w:val="22"/>
                <w:lang w:val="en-US" w:eastAsia="en-US"/>
              </w:rPr>
              <w:t xml:space="preserve">2020-04-10 d. </w:t>
            </w:r>
            <w:r w:rsidRPr="00BC7656">
              <w:rPr>
                <w:rFonts w:ascii="Calibri" w:eastAsia="Calibri" w:hAnsi="Calibri"/>
                <w:b/>
                <w:bCs/>
                <w:sz w:val="22"/>
                <w:szCs w:val="22"/>
                <w:lang w:eastAsia="en-US"/>
              </w:rPr>
              <w:t>Aprašo redakcijoje esantį „Lemiamos įtakos“ apibrėžimą.</w:t>
            </w:r>
          </w:p>
          <w:p w14:paraId="13B9D2A5" w14:textId="77777777" w:rsidR="00C946AC" w:rsidRDefault="00C946AC" w:rsidP="00C946AC">
            <w:pPr>
              <w:jc w:val="both"/>
              <w:rPr>
                <w:b/>
                <w:bCs/>
              </w:rPr>
            </w:pPr>
          </w:p>
        </w:tc>
        <w:tc>
          <w:tcPr>
            <w:tcW w:w="4649" w:type="dxa"/>
          </w:tcPr>
          <w:p w14:paraId="3C2563D8" w14:textId="77777777" w:rsidR="000A35BC" w:rsidRDefault="008F0A97" w:rsidP="008F0A97">
            <w:pPr>
              <w:jc w:val="both"/>
            </w:pPr>
            <w:r w:rsidRPr="008F0A97">
              <w:rPr>
                <w:b/>
                <w:bCs/>
              </w:rPr>
              <w:lastRenderedPageBreak/>
              <w:t>Neatsižvelgta.</w:t>
            </w:r>
            <w:r>
              <w:t xml:space="preserve"> </w:t>
            </w:r>
          </w:p>
          <w:p w14:paraId="057FEF9E" w14:textId="64CE629D" w:rsidR="00E77454" w:rsidRPr="00D61F74" w:rsidRDefault="00604643" w:rsidP="00E77454">
            <w:pPr>
              <w:jc w:val="both"/>
              <w:rPr>
                <w:lang w:val="en-US"/>
              </w:rPr>
            </w:pPr>
            <w:r>
              <w:t>Siekiant didesnio aiškumo pareiškėjams VšĮ „Investuok Lietuvoje“ b</w:t>
            </w:r>
            <w:r w:rsidR="008F0A97">
              <w:t>uvo pateik</w:t>
            </w:r>
            <w:r>
              <w:t>usi</w:t>
            </w:r>
            <w:r w:rsidR="008F0A97">
              <w:t xml:space="preserve"> pasiūlym</w:t>
            </w:r>
            <w:r>
              <w:t>ą</w:t>
            </w:r>
            <w:r w:rsidR="008F0A97">
              <w:t xml:space="preserve"> suvienodinti sąvokas</w:t>
            </w:r>
            <w:r>
              <w:t xml:space="preserve"> „Lemiama įtaka“</w:t>
            </w:r>
            <w:r w:rsidR="008F0A97">
              <w:t xml:space="preserve"> priemonėje „Mokymai užsienio </w:t>
            </w:r>
            <w:proofErr w:type="spellStart"/>
            <w:r w:rsidR="008F0A97">
              <w:t>investuototų</w:t>
            </w:r>
            <w:proofErr w:type="spellEnd"/>
            <w:r w:rsidR="008F0A97">
              <w:t xml:space="preserve"> darbuotojams“ ir priemonėje „</w:t>
            </w:r>
            <w:proofErr w:type="spellStart"/>
            <w:r w:rsidR="008F0A97">
              <w:t>Smart</w:t>
            </w:r>
            <w:proofErr w:type="spellEnd"/>
            <w:r w:rsidR="008F0A97">
              <w:t xml:space="preserve"> FDI“</w:t>
            </w:r>
            <w:r w:rsidR="00E77454" w:rsidRPr="00E77454">
              <w:rPr>
                <w:rFonts w:ascii="Calibri" w:hAnsi="Calibri" w:cs="Calibri"/>
                <w:color w:val="1F497D"/>
                <w:sz w:val="22"/>
                <w:szCs w:val="22"/>
                <w:lang w:eastAsia="en-US"/>
              </w:rPr>
              <w:t xml:space="preserve"> </w:t>
            </w:r>
            <w:r w:rsidR="00E77454" w:rsidRPr="00E77454">
              <w:t>t</w:t>
            </w:r>
            <w:r w:rsidR="00E77454">
              <w:t>. y.</w:t>
            </w:r>
            <w:r w:rsidR="00E77454" w:rsidRPr="00E77454">
              <w:t>, priemonės „</w:t>
            </w:r>
            <w:proofErr w:type="spellStart"/>
            <w:r w:rsidR="00E77454" w:rsidRPr="00E77454">
              <w:t>Smart</w:t>
            </w:r>
            <w:proofErr w:type="spellEnd"/>
            <w:r w:rsidR="00E77454">
              <w:t xml:space="preserve"> </w:t>
            </w:r>
            <w:r w:rsidR="00E77454" w:rsidRPr="00E77454">
              <w:t xml:space="preserve">FDI“ </w:t>
            </w:r>
            <w:r w:rsidR="00E77454">
              <w:t>projektų finansavimo sąlygų apraše</w:t>
            </w:r>
            <w:r w:rsidR="00E77454" w:rsidRPr="00E77454">
              <w:t xml:space="preserve"> sąvoką </w:t>
            </w:r>
            <w:r w:rsidR="002E56F5">
              <w:t xml:space="preserve">„Lemiama įtaka“ </w:t>
            </w:r>
            <w:r w:rsidR="00E77454" w:rsidRPr="00E77454">
              <w:t xml:space="preserve">apibrėžti taip pat kaip priemonės „Mokymai užsienio investuotojų </w:t>
            </w:r>
            <w:r w:rsidR="00E77454" w:rsidRPr="00E77454">
              <w:lastRenderedPageBreak/>
              <w:t xml:space="preserve">darbuotojams“ </w:t>
            </w:r>
            <w:r w:rsidR="00D61F74" w:rsidRPr="00D61F74">
              <w:t>projektų finansavimo sąlygų apraše</w:t>
            </w:r>
            <w:r w:rsidR="00D61F74">
              <w:t xml:space="preserve"> Nr. </w:t>
            </w:r>
            <w:r w:rsidR="00D61F74">
              <w:rPr>
                <w:lang w:val="en-US"/>
              </w:rPr>
              <w:t>2.</w:t>
            </w:r>
          </w:p>
          <w:p w14:paraId="7312188B" w14:textId="5D311B87" w:rsidR="005409A2" w:rsidRPr="005409A2" w:rsidRDefault="5720FE43" w:rsidP="008F0A97">
            <w:pPr>
              <w:jc w:val="both"/>
              <w:rPr>
                <w:lang w:val="en-US"/>
              </w:rPr>
            </w:pPr>
            <w:r>
              <w:t>Įvertinus šią sąvoką pagal</w:t>
            </w:r>
            <w:r w:rsidR="00FC14A0">
              <w:t xml:space="preserve"> </w:t>
            </w:r>
            <w:r>
              <w:t>Lietuvos Respublikos investicijų įstatymo  nuostatas dėl tiesioginių investicijų ir užsienio investicijų</w:t>
            </w:r>
            <w:r w:rsidR="00FC14A0">
              <w:t>,</w:t>
            </w:r>
            <w:r>
              <w:t xml:space="preserve">  nuspręsta priemonėje „Mokymai užsienio investuotojų darbuotojams“ sąvoką „Lemiama įtaka“ apibrėžti taip, kaip ji nurodyta Lietuvos Respublikos</w:t>
            </w:r>
            <w:r w:rsidR="00FC14A0">
              <w:t xml:space="preserve"> </w:t>
            </w:r>
            <w:r>
              <w:t xml:space="preserve">konkurencijos įstatyme. </w:t>
            </w:r>
          </w:p>
          <w:p w14:paraId="19EA745D" w14:textId="77777777" w:rsidR="005409A2" w:rsidRDefault="005409A2" w:rsidP="008F0A97">
            <w:pPr>
              <w:jc w:val="both"/>
              <w:rPr>
                <w:b/>
                <w:bCs/>
              </w:rPr>
            </w:pPr>
          </w:p>
          <w:p w14:paraId="5AD2BE29" w14:textId="77777777" w:rsidR="00C946AC" w:rsidRDefault="00C946AC" w:rsidP="00D61F74">
            <w:pPr>
              <w:jc w:val="both"/>
            </w:pPr>
          </w:p>
        </w:tc>
      </w:tr>
    </w:tbl>
    <w:p w14:paraId="1B192896" w14:textId="77777777" w:rsidR="005C5ECB" w:rsidRPr="0036662A" w:rsidRDefault="005C5ECB" w:rsidP="0072281D">
      <w:pPr>
        <w:rPr>
          <w:b/>
          <w:bCs/>
          <w:caps/>
          <w:szCs w:val="24"/>
        </w:rPr>
      </w:pPr>
    </w:p>
    <w:sectPr w:rsidR="005C5ECB" w:rsidRPr="0036662A" w:rsidSect="00D116FB">
      <w:pgSz w:w="16838" w:h="11906" w:orient="landscape"/>
      <w:pgMar w:top="1135" w:right="1387"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7D85BC" w16cex:dateUtc="2020-11-04T19:27:56.873Z"/>
  <w16cex:commentExtensible w16cex:durableId="25DF250E" w16cex:dateUtc="2020-11-04T19:36:45.779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D2E"/>
    <w:multiLevelType w:val="hybridMultilevel"/>
    <w:tmpl w:val="5240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C1D2D"/>
    <w:multiLevelType w:val="hybridMultilevel"/>
    <w:tmpl w:val="3A5AFE92"/>
    <w:lvl w:ilvl="0" w:tplc="948C6146">
      <w:start w:val="1"/>
      <w:numFmt w:val="lowerLetter"/>
      <w:lvlText w:val="%1."/>
      <w:lvlJc w:val="left"/>
      <w:pPr>
        <w:ind w:left="1476" w:hanging="360"/>
      </w:pPr>
      <w:rPr>
        <w:rFonts w:hint="default"/>
      </w:r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 w15:restartNumberingAfterBreak="0">
    <w:nsid w:val="3DFF14C1"/>
    <w:multiLevelType w:val="hybridMultilevel"/>
    <w:tmpl w:val="BFE0AC1C"/>
    <w:lvl w:ilvl="0" w:tplc="D3C4C136">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E91058C"/>
    <w:multiLevelType w:val="hybridMultilevel"/>
    <w:tmpl w:val="BECE85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86387E"/>
    <w:multiLevelType w:val="hybridMultilevel"/>
    <w:tmpl w:val="FFDC44D4"/>
    <w:lvl w:ilvl="0" w:tplc="0809000B">
      <w:start w:val="1"/>
      <w:numFmt w:val="bullet"/>
      <w:lvlText w:val=""/>
      <w:lvlJc w:val="left"/>
      <w:pPr>
        <w:ind w:left="1440" w:hanging="360"/>
      </w:pPr>
      <w:rPr>
        <w:rFonts w:ascii="Wingdings" w:hAnsi="Wingding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6EA632D0"/>
    <w:multiLevelType w:val="hybridMultilevel"/>
    <w:tmpl w:val="4908296C"/>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7793"/>
    <w:rsid w:val="0001428A"/>
    <w:rsid w:val="00016435"/>
    <w:rsid w:val="000240C4"/>
    <w:rsid w:val="00032985"/>
    <w:rsid w:val="00046DFE"/>
    <w:rsid w:val="00050427"/>
    <w:rsid w:val="00053D41"/>
    <w:rsid w:val="00070ED6"/>
    <w:rsid w:val="000A35BC"/>
    <w:rsid w:val="000A3FD2"/>
    <w:rsid w:val="000B1AF5"/>
    <w:rsid w:val="000B2D64"/>
    <w:rsid w:val="000B2D7C"/>
    <w:rsid w:val="000D3EFE"/>
    <w:rsid w:val="000E1F0C"/>
    <w:rsid w:val="000E275C"/>
    <w:rsid w:val="000E7A99"/>
    <w:rsid w:val="000F5CE6"/>
    <w:rsid w:val="00105F91"/>
    <w:rsid w:val="0011112B"/>
    <w:rsid w:val="00115372"/>
    <w:rsid w:val="0012141E"/>
    <w:rsid w:val="001577E4"/>
    <w:rsid w:val="00172F73"/>
    <w:rsid w:val="0018373E"/>
    <w:rsid w:val="00184FC3"/>
    <w:rsid w:val="00194702"/>
    <w:rsid w:val="001A5935"/>
    <w:rsid w:val="001A70E7"/>
    <w:rsid w:val="001C2F60"/>
    <w:rsid w:val="001D6507"/>
    <w:rsid w:val="001E4CE7"/>
    <w:rsid w:val="001E6748"/>
    <w:rsid w:val="001E67A5"/>
    <w:rsid w:val="0020434A"/>
    <w:rsid w:val="00234AE2"/>
    <w:rsid w:val="00241C69"/>
    <w:rsid w:val="00247BB5"/>
    <w:rsid w:val="002547F4"/>
    <w:rsid w:val="00270AE5"/>
    <w:rsid w:val="002923A6"/>
    <w:rsid w:val="002A27A2"/>
    <w:rsid w:val="002C57EF"/>
    <w:rsid w:val="002C79BA"/>
    <w:rsid w:val="002D4D56"/>
    <w:rsid w:val="002D61B8"/>
    <w:rsid w:val="002E1B28"/>
    <w:rsid w:val="002E56F5"/>
    <w:rsid w:val="00330EC9"/>
    <w:rsid w:val="003529B3"/>
    <w:rsid w:val="00366151"/>
    <w:rsid w:val="0036662A"/>
    <w:rsid w:val="003756C5"/>
    <w:rsid w:val="003865B8"/>
    <w:rsid w:val="003A1AD9"/>
    <w:rsid w:val="003B2FAE"/>
    <w:rsid w:val="003E77A4"/>
    <w:rsid w:val="003F5676"/>
    <w:rsid w:val="004136A8"/>
    <w:rsid w:val="004378EE"/>
    <w:rsid w:val="00442F5E"/>
    <w:rsid w:val="00446410"/>
    <w:rsid w:val="00452AAF"/>
    <w:rsid w:val="00475E13"/>
    <w:rsid w:val="00482B56"/>
    <w:rsid w:val="004A5F41"/>
    <w:rsid w:val="004C44BD"/>
    <w:rsid w:val="004D11D5"/>
    <w:rsid w:val="004E6B69"/>
    <w:rsid w:val="004F6566"/>
    <w:rsid w:val="005004F3"/>
    <w:rsid w:val="005409A2"/>
    <w:rsid w:val="0054453C"/>
    <w:rsid w:val="00547C74"/>
    <w:rsid w:val="005516A5"/>
    <w:rsid w:val="005533C2"/>
    <w:rsid w:val="00571253"/>
    <w:rsid w:val="00581B51"/>
    <w:rsid w:val="00593EE0"/>
    <w:rsid w:val="005B1293"/>
    <w:rsid w:val="005B79FB"/>
    <w:rsid w:val="005C3B7F"/>
    <w:rsid w:val="005C5B4A"/>
    <w:rsid w:val="005C5ECB"/>
    <w:rsid w:val="005E0604"/>
    <w:rsid w:val="005F038F"/>
    <w:rsid w:val="005F0F88"/>
    <w:rsid w:val="006029DF"/>
    <w:rsid w:val="00604643"/>
    <w:rsid w:val="006106A7"/>
    <w:rsid w:val="0065224C"/>
    <w:rsid w:val="00665BE2"/>
    <w:rsid w:val="00677B1E"/>
    <w:rsid w:val="006824CC"/>
    <w:rsid w:val="006A1E78"/>
    <w:rsid w:val="006A22E2"/>
    <w:rsid w:val="006B0D85"/>
    <w:rsid w:val="006B526A"/>
    <w:rsid w:val="006B75D2"/>
    <w:rsid w:val="006C0163"/>
    <w:rsid w:val="006E16C9"/>
    <w:rsid w:val="00707C95"/>
    <w:rsid w:val="0072281D"/>
    <w:rsid w:val="0072623F"/>
    <w:rsid w:val="00741C32"/>
    <w:rsid w:val="00742585"/>
    <w:rsid w:val="00747BC9"/>
    <w:rsid w:val="007537EC"/>
    <w:rsid w:val="0075779C"/>
    <w:rsid w:val="00761496"/>
    <w:rsid w:val="007769FC"/>
    <w:rsid w:val="00793365"/>
    <w:rsid w:val="007B3E81"/>
    <w:rsid w:val="007D3038"/>
    <w:rsid w:val="007F5F38"/>
    <w:rsid w:val="0080172F"/>
    <w:rsid w:val="00810A32"/>
    <w:rsid w:val="008359DC"/>
    <w:rsid w:val="008440D8"/>
    <w:rsid w:val="00847D95"/>
    <w:rsid w:val="0085384B"/>
    <w:rsid w:val="00856EDA"/>
    <w:rsid w:val="008576A6"/>
    <w:rsid w:val="00865C80"/>
    <w:rsid w:val="008663E3"/>
    <w:rsid w:val="00885C3D"/>
    <w:rsid w:val="008A53CB"/>
    <w:rsid w:val="008C3DAE"/>
    <w:rsid w:val="008D5F38"/>
    <w:rsid w:val="008E3C68"/>
    <w:rsid w:val="008F0A97"/>
    <w:rsid w:val="008F38C3"/>
    <w:rsid w:val="00926630"/>
    <w:rsid w:val="00933886"/>
    <w:rsid w:val="009420DB"/>
    <w:rsid w:val="00947C9D"/>
    <w:rsid w:val="00954EEB"/>
    <w:rsid w:val="00956C1E"/>
    <w:rsid w:val="0097341D"/>
    <w:rsid w:val="0099342A"/>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B7D27"/>
    <w:rsid w:val="00AC4B6C"/>
    <w:rsid w:val="00AD5789"/>
    <w:rsid w:val="00AF0A0D"/>
    <w:rsid w:val="00AF1FB9"/>
    <w:rsid w:val="00AF25D0"/>
    <w:rsid w:val="00AF2A89"/>
    <w:rsid w:val="00B0273A"/>
    <w:rsid w:val="00B0591B"/>
    <w:rsid w:val="00B06DF8"/>
    <w:rsid w:val="00B14AA0"/>
    <w:rsid w:val="00B26628"/>
    <w:rsid w:val="00B46548"/>
    <w:rsid w:val="00B7378D"/>
    <w:rsid w:val="00B75709"/>
    <w:rsid w:val="00B9676C"/>
    <w:rsid w:val="00BA3F54"/>
    <w:rsid w:val="00BB138B"/>
    <w:rsid w:val="00BC5BDA"/>
    <w:rsid w:val="00BC7656"/>
    <w:rsid w:val="00BD17AE"/>
    <w:rsid w:val="00BE1E8F"/>
    <w:rsid w:val="00BE4B26"/>
    <w:rsid w:val="00BE590A"/>
    <w:rsid w:val="00BE6468"/>
    <w:rsid w:val="00BE6CC1"/>
    <w:rsid w:val="00BF587A"/>
    <w:rsid w:val="00C129B0"/>
    <w:rsid w:val="00C25B44"/>
    <w:rsid w:val="00C3317D"/>
    <w:rsid w:val="00C33192"/>
    <w:rsid w:val="00C33E49"/>
    <w:rsid w:val="00C35591"/>
    <w:rsid w:val="00C41BD5"/>
    <w:rsid w:val="00C41EDB"/>
    <w:rsid w:val="00C535B1"/>
    <w:rsid w:val="00C6260A"/>
    <w:rsid w:val="00C6401F"/>
    <w:rsid w:val="00C916C8"/>
    <w:rsid w:val="00C946AC"/>
    <w:rsid w:val="00C94B40"/>
    <w:rsid w:val="00C97E60"/>
    <w:rsid w:val="00CA2E85"/>
    <w:rsid w:val="00CA6AE7"/>
    <w:rsid w:val="00CB2790"/>
    <w:rsid w:val="00CB505F"/>
    <w:rsid w:val="00CE53AB"/>
    <w:rsid w:val="00CF2C5D"/>
    <w:rsid w:val="00CF7C87"/>
    <w:rsid w:val="00D116FB"/>
    <w:rsid w:val="00D548C8"/>
    <w:rsid w:val="00D54ED4"/>
    <w:rsid w:val="00D61F74"/>
    <w:rsid w:val="00D66763"/>
    <w:rsid w:val="00DB3586"/>
    <w:rsid w:val="00DC5385"/>
    <w:rsid w:val="00DC7728"/>
    <w:rsid w:val="00DC7AB7"/>
    <w:rsid w:val="00DE1BD0"/>
    <w:rsid w:val="00DE3383"/>
    <w:rsid w:val="00DE693B"/>
    <w:rsid w:val="00E307F8"/>
    <w:rsid w:val="00E314FC"/>
    <w:rsid w:val="00E47926"/>
    <w:rsid w:val="00E53DCA"/>
    <w:rsid w:val="00E6399A"/>
    <w:rsid w:val="00E74BA5"/>
    <w:rsid w:val="00E77454"/>
    <w:rsid w:val="00E95B1A"/>
    <w:rsid w:val="00EB492E"/>
    <w:rsid w:val="00EC036E"/>
    <w:rsid w:val="00EC0828"/>
    <w:rsid w:val="00EC6B07"/>
    <w:rsid w:val="00EF0A83"/>
    <w:rsid w:val="00EF5D3D"/>
    <w:rsid w:val="00F16636"/>
    <w:rsid w:val="00F17A0F"/>
    <w:rsid w:val="00F27E63"/>
    <w:rsid w:val="00F43952"/>
    <w:rsid w:val="00F449CA"/>
    <w:rsid w:val="00F45F44"/>
    <w:rsid w:val="00F46B15"/>
    <w:rsid w:val="00F56078"/>
    <w:rsid w:val="00F725A7"/>
    <w:rsid w:val="00F74AD4"/>
    <w:rsid w:val="00F7759E"/>
    <w:rsid w:val="00F8394C"/>
    <w:rsid w:val="00F90937"/>
    <w:rsid w:val="00FA1C73"/>
    <w:rsid w:val="00FA2FE9"/>
    <w:rsid w:val="00FC14A0"/>
    <w:rsid w:val="00FD0EAB"/>
    <w:rsid w:val="00FE2A36"/>
    <w:rsid w:val="5720F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2872"/>
  <w15:docId w15:val="{96F5A82E-7E46-49F0-85E9-315CE8EC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gmail-msoins">
    <w:name w:val="gmail-msoins"/>
    <w:basedOn w:val="DefaultParagraphFont"/>
    <w:rsid w:val="00F725A7"/>
  </w:style>
  <w:style w:type="character" w:styleId="CommentReference">
    <w:name w:val="annotation reference"/>
    <w:basedOn w:val="DefaultParagraphFont"/>
    <w:semiHidden/>
    <w:unhideWhenUsed/>
    <w:rsid w:val="002547F4"/>
    <w:rPr>
      <w:sz w:val="16"/>
      <w:szCs w:val="16"/>
    </w:rPr>
  </w:style>
  <w:style w:type="paragraph" w:styleId="CommentText">
    <w:name w:val="annotation text"/>
    <w:basedOn w:val="Normal"/>
    <w:link w:val="CommentTextChar"/>
    <w:unhideWhenUsed/>
    <w:rsid w:val="002547F4"/>
    <w:rPr>
      <w:sz w:val="20"/>
      <w:lang w:eastAsia="en-US"/>
    </w:rPr>
  </w:style>
  <w:style w:type="character" w:customStyle="1" w:styleId="CommentTextChar">
    <w:name w:val="Comment Text Char"/>
    <w:basedOn w:val="DefaultParagraphFont"/>
    <w:link w:val="CommentText"/>
    <w:rsid w:val="002547F4"/>
    <w:rPr>
      <w:rFonts w:eastAsia="Times New Roman"/>
      <w:sz w:val="20"/>
      <w:szCs w:val="20"/>
    </w:rPr>
  </w:style>
  <w:style w:type="character" w:styleId="Hyperlink">
    <w:name w:val="Hyperlink"/>
    <w:basedOn w:val="DefaultParagraphFont"/>
    <w:uiPriority w:val="99"/>
    <w:unhideWhenUsed/>
    <w:rsid w:val="00C946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371">
      <w:bodyDiv w:val="1"/>
      <w:marLeft w:val="0"/>
      <w:marRight w:val="0"/>
      <w:marTop w:val="0"/>
      <w:marBottom w:val="0"/>
      <w:divBdr>
        <w:top w:val="none" w:sz="0" w:space="0" w:color="auto"/>
        <w:left w:val="none" w:sz="0" w:space="0" w:color="auto"/>
        <w:bottom w:val="none" w:sz="0" w:space="0" w:color="auto"/>
        <w:right w:val="none" w:sz="0" w:space="0" w:color="auto"/>
      </w:divBdr>
    </w:div>
    <w:div w:id="876509352">
      <w:bodyDiv w:val="1"/>
      <w:marLeft w:val="0"/>
      <w:marRight w:val="0"/>
      <w:marTop w:val="0"/>
      <w:marBottom w:val="0"/>
      <w:divBdr>
        <w:top w:val="none" w:sz="0" w:space="0" w:color="auto"/>
        <w:left w:val="none" w:sz="0" w:space="0" w:color="auto"/>
        <w:bottom w:val="none" w:sz="0" w:space="0" w:color="auto"/>
        <w:right w:val="none" w:sz="0" w:space="0" w:color="auto"/>
      </w:divBdr>
    </w:div>
    <w:div w:id="9123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le.ec.europa.eu/sites/default/files/mvg-atvejissuderintas.pdf" TargetMode="External"/><Relationship Id="R916de005c7fd4127"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s://www.esf.lt/data/public/uploads/2020/07/mvi-kompetenciju-poreikio-siekiant-pasiruosti-ir-iveikti-pramone-4.0-is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petition/state_aid/legislation/practical_guide_gber_en.pdf" TargetMode="External"/><Relationship Id="rId11" Type="http://schemas.openxmlformats.org/officeDocument/2006/relationships/theme" Target="theme/theme1.xml"/><Relationship Id="rId5" Type="http://schemas.openxmlformats.org/officeDocument/2006/relationships/hyperlink" Target="http://portalas.vtd.lt/upload/News/291/Valstybes_tarnybos_aktualijos_2014_spali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f.lt/data/public/uploads/2020/07/mvi-kompetenciju-poreikio-siekiant-pasiruosti-ir-iveikti-pramone-4.0-is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7797</Words>
  <Characters>4445</Characters>
  <Application>Microsoft Office Word</Application>
  <DocSecurity>4</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2020-11-05T07:26:00Z</dcterms:created>
  <dcterms:modified xsi:type="dcterms:W3CDTF">2020-11-05T07:26:00Z</dcterms:modified>
</cp:coreProperties>
</file>