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F2013" w14:textId="00B54E2A" w:rsidR="0036662A" w:rsidRDefault="0036662A" w:rsidP="0036662A">
      <w:pPr>
        <w:jc w:val="center"/>
        <w:rPr>
          <w:b/>
          <w:bCs/>
        </w:rPr>
      </w:pPr>
      <w:bookmarkStart w:id="0" w:name="_GoBack"/>
      <w:bookmarkEnd w:id="0"/>
      <w:r>
        <w:rPr>
          <w:b/>
          <w:bCs/>
        </w:rPr>
        <w:t>LIETU</w:t>
      </w:r>
      <w:r w:rsidR="00E6314B">
        <w:rPr>
          <w:b/>
          <w:bCs/>
        </w:rPr>
        <w:t xml:space="preserve">VOS RESPUBLIKOS </w:t>
      </w:r>
      <w:r w:rsidR="00E6314B" w:rsidRPr="002039C1">
        <w:rPr>
          <w:b/>
          <w:caps/>
          <w:szCs w:val="24"/>
        </w:rPr>
        <w:t xml:space="preserve">EKONOMIKOS IR INOVACIJŲ </w:t>
      </w:r>
      <w:r>
        <w:rPr>
          <w:b/>
          <w:bCs/>
        </w:rPr>
        <w:t>MINISTERIJA</w:t>
      </w:r>
    </w:p>
    <w:p w14:paraId="415F2014" w14:textId="77777777" w:rsidR="0036662A" w:rsidRDefault="0036662A" w:rsidP="0036662A">
      <w:pPr>
        <w:jc w:val="center"/>
        <w:rPr>
          <w:b/>
          <w:bCs/>
        </w:rPr>
      </w:pPr>
    </w:p>
    <w:p w14:paraId="415F2015" w14:textId="4E842883" w:rsidR="0036662A" w:rsidRDefault="0036662A" w:rsidP="0036662A">
      <w:pPr>
        <w:jc w:val="center"/>
        <w:rPr>
          <w:b/>
          <w:bCs/>
        </w:rPr>
      </w:pPr>
      <w:r>
        <w:rPr>
          <w:b/>
          <w:bCs/>
        </w:rPr>
        <w:t>SOCIALINIŲ IR EKONOMINIŲ PARTNERIŲ PATEIKTŲ PASTABŲ IR PASIŪLYMŲ DĖL 2014–2020 METŲ EUROPOS SĄJUNGOS FONDŲ INVE</w:t>
      </w:r>
      <w:r w:rsidR="00696DEF">
        <w:rPr>
          <w:b/>
          <w:bCs/>
        </w:rPr>
        <w:t>STICIJŲ VEIKSMŲ PROGRAMOS 3</w:t>
      </w:r>
      <w:r>
        <w:rPr>
          <w:b/>
          <w:bCs/>
        </w:rPr>
        <w:t xml:space="preserve"> PRIORITETO „</w:t>
      </w:r>
      <w:r w:rsidR="004121E6" w:rsidRPr="009E1C89">
        <w:rPr>
          <w:b/>
          <w:bCs/>
          <w:caps/>
          <w:szCs w:val="24"/>
        </w:rPr>
        <w:t>smulkiojo ir vidutinio verslo konkurencingumo skatinimas“</w:t>
      </w:r>
      <w:r w:rsidR="00696DEF">
        <w:rPr>
          <w:b/>
          <w:bCs/>
        </w:rPr>
        <w:t xml:space="preserve"> PRIEMONĖS</w:t>
      </w:r>
      <w:r w:rsidR="00696DEF" w:rsidRPr="009E1C89">
        <w:rPr>
          <w:b/>
          <w:bCs/>
          <w:caps/>
          <w:szCs w:val="24"/>
        </w:rPr>
        <w:t xml:space="preserve"> </w:t>
      </w:r>
      <w:r w:rsidR="00696DEF" w:rsidRPr="009E1C89">
        <w:rPr>
          <w:b/>
          <w:kern w:val="16"/>
          <w:szCs w:val="24"/>
        </w:rPr>
        <w:t>N</w:t>
      </w:r>
      <w:r w:rsidR="00453F8F">
        <w:rPr>
          <w:b/>
          <w:szCs w:val="24"/>
        </w:rPr>
        <w:t>R. 03.2.1-LVPA-K-801</w:t>
      </w:r>
      <w:r w:rsidR="00696DEF" w:rsidRPr="009E1C89">
        <w:rPr>
          <w:b/>
          <w:szCs w:val="24"/>
        </w:rPr>
        <w:t xml:space="preserve"> </w:t>
      </w:r>
      <w:r w:rsidR="00453F8F">
        <w:rPr>
          <w:rFonts w:eastAsia="Calibri"/>
          <w:b/>
          <w:szCs w:val="24"/>
        </w:rPr>
        <w:t>„NAUJOS GALIMYBĖS</w:t>
      </w:r>
      <w:r w:rsidR="00696DEF" w:rsidRPr="009E1C89">
        <w:rPr>
          <w:rFonts w:eastAsia="Calibri"/>
          <w:b/>
          <w:szCs w:val="24"/>
        </w:rPr>
        <w:t xml:space="preserve"> LT“</w:t>
      </w:r>
      <w:r w:rsidR="00696DEF" w:rsidRPr="009E1C89">
        <w:rPr>
          <w:b/>
          <w:bCs/>
          <w:caps/>
          <w:szCs w:val="24"/>
        </w:rPr>
        <w:t xml:space="preserve"> projektų finansa</w:t>
      </w:r>
      <w:r w:rsidR="00453F8F">
        <w:rPr>
          <w:b/>
          <w:bCs/>
          <w:caps/>
          <w:szCs w:val="24"/>
        </w:rPr>
        <w:t xml:space="preserve">vimo sąlygų aprašo nr. </w:t>
      </w:r>
      <w:r w:rsidR="00694A3B">
        <w:rPr>
          <w:b/>
          <w:bCs/>
          <w:caps/>
          <w:szCs w:val="24"/>
        </w:rPr>
        <w:t>3</w:t>
      </w:r>
      <w:r w:rsidR="00696DEF">
        <w:rPr>
          <w:b/>
          <w:bCs/>
          <w:caps/>
          <w:szCs w:val="24"/>
        </w:rPr>
        <w:t xml:space="preserve"> </w:t>
      </w:r>
      <w:r>
        <w:rPr>
          <w:b/>
          <w:bCs/>
        </w:rPr>
        <w:t>DERINIMAS</w:t>
      </w:r>
    </w:p>
    <w:p w14:paraId="415F2016" w14:textId="77777777" w:rsidR="0036662A"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14:paraId="415F2019" w14:textId="77777777" w:rsidTr="00335D39">
        <w:tc>
          <w:tcPr>
            <w:tcW w:w="6804" w:type="dxa"/>
          </w:tcPr>
          <w:p w14:paraId="415F2017" w14:textId="74CDE9B9" w:rsidR="0036662A" w:rsidRPr="00DC6A9A" w:rsidRDefault="0036662A" w:rsidP="00335D39">
            <w:pPr>
              <w:rPr>
                <w:b/>
                <w:szCs w:val="24"/>
              </w:rPr>
            </w:pPr>
            <w:r w:rsidRPr="00DC6A9A">
              <w:rPr>
                <w:b/>
                <w:szCs w:val="24"/>
              </w:rPr>
              <w:t xml:space="preserve">Paskelbimo </w:t>
            </w:r>
            <w:r w:rsidRPr="00171818">
              <w:t>www.esinvesticijos.lt</w:t>
            </w:r>
            <w:r>
              <w:rPr>
                <w:b/>
                <w:szCs w:val="24"/>
              </w:rPr>
              <w:t xml:space="preserve"> </w:t>
            </w:r>
            <w:r w:rsidRPr="00DC6A9A">
              <w:rPr>
                <w:b/>
                <w:szCs w:val="24"/>
              </w:rPr>
              <w:t>data</w:t>
            </w:r>
            <w:r w:rsidR="008151B3">
              <w:rPr>
                <w:b/>
                <w:szCs w:val="24"/>
              </w:rPr>
              <w:t xml:space="preserve"> 2020-11-05</w:t>
            </w:r>
          </w:p>
        </w:tc>
        <w:tc>
          <w:tcPr>
            <w:tcW w:w="7938" w:type="dxa"/>
          </w:tcPr>
          <w:p w14:paraId="415F2018" w14:textId="77777777" w:rsidR="0036662A" w:rsidRDefault="0036662A" w:rsidP="00335D39">
            <w:pPr>
              <w:rPr>
                <w:szCs w:val="24"/>
              </w:rPr>
            </w:pPr>
          </w:p>
        </w:tc>
      </w:tr>
      <w:tr w:rsidR="0036662A" w14:paraId="415F201D" w14:textId="77777777" w:rsidTr="00335D39">
        <w:tc>
          <w:tcPr>
            <w:tcW w:w="6804" w:type="dxa"/>
          </w:tcPr>
          <w:p w14:paraId="415F201A" w14:textId="77777777" w:rsidR="0036662A" w:rsidRDefault="0036662A" w:rsidP="00335D39">
            <w:pPr>
              <w:rPr>
                <w:b/>
                <w:szCs w:val="24"/>
              </w:rPr>
            </w:pPr>
            <w:r w:rsidRPr="00DC6A9A">
              <w:rPr>
                <w:b/>
                <w:szCs w:val="24"/>
              </w:rPr>
              <w:t>Ar gauta pastabų</w:t>
            </w:r>
            <w:r>
              <w:rPr>
                <w:b/>
                <w:szCs w:val="24"/>
              </w:rPr>
              <w:t xml:space="preserve"> ir (ar) pasiūlymų</w:t>
            </w:r>
            <w:r w:rsidRPr="00DC6A9A">
              <w:rPr>
                <w:b/>
                <w:szCs w:val="24"/>
              </w:rPr>
              <w:t>?</w:t>
            </w:r>
          </w:p>
          <w:p w14:paraId="415F201B" w14:textId="77777777" w:rsidR="0036662A" w:rsidRPr="0036662A" w:rsidRDefault="0036662A" w:rsidP="0036662A">
            <w:pPr>
              <w:rPr>
                <w:i/>
                <w:sz w:val="20"/>
              </w:rPr>
            </w:pPr>
            <w:r w:rsidRPr="0036662A">
              <w:rPr>
                <w:i/>
                <w:sz w:val="20"/>
              </w:rPr>
              <w:t xml:space="preserve">Jei pastabų ir pasiūlymų nebuvo gauta, </w:t>
            </w:r>
            <w:r>
              <w:rPr>
                <w:i/>
                <w:sz w:val="20"/>
              </w:rPr>
              <w:t>į kitą klausimą neatsakoma ir žemiau esanti lentelė nepildoma</w:t>
            </w:r>
          </w:p>
        </w:tc>
        <w:tc>
          <w:tcPr>
            <w:tcW w:w="7938" w:type="dxa"/>
          </w:tcPr>
          <w:p w14:paraId="415F201C" w14:textId="568E70AD" w:rsidR="0036662A" w:rsidRPr="007070FE" w:rsidRDefault="009D2D79" w:rsidP="00DC3BA3">
            <w:sdt>
              <w:sdtPr>
                <w:id w:val="1312749902"/>
              </w:sdtPr>
              <w:sdtEndPr/>
              <w:sdtContent>
                <w:bookmarkStart w:id="1" w:name="Check1"/>
                <w:sdt>
                  <w:sdtPr>
                    <w:rPr>
                      <w:szCs w:val="24"/>
                    </w:rPr>
                    <w:id w:val="-523253346"/>
                  </w:sdtPr>
                  <w:sdtEndPr/>
                  <w:sdtContent>
                    <w:r w:rsidR="00F1207E">
                      <w:rPr>
                        <w:szCs w:val="24"/>
                      </w:rPr>
                      <w:fldChar w:fldCharType="begin">
                        <w:ffData>
                          <w:name w:val=""/>
                          <w:enabled/>
                          <w:calcOnExit w:val="0"/>
                          <w:checkBox>
                            <w:sizeAuto/>
                            <w:default w:val="1"/>
                          </w:checkBox>
                        </w:ffData>
                      </w:fldChar>
                    </w:r>
                    <w:r w:rsidR="00F1207E">
                      <w:rPr>
                        <w:szCs w:val="24"/>
                      </w:rPr>
                      <w:instrText xml:space="preserve"> FORMCHECKBOX </w:instrText>
                    </w:r>
                    <w:r>
                      <w:rPr>
                        <w:szCs w:val="24"/>
                      </w:rPr>
                    </w:r>
                    <w:r>
                      <w:rPr>
                        <w:szCs w:val="24"/>
                      </w:rPr>
                      <w:fldChar w:fldCharType="separate"/>
                    </w:r>
                    <w:r w:rsidR="00F1207E">
                      <w:rPr>
                        <w:szCs w:val="24"/>
                      </w:rPr>
                      <w:fldChar w:fldCharType="end"/>
                    </w:r>
                  </w:sdtContent>
                </w:sdt>
                <w:bookmarkEnd w:id="1"/>
                <w:r w:rsidR="0036662A">
                  <w:t xml:space="preserve"> </w:t>
                </w:r>
              </w:sdtContent>
            </w:sdt>
            <w:r w:rsidR="0036662A">
              <w:rPr>
                <w:szCs w:val="24"/>
              </w:rPr>
              <w:t xml:space="preserve">Taip </w:t>
            </w:r>
            <w:sdt>
              <w:sdtPr>
                <w:rPr>
                  <w:szCs w:val="24"/>
                </w:rPr>
                <w:id w:val="164368749"/>
              </w:sdtPr>
              <w:sdtEndPr/>
              <w:sdtContent>
                <w:sdt>
                  <w:sdtPr>
                    <w:id w:val="1764946617"/>
                  </w:sdtPr>
                  <w:sdtEndPr/>
                  <w:sdtContent>
                    <w:r w:rsidR="00DC3BA3">
                      <w:fldChar w:fldCharType="begin">
                        <w:ffData>
                          <w:name w:val="Check1"/>
                          <w:enabled/>
                          <w:calcOnExit w:val="0"/>
                          <w:checkBox>
                            <w:sizeAuto/>
                            <w:default w:val="0"/>
                          </w:checkBox>
                        </w:ffData>
                      </w:fldChar>
                    </w:r>
                    <w:r w:rsidR="00DC3BA3">
                      <w:instrText xml:space="preserve"> FORMCHECKBOX </w:instrText>
                    </w:r>
                    <w:r>
                      <w:fldChar w:fldCharType="separate"/>
                    </w:r>
                    <w:r w:rsidR="00DC3BA3">
                      <w:fldChar w:fldCharType="end"/>
                    </w:r>
                  </w:sdtContent>
                </w:sdt>
              </w:sdtContent>
            </w:sdt>
            <w:r w:rsidR="00DC3BA3">
              <w:rPr>
                <w:szCs w:val="24"/>
              </w:rPr>
              <w:t xml:space="preserve"> </w:t>
            </w:r>
            <w:r w:rsidR="0036662A">
              <w:rPr>
                <w:szCs w:val="24"/>
              </w:rPr>
              <w:t>Ne</w:t>
            </w:r>
            <w:r w:rsidR="0036662A">
              <w:rPr>
                <w:szCs w:val="24"/>
              </w:rPr>
              <w:fldChar w:fldCharType="begin"/>
            </w:r>
            <w:r w:rsidR="0036662A">
              <w:rPr>
                <w:szCs w:val="24"/>
              </w:rPr>
              <w:instrText xml:space="preserve"> FILLIN   \* MERGEFORMAT </w:instrText>
            </w:r>
            <w:r w:rsidR="0036662A">
              <w:rPr>
                <w:szCs w:val="24"/>
              </w:rPr>
              <w:fldChar w:fldCharType="end"/>
            </w:r>
          </w:p>
        </w:tc>
      </w:tr>
      <w:tr w:rsidR="0036662A" w14:paraId="415F2021" w14:textId="77777777" w:rsidTr="00335D39">
        <w:tc>
          <w:tcPr>
            <w:tcW w:w="6804" w:type="dxa"/>
          </w:tcPr>
          <w:p w14:paraId="415F201E" w14:textId="77777777" w:rsidR="0036662A" w:rsidRDefault="0036662A" w:rsidP="00335D39">
            <w:pPr>
              <w:rPr>
                <w:b/>
                <w:szCs w:val="24"/>
              </w:rPr>
            </w:pPr>
            <w:r w:rsidRPr="00DC6A9A">
              <w:rPr>
                <w:b/>
                <w:szCs w:val="24"/>
              </w:rPr>
              <w:t xml:space="preserve">Ar į visas pastabas </w:t>
            </w:r>
            <w:r>
              <w:rPr>
                <w:b/>
                <w:szCs w:val="24"/>
              </w:rPr>
              <w:t xml:space="preserve">ir (ar) pasiūlymus </w:t>
            </w:r>
            <w:r w:rsidRPr="00DC6A9A">
              <w:rPr>
                <w:b/>
                <w:szCs w:val="24"/>
              </w:rPr>
              <w:t>atsižvelgta?</w:t>
            </w:r>
          </w:p>
          <w:p w14:paraId="415F201F" w14:textId="77777777" w:rsidR="0036662A" w:rsidRPr="00E7584D" w:rsidRDefault="0036662A" w:rsidP="00335D39">
            <w:pPr>
              <w:rPr>
                <w:i/>
                <w:sz w:val="20"/>
              </w:rPr>
            </w:pPr>
            <w:r w:rsidRPr="00E7584D">
              <w:rPr>
                <w:i/>
                <w:sz w:val="20"/>
              </w:rPr>
              <w:t>Jei atsižvelgta į visas pastabas</w:t>
            </w:r>
            <w:r>
              <w:rPr>
                <w:i/>
                <w:sz w:val="20"/>
              </w:rPr>
              <w:t xml:space="preserve"> ir (ar) pasiūlymus,</w:t>
            </w:r>
            <w:r w:rsidRPr="00E7584D">
              <w:rPr>
                <w:i/>
                <w:sz w:val="20"/>
              </w:rPr>
              <w:t xml:space="preserve"> žemiau esanti lentelė nepildoma</w:t>
            </w:r>
          </w:p>
        </w:tc>
        <w:tc>
          <w:tcPr>
            <w:tcW w:w="7938" w:type="dxa"/>
          </w:tcPr>
          <w:p w14:paraId="415F2020" w14:textId="46BCF999" w:rsidR="0036662A" w:rsidRDefault="009D2D79" w:rsidP="00F1207E">
            <w:pPr>
              <w:rPr>
                <w:szCs w:val="24"/>
              </w:rPr>
            </w:pPr>
            <w:sdt>
              <w:sdtPr>
                <w:id w:val="-1548671976"/>
              </w:sdtPr>
              <w:sdtEndPr/>
              <w:sdtContent>
                <w:r w:rsidR="0036662A">
                  <w:fldChar w:fldCharType="begin">
                    <w:ffData>
                      <w:name w:val="Check1"/>
                      <w:enabled/>
                      <w:calcOnExit w:val="0"/>
                      <w:checkBox>
                        <w:sizeAuto/>
                        <w:default w:val="0"/>
                      </w:checkBox>
                    </w:ffData>
                  </w:fldChar>
                </w:r>
                <w:r w:rsidR="0036662A">
                  <w:instrText xml:space="preserve"> FORMCHECKBOX </w:instrText>
                </w:r>
                <w:r>
                  <w:fldChar w:fldCharType="separate"/>
                </w:r>
                <w:r w:rsidR="0036662A">
                  <w:fldChar w:fldCharType="end"/>
                </w:r>
              </w:sdtContent>
            </w:sdt>
            <w:r w:rsidR="0036662A">
              <w:rPr>
                <w:szCs w:val="24"/>
              </w:rPr>
              <w:t xml:space="preserve"> Taip </w:t>
            </w:r>
            <w:sdt>
              <w:sdtPr>
                <w:id w:val="-338542889"/>
              </w:sdtPr>
              <w:sdtEndPr/>
              <w:sdtContent>
                <w:sdt>
                  <w:sdtPr>
                    <w:rPr>
                      <w:szCs w:val="24"/>
                    </w:rPr>
                    <w:id w:val="1111176446"/>
                  </w:sdtPr>
                  <w:sdtEndPr/>
                  <w:sdtContent>
                    <w:r w:rsidR="00F1207E">
                      <w:rPr>
                        <w:szCs w:val="24"/>
                      </w:rPr>
                      <w:fldChar w:fldCharType="begin">
                        <w:ffData>
                          <w:name w:val=""/>
                          <w:enabled/>
                          <w:calcOnExit w:val="0"/>
                          <w:checkBox>
                            <w:sizeAuto/>
                            <w:default w:val="1"/>
                          </w:checkBox>
                        </w:ffData>
                      </w:fldChar>
                    </w:r>
                    <w:r w:rsidR="00F1207E">
                      <w:rPr>
                        <w:szCs w:val="24"/>
                      </w:rPr>
                      <w:instrText xml:space="preserve"> FORMCHECKBOX </w:instrText>
                    </w:r>
                    <w:r>
                      <w:rPr>
                        <w:szCs w:val="24"/>
                      </w:rPr>
                    </w:r>
                    <w:r>
                      <w:rPr>
                        <w:szCs w:val="24"/>
                      </w:rPr>
                      <w:fldChar w:fldCharType="separate"/>
                    </w:r>
                    <w:r w:rsidR="00F1207E">
                      <w:rPr>
                        <w:szCs w:val="24"/>
                      </w:rPr>
                      <w:fldChar w:fldCharType="end"/>
                    </w:r>
                  </w:sdtContent>
                </w:sdt>
              </w:sdtContent>
            </w:sdt>
            <w:r w:rsidR="0036662A">
              <w:rPr>
                <w:szCs w:val="24"/>
              </w:rPr>
              <w:t xml:space="preserve"> Ne </w:t>
            </w:r>
          </w:p>
        </w:tc>
      </w:tr>
    </w:tbl>
    <w:p w14:paraId="415F2022" w14:textId="77777777" w:rsidR="0036662A" w:rsidRPr="00781CA4" w:rsidRDefault="0036662A" w:rsidP="0036662A">
      <w:pPr>
        <w:rPr>
          <w:szCs w:val="24"/>
        </w:rPr>
      </w:pPr>
    </w:p>
    <w:tbl>
      <w:tblPr>
        <w:tblStyle w:val="TableGrid"/>
        <w:tblW w:w="14913" w:type="dxa"/>
        <w:tblInd w:w="108" w:type="dxa"/>
        <w:tblLayout w:type="fixed"/>
        <w:tblLook w:val="04A0" w:firstRow="1" w:lastRow="0" w:firstColumn="1" w:lastColumn="0" w:noHBand="0" w:noVBand="1"/>
      </w:tblPr>
      <w:tblGrid>
        <w:gridCol w:w="567"/>
        <w:gridCol w:w="1985"/>
        <w:gridCol w:w="5415"/>
        <w:gridCol w:w="6946"/>
      </w:tblGrid>
      <w:tr w:rsidR="0036662A" w:rsidRPr="00781CA4" w14:paraId="415F2027" w14:textId="77777777" w:rsidTr="029309C2">
        <w:tc>
          <w:tcPr>
            <w:tcW w:w="567" w:type="dxa"/>
          </w:tcPr>
          <w:p w14:paraId="415F2023" w14:textId="77777777" w:rsidR="0036662A" w:rsidRPr="00781CA4" w:rsidRDefault="0036662A" w:rsidP="00335D39">
            <w:pPr>
              <w:jc w:val="center"/>
              <w:rPr>
                <w:b/>
                <w:szCs w:val="24"/>
              </w:rPr>
            </w:pPr>
            <w:r w:rsidRPr="00781CA4">
              <w:rPr>
                <w:b/>
                <w:szCs w:val="24"/>
              </w:rPr>
              <w:t>Nr.</w:t>
            </w:r>
          </w:p>
        </w:tc>
        <w:tc>
          <w:tcPr>
            <w:tcW w:w="1985" w:type="dxa"/>
          </w:tcPr>
          <w:p w14:paraId="415F2024" w14:textId="77777777" w:rsidR="0036662A" w:rsidRPr="00781CA4" w:rsidRDefault="0036662A" w:rsidP="00335D39">
            <w:pPr>
              <w:jc w:val="center"/>
              <w:rPr>
                <w:b/>
                <w:szCs w:val="24"/>
              </w:rPr>
            </w:pPr>
            <w:r w:rsidRPr="00781CA4">
              <w:rPr>
                <w:b/>
                <w:szCs w:val="24"/>
              </w:rPr>
              <w:t>Institucija</w:t>
            </w:r>
          </w:p>
        </w:tc>
        <w:tc>
          <w:tcPr>
            <w:tcW w:w="5415" w:type="dxa"/>
          </w:tcPr>
          <w:p w14:paraId="415F2025" w14:textId="77777777" w:rsidR="0036662A" w:rsidRPr="00781CA4" w:rsidRDefault="0036662A" w:rsidP="00335D39">
            <w:pPr>
              <w:jc w:val="center"/>
              <w:rPr>
                <w:b/>
                <w:szCs w:val="24"/>
              </w:rPr>
            </w:pPr>
            <w:r>
              <w:rPr>
                <w:b/>
                <w:bCs/>
              </w:rPr>
              <w:t>Pastabos ir pasiūlymai</w:t>
            </w:r>
          </w:p>
        </w:tc>
        <w:tc>
          <w:tcPr>
            <w:tcW w:w="6946" w:type="dxa"/>
          </w:tcPr>
          <w:p w14:paraId="415F2026" w14:textId="77777777" w:rsidR="0036662A" w:rsidRPr="00781CA4" w:rsidRDefault="0036662A" w:rsidP="00335D39">
            <w:pPr>
              <w:jc w:val="center"/>
              <w:rPr>
                <w:b/>
                <w:szCs w:val="24"/>
              </w:rPr>
            </w:pPr>
            <w:r>
              <w:rPr>
                <w:b/>
                <w:bCs/>
              </w:rPr>
              <w:t>Pastabų ir pasiūlymų vertinimas ir (jei taikoma) argumentai, kodėl neatsižvelgta į pastabas ar pasiūlymus</w:t>
            </w:r>
          </w:p>
        </w:tc>
      </w:tr>
      <w:tr w:rsidR="00427618" w:rsidRPr="00781CA4" w14:paraId="415F202C" w14:textId="77777777" w:rsidTr="029309C2">
        <w:tc>
          <w:tcPr>
            <w:tcW w:w="567" w:type="dxa"/>
            <w:vMerge w:val="restart"/>
          </w:tcPr>
          <w:p w14:paraId="415F2028" w14:textId="77777777" w:rsidR="00427618" w:rsidRPr="0038099D" w:rsidRDefault="00427618" w:rsidP="0036662A">
            <w:pPr>
              <w:pStyle w:val="ListParagraph"/>
              <w:numPr>
                <w:ilvl w:val="0"/>
                <w:numId w:val="1"/>
              </w:numPr>
              <w:jc w:val="both"/>
            </w:pPr>
          </w:p>
        </w:tc>
        <w:tc>
          <w:tcPr>
            <w:tcW w:w="1985" w:type="dxa"/>
            <w:vMerge w:val="restart"/>
          </w:tcPr>
          <w:p w14:paraId="7EA865F9" w14:textId="77777777" w:rsidR="00427618" w:rsidRPr="00694A3B" w:rsidRDefault="00427618" w:rsidP="00694A3B">
            <w:pPr>
              <w:rPr>
                <w:b/>
                <w:szCs w:val="24"/>
              </w:rPr>
            </w:pPr>
            <w:r w:rsidRPr="00694A3B">
              <w:rPr>
                <w:b/>
                <w:szCs w:val="24"/>
              </w:rPr>
              <w:t>Kauno prekybos, pramonės ir amatų rūmai</w:t>
            </w:r>
          </w:p>
          <w:p w14:paraId="202BD6E3" w14:textId="77777777" w:rsidR="00427618" w:rsidRPr="00A96633" w:rsidRDefault="00427618" w:rsidP="00A96633">
            <w:pPr>
              <w:rPr>
                <w:b/>
                <w:szCs w:val="24"/>
              </w:rPr>
            </w:pPr>
          </w:p>
          <w:p w14:paraId="415F2029" w14:textId="77777777" w:rsidR="00427618" w:rsidRPr="0038099D" w:rsidRDefault="00427618" w:rsidP="00335D39"/>
        </w:tc>
        <w:tc>
          <w:tcPr>
            <w:tcW w:w="5415" w:type="dxa"/>
          </w:tcPr>
          <w:p w14:paraId="04C1BBC2" w14:textId="77777777" w:rsidR="00427618" w:rsidRDefault="00427618" w:rsidP="00C74A2E">
            <w:pPr>
              <w:jc w:val="both"/>
              <w:rPr>
                <w:lang w:eastAsia="en-US"/>
              </w:rPr>
            </w:pPr>
            <w:r w:rsidRPr="00446CAA">
              <w:rPr>
                <w:b/>
              </w:rPr>
              <w:t>1.</w:t>
            </w:r>
            <w:r>
              <w:t xml:space="preserve"> Papildymas nauja išlaidų kategorija – įmonių produkcijos pristatymo virtualiose tarptautinėse parodose (e-parodos) išlaidomis (5.2.2.1 punktas), yra itin aktualus siekiant sėkmingai įgyvendinti projektų veiklas esamoje situacijoje. Tačiau kyla klausimas, kokios konkrečiai išlaidos bus finansuojamos? Siūlytume įtraukti ne tik dalyvavimo virtualioje parodoje išlaidas (dalyvio registracijos, dalyvavimo mokestis, papildomo matomumo išlaidos), bet ir pasiruošimo dalyvauti virtualioje parodoje išlaidas:</w:t>
            </w:r>
          </w:p>
          <w:p w14:paraId="174CC18B" w14:textId="77777777" w:rsidR="00427618" w:rsidRDefault="00427618" w:rsidP="00C74A2E">
            <w:pPr>
              <w:jc w:val="both"/>
            </w:pPr>
            <w:r w:rsidRPr="00427618">
              <w:rPr>
                <w:b/>
              </w:rPr>
              <w:t xml:space="preserve">1.1. </w:t>
            </w:r>
            <w:r w:rsidRPr="00427618">
              <w:t>su</w:t>
            </w:r>
            <w:r>
              <w:t xml:space="preserve"> produkcijos pristatymu susijusias išlaidas (pristatymo koncepcijos parengimas, gaminių fotosesijos ar video sukūrimo kaštai, aprašų vertimo į užsienio kalbą kaštai, reklamos ir matomumo didinimo kaštai bei kt.). Šių kaštų įtraukimas atlieptų stendo įrengimo ir transportavimo kaštus, kurie buvo įtraukti į fiksuotą įkainį fizinio dalyvavimo parodoje atveju.</w:t>
            </w:r>
          </w:p>
          <w:p w14:paraId="76A9B095" w14:textId="77777777" w:rsidR="00427618" w:rsidRDefault="029309C2" w:rsidP="00C74A2E">
            <w:pPr>
              <w:jc w:val="both"/>
            </w:pPr>
            <w:r w:rsidRPr="029309C2">
              <w:rPr>
                <w:b/>
                <w:bCs/>
              </w:rPr>
              <w:lastRenderedPageBreak/>
              <w:t>1.2.</w:t>
            </w:r>
            <w:r>
              <w:t xml:space="preserve"> galutinių naudos gavėjų personalo darbo užmokesčio išlaidas, patirtas ruošiantis dalyvavimui virtualioje parodoje ir dalyvaujant virtualioje parodoje. Pasiruošimas dalyvauti virtualioje parodoje dažnai pareikalauja daugiau personalo laiko investicijų, nei pasiruošimas dalyvavimui įprastoje, fizinėje parodoje. Dalinis šių kaštų finansavimas padėtų sustiprinti įmonių konkurencingumą.</w:t>
            </w:r>
          </w:p>
          <w:p w14:paraId="66E84215" w14:textId="77777777" w:rsidR="00427618" w:rsidRDefault="00427618" w:rsidP="00C74A2E">
            <w:pPr>
              <w:jc w:val="both"/>
            </w:pPr>
            <w:r>
              <w:t>Šių išlaidų kategorijų įtraukimas į tinkamas finansuoti, leistų įmonėms kokybiškiau pasiruošti dalyvavimui virtualiose parodose ir padidinti dalyvavimo rezultatyvumą.</w:t>
            </w:r>
          </w:p>
          <w:p w14:paraId="773C0681" w14:textId="77777777" w:rsidR="00427618" w:rsidRDefault="00427618" w:rsidP="00C74A2E"/>
          <w:p w14:paraId="415F202A" w14:textId="77777777" w:rsidR="00427618" w:rsidRPr="0072531D" w:rsidRDefault="00427618" w:rsidP="00427618">
            <w:pPr>
              <w:jc w:val="both"/>
              <w:rPr>
                <w:szCs w:val="24"/>
              </w:rPr>
            </w:pPr>
          </w:p>
        </w:tc>
        <w:tc>
          <w:tcPr>
            <w:tcW w:w="6946" w:type="dxa"/>
          </w:tcPr>
          <w:p w14:paraId="4E154F77" w14:textId="58C8118E" w:rsidR="00427618" w:rsidRPr="0072531D" w:rsidRDefault="00427618" w:rsidP="00335D39">
            <w:r w:rsidRPr="0072531D">
              <w:lastRenderedPageBreak/>
              <w:t>Atsižvelgta dalinai.</w:t>
            </w:r>
          </w:p>
          <w:p w14:paraId="028A0DD9" w14:textId="77777777" w:rsidR="00427618" w:rsidRDefault="00427618" w:rsidP="0065383C">
            <w:pPr>
              <w:pStyle w:val="ListParagraph"/>
              <w:tabs>
                <w:tab w:val="left" w:pos="425"/>
              </w:tabs>
              <w:ind w:left="65"/>
              <w:jc w:val="both"/>
              <w:rPr>
                <w:szCs w:val="24"/>
              </w:rPr>
            </w:pPr>
            <w:r>
              <w:t>Informuojame, kad šiuo įsakymo p</w:t>
            </w:r>
            <w:r w:rsidRPr="00D8585C">
              <w:rPr>
                <w:szCs w:val="24"/>
              </w:rPr>
              <w:t xml:space="preserve">rojektu </w:t>
            </w:r>
            <w:r>
              <w:rPr>
                <w:szCs w:val="24"/>
              </w:rPr>
              <w:t>atliekami pakeitimai, susiję tik su tinkamomis finansuoti išlaidomis, p</w:t>
            </w:r>
            <w:r w:rsidRPr="0037727D">
              <w:rPr>
                <w:szCs w:val="24"/>
              </w:rPr>
              <w:t xml:space="preserve">apildant tinkamų išlaidų kategorijas išlaidomis, būtinomis vykdyti projekto veiklas, atsižvelgiant į  koronaviruso viruso (COVID-19) plitimą ir taikytinus suvaržymus. Įgyvendinamų projektų tinkamų </w:t>
            </w:r>
            <w:r>
              <w:rPr>
                <w:szCs w:val="24"/>
              </w:rPr>
              <w:t>išlaidų sąrašas papildytas naujomis</w:t>
            </w:r>
            <w:r w:rsidRPr="0037727D">
              <w:rPr>
                <w:szCs w:val="24"/>
              </w:rPr>
              <w:t xml:space="preserve"> išlaidų kategorij</w:t>
            </w:r>
            <w:r>
              <w:rPr>
                <w:szCs w:val="24"/>
              </w:rPr>
              <w:t>omis:</w:t>
            </w:r>
          </w:p>
          <w:p w14:paraId="59A2A757" w14:textId="23A4AE51" w:rsidR="00427618" w:rsidRPr="00187928" w:rsidRDefault="00427618" w:rsidP="000E5AD6">
            <w:pPr>
              <w:pStyle w:val="ListParagraph"/>
              <w:numPr>
                <w:ilvl w:val="0"/>
                <w:numId w:val="3"/>
              </w:numPr>
              <w:tabs>
                <w:tab w:val="left" w:pos="425"/>
              </w:tabs>
              <w:ind w:left="33" w:firstLine="0"/>
              <w:jc w:val="both"/>
              <w:rPr>
                <w:rStyle w:val="Strong"/>
                <w:rFonts w:eastAsia="AngsanaUPC"/>
                <w:b w:val="0"/>
                <w:bCs w:val="0"/>
                <w:szCs w:val="24"/>
              </w:rPr>
            </w:pPr>
            <w:r w:rsidRPr="008B218F">
              <w:rPr>
                <w:b/>
                <w:szCs w:val="24"/>
              </w:rPr>
              <w:t>labai mažų, mažų ir vidutinių įmonių</w:t>
            </w:r>
            <w:r>
              <w:rPr>
                <w:rStyle w:val="Strong"/>
              </w:rPr>
              <w:t xml:space="preserve"> (toliau – MVĮ </w:t>
            </w:r>
            <w:r w:rsidRPr="002617D7">
              <w:rPr>
                <w:rStyle w:val="Strong"/>
              </w:rPr>
              <w:t>produkcijos parodymo ir (arba) pristatymo virtualioje tarp</w:t>
            </w:r>
            <w:r>
              <w:rPr>
                <w:rStyle w:val="Strong"/>
              </w:rPr>
              <w:t xml:space="preserve">tautinėje parodoje (e-parodoje), mugėje </w:t>
            </w:r>
            <w:r w:rsidRPr="007A425D">
              <w:rPr>
                <w:rStyle w:val="Strong"/>
              </w:rPr>
              <w:t>(apima su papildomo produkcijos matomumo užsakymu susijusias išlaidas)</w:t>
            </w:r>
            <w:r w:rsidRPr="003125DC">
              <w:rPr>
                <w:rStyle w:val="Strong"/>
              </w:rPr>
              <w:t xml:space="preserve"> </w:t>
            </w:r>
            <w:r w:rsidRPr="002617D7">
              <w:rPr>
                <w:rStyle w:val="Strong"/>
              </w:rPr>
              <w:t>išlaidos;</w:t>
            </w:r>
          </w:p>
          <w:p w14:paraId="21389C0C" w14:textId="5C46B555" w:rsidR="00427618" w:rsidRPr="0072531D" w:rsidRDefault="00427618" w:rsidP="000E5AD6">
            <w:pPr>
              <w:pStyle w:val="ListParagraph"/>
              <w:numPr>
                <w:ilvl w:val="0"/>
                <w:numId w:val="3"/>
              </w:numPr>
              <w:tabs>
                <w:tab w:val="left" w:pos="425"/>
              </w:tabs>
              <w:ind w:left="33" w:firstLine="0"/>
              <w:jc w:val="both"/>
              <w:rPr>
                <w:rStyle w:val="Strong"/>
                <w:rFonts w:eastAsia="AngsanaUPC"/>
                <w:b w:val="0"/>
                <w:bCs w:val="0"/>
                <w:szCs w:val="24"/>
              </w:rPr>
            </w:pPr>
            <w:r w:rsidRPr="002617D7">
              <w:rPr>
                <w:rFonts w:eastAsia="Calibri"/>
                <w:b/>
                <w:szCs w:val="24"/>
              </w:rPr>
              <w:t xml:space="preserve">MVĮ produkcijos parodymo ir (ar) pristatymo </w:t>
            </w:r>
            <w:r>
              <w:rPr>
                <w:rFonts w:eastAsia="Calibri"/>
                <w:b/>
                <w:szCs w:val="24"/>
              </w:rPr>
              <w:t>virtualioje</w:t>
            </w:r>
            <w:r w:rsidRPr="002617D7">
              <w:rPr>
                <w:rFonts w:eastAsia="Calibri"/>
                <w:b/>
                <w:szCs w:val="24"/>
              </w:rPr>
              <w:t xml:space="preserve"> tarptautinėje parodoje</w:t>
            </w:r>
            <w:r>
              <w:rPr>
                <w:rFonts w:eastAsia="Calibri"/>
                <w:b/>
                <w:szCs w:val="24"/>
              </w:rPr>
              <w:t xml:space="preserve"> (e-parodoje), mugėje</w:t>
            </w:r>
            <w:r w:rsidRPr="002617D7">
              <w:rPr>
                <w:rFonts w:eastAsia="Calibri"/>
                <w:b/>
                <w:szCs w:val="24"/>
              </w:rPr>
              <w:t>, kai įmonę pristato atstovas</w:t>
            </w:r>
            <w:r>
              <w:rPr>
                <w:rFonts w:eastAsia="Calibri"/>
                <w:b/>
                <w:szCs w:val="24"/>
              </w:rPr>
              <w:t>, išlaidos (</w:t>
            </w:r>
            <w:r>
              <w:rPr>
                <w:rFonts w:cs="Calibri"/>
                <w:b/>
              </w:rPr>
              <w:t>parodos ploto nuomos, įrangos</w:t>
            </w:r>
            <w:r w:rsidRPr="00175508">
              <w:rPr>
                <w:rFonts w:cs="Calibri"/>
                <w:b/>
              </w:rPr>
              <w:t>, sten</w:t>
            </w:r>
            <w:r>
              <w:rPr>
                <w:rFonts w:cs="Calibri"/>
                <w:b/>
              </w:rPr>
              <w:t>do, ekspozicijos nuomos, transportavimo</w:t>
            </w:r>
            <w:r w:rsidRPr="00175508">
              <w:rPr>
                <w:rFonts w:cs="Calibri"/>
                <w:b/>
              </w:rPr>
              <w:t>, draudimo ir kitos susijusios</w:t>
            </w:r>
            <w:r>
              <w:rPr>
                <w:rFonts w:cs="Calibri"/>
                <w:b/>
              </w:rPr>
              <w:t xml:space="preserve"> išlaidos bei </w:t>
            </w:r>
            <w:r w:rsidRPr="002617D7">
              <w:rPr>
                <w:rFonts w:eastAsia="AngsanaUPC"/>
                <w:b/>
                <w:color w:val="000000"/>
                <w:szCs w:val="24"/>
              </w:rPr>
              <w:t>projekto vykdytojo atstovo išlaidos</w:t>
            </w:r>
            <w:r>
              <w:rPr>
                <w:rFonts w:eastAsia="AngsanaUPC"/>
                <w:b/>
                <w:color w:val="000000"/>
                <w:szCs w:val="24"/>
              </w:rPr>
              <w:t xml:space="preserve">). </w:t>
            </w:r>
          </w:p>
          <w:p w14:paraId="0E5665CE" w14:textId="4FBEBF42" w:rsidR="00427618" w:rsidRPr="0072531D" w:rsidRDefault="00427618" w:rsidP="00D05C5E">
            <w:pPr>
              <w:rPr>
                <w:rFonts w:eastAsia="AngsanaUPC"/>
                <w:color w:val="000000"/>
                <w:szCs w:val="24"/>
              </w:rPr>
            </w:pPr>
          </w:p>
          <w:p w14:paraId="1AD22FF3" w14:textId="5935EE0A" w:rsidR="00427618" w:rsidRPr="00427618" w:rsidRDefault="00446CAA" w:rsidP="00446CAA">
            <w:pPr>
              <w:pStyle w:val="ListParagraph"/>
              <w:numPr>
                <w:ilvl w:val="1"/>
                <w:numId w:val="1"/>
              </w:numPr>
              <w:tabs>
                <w:tab w:val="left" w:pos="421"/>
              </w:tabs>
              <w:ind w:left="0" w:firstLine="0"/>
              <w:jc w:val="both"/>
              <w:rPr>
                <w:rStyle w:val="Strong"/>
                <w:b w:val="0"/>
                <w:bCs w:val="0"/>
              </w:rPr>
            </w:pPr>
            <w:r>
              <w:rPr>
                <w:rFonts w:eastAsia="AngsanaUPC"/>
                <w:color w:val="000000" w:themeColor="text1"/>
              </w:rPr>
              <w:lastRenderedPageBreak/>
              <w:t xml:space="preserve"> </w:t>
            </w:r>
            <w:r w:rsidR="00427618" w:rsidRPr="00427618">
              <w:rPr>
                <w:rFonts w:eastAsia="AngsanaUPC"/>
                <w:color w:val="000000" w:themeColor="text1"/>
              </w:rPr>
              <w:t>Taigi bus tinkamos finansuoti produkcijos parodymo virtualioje tarptautinėje parodoje (e. parodoje) išlaidos, kurios apims ir su papildomo produkcijos matomumo užsakymu susijusias išlaidas (</w:t>
            </w:r>
            <w:r w:rsidR="00427618" w:rsidRPr="00427618">
              <w:rPr>
                <w:rStyle w:val="Strong"/>
                <w:b w:val="0"/>
                <w:bCs w:val="0"/>
              </w:rPr>
              <w:t>pvz., prekinio ženklo reklamos dalyvių sąraše, paketo, suteikiančio papildomų galimybių (pvz., įkelti didesnį kiekį nuotraukų), ar kitos prezentacijos išlaidos).</w:t>
            </w:r>
          </w:p>
          <w:p w14:paraId="1493EF85" w14:textId="1FA7685B" w:rsidR="00427618" w:rsidRDefault="00427618" w:rsidP="0072531D">
            <w:pPr>
              <w:jc w:val="both"/>
              <w:rPr>
                <w:rStyle w:val="Strong"/>
                <w:b w:val="0"/>
              </w:rPr>
            </w:pPr>
            <w:r>
              <w:rPr>
                <w:rStyle w:val="Strong"/>
                <w:b w:val="0"/>
              </w:rPr>
              <w:t>Tačiau rinkodaros priemonių išlaidos, tokios kaip foto sesijų, nuotraukų arba video medžiagos paruošimo išlaidos, netinkamos finansuoti pagal priemonę.</w:t>
            </w:r>
          </w:p>
          <w:p w14:paraId="4A08142E" w14:textId="092FB1B6" w:rsidR="001033DF" w:rsidRPr="001033DF" w:rsidRDefault="000E5AD6" w:rsidP="00A058B9">
            <w:pPr>
              <w:pStyle w:val="ListParagraph"/>
              <w:numPr>
                <w:ilvl w:val="1"/>
                <w:numId w:val="1"/>
              </w:numPr>
              <w:tabs>
                <w:tab w:val="left" w:pos="571"/>
              </w:tabs>
              <w:ind w:left="0" w:firstLine="0"/>
              <w:jc w:val="both"/>
              <w:rPr>
                <w:rStyle w:val="Strong"/>
                <w:b w:val="0"/>
              </w:rPr>
            </w:pPr>
            <w:r>
              <w:rPr>
                <w:rStyle w:val="Strong"/>
                <w:b w:val="0"/>
              </w:rPr>
              <w:t xml:space="preserve"> Pa</w:t>
            </w:r>
            <w:r w:rsidR="001033DF">
              <w:rPr>
                <w:rStyle w:val="Strong"/>
                <w:b w:val="0"/>
              </w:rPr>
              <w:t xml:space="preserve">žymėtina, kad pagal šį projektų finansavimo sąlygų aprašą remiama veikla – </w:t>
            </w:r>
            <w:r w:rsidR="001033DF" w:rsidRPr="001033DF">
              <w:rPr>
                <w:rStyle w:val="Strong"/>
              </w:rPr>
              <w:t>grupinis MVĮ ir jų produkcijos pristatymas užsienyje ir (ar) Lietuvos Respublikoje vykstančiose tarptautinėse parodose, mugėse ir verslo misijose</w:t>
            </w:r>
            <w:r w:rsidR="001033DF">
              <w:rPr>
                <w:rStyle w:val="Strong"/>
              </w:rPr>
              <w:t xml:space="preserve">. </w:t>
            </w:r>
          </w:p>
          <w:p w14:paraId="79CF3F48" w14:textId="3333CF48" w:rsidR="00427618" w:rsidRDefault="029309C2" w:rsidP="1D502006">
            <w:pPr>
              <w:jc w:val="both"/>
              <w:rPr>
                <w:rStyle w:val="Strong"/>
                <w:b w:val="0"/>
                <w:bCs w:val="0"/>
              </w:rPr>
            </w:pPr>
            <w:r w:rsidRPr="029309C2">
              <w:rPr>
                <w:rStyle w:val="Strong"/>
                <w:b w:val="0"/>
                <w:bCs w:val="0"/>
              </w:rPr>
              <w:t>Taigi grupinį galutinių naudos gavėjų (MVĮ) dalyvavimą tarptautinėse užsienio parodose</w:t>
            </w:r>
            <w:r w:rsidRPr="00B15500">
              <w:rPr>
                <w:rFonts w:eastAsia="AngsanaUPC"/>
              </w:rPr>
              <w:t>, mugėse organizuoja projekto vykdytojas: VšĮ</w:t>
            </w:r>
            <w:r w:rsidRPr="029309C2">
              <w:rPr>
                <w:rFonts w:eastAsia="AngsanaUPC"/>
              </w:rPr>
              <w:t xml:space="preserve"> „Versli Lietuva“, verslo asociacijos,</w:t>
            </w:r>
            <w:r w:rsidRPr="00B15500">
              <w:rPr>
                <w:rFonts w:eastAsia="AngsanaUPC"/>
              </w:rPr>
              <w:t xml:space="preserve"> prekybos, pramonės ir amatų rūmai,</w:t>
            </w:r>
            <w:r w:rsidRPr="029309C2">
              <w:rPr>
                <w:rFonts w:eastAsia="AngsanaUPC"/>
              </w:rPr>
              <w:t xml:space="preserve"> klasterio koordinatorius, VšĮ </w:t>
            </w:r>
            <w:r w:rsidRPr="00B15500">
              <w:rPr>
                <w:rFonts w:eastAsia="AngsanaUPC"/>
              </w:rPr>
              <w:t>„Keliauk Lietuvoje”</w:t>
            </w:r>
            <w:r w:rsidR="00B15500" w:rsidRPr="00B15500">
              <w:rPr>
                <w:rFonts w:eastAsia="AngsanaUPC"/>
              </w:rPr>
              <w:t>, kuris turi pasirūpinti projekto administravimu ir įgyvendinimu</w:t>
            </w:r>
            <w:r w:rsidRPr="029309C2">
              <w:rPr>
                <w:rFonts w:eastAsia="AngsanaUPC"/>
              </w:rPr>
              <w:t>.</w:t>
            </w:r>
            <w:r w:rsidRPr="00B15500">
              <w:rPr>
                <w:rFonts w:eastAsia="AngsanaUPC"/>
              </w:rPr>
              <w:t xml:space="preserve"> Todėl finansuojamos šios išlaidos: projektą vykdančio personalo</w:t>
            </w:r>
            <w:r w:rsidRPr="029309C2">
              <w:rPr>
                <w:color w:val="000000" w:themeColor="text1"/>
              </w:rPr>
              <w:t xml:space="preserve"> darbo užmokesčio išlaidos, projektą vykdančio personalo komandiruočių išlaidos. </w:t>
            </w:r>
          </w:p>
          <w:p w14:paraId="415F202B" w14:textId="5AF6EE00" w:rsidR="00427618" w:rsidRPr="0072531D" w:rsidRDefault="00427618" w:rsidP="00427618">
            <w:pPr>
              <w:jc w:val="both"/>
            </w:pPr>
          </w:p>
        </w:tc>
      </w:tr>
      <w:tr w:rsidR="00427618" w:rsidRPr="00781CA4" w14:paraId="4F144777" w14:textId="77777777" w:rsidTr="029309C2">
        <w:tc>
          <w:tcPr>
            <w:tcW w:w="567" w:type="dxa"/>
            <w:vMerge/>
          </w:tcPr>
          <w:p w14:paraId="7DDB2937" w14:textId="77777777" w:rsidR="00427618" w:rsidRPr="0038099D" w:rsidRDefault="00427618" w:rsidP="00427618">
            <w:pPr>
              <w:pStyle w:val="ListParagraph"/>
              <w:ind w:left="360"/>
              <w:jc w:val="both"/>
            </w:pPr>
          </w:p>
        </w:tc>
        <w:tc>
          <w:tcPr>
            <w:tcW w:w="1985" w:type="dxa"/>
            <w:vMerge/>
          </w:tcPr>
          <w:p w14:paraId="5BC9176B" w14:textId="77777777" w:rsidR="00427618" w:rsidRPr="00694A3B" w:rsidRDefault="00427618" w:rsidP="00694A3B">
            <w:pPr>
              <w:rPr>
                <w:b/>
                <w:szCs w:val="24"/>
              </w:rPr>
            </w:pPr>
          </w:p>
        </w:tc>
        <w:tc>
          <w:tcPr>
            <w:tcW w:w="5415" w:type="dxa"/>
          </w:tcPr>
          <w:p w14:paraId="4DD1BF4A" w14:textId="77777777" w:rsidR="00427618" w:rsidRDefault="00427618" w:rsidP="00427618">
            <w:pPr>
              <w:jc w:val="both"/>
            </w:pPr>
            <w:r w:rsidRPr="00446CAA">
              <w:rPr>
                <w:b/>
              </w:rPr>
              <w:t>2.</w:t>
            </w:r>
            <w:r>
              <w:t> 5.2.2.2. punkte kalbama apie dalyvavimą virtualiose parodose ir mugėse, o 5.2.2.2.1. punkte apie stendo ploto nuomos, įrengimo, transportavimo ir kt. kaštus. Galbūt čia yra įsivėlusi klaida su numeracija? Nes kaip suprantame tarp tinkamų finansuoti išlaidų numatytas produkcijos pristatymas tarptautinėje parodoje (ne virtualioje, o fizinėje), kai ją pristato atstovas.</w:t>
            </w:r>
          </w:p>
          <w:p w14:paraId="4C944833" w14:textId="77777777" w:rsidR="00427618" w:rsidRDefault="00427618" w:rsidP="00C74A2E">
            <w:pPr>
              <w:jc w:val="both"/>
            </w:pPr>
          </w:p>
        </w:tc>
        <w:tc>
          <w:tcPr>
            <w:tcW w:w="6946" w:type="dxa"/>
          </w:tcPr>
          <w:p w14:paraId="1EEDBA36" w14:textId="77777777" w:rsidR="00427618" w:rsidRDefault="00427618" w:rsidP="00335D39">
            <w:r>
              <w:t>Atsižvelgta.</w:t>
            </w:r>
          </w:p>
          <w:p w14:paraId="210D6689" w14:textId="77777777" w:rsidR="00427618" w:rsidRPr="00634F1A" w:rsidRDefault="00427618" w:rsidP="00427618">
            <w:pPr>
              <w:jc w:val="both"/>
              <w:rPr>
                <w:b/>
              </w:rPr>
            </w:pPr>
            <w:r>
              <w:rPr>
                <w:rStyle w:val="Strong"/>
                <w:b w:val="0"/>
              </w:rPr>
              <w:t>Patikslinta punktų numeracija, išskiriant dalyvavimo virtualiose parodose, mugėse išlaidas ir projekto vykdytojo atstovo išlaidas.</w:t>
            </w:r>
          </w:p>
          <w:p w14:paraId="6FA2AEAE" w14:textId="4C060B56" w:rsidR="00427618" w:rsidRPr="0072531D" w:rsidRDefault="00427618" w:rsidP="00335D39"/>
        </w:tc>
      </w:tr>
      <w:tr w:rsidR="00961B85" w:rsidRPr="00781CA4" w14:paraId="3CBB445E" w14:textId="77777777" w:rsidTr="029309C2">
        <w:tc>
          <w:tcPr>
            <w:tcW w:w="567" w:type="dxa"/>
          </w:tcPr>
          <w:p w14:paraId="5FC22A1A" w14:textId="77777777" w:rsidR="00961B85" w:rsidRPr="0038099D" w:rsidRDefault="00961B85" w:rsidP="0036662A">
            <w:pPr>
              <w:pStyle w:val="ListParagraph"/>
              <w:numPr>
                <w:ilvl w:val="0"/>
                <w:numId w:val="1"/>
              </w:numPr>
              <w:jc w:val="both"/>
            </w:pPr>
          </w:p>
        </w:tc>
        <w:tc>
          <w:tcPr>
            <w:tcW w:w="1985" w:type="dxa"/>
          </w:tcPr>
          <w:p w14:paraId="36D6051B" w14:textId="6B33D1FC" w:rsidR="00961B85" w:rsidRPr="00694A3B" w:rsidRDefault="00961B85" w:rsidP="00694A3B">
            <w:pPr>
              <w:rPr>
                <w:b/>
                <w:szCs w:val="24"/>
              </w:rPr>
            </w:pPr>
            <w:r w:rsidRPr="00961B85">
              <w:rPr>
                <w:b/>
                <w:szCs w:val="24"/>
              </w:rPr>
              <w:t xml:space="preserve">Lietuvos nacionalinio </w:t>
            </w:r>
            <w:r w:rsidRPr="00961B85">
              <w:rPr>
                <w:b/>
                <w:szCs w:val="24"/>
              </w:rPr>
              <w:lastRenderedPageBreak/>
              <w:t>verslo konfederacija</w:t>
            </w:r>
          </w:p>
        </w:tc>
        <w:tc>
          <w:tcPr>
            <w:tcW w:w="5415" w:type="dxa"/>
          </w:tcPr>
          <w:p w14:paraId="4B8EB898" w14:textId="31B91411" w:rsidR="00961B85" w:rsidRDefault="00961B85" w:rsidP="00961B85">
            <w:pPr>
              <w:jc w:val="both"/>
            </w:pPr>
            <w:r>
              <w:lastRenderedPageBreak/>
              <w:t xml:space="preserve">Siūlyčiau įtraukti elektroninės komercijos įmones ir jų pasiruošimą eksportui. Mes turime nemažai el. parduotuvių, kurios gali per savo platformą vykdyti </w:t>
            </w:r>
            <w:r>
              <w:lastRenderedPageBreak/>
              <w:t>eksportą tiesiogiai parduodamos mažmeną el. prekybos būdu ir parduoti didmenas, jei būtų galimybė el. platformose susikurti/įdiegti didmenoms el. komercijos modulį, tai reiktų fiksuoti kaip tinkamas finansuoti išlaidas, taip pat el. prekybai reiktų pridėti tinkamas finansuoti išlaidas - vertimus ir el. parduotuvių paruošimus eksportui. Prekyba dabar vis intensyviau keliasi į el. platformą, mažoms ir vidutinėms įmonėms tai labai padėtų vystyti komerciją plečiant eksporto apimtis.  </w:t>
            </w:r>
          </w:p>
        </w:tc>
        <w:tc>
          <w:tcPr>
            <w:tcW w:w="6946" w:type="dxa"/>
          </w:tcPr>
          <w:p w14:paraId="06E09182" w14:textId="77777777" w:rsidR="00803F8A" w:rsidRDefault="00803F8A" w:rsidP="00803F8A">
            <w:r>
              <w:lastRenderedPageBreak/>
              <w:t>Neatsižvelgta.</w:t>
            </w:r>
          </w:p>
          <w:p w14:paraId="60659371" w14:textId="2FA8078A" w:rsidR="004A13C2" w:rsidRDefault="00803F8A" w:rsidP="00932580">
            <w:pPr>
              <w:jc w:val="both"/>
              <w:rPr>
                <w:szCs w:val="24"/>
              </w:rPr>
            </w:pPr>
            <w:r>
              <w:t xml:space="preserve">Informuojame, kad </w:t>
            </w:r>
            <w:r w:rsidR="00F26D31">
              <w:t>šiuo įsakymo p</w:t>
            </w:r>
            <w:r w:rsidR="00ED3CF6" w:rsidRPr="00D8585C">
              <w:rPr>
                <w:szCs w:val="24"/>
              </w:rPr>
              <w:t xml:space="preserve">rojektu </w:t>
            </w:r>
            <w:r w:rsidR="00ED3CF6">
              <w:rPr>
                <w:szCs w:val="24"/>
              </w:rPr>
              <w:t>atliekami pa</w:t>
            </w:r>
            <w:r w:rsidR="00F26D31">
              <w:rPr>
                <w:szCs w:val="24"/>
              </w:rPr>
              <w:t xml:space="preserve">keitimai, susiję tik su </w:t>
            </w:r>
            <w:r w:rsidR="00ED3CF6">
              <w:rPr>
                <w:szCs w:val="24"/>
              </w:rPr>
              <w:t>tinkamomis finansuoti išlaidomis, p</w:t>
            </w:r>
            <w:r w:rsidR="00ED3CF6" w:rsidRPr="0037727D">
              <w:rPr>
                <w:szCs w:val="24"/>
              </w:rPr>
              <w:t xml:space="preserve">apildant tinkamų išlaidų </w:t>
            </w:r>
            <w:r w:rsidR="00ED3CF6" w:rsidRPr="0037727D">
              <w:rPr>
                <w:szCs w:val="24"/>
              </w:rPr>
              <w:lastRenderedPageBreak/>
              <w:t xml:space="preserve">kategorijas išlaidomis, būtinomis vykdyti projekto veiklas, atsižvelgiant į  koronaviruso viruso (COVID-19) plitimą ir taikytinus suvaržymus. Įgyvendinamų projektų tinkamų </w:t>
            </w:r>
            <w:r w:rsidR="00C856EB">
              <w:rPr>
                <w:szCs w:val="24"/>
              </w:rPr>
              <w:t>išlaidų sąrašas papildytas naujomis</w:t>
            </w:r>
            <w:r w:rsidR="00ED3CF6" w:rsidRPr="0037727D">
              <w:rPr>
                <w:szCs w:val="24"/>
              </w:rPr>
              <w:t xml:space="preserve"> išlaidų kategorij</w:t>
            </w:r>
            <w:r w:rsidR="00C856EB">
              <w:rPr>
                <w:szCs w:val="24"/>
              </w:rPr>
              <w:t>omis</w:t>
            </w:r>
            <w:r w:rsidR="00ED3CF6" w:rsidRPr="0037727D">
              <w:rPr>
                <w:szCs w:val="24"/>
              </w:rPr>
              <w:t xml:space="preserve"> –</w:t>
            </w:r>
            <w:r w:rsidR="004A1F09">
              <w:rPr>
                <w:szCs w:val="24"/>
              </w:rPr>
              <w:t xml:space="preserve"> </w:t>
            </w:r>
            <w:r w:rsidR="004A1F09" w:rsidRPr="004A1F09">
              <w:rPr>
                <w:b/>
                <w:szCs w:val="24"/>
              </w:rPr>
              <w:t>MVĮ</w:t>
            </w:r>
            <w:r w:rsidR="004A1F09">
              <w:rPr>
                <w:szCs w:val="24"/>
              </w:rPr>
              <w:t xml:space="preserve"> </w:t>
            </w:r>
            <w:r w:rsidR="00ED3CF6" w:rsidRPr="008B218F">
              <w:rPr>
                <w:b/>
                <w:szCs w:val="24"/>
              </w:rPr>
              <w:t>produkcijos (gaminamų gaminių</w:t>
            </w:r>
            <w:r w:rsidR="00ED3CF6" w:rsidRPr="0037727D">
              <w:rPr>
                <w:szCs w:val="24"/>
              </w:rPr>
              <w:t xml:space="preserve"> </w:t>
            </w:r>
            <w:r w:rsidR="00ED3CF6" w:rsidRPr="008B218F">
              <w:rPr>
                <w:b/>
                <w:szCs w:val="24"/>
              </w:rPr>
              <w:t>ir teikiamų paslaugų)</w:t>
            </w:r>
            <w:r w:rsidR="00ED3CF6" w:rsidRPr="0037727D">
              <w:rPr>
                <w:szCs w:val="24"/>
              </w:rPr>
              <w:t xml:space="preserve"> </w:t>
            </w:r>
            <w:r w:rsidR="008B218F">
              <w:rPr>
                <w:rFonts w:eastAsia="Calibri"/>
                <w:b/>
                <w:szCs w:val="24"/>
              </w:rPr>
              <w:t>parodymo ir (ar) pristatymo</w:t>
            </w:r>
            <w:r w:rsidR="008B218F" w:rsidRPr="000E6724">
              <w:rPr>
                <w:rFonts w:eastAsia="Calibri"/>
                <w:b/>
                <w:szCs w:val="24"/>
              </w:rPr>
              <w:t xml:space="preserve"> </w:t>
            </w:r>
            <w:r w:rsidR="00823B64" w:rsidRPr="002617D7">
              <w:rPr>
                <w:rFonts w:eastAsia="Calibri"/>
                <w:b/>
                <w:bCs/>
                <w:szCs w:val="24"/>
              </w:rPr>
              <w:t>virtualioje tarptautinėje parodoje (e-parodoje)</w:t>
            </w:r>
            <w:r w:rsidR="00823B64">
              <w:rPr>
                <w:rFonts w:eastAsia="Calibri"/>
                <w:b/>
                <w:bCs/>
                <w:szCs w:val="24"/>
              </w:rPr>
              <w:t>, mugėje</w:t>
            </w:r>
            <w:r w:rsidR="00823B64">
              <w:rPr>
                <w:rFonts w:eastAsia="Calibri"/>
              </w:rPr>
              <w:t xml:space="preserve"> </w:t>
            </w:r>
            <w:r w:rsidR="00823B64" w:rsidRPr="00C856EB">
              <w:rPr>
                <w:rFonts w:eastAsia="Calibri"/>
                <w:b/>
              </w:rPr>
              <w:t>išlaidomis bei</w:t>
            </w:r>
            <w:r w:rsidR="00823B64">
              <w:rPr>
                <w:rFonts w:eastAsia="Calibri"/>
              </w:rPr>
              <w:t xml:space="preserve"> </w:t>
            </w:r>
            <w:r w:rsidR="00C856EB" w:rsidRPr="002617D7">
              <w:rPr>
                <w:rFonts w:eastAsia="AngsanaUPC"/>
                <w:b/>
                <w:color w:val="000000"/>
                <w:szCs w:val="24"/>
              </w:rPr>
              <w:t>pro</w:t>
            </w:r>
            <w:r w:rsidR="00932580">
              <w:rPr>
                <w:rFonts w:eastAsia="AngsanaUPC"/>
                <w:b/>
                <w:color w:val="000000"/>
                <w:szCs w:val="24"/>
              </w:rPr>
              <w:t>jekto vykdytojo atstovo</w:t>
            </w:r>
            <w:r w:rsidR="00C856EB">
              <w:rPr>
                <w:rFonts w:eastAsia="AngsanaUPC"/>
                <w:b/>
                <w:color w:val="000000"/>
                <w:szCs w:val="24"/>
              </w:rPr>
              <w:t>, kai jis atstovauja projekto vykdytoją užsienio tarptautinėje parodoje ar mugėje</w:t>
            </w:r>
            <w:r w:rsidR="00932580">
              <w:rPr>
                <w:rFonts w:eastAsia="AngsanaUPC"/>
                <w:b/>
                <w:color w:val="000000"/>
                <w:szCs w:val="24"/>
              </w:rPr>
              <w:t>, išlaidomis</w:t>
            </w:r>
            <w:r w:rsidR="00ED3CF6" w:rsidRPr="0037727D">
              <w:rPr>
                <w:szCs w:val="24"/>
              </w:rPr>
              <w:t>. Šios išlaidos būtų apmokamos (kompensuojamos) pagal faktines išlaidas (pateikus išlaidų pagrindimo ir apmokėjimo įrodymo dokumentus).  Aprašo pakeitimai inicijuoti, atsižvelgiant į Finansų ministerijos</w:t>
            </w:r>
            <w:r w:rsidR="00ED3CF6">
              <w:rPr>
                <w:szCs w:val="24"/>
              </w:rPr>
              <w:t xml:space="preserve"> </w:t>
            </w:r>
            <w:r w:rsidR="00932580">
              <w:rPr>
                <w:szCs w:val="24"/>
              </w:rPr>
              <w:t xml:space="preserve">inicijuotą </w:t>
            </w:r>
            <w:r w:rsidR="00ED3CF6" w:rsidRPr="0037727D">
              <w:rPr>
                <w:szCs w:val="24"/>
              </w:rPr>
              <w:t>Projektų administravimo ir finansavimo taisykles</w:t>
            </w:r>
            <w:r w:rsidR="00ED3CF6">
              <w:rPr>
                <w:rStyle w:val="FootnoteReference"/>
                <w:szCs w:val="24"/>
              </w:rPr>
              <w:footnoteReference w:id="1"/>
            </w:r>
            <w:r w:rsidR="00932580">
              <w:rPr>
                <w:szCs w:val="24"/>
              </w:rPr>
              <w:t xml:space="preserve"> pakeitimą (520 punktas),</w:t>
            </w:r>
            <w:r w:rsidR="00ED3CF6" w:rsidRPr="0037727D">
              <w:rPr>
                <w:szCs w:val="24"/>
              </w:rPr>
              <w:t xml:space="preserve"> </w:t>
            </w:r>
            <w:r w:rsidR="00ED3CF6">
              <w:rPr>
                <w:szCs w:val="24"/>
              </w:rPr>
              <w:t>kuriuo numatyta galimybė</w:t>
            </w:r>
            <w:r w:rsidR="00ED3CF6" w:rsidRPr="0037727D">
              <w:rPr>
                <w:szCs w:val="24"/>
              </w:rPr>
              <w:t xml:space="preserve"> keisti priemonių projektų finansavimo sąlygų aprašus ir sudarytas projektų sutartis jau atrinkus ir (ar) sudarius projektų sutartis, jei šie pakeitimai būtini tinkamam projektų įgyvendinimui paskelbus valstybės lygio ekstremaliąją situaciją.</w:t>
            </w:r>
          </w:p>
          <w:p w14:paraId="4FAE14A2" w14:textId="18FACC03" w:rsidR="00932580" w:rsidRDefault="00900E29" w:rsidP="00932580">
            <w:pPr>
              <w:jc w:val="both"/>
              <w:rPr>
                <w:rFonts w:eastAsia="Calibri"/>
              </w:rPr>
            </w:pPr>
            <w:r>
              <w:rPr>
                <w:rFonts w:eastAsia="Calibri"/>
              </w:rPr>
              <w:t>Taigi pažymime, kad nėra galimybės įtraukti naujus galutinius naudos gavėjus ar keisti remiamas veiklas bei projektų atrankos kriterijus.</w:t>
            </w:r>
          </w:p>
          <w:p w14:paraId="471D79FE" w14:textId="11BDA0E5" w:rsidR="00900E29" w:rsidRDefault="00900E29" w:rsidP="00900E29">
            <w:pPr>
              <w:jc w:val="both"/>
              <w:rPr>
                <w:szCs w:val="24"/>
              </w:rPr>
            </w:pPr>
            <w:r>
              <w:rPr>
                <w:rFonts w:eastAsia="Calibri"/>
              </w:rPr>
              <w:t xml:space="preserve">Be to, </w:t>
            </w:r>
            <w:r w:rsidR="007C2F31">
              <w:t>i</w:t>
            </w:r>
            <w:r>
              <w:t>nformuojame, kad valstybės pagalba pagal šią priemonę įgyvendinamiems</w:t>
            </w:r>
            <w:r w:rsidR="007C2F31">
              <w:t xml:space="preserve"> projektams</w:t>
            </w:r>
            <w:r>
              <w:t xml:space="preserve"> teikiama vadovaujantis </w:t>
            </w:r>
            <w:r w:rsidRPr="00242552">
              <w:rPr>
                <w:szCs w:val="24"/>
              </w:rPr>
              <w:t>2013 m. gru</w:t>
            </w:r>
            <w:r>
              <w:rPr>
                <w:szCs w:val="24"/>
              </w:rPr>
              <w:t>odžio 18 d. Komisijos reglamento</w:t>
            </w:r>
            <w:r w:rsidRPr="00242552">
              <w:rPr>
                <w:szCs w:val="24"/>
              </w:rPr>
              <w:t xml:space="preserve"> (ES) Nr. 1407/2013 dėl Sutarties dėl Europos Sąjungos veikimo 107 ir 108 straipsnių taikymo </w:t>
            </w:r>
            <w:r w:rsidRPr="00242552">
              <w:rPr>
                <w:i/>
                <w:szCs w:val="24"/>
              </w:rPr>
              <w:t>de minimis</w:t>
            </w:r>
            <w:r w:rsidRPr="00242552">
              <w:rPr>
                <w:szCs w:val="24"/>
              </w:rPr>
              <w:t xml:space="preserve"> pagalbai (OL 2013 L 352,</w:t>
            </w:r>
            <w:r>
              <w:rPr>
                <w:szCs w:val="24"/>
              </w:rPr>
              <w:t xml:space="preserve"> </w:t>
            </w:r>
            <w:r w:rsidRPr="00242552">
              <w:rPr>
                <w:szCs w:val="24"/>
              </w:rPr>
              <w:t xml:space="preserve">p. </w:t>
            </w:r>
            <w:r>
              <w:rPr>
                <w:szCs w:val="24"/>
              </w:rPr>
              <w:t>1</w:t>
            </w:r>
            <w:r w:rsidRPr="00242552">
              <w:rPr>
                <w:szCs w:val="24"/>
              </w:rPr>
              <w:t>) (toliau –</w:t>
            </w:r>
            <w:r>
              <w:rPr>
                <w:szCs w:val="24"/>
              </w:rPr>
              <w:t xml:space="preserve"> </w:t>
            </w:r>
            <w:r>
              <w:rPr>
                <w:i/>
                <w:szCs w:val="24"/>
              </w:rPr>
              <w:t xml:space="preserve">de minimis </w:t>
            </w:r>
            <w:r>
              <w:rPr>
                <w:szCs w:val="24"/>
              </w:rPr>
              <w:t>reglamentas</w:t>
            </w:r>
            <w:r w:rsidRPr="00242552">
              <w:rPr>
                <w:szCs w:val="24"/>
              </w:rPr>
              <w:t>)</w:t>
            </w:r>
            <w:r>
              <w:rPr>
                <w:szCs w:val="24"/>
              </w:rPr>
              <w:t xml:space="preserve">, nuostatomis. </w:t>
            </w:r>
            <w:r w:rsidRPr="003B6D5B">
              <w:rPr>
                <w:szCs w:val="24"/>
              </w:rPr>
              <w:t xml:space="preserve">Finansavimas gali būti skiriamas pareiškėjams visose srityse, </w:t>
            </w:r>
            <w:r w:rsidRPr="003F482E">
              <w:rPr>
                <w:b/>
                <w:szCs w:val="24"/>
              </w:rPr>
              <w:t xml:space="preserve">išskyrus </w:t>
            </w:r>
            <w:r w:rsidRPr="003F482E">
              <w:rPr>
                <w:b/>
                <w:i/>
                <w:szCs w:val="24"/>
              </w:rPr>
              <w:t xml:space="preserve">de minimis </w:t>
            </w:r>
            <w:r w:rsidRPr="003F482E">
              <w:rPr>
                <w:b/>
                <w:szCs w:val="24"/>
              </w:rPr>
              <w:t>reglamento 1 straipsnio 1 dalyje išvardytus sektorius ir veiklas</w:t>
            </w:r>
            <w:r>
              <w:rPr>
                <w:szCs w:val="24"/>
              </w:rPr>
              <w:t xml:space="preserve"> bei </w:t>
            </w:r>
            <w:r w:rsidRPr="003B6D5B">
              <w:rPr>
                <w:szCs w:val="24"/>
              </w:rPr>
              <w:t>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 nustatytus apribojimus.</w:t>
            </w:r>
          </w:p>
          <w:p w14:paraId="68713C92" w14:textId="65B430D8" w:rsidR="00900E29" w:rsidRDefault="007C2F31" w:rsidP="00932580">
            <w:pPr>
              <w:jc w:val="both"/>
              <w:rPr>
                <w:rFonts w:eastAsia="Calibri"/>
              </w:rPr>
            </w:pPr>
            <w:r w:rsidRPr="006D04D3">
              <w:rPr>
                <w:i/>
              </w:rPr>
              <w:lastRenderedPageBreak/>
              <w:t xml:space="preserve">De minimis </w:t>
            </w:r>
            <w:r w:rsidRPr="006D04D3">
              <w:t>reglamento 1 straipsnio 1 dalies d) punktas numato, kad „šis reglamentas taikomas pagalbai, teikiamai įmonėms visuose sektoriuose, išskyrus; d) pagalbą su eksportu susijusiai veiklai trečiosiose šalyse arba valstybėse narėse, t. y. pagalbą, tiesiogiai susijusią su eksportuojamais kiekiais, platinimo tinklo kūrimu bei veikla, arba kitomis einamosiomis išlaidomis, susijusiomis su eksporto veikla.</w:t>
            </w:r>
          </w:p>
          <w:p w14:paraId="3D4C8C9D" w14:textId="4D8DB037" w:rsidR="00900E29" w:rsidRPr="00823B64" w:rsidRDefault="00900E29" w:rsidP="00932580">
            <w:pPr>
              <w:jc w:val="both"/>
              <w:rPr>
                <w:rFonts w:eastAsia="Calibri"/>
              </w:rPr>
            </w:pPr>
          </w:p>
        </w:tc>
      </w:tr>
    </w:tbl>
    <w:p w14:paraId="415F2037" w14:textId="77777777" w:rsidR="005C5ECB" w:rsidRPr="0036662A" w:rsidRDefault="005C5ECB">
      <w:pPr>
        <w:rPr>
          <w:b/>
          <w:bCs/>
          <w:caps/>
          <w:szCs w:val="24"/>
        </w:rPr>
      </w:pPr>
    </w:p>
    <w:sectPr w:rsidR="005C5ECB" w:rsidRPr="0036662A" w:rsidSect="0036662A">
      <w:pgSz w:w="16838" w:h="11906" w:orient="landscape"/>
      <w:pgMar w:top="1701" w:right="1701" w:bottom="567" w:left="1134" w:header="567" w:footer="567" w:gutter="0"/>
      <w:cols w:space="1296"/>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BD74207" w16cex:dateUtc="2020-11-18T16:08:33.023Z"/>
  <w16cex:commentExtensible w16cex:durableId="6F9CE845" w16cex:dateUtc="2020-11-18T16:11:38.065Z"/>
</w16cex:commentsExtensible>
</file>

<file path=word/commentsIds.xml><?xml version="1.0" encoding="utf-8"?>
<w16cid:commentsIds xmlns:mc="http://schemas.openxmlformats.org/markup-compatibility/2006" xmlns:w16cid="http://schemas.microsoft.com/office/word/2016/wordml/cid" mc:Ignorable="w16cid">
  <w16cid:commentId w16cid:paraId="341F1CB4" w16cid:durableId="7EEFBEB7"/>
  <w16cid:commentId w16cid:paraId="1712C919" w16cid:durableId="4BD74207"/>
  <w16cid:commentId w16cid:paraId="7905382E" w16cid:durableId="6F9CE8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61C2E" w14:textId="77777777" w:rsidR="00ED3CF6" w:rsidRDefault="00ED3CF6" w:rsidP="00ED3CF6">
      <w:r>
        <w:separator/>
      </w:r>
    </w:p>
  </w:endnote>
  <w:endnote w:type="continuationSeparator" w:id="0">
    <w:p w14:paraId="6AF9B026" w14:textId="77777777" w:rsidR="00ED3CF6" w:rsidRDefault="00ED3CF6" w:rsidP="00ED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UPC">
    <w:panose1 w:val="02020603050405020304"/>
    <w:charset w:val="00"/>
    <w:family w:val="roman"/>
    <w:pitch w:val="variable"/>
    <w:sig w:usb0="81000003" w:usb1="00000000" w:usb2="00000000" w:usb3="00000000" w:csb0="0001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E9BD7" w14:textId="77777777" w:rsidR="00ED3CF6" w:rsidRDefault="00ED3CF6" w:rsidP="00ED3CF6">
      <w:r>
        <w:separator/>
      </w:r>
    </w:p>
  </w:footnote>
  <w:footnote w:type="continuationSeparator" w:id="0">
    <w:p w14:paraId="5FBEA0E5" w14:textId="77777777" w:rsidR="00ED3CF6" w:rsidRDefault="00ED3CF6" w:rsidP="00ED3CF6">
      <w:r>
        <w:continuationSeparator/>
      </w:r>
    </w:p>
  </w:footnote>
  <w:footnote w:id="1">
    <w:p w14:paraId="59BDF53D" w14:textId="77777777" w:rsidR="00ED3CF6" w:rsidRDefault="00ED3CF6" w:rsidP="00ED3CF6">
      <w:pPr>
        <w:pStyle w:val="FootnoteText"/>
      </w:pPr>
      <w:r>
        <w:rPr>
          <w:rStyle w:val="FootnoteReference"/>
        </w:rPr>
        <w:footnoteRef/>
      </w:r>
      <w:r>
        <w:t xml:space="preserve"> P</w:t>
      </w:r>
      <w:r>
        <w:rPr>
          <w:szCs w:val="24"/>
        </w:rPr>
        <w:t>atvirtintos</w:t>
      </w:r>
      <w:r w:rsidRPr="002039C1">
        <w:rPr>
          <w:szCs w:val="24"/>
        </w:rPr>
        <w:t xml:space="preserve"> Lietuvos Respublikos finansų ministro 2014 m. spalio 8 d. įsakymu Nr. 1K-316 „Dėl Projektų administravimo ir finansavimo taisyklių patvirtinimo“</w:t>
      </w:r>
      <w:r>
        <w:rPr>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E65D90"/>
    <w:multiLevelType w:val="hybridMultilevel"/>
    <w:tmpl w:val="44D61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655322"/>
    <w:multiLevelType w:val="hybridMultilevel"/>
    <w:tmpl w:val="2E0013D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6EA632D0"/>
    <w:multiLevelType w:val="multilevel"/>
    <w:tmpl w:val="0548E5CE"/>
    <w:lvl w:ilvl="0">
      <w:start w:val="1"/>
      <w:numFmt w:val="decimal"/>
      <w:lvlText w:val="%1."/>
      <w:lvlJc w:val="left"/>
      <w:pPr>
        <w:ind w:left="360" w:hanging="360"/>
      </w:pPr>
    </w:lvl>
    <w:lvl w:ilvl="1">
      <w:start w:val="1"/>
      <w:numFmt w:val="decimal"/>
      <w:isLgl/>
      <w:lvlText w:val="%1.%2."/>
      <w:lvlJc w:val="left"/>
      <w:pPr>
        <w:ind w:left="360" w:hanging="360"/>
      </w:pPr>
      <w:rPr>
        <w:rFonts w:eastAsia="AngsanaUPC" w:hint="default"/>
        <w:b/>
        <w:color w:val="000000" w:themeColor="text1"/>
      </w:rPr>
    </w:lvl>
    <w:lvl w:ilvl="2">
      <w:start w:val="1"/>
      <w:numFmt w:val="decimal"/>
      <w:isLgl/>
      <w:lvlText w:val="%1.%2.%3."/>
      <w:lvlJc w:val="left"/>
      <w:pPr>
        <w:ind w:left="720" w:hanging="720"/>
      </w:pPr>
      <w:rPr>
        <w:rFonts w:eastAsia="AngsanaUPC" w:hint="default"/>
        <w:color w:val="000000" w:themeColor="text1"/>
      </w:rPr>
    </w:lvl>
    <w:lvl w:ilvl="3">
      <w:start w:val="1"/>
      <w:numFmt w:val="decimal"/>
      <w:isLgl/>
      <w:lvlText w:val="%1.%2.%3.%4."/>
      <w:lvlJc w:val="left"/>
      <w:pPr>
        <w:ind w:left="720" w:hanging="720"/>
      </w:pPr>
      <w:rPr>
        <w:rFonts w:eastAsia="AngsanaUPC" w:hint="default"/>
        <w:color w:val="000000" w:themeColor="text1"/>
      </w:rPr>
    </w:lvl>
    <w:lvl w:ilvl="4">
      <w:start w:val="1"/>
      <w:numFmt w:val="decimal"/>
      <w:isLgl/>
      <w:lvlText w:val="%1.%2.%3.%4.%5."/>
      <w:lvlJc w:val="left"/>
      <w:pPr>
        <w:ind w:left="1080" w:hanging="1080"/>
      </w:pPr>
      <w:rPr>
        <w:rFonts w:eastAsia="AngsanaUPC" w:hint="default"/>
        <w:color w:val="000000" w:themeColor="text1"/>
      </w:rPr>
    </w:lvl>
    <w:lvl w:ilvl="5">
      <w:start w:val="1"/>
      <w:numFmt w:val="decimal"/>
      <w:isLgl/>
      <w:lvlText w:val="%1.%2.%3.%4.%5.%6."/>
      <w:lvlJc w:val="left"/>
      <w:pPr>
        <w:ind w:left="1080" w:hanging="1080"/>
      </w:pPr>
      <w:rPr>
        <w:rFonts w:eastAsia="AngsanaUPC" w:hint="default"/>
        <w:color w:val="000000" w:themeColor="text1"/>
      </w:rPr>
    </w:lvl>
    <w:lvl w:ilvl="6">
      <w:start w:val="1"/>
      <w:numFmt w:val="decimal"/>
      <w:isLgl/>
      <w:lvlText w:val="%1.%2.%3.%4.%5.%6.%7."/>
      <w:lvlJc w:val="left"/>
      <w:pPr>
        <w:ind w:left="1440" w:hanging="1440"/>
      </w:pPr>
      <w:rPr>
        <w:rFonts w:eastAsia="AngsanaUPC" w:hint="default"/>
        <w:color w:val="000000" w:themeColor="text1"/>
      </w:rPr>
    </w:lvl>
    <w:lvl w:ilvl="7">
      <w:start w:val="1"/>
      <w:numFmt w:val="decimal"/>
      <w:isLgl/>
      <w:lvlText w:val="%1.%2.%3.%4.%5.%6.%7.%8."/>
      <w:lvlJc w:val="left"/>
      <w:pPr>
        <w:ind w:left="1440" w:hanging="1440"/>
      </w:pPr>
      <w:rPr>
        <w:rFonts w:eastAsia="AngsanaUPC" w:hint="default"/>
        <w:color w:val="000000" w:themeColor="text1"/>
      </w:rPr>
    </w:lvl>
    <w:lvl w:ilvl="8">
      <w:start w:val="1"/>
      <w:numFmt w:val="decimal"/>
      <w:isLgl/>
      <w:lvlText w:val="%1.%2.%3.%4.%5.%6.%7.%8.%9."/>
      <w:lvlJc w:val="left"/>
      <w:pPr>
        <w:ind w:left="1800" w:hanging="1800"/>
      </w:pPr>
      <w:rPr>
        <w:rFonts w:eastAsia="AngsanaUPC" w:hint="default"/>
        <w:color w:val="000000" w:themeColor="text1"/>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A"/>
    <w:rsid w:val="0001428A"/>
    <w:rsid w:val="00016435"/>
    <w:rsid w:val="000240C4"/>
    <w:rsid w:val="00032985"/>
    <w:rsid w:val="00046DFE"/>
    <w:rsid w:val="00050427"/>
    <w:rsid w:val="00053D41"/>
    <w:rsid w:val="00070ED6"/>
    <w:rsid w:val="000A3FD2"/>
    <w:rsid w:val="000B1AF5"/>
    <w:rsid w:val="000B2D7C"/>
    <w:rsid w:val="000D3EFE"/>
    <w:rsid w:val="000E1F0C"/>
    <w:rsid w:val="000E275C"/>
    <w:rsid w:val="000E5AD6"/>
    <w:rsid w:val="000E7A99"/>
    <w:rsid w:val="000F5CE6"/>
    <w:rsid w:val="001033DF"/>
    <w:rsid w:val="00105F91"/>
    <w:rsid w:val="00115372"/>
    <w:rsid w:val="00142CF2"/>
    <w:rsid w:val="001577E4"/>
    <w:rsid w:val="0018373E"/>
    <w:rsid w:val="00184FC3"/>
    <w:rsid w:val="00187928"/>
    <w:rsid w:val="00194702"/>
    <w:rsid w:val="001A5935"/>
    <w:rsid w:val="001C2F60"/>
    <w:rsid w:val="001D6507"/>
    <w:rsid w:val="001E4CE7"/>
    <w:rsid w:val="001E6748"/>
    <w:rsid w:val="001E67A5"/>
    <w:rsid w:val="0020434A"/>
    <w:rsid w:val="00234AE2"/>
    <w:rsid w:val="00241C69"/>
    <w:rsid w:val="00247BB5"/>
    <w:rsid w:val="00270AE5"/>
    <w:rsid w:val="002923A6"/>
    <w:rsid w:val="002A27A2"/>
    <w:rsid w:val="002C79BA"/>
    <w:rsid w:val="002D4D56"/>
    <w:rsid w:val="002E1B28"/>
    <w:rsid w:val="00330EC9"/>
    <w:rsid w:val="003529B3"/>
    <w:rsid w:val="00366151"/>
    <w:rsid w:val="0036662A"/>
    <w:rsid w:val="003865B8"/>
    <w:rsid w:val="003A1AD9"/>
    <w:rsid w:val="003B2FAE"/>
    <w:rsid w:val="003B5444"/>
    <w:rsid w:val="003E77A4"/>
    <w:rsid w:val="003F5676"/>
    <w:rsid w:val="004121E6"/>
    <w:rsid w:val="004136A8"/>
    <w:rsid w:val="00427618"/>
    <w:rsid w:val="004378EE"/>
    <w:rsid w:val="00441C29"/>
    <w:rsid w:val="00446CAA"/>
    <w:rsid w:val="00452AAF"/>
    <w:rsid w:val="00453F8F"/>
    <w:rsid w:val="00475E13"/>
    <w:rsid w:val="00482B56"/>
    <w:rsid w:val="004A13C2"/>
    <w:rsid w:val="004A1F09"/>
    <w:rsid w:val="004A5F41"/>
    <w:rsid w:val="004C44BD"/>
    <w:rsid w:val="004D11D5"/>
    <w:rsid w:val="004D39F2"/>
    <w:rsid w:val="004E6B69"/>
    <w:rsid w:val="005004F3"/>
    <w:rsid w:val="0054453C"/>
    <w:rsid w:val="00547C74"/>
    <w:rsid w:val="005516A5"/>
    <w:rsid w:val="005533C2"/>
    <w:rsid w:val="00567B25"/>
    <w:rsid w:val="00571253"/>
    <w:rsid w:val="00581B51"/>
    <w:rsid w:val="00593EE0"/>
    <w:rsid w:val="005B1293"/>
    <w:rsid w:val="005B79FB"/>
    <w:rsid w:val="005C5B4A"/>
    <w:rsid w:val="005C5ECB"/>
    <w:rsid w:val="005E0604"/>
    <w:rsid w:val="005F038F"/>
    <w:rsid w:val="005F0F88"/>
    <w:rsid w:val="006106A7"/>
    <w:rsid w:val="00634F1A"/>
    <w:rsid w:val="0065383C"/>
    <w:rsid w:val="00665BE2"/>
    <w:rsid w:val="00677B1E"/>
    <w:rsid w:val="006824CC"/>
    <w:rsid w:val="00694A3B"/>
    <w:rsid w:val="00696DEF"/>
    <w:rsid w:val="006A1E78"/>
    <w:rsid w:val="006A22E2"/>
    <w:rsid w:val="006B0D85"/>
    <w:rsid w:val="006B526A"/>
    <w:rsid w:val="006B75D2"/>
    <w:rsid w:val="006C0163"/>
    <w:rsid w:val="006D4E10"/>
    <w:rsid w:val="006E16C9"/>
    <w:rsid w:val="00707C95"/>
    <w:rsid w:val="0072531D"/>
    <w:rsid w:val="0072623F"/>
    <w:rsid w:val="00741C32"/>
    <w:rsid w:val="00742585"/>
    <w:rsid w:val="00747BC9"/>
    <w:rsid w:val="007537EC"/>
    <w:rsid w:val="00761496"/>
    <w:rsid w:val="007769FC"/>
    <w:rsid w:val="007B3E81"/>
    <w:rsid w:val="007C2F31"/>
    <w:rsid w:val="007D3038"/>
    <w:rsid w:val="007F5F38"/>
    <w:rsid w:val="0080172F"/>
    <w:rsid w:val="00803F8A"/>
    <w:rsid w:val="008151B3"/>
    <w:rsid w:val="00823B64"/>
    <w:rsid w:val="008359DC"/>
    <w:rsid w:val="0085384B"/>
    <w:rsid w:val="00856EDA"/>
    <w:rsid w:val="008576A6"/>
    <w:rsid w:val="00865C80"/>
    <w:rsid w:val="008663E3"/>
    <w:rsid w:val="00885965"/>
    <w:rsid w:val="00885C3D"/>
    <w:rsid w:val="008A00FC"/>
    <w:rsid w:val="008A53CB"/>
    <w:rsid w:val="008B218F"/>
    <w:rsid w:val="008C3DAE"/>
    <w:rsid w:val="008C4489"/>
    <w:rsid w:val="008D5F38"/>
    <w:rsid w:val="008D62AA"/>
    <w:rsid w:val="008E3C68"/>
    <w:rsid w:val="008F38C3"/>
    <w:rsid w:val="008F39A1"/>
    <w:rsid w:val="00900E29"/>
    <w:rsid w:val="00926630"/>
    <w:rsid w:val="00932580"/>
    <w:rsid w:val="00933886"/>
    <w:rsid w:val="0094080C"/>
    <w:rsid w:val="00947C9D"/>
    <w:rsid w:val="00950BA8"/>
    <w:rsid w:val="00954EEB"/>
    <w:rsid w:val="00956C1E"/>
    <w:rsid w:val="00961B85"/>
    <w:rsid w:val="0097341D"/>
    <w:rsid w:val="0099342A"/>
    <w:rsid w:val="009A662F"/>
    <w:rsid w:val="009B3957"/>
    <w:rsid w:val="009B4714"/>
    <w:rsid w:val="009D2D79"/>
    <w:rsid w:val="009D3B8E"/>
    <w:rsid w:val="009D3BAD"/>
    <w:rsid w:val="009E1857"/>
    <w:rsid w:val="009E69E2"/>
    <w:rsid w:val="009F71E8"/>
    <w:rsid w:val="00A00DB1"/>
    <w:rsid w:val="00A058B9"/>
    <w:rsid w:val="00A24DB0"/>
    <w:rsid w:val="00A2721F"/>
    <w:rsid w:val="00A35603"/>
    <w:rsid w:val="00A4128B"/>
    <w:rsid w:val="00A437EE"/>
    <w:rsid w:val="00A47552"/>
    <w:rsid w:val="00A47E71"/>
    <w:rsid w:val="00A52C00"/>
    <w:rsid w:val="00A54BBD"/>
    <w:rsid w:val="00A6632E"/>
    <w:rsid w:val="00A80ADA"/>
    <w:rsid w:val="00A845D7"/>
    <w:rsid w:val="00A91F0C"/>
    <w:rsid w:val="00A96633"/>
    <w:rsid w:val="00AC4B6C"/>
    <w:rsid w:val="00AD5789"/>
    <w:rsid w:val="00AE51DA"/>
    <w:rsid w:val="00AF0A0D"/>
    <w:rsid w:val="00AF25D0"/>
    <w:rsid w:val="00AF2A89"/>
    <w:rsid w:val="00B0591B"/>
    <w:rsid w:val="00B06DF8"/>
    <w:rsid w:val="00B14AA0"/>
    <w:rsid w:val="00B15500"/>
    <w:rsid w:val="00B26628"/>
    <w:rsid w:val="00B46548"/>
    <w:rsid w:val="00B7378D"/>
    <w:rsid w:val="00B75709"/>
    <w:rsid w:val="00B9676C"/>
    <w:rsid w:val="00BA3F54"/>
    <w:rsid w:val="00BB138B"/>
    <w:rsid w:val="00BC5BDA"/>
    <w:rsid w:val="00BD17AE"/>
    <w:rsid w:val="00BE1E8F"/>
    <w:rsid w:val="00BE6468"/>
    <w:rsid w:val="00BE6CC1"/>
    <w:rsid w:val="00BF587A"/>
    <w:rsid w:val="00C25B44"/>
    <w:rsid w:val="00C26626"/>
    <w:rsid w:val="00C3317D"/>
    <w:rsid w:val="00C33E49"/>
    <w:rsid w:val="00C35591"/>
    <w:rsid w:val="00C41BD5"/>
    <w:rsid w:val="00C41EDB"/>
    <w:rsid w:val="00C535B1"/>
    <w:rsid w:val="00C6260A"/>
    <w:rsid w:val="00C74A2E"/>
    <w:rsid w:val="00C856EB"/>
    <w:rsid w:val="00C916C8"/>
    <w:rsid w:val="00C94B40"/>
    <w:rsid w:val="00C97E60"/>
    <w:rsid w:val="00CA2E85"/>
    <w:rsid w:val="00CA6AE7"/>
    <w:rsid w:val="00CB2790"/>
    <w:rsid w:val="00CB505F"/>
    <w:rsid w:val="00CE53AB"/>
    <w:rsid w:val="00CF2C5D"/>
    <w:rsid w:val="00CF7C87"/>
    <w:rsid w:val="00D05C5E"/>
    <w:rsid w:val="00D11E36"/>
    <w:rsid w:val="00D548C8"/>
    <w:rsid w:val="00D54ED4"/>
    <w:rsid w:val="00D66763"/>
    <w:rsid w:val="00DA37F1"/>
    <w:rsid w:val="00DB3586"/>
    <w:rsid w:val="00DC0BB9"/>
    <w:rsid w:val="00DC3BA3"/>
    <w:rsid w:val="00DC5385"/>
    <w:rsid w:val="00DC7728"/>
    <w:rsid w:val="00DC7AB7"/>
    <w:rsid w:val="00DE1BD0"/>
    <w:rsid w:val="00DE693B"/>
    <w:rsid w:val="00DF757C"/>
    <w:rsid w:val="00E307F8"/>
    <w:rsid w:val="00E314FC"/>
    <w:rsid w:val="00E47926"/>
    <w:rsid w:val="00E53DCA"/>
    <w:rsid w:val="00E6314B"/>
    <w:rsid w:val="00E6399A"/>
    <w:rsid w:val="00E95B1A"/>
    <w:rsid w:val="00EC036E"/>
    <w:rsid w:val="00EC0828"/>
    <w:rsid w:val="00EC6B07"/>
    <w:rsid w:val="00ED3CF6"/>
    <w:rsid w:val="00EF0A83"/>
    <w:rsid w:val="00EF5D3D"/>
    <w:rsid w:val="00F1207E"/>
    <w:rsid w:val="00F16636"/>
    <w:rsid w:val="00F17A0F"/>
    <w:rsid w:val="00F26D31"/>
    <w:rsid w:val="00F27478"/>
    <w:rsid w:val="00F43952"/>
    <w:rsid w:val="00F449CA"/>
    <w:rsid w:val="00F45F44"/>
    <w:rsid w:val="00F46B15"/>
    <w:rsid w:val="00F56078"/>
    <w:rsid w:val="00F602C9"/>
    <w:rsid w:val="00F74AD4"/>
    <w:rsid w:val="00F7759E"/>
    <w:rsid w:val="00F8394C"/>
    <w:rsid w:val="00FA1C73"/>
    <w:rsid w:val="00FA2FE9"/>
    <w:rsid w:val="00FD0EAB"/>
    <w:rsid w:val="00FD5711"/>
    <w:rsid w:val="00FE2A36"/>
    <w:rsid w:val="029309C2"/>
    <w:rsid w:val="1D502006"/>
    <w:rsid w:val="3EE4F1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2013"/>
  <w15:docId w15:val="{3B302E5F-30EE-48AB-BF2C-B2AA16B8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Strong">
    <w:name w:val="Strong"/>
    <w:basedOn w:val="DefaultParagraphFont"/>
    <w:uiPriority w:val="22"/>
    <w:qFormat/>
    <w:rsid w:val="00D05C5E"/>
    <w:rPr>
      <w:rFonts w:cs="Times New Roman"/>
      <w:b/>
      <w:bCs/>
    </w:rPr>
  </w:style>
  <w:style w:type="character" w:styleId="CommentReference">
    <w:name w:val="annotation reference"/>
    <w:basedOn w:val="DefaultParagraphFont"/>
    <w:semiHidden/>
    <w:unhideWhenUsed/>
    <w:rsid w:val="0072531D"/>
    <w:rPr>
      <w:sz w:val="16"/>
      <w:szCs w:val="16"/>
    </w:rPr>
  </w:style>
  <w:style w:type="paragraph" w:styleId="CommentText">
    <w:name w:val="annotation text"/>
    <w:basedOn w:val="Normal"/>
    <w:link w:val="CommentTextChar"/>
    <w:semiHidden/>
    <w:unhideWhenUsed/>
    <w:rsid w:val="0072531D"/>
    <w:rPr>
      <w:sz w:val="20"/>
      <w:lang w:eastAsia="en-US"/>
    </w:rPr>
  </w:style>
  <w:style w:type="character" w:customStyle="1" w:styleId="CommentTextChar">
    <w:name w:val="Comment Text Char"/>
    <w:basedOn w:val="DefaultParagraphFont"/>
    <w:link w:val="CommentText"/>
    <w:semiHidden/>
    <w:rsid w:val="0072531D"/>
    <w:rPr>
      <w:rFonts w:eastAsia="Times New Roman"/>
      <w:sz w:val="20"/>
      <w:szCs w:val="20"/>
    </w:rPr>
  </w:style>
  <w:style w:type="paragraph" w:styleId="FootnoteText">
    <w:name w:val="footnote text"/>
    <w:basedOn w:val="Normal"/>
    <w:link w:val="FootnoteTextChar"/>
    <w:uiPriority w:val="99"/>
    <w:unhideWhenUsed/>
    <w:rsid w:val="00ED3CF6"/>
    <w:pPr>
      <w:jc w:val="both"/>
    </w:pPr>
    <w:rPr>
      <w:sz w:val="20"/>
      <w:lang w:eastAsia="en-US"/>
    </w:rPr>
  </w:style>
  <w:style w:type="character" w:customStyle="1" w:styleId="FootnoteTextChar">
    <w:name w:val="Footnote Text Char"/>
    <w:basedOn w:val="DefaultParagraphFont"/>
    <w:link w:val="FootnoteText"/>
    <w:uiPriority w:val="99"/>
    <w:rsid w:val="00ED3CF6"/>
    <w:rPr>
      <w:rFonts w:eastAsia="Times New Roman"/>
      <w:sz w:val="20"/>
      <w:szCs w:val="20"/>
    </w:rPr>
  </w:style>
  <w:style w:type="character" w:styleId="FootnoteReference">
    <w:name w:val="footnote reference"/>
    <w:basedOn w:val="DefaultParagraphFont"/>
    <w:uiPriority w:val="99"/>
    <w:unhideWhenUsed/>
    <w:rsid w:val="00ED3CF6"/>
    <w:rPr>
      <w:vertAlign w:val="superscript"/>
    </w:rPr>
  </w:style>
  <w:style w:type="paragraph" w:customStyle="1" w:styleId="CM1">
    <w:name w:val="CM1"/>
    <w:basedOn w:val="Normal"/>
    <w:next w:val="Normal"/>
    <w:uiPriority w:val="99"/>
    <w:rsid w:val="00900E29"/>
    <w:pPr>
      <w:autoSpaceDE w:val="0"/>
      <w:autoSpaceDN w:val="0"/>
      <w:adjustRightInd w:val="0"/>
    </w:pPr>
    <w:rPr>
      <w:rFonts w:ascii="EUAlbertina" w:eastAsiaTheme="minorHAnsi" w:hAnsi="EUAlbertina"/>
      <w:szCs w:val="24"/>
      <w:lang w:val="en-US" w:eastAsia="en-US"/>
    </w:rPr>
  </w:style>
  <w:style w:type="paragraph" w:styleId="CommentSubject">
    <w:name w:val="annotation subject"/>
    <w:basedOn w:val="CommentText"/>
    <w:next w:val="CommentText"/>
    <w:link w:val="CommentSubjectChar"/>
    <w:uiPriority w:val="99"/>
    <w:semiHidden/>
    <w:unhideWhenUsed/>
    <w:rsid w:val="0094080C"/>
    <w:rPr>
      <w:b/>
      <w:bCs/>
      <w:lang w:eastAsia="lt-LT"/>
    </w:rPr>
  </w:style>
  <w:style w:type="character" w:customStyle="1" w:styleId="CommentSubjectChar">
    <w:name w:val="Comment Subject Char"/>
    <w:basedOn w:val="CommentTextChar"/>
    <w:link w:val="CommentSubject"/>
    <w:uiPriority w:val="99"/>
    <w:semiHidden/>
    <w:rsid w:val="0094080C"/>
    <w:rPr>
      <w:rFonts w:eastAsia="Times New Roman"/>
      <w:b/>
      <w:bCs/>
      <w:sz w:val="20"/>
      <w:szCs w:val="20"/>
      <w:lang w:eastAsia="lt-LT"/>
    </w:rPr>
  </w:style>
  <w:style w:type="paragraph" w:customStyle="1" w:styleId="xmsonormal">
    <w:name w:val="x_msonormal"/>
    <w:basedOn w:val="Normal"/>
    <w:uiPriority w:val="99"/>
    <w:rsid w:val="00950BA8"/>
    <w:rPr>
      <w:rFonts w:eastAsiaTheme="minorHAnsi"/>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45646">
      <w:bodyDiv w:val="1"/>
      <w:marLeft w:val="0"/>
      <w:marRight w:val="0"/>
      <w:marTop w:val="0"/>
      <w:marBottom w:val="0"/>
      <w:divBdr>
        <w:top w:val="none" w:sz="0" w:space="0" w:color="auto"/>
        <w:left w:val="none" w:sz="0" w:space="0" w:color="auto"/>
        <w:bottom w:val="none" w:sz="0" w:space="0" w:color="auto"/>
        <w:right w:val="none" w:sz="0" w:space="0" w:color="auto"/>
      </w:divBdr>
    </w:div>
    <w:div w:id="477724640">
      <w:bodyDiv w:val="1"/>
      <w:marLeft w:val="0"/>
      <w:marRight w:val="0"/>
      <w:marTop w:val="0"/>
      <w:marBottom w:val="0"/>
      <w:divBdr>
        <w:top w:val="none" w:sz="0" w:space="0" w:color="auto"/>
        <w:left w:val="none" w:sz="0" w:space="0" w:color="auto"/>
        <w:bottom w:val="none" w:sz="0" w:space="0" w:color="auto"/>
        <w:right w:val="none" w:sz="0" w:space="0" w:color="auto"/>
      </w:divBdr>
    </w:div>
    <w:div w:id="602029192">
      <w:bodyDiv w:val="1"/>
      <w:marLeft w:val="0"/>
      <w:marRight w:val="0"/>
      <w:marTop w:val="0"/>
      <w:marBottom w:val="0"/>
      <w:divBdr>
        <w:top w:val="none" w:sz="0" w:space="0" w:color="auto"/>
        <w:left w:val="none" w:sz="0" w:space="0" w:color="auto"/>
        <w:bottom w:val="none" w:sz="0" w:space="0" w:color="auto"/>
        <w:right w:val="none" w:sz="0" w:space="0" w:color="auto"/>
      </w:divBdr>
    </w:div>
    <w:div w:id="1137913222">
      <w:bodyDiv w:val="1"/>
      <w:marLeft w:val="0"/>
      <w:marRight w:val="0"/>
      <w:marTop w:val="0"/>
      <w:marBottom w:val="0"/>
      <w:divBdr>
        <w:top w:val="none" w:sz="0" w:space="0" w:color="auto"/>
        <w:left w:val="none" w:sz="0" w:space="0" w:color="auto"/>
        <w:bottom w:val="none" w:sz="0" w:space="0" w:color="auto"/>
        <w:right w:val="none" w:sz="0" w:space="0" w:color="auto"/>
      </w:divBdr>
    </w:div>
    <w:div w:id="1335914782">
      <w:bodyDiv w:val="1"/>
      <w:marLeft w:val="0"/>
      <w:marRight w:val="0"/>
      <w:marTop w:val="0"/>
      <w:marBottom w:val="0"/>
      <w:divBdr>
        <w:top w:val="none" w:sz="0" w:space="0" w:color="auto"/>
        <w:left w:val="none" w:sz="0" w:space="0" w:color="auto"/>
        <w:bottom w:val="none" w:sz="0" w:space="0" w:color="auto"/>
        <w:right w:val="none" w:sz="0" w:space="0" w:color="auto"/>
      </w:divBdr>
    </w:div>
    <w:div w:id="1840776950">
      <w:bodyDiv w:val="1"/>
      <w:marLeft w:val="0"/>
      <w:marRight w:val="0"/>
      <w:marTop w:val="0"/>
      <w:marBottom w:val="0"/>
      <w:divBdr>
        <w:top w:val="none" w:sz="0" w:space="0" w:color="auto"/>
        <w:left w:val="none" w:sz="0" w:space="0" w:color="auto"/>
        <w:bottom w:val="none" w:sz="0" w:space="0" w:color="auto"/>
        <w:right w:val="none" w:sz="0" w:space="0" w:color="auto"/>
      </w:divBdr>
    </w:div>
    <w:div w:id="184211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e3e63a735fc949b1" Type="http://schemas.microsoft.com/office/2016/09/relationships/commentsIds" Target="commentsIds.xml"/><Relationship Id="R73835aa284ee4b0e" Type="http://schemas.microsoft.com/office/2018/08/relationships/commentsExtensible" Target="commentsExtensible.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5344</Words>
  <Characters>3047</Characters>
  <Application>Microsoft Office Word</Application>
  <DocSecurity>4</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Viluniene Jurgita</cp:lastModifiedBy>
  <cp:revision>2</cp:revision>
  <dcterms:created xsi:type="dcterms:W3CDTF">2020-11-19T13:56:00Z</dcterms:created>
  <dcterms:modified xsi:type="dcterms:W3CDTF">2020-11-19T13:56:00Z</dcterms:modified>
</cp:coreProperties>
</file>