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Default="00890EE9" w:rsidP="00323159">
            <w:pPr>
              <w:jc w:val="left"/>
              <w:rPr>
                <w:iCs/>
                <w:szCs w:val="24"/>
              </w:rPr>
            </w:pPr>
            <w:r w:rsidRPr="000F08E8">
              <w:rPr>
                <w:szCs w:val="24"/>
              </w:rPr>
              <w:t xml:space="preserve">Priemonė </w:t>
            </w:r>
            <w:r w:rsidR="005E1205" w:rsidRPr="000F08E8">
              <w:rPr>
                <w:szCs w:val="24"/>
              </w:rPr>
              <w:t xml:space="preserve">Nr. </w:t>
            </w:r>
            <w:r w:rsidR="000F08E8" w:rsidRPr="000F08E8">
              <w:rPr>
                <w:szCs w:val="24"/>
              </w:rPr>
              <w:t>13.1.1-ESFA-V-XXX „</w:t>
            </w:r>
            <w:r w:rsidR="000F08E8">
              <w:rPr>
                <w:iCs/>
                <w:szCs w:val="24"/>
              </w:rPr>
              <w:t>A</w:t>
            </w:r>
            <w:r w:rsidR="000F08E8" w:rsidRPr="000F08E8">
              <w:rPr>
                <w:iCs/>
                <w:szCs w:val="24"/>
              </w:rPr>
              <w:t>ktyvios darbo rinkos politikos priemonių įgyvendinimas, mažinant pandemijos</w:t>
            </w:r>
            <w:r w:rsidR="000F08E8" w:rsidRPr="000F08E8">
              <w:rPr>
                <w:szCs w:val="24"/>
              </w:rPr>
              <w:t xml:space="preserve"> </w:t>
            </w:r>
            <w:r w:rsidR="000F08E8" w:rsidRPr="000F08E8">
              <w:rPr>
                <w:iCs/>
                <w:szCs w:val="24"/>
              </w:rPr>
              <w:t>poveikį užimtumui“</w:t>
            </w:r>
          </w:p>
          <w:p w:rsidR="000F08E8" w:rsidRPr="000F08E8" w:rsidRDefault="000F08E8" w:rsidP="00323159">
            <w:pPr>
              <w:jc w:val="left"/>
              <w:rPr>
                <w:szCs w:val="24"/>
              </w:rPr>
            </w:pPr>
            <w:r w:rsidRPr="000F08E8">
              <w:rPr>
                <w:szCs w:val="24"/>
              </w:rPr>
              <w:t>Priemonė Nr. 13.1.1-ESFA-V-XXX „</w:t>
            </w:r>
            <w:r>
              <w:rPr>
                <w:szCs w:val="24"/>
              </w:rPr>
              <w:t>P</w:t>
            </w:r>
            <w:r w:rsidRPr="000F08E8">
              <w:rPr>
                <w:szCs w:val="24"/>
              </w:rPr>
              <w:t>agalba šeimoms (asmenims) karantino, riboto karantino ar ekstremaliosios situacijos metu“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0F08E8" w:rsidP="005C5E91">
            <w:pPr>
              <w:rPr>
                <w:szCs w:val="24"/>
              </w:rPr>
            </w:pPr>
            <w:r>
              <w:rPr>
                <w:szCs w:val="24"/>
              </w:rPr>
              <w:t>2020-11</w:t>
            </w:r>
            <w:bookmarkStart w:id="0" w:name="_GoBack"/>
            <w:bookmarkEnd w:id="0"/>
            <w:r w:rsidR="005E1205">
              <w:rPr>
                <w:szCs w:val="24"/>
              </w:rPr>
              <w:t>-</w:t>
            </w:r>
            <w:r w:rsidR="00C35B04">
              <w:rPr>
                <w:szCs w:val="24"/>
              </w:rPr>
              <w:t>10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487BE2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487BE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E2" w:rsidRDefault="00487BE2" w:rsidP="004111C6">
      <w:r>
        <w:separator/>
      </w:r>
    </w:p>
  </w:endnote>
  <w:endnote w:type="continuationSeparator" w:id="0">
    <w:p w:rsidR="00487BE2" w:rsidRDefault="00487BE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E2" w:rsidRDefault="00487BE2" w:rsidP="004111C6">
      <w:r>
        <w:separator/>
      </w:r>
    </w:p>
  </w:footnote>
  <w:footnote w:type="continuationSeparator" w:id="0">
    <w:p w:rsidR="00487BE2" w:rsidRDefault="00487BE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08E8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87BE2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35B04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D70C-1A20-4AC1-9313-DAE49D3A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14</cp:revision>
  <dcterms:created xsi:type="dcterms:W3CDTF">2018-09-07T07:50:00Z</dcterms:created>
  <dcterms:modified xsi:type="dcterms:W3CDTF">2020-11-23T06:18:00Z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