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EFDF0" w14:textId="77777777" w:rsidR="008621EF" w:rsidRPr="004D081D" w:rsidRDefault="008621EF" w:rsidP="003B1DDC">
      <w:pPr>
        <w:pStyle w:val="ListParagraph"/>
        <w:numPr>
          <w:ilvl w:val="0"/>
          <w:numId w:val="1"/>
        </w:numPr>
        <w:jc w:val="both"/>
        <w:rPr>
          <w:i/>
        </w:rPr>
      </w:pPr>
      <w:r w:rsidRPr="004D081D">
        <w:rPr>
          <w:b/>
        </w:rPr>
        <w:t>Klausimas</w:t>
      </w:r>
      <w:r w:rsidRPr="004D081D">
        <w:t xml:space="preserve">: </w:t>
      </w:r>
      <w:r w:rsidRPr="004D081D">
        <w:rPr>
          <w:i/>
        </w:rPr>
        <w:t>dėl MTEP produkto „vystymo" sąvokos – ar būtų tinkamos finansuoti išlaidos veiklos, kuri skirta X optimizavimo modeliams, siekiant juos patobulinti.</w:t>
      </w:r>
    </w:p>
    <w:p w14:paraId="2500B023" w14:textId="77777777" w:rsidR="008621EF" w:rsidRPr="004D081D" w:rsidRDefault="008621EF" w:rsidP="003B1DDC">
      <w:pPr>
        <w:pStyle w:val="ListParagraph"/>
        <w:jc w:val="both"/>
        <w:rPr>
          <w:b/>
        </w:rPr>
      </w:pPr>
    </w:p>
    <w:p w14:paraId="2672014A" w14:textId="77777777" w:rsidR="008621EF" w:rsidRPr="004D081D" w:rsidRDefault="008621EF" w:rsidP="003B1DDC">
      <w:pPr>
        <w:pStyle w:val="ListParagraph"/>
        <w:jc w:val="both"/>
      </w:pPr>
      <w:r w:rsidRPr="004D081D">
        <w:rPr>
          <w:b/>
        </w:rPr>
        <w:t xml:space="preserve">Atsakymas: </w:t>
      </w:r>
      <w:r w:rsidRPr="004D081D">
        <w:t xml:space="preserve">išlaidos </w:t>
      </w:r>
      <w:r w:rsidRPr="004D081D">
        <w:rPr>
          <w:b/>
        </w:rPr>
        <w:t>nebūtų t</w:t>
      </w:r>
      <w:r w:rsidR="003B1DDC" w:rsidRPr="004D081D">
        <w:rPr>
          <w:b/>
        </w:rPr>
        <w:t>inkamos</w:t>
      </w:r>
      <w:r w:rsidR="003B1DDC" w:rsidRPr="004D081D">
        <w:t xml:space="preserve"> finansuoti, nes šiuo atveju </w:t>
      </w:r>
      <w:r w:rsidR="004C5401" w:rsidRPr="004D081D">
        <w:t xml:space="preserve">tai </w:t>
      </w:r>
      <w:r w:rsidR="003B1DDC" w:rsidRPr="004D081D">
        <w:t xml:space="preserve">būtų </w:t>
      </w:r>
      <w:r w:rsidRPr="004D081D">
        <w:t>laikoma MTEP veikla. Pavyzdžiui, prototipas jau sukurtas, tačiau jį išbandžius paaiškėja, kad būtini tam tikri tyrimai dėl jo patobulinimo. Toki</w:t>
      </w:r>
      <w:r w:rsidR="004C5401" w:rsidRPr="004D081D">
        <w:t>a</w:t>
      </w:r>
      <w:r w:rsidRPr="004D081D">
        <w:t xml:space="preserve"> vei</w:t>
      </w:r>
      <w:r w:rsidR="00CB724E" w:rsidRPr="004D081D">
        <w:t>kla būtų laikoma MTEP veikla.</w:t>
      </w:r>
    </w:p>
    <w:p w14:paraId="7EA82DCD" w14:textId="77777777" w:rsidR="008621EF" w:rsidRPr="004D081D" w:rsidRDefault="008621EF" w:rsidP="008621EF">
      <w:pPr>
        <w:pStyle w:val="ListParagraph"/>
      </w:pPr>
    </w:p>
    <w:p w14:paraId="14F1FAFA" w14:textId="77777777" w:rsidR="008621EF" w:rsidRPr="004D081D" w:rsidRDefault="008621EF" w:rsidP="008621EF">
      <w:pPr>
        <w:pStyle w:val="ListParagraph"/>
        <w:rPr>
          <w:b/>
        </w:rPr>
      </w:pPr>
      <w:r w:rsidRPr="004D081D">
        <w:rPr>
          <w:b/>
        </w:rPr>
        <w:t>MTEP veikla netinkama finansuoti pagal Aprašą.</w:t>
      </w:r>
    </w:p>
    <w:p w14:paraId="2235F2B5" w14:textId="77777777" w:rsidR="008621EF" w:rsidRPr="004D081D" w:rsidRDefault="008621EF" w:rsidP="008621EF">
      <w:pPr>
        <w:pStyle w:val="ListParagraph"/>
      </w:pPr>
    </w:p>
    <w:p w14:paraId="0AACD1D7" w14:textId="69373DB4" w:rsidR="008621EF" w:rsidRPr="004D081D" w:rsidRDefault="003B1DDC" w:rsidP="003B1DDC">
      <w:pPr>
        <w:pStyle w:val="ListParagraph"/>
        <w:numPr>
          <w:ilvl w:val="0"/>
          <w:numId w:val="1"/>
        </w:numPr>
        <w:jc w:val="both"/>
        <w:rPr>
          <w:i/>
        </w:rPr>
      </w:pPr>
      <w:r w:rsidRPr="004D081D">
        <w:rPr>
          <w:b/>
        </w:rPr>
        <w:t>Klausimas</w:t>
      </w:r>
      <w:r w:rsidRPr="004D081D">
        <w:t xml:space="preserve">: </w:t>
      </w:r>
      <w:r w:rsidR="00547E0D" w:rsidRPr="004D081D">
        <w:t xml:space="preserve">a) </w:t>
      </w:r>
      <w:r w:rsidR="009079AB" w:rsidRPr="004D081D">
        <w:t>a</w:t>
      </w:r>
      <w:r w:rsidRPr="004D081D">
        <w:rPr>
          <w:i/>
        </w:rPr>
        <w:t>r būtų tinkamos</w:t>
      </w:r>
      <w:r w:rsidR="00921902" w:rsidRPr="004D081D">
        <w:rPr>
          <w:i/>
        </w:rPr>
        <w:t xml:space="preserve"> finansuoti</w:t>
      </w:r>
      <w:r w:rsidRPr="004D081D">
        <w:rPr>
          <w:i/>
        </w:rPr>
        <w:t xml:space="preserve"> išlaidos kurti bendradarbiavimo platformai internetinėje svetainėje, produktų tiekimo užsakymui-pristatymui. Būtų tobulinama/pritaikoma </w:t>
      </w:r>
      <w:r w:rsidR="004C5401" w:rsidRPr="004D081D">
        <w:rPr>
          <w:i/>
        </w:rPr>
        <w:t xml:space="preserve">mobiliai aplikacijai </w:t>
      </w:r>
      <w:r w:rsidRPr="004D081D">
        <w:rPr>
          <w:i/>
        </w:rPr>
        <w:t>automatinio mokesčio už naudojimąsi svetaine sumokėjimo funkcija</w:t>
      </w:r>
      <w:r w:rsidR="00547E0D" w:rsidRPr="004D081D">
        <w:rPr>
          <w:i/>
        </w:rPr>
        <w:t>.</w:t>
      </w:r>
    </w:p>
    <w:p w14:paraId="22FACE8B" w14:textId="3E56420D" w:rsidR="00547E0D" w:rsidRPr="004D081D" w:rsidRDefault="00921902" w:rsidP="00547E0D">
      <w:pPr>
        <w:ind w:left="709"/>
        <w:jc w:val="both"/>
        <w:rPr>
          <w:i/>
        </w:rPr>
      </w:pPr>
      <w:r w:rsidRPr="004D081D">
        <w:rPr>
          <w:i/>
        </w:rPr>
        <w:t xml:space="preserve">b) ar būtų tinkamos finansuoti </w:t>
      </w:r>
      <w:r w:rsidR="00547E0D" w:rsidRPr="004D081D">
        <w:rPr>
          <w:i/>
        </w:rPr>
        <w:t>išlaidos įsigyti paslaugai, skirtai interneto svetainės išorinės paieškos optimizacijai, kad išorės klientams ieškant MTEP produktų, paslaugų ar technologijų, jie būtų nukreipiami į svetainę</w:t>
      </w:r>
      <w:r w:rsidR="004C5401" w:rsidRPr="004D081D">
        <w:rPr>
          <w:i/>
        </w:rPr>
        <w:t>,</w:t>
      </w:r>
      <w:r w:rsidR="00547E0D" w:rsidRPr="004D081D">
        <w:rPr>
          <w:i/>
        </w:rPr>
        <w:t xml:space="preserve"> ir kad Google paieškoje organizacija atsirastų geresnėje pozicijoje ir tai padidintų klientų skaičių.</w:t>
      </w:r>
    </w:p>
    <w:p w14:paraId="0AD26F22" w14:textId="77777777" w:rsidR="008621EF" w:rsidRPr="004D081D" w:rsidRDefault="008621EF" w:rsidP="008621EF">
      <w:pPr>
        <w:pStyle w:val="ListParagraph"/>
      </w:pPr>
    </w:p>
    <w:p w14:paraId="45FE2D83" w14:textId="77777777" w:rsidR="008621EF" w:rsidRPr="004D081D" w:rsidRDefault="003B1DDC" w:rsidP="004C5401">
      <w:pPr>
        <w:pStyle w:val="ListParagraph"/>
        <w:jc w:val="both"/>
        <w:rPr>
          <w:lang w:eastAsia="lt-LT"/>
        </w:rPr>
      </w:pPr>
      <w:r w:rsidRPr="004D081D">
        <w:rPr>
          <w:b/>
        </w:rPr>
        <w:t xml:space="preserve">Atsakymas: </w:t>
      </w:r>
      <w:r w:rsidR="00547E0D" w:rsidRPr="004D081D">
        <w:t xml:space="preserve">a) </w:t>
      </w:r>
      <w:r w:rsidRPr="004D081D">
        <w:t xml:space="preserve">išlaidos nebūtų tinkamos finansuoti, nes tokia platforma skirta produkcijos pardavimo veikla vykdyti. Tokios veiklos vykdymui turėtų būti taikomos valstybės pagalbos </w:t>
      </w:r>
      <w:r w:rsidR="00547E0D" w:rsidRPr="004D081D">
        <w:t xml:space="preserve">teikimo taisyklės pagal </w:t>
      </w:r>
      <w:r w:rsidR="00547E0D" w:rsidRPr="004D081D">
        <w:rPr>
          <w:lang w:eastAsia="lt-LT"/>
        </w:rPr>
        <w:t>Reglamentą Nr. 651/2014, tuo tarpu pagal Aprašą valstybės pagalba neteikiama.</w:t>
      </w:r>
    </w:p>
    <w:p w14:paraId="4324E357" w14:textId="77777777" w:rsidR="00547E0D" w:rsidRPr="004D081D" w:rsidRDefault="00547E0D" w:rsidP="004C5401">
      <w:pPr>
        <w:pStyle w:val="ListParagraph"/>
        <w:jc w:val="both"/>
        <w:rPr>
          <w:lang w:eastAsia="lt-LT"/>
        </w:rPr>
      </w:pPr>
    </w:p>
    <w:p w14:paraId="793257E5" w14:textId="77777777" w:rsidR="00547E0D" w:rsidRPr="004D081D" w:rsidRDefault="00547E0D" w:rsidP="004C5401">
      <w:pPr>
        <w:pStyle w:val="ListParagraph"/>
        <w:jc w:val="both"/>
      </w:pPr>
      <w:r w:rsidRPr="004D081D">
        <w:t>b)</w:t>
      </w:r>
      <w:r w:rsidRPr="004D081D">
        <w:rPr>
          <w:b/>
        </w:rPr>
        <w:t xml:space="preserve"> </w:t>
      </w:r>
      <w:r w:rsidRPr="004D081D">
        <w:t xml:space="preserve">išlaidos nebūtų tinkamos finansuoti, nes toks įrankis būtų skirtas tiesioginiam produkcijos pardavimui, kuriam turėtų būti taikomos valstybės pagalbos teikimo taisyklės pagal </w:t>
      </w:r>
      <w:r w:rsidRPr="004D081D">
        <w:rPr>
          <w:lang w:eastAsia="lt-LT"/>
        </w:rPr>
        <w:t>Reglamentą Nr. 651/2014, tuo tarpu pagal Aprašą valstybės pagalba</w:t>
      </w:r>
      <w:r w:rsidR="009079AB" w:rsidRPr="004D081D">
        <w:rPr>
          <w:lang w:eastAsia="lt-LT"/>
        </w:rPr>
        <w:t xml:space="preserve"> neteikiama</w:t>
      </w:r>
      <w:r w:rsidRPr="004D081D">
        <w:rPr>
          <w:lang w:eastAsia="lt-LT"/>
        </w:rPr>
        <w:t>. Pažymėtina, kad ir pagalbos</w:t>
      </w:r>
      <w:r w:rsidRPr="004D081D">
        <w:t xml:space="preserve"> priemonėje tai galėtų būti laikoma tiesioginio eksporto priemone, kuri niekada nėra laikoma suderinama su bendrąja rinka.</w:t>
      </w:r>
    </w:p>
    <w:p w14:paraId="1B62DD7C" w14:textId="77777777" w:rsidR="00C16029" w:rsidRPr="004D081D" w:rsidRDefault="00C16029" w:rsidP="00C16029">
      <w:pPr>
        <w:pStyle w:val="ListParagraph"/>
        <w:jc w:val="both"/>
      </w:pPr>
    </w:p>
    <w:p w14:paraId="3AD7AA1A" w14:textId="6472C3A3" w:rsidR="00C16029" w:rsidRPr="004D081D" w:rsidRDefault="00C16029" w:rsidP="002A748F">
      <w:pPr>
        <w:pStyle w:val="ListParagraph"/>
        <w:numPr>
          <w:ilvl w:val="0"/>
          <w:numId w:val="1"/>
        </w:numPr>
        <w:jc w:val="both"/>
        <w:rPr>
          <w:i/>
        </w:rPr>
      </w:pPr>
      <w:r w:rsidRPr="004D081D">
        <w:rPr>
          <w:b/>
        </w:rPr>
        <w:t>Klausimas</w:t>
      </w:r>
      <w:r w:rsidRPr="004D081D">
        <w:t>: a</w:t>
      </w:r>
      <w:r w:rsidRPr="004D081D">
        <w:rPr>
          <w:i/>
        </w:rPr>
        <w:t>) ar būtų tinkamos</w:t>
      </w:r>
      <w:r w:rsidR="00921902" w:rsidRPr="004D081D">
        <w:rPr>
          <w:i/>
        </w:rPr>
        <w:t xml:space="preserve"> finansuoti</w:t>
      </w:r>
      <w:r w:rsidRPr="004D081D">
        <w:rPr>
          <w:i/>
        </w:rPr>
        <w:t xml:space="preserve"> išlaidos kurti</w:t>
      </w:r>
      <w:r w:rsidRPr="004D081D">
        <w:rPr>
          <w:rFonts w:ascii="Calibri" w:hAnsi="Calibri"/>
          <w:i/>
        </w:rPr>
        <w:t xml:space="preserve"> portalui, kuris būtų skirtas MTEP veiklų, pasiekimų, publikacijų </w:t>
      </w:r>
      <w:r w:rsidR="004C5401" w:rsidRPr="004D081D">
        <w:rPr>
          <w:rFonts w:ascii="Calibri" w:hAnsi="Calibri"/>
          <w:i/>
        </w:rPr>
        <w:t>patalpinimui</w:t>
      </w:r>
      <w:r w:rsidRPr="004D081D">
        <w:rPr>
          <w:rFonts w:ascii="Calibri" w:hAnsi="Calibri"/>
          <w:i/>
        </w:rPr>
        <w:t xml:space="preserve"> ir kreipimui į išorės potencialius klientus/vartotojus/verslą, bei b</w:t>
      </w:r>
      <w:r w:rsidR="00CB724E" w:rsidRPr="004D081D">
        <w:rPr>
          <w:rFonts w:ascii="Calibri" w:hAnsi="Calibri"/>
          <w:i/>
        </w:rPr>
        <w:t>ū</w:t>
      </w:r>
      <w:r w:rsidRPr="004D081D">
        <w:rPr>
          <w:rFonts w:ascii="Calibri" w:hAnsi="Calibri"/>
          <w:i/>
        </w:rPr>
        <w:t>t</w:t>
      </w:r>
      <w:r w:rsidR="00CB724E" w:rsidRPr="004D081D">
        <w:rPr>
          <w:rFonts w:ascii="Calibri" w:hAnsi="Calibri"/>
          <w:i/>
        </w:rPr>
        <w:t>ų</w:t>
      </w:r>
      <w:r w:rsidRPr="004D081D">
        <w:rPr>
          <w:rFonts w:ascii="Calibri" w:hAnsi="Calibri"/>
          <w:i/>
        </w:rPr>
        <w:t xml:space="preserve"> skirtas agreguoti ir nesunkiai rasti vis</w:t>
      </w:r>
      <w:r w:rsidR="00CB724E" w:rsidRPr="004D081D">
        <w:rPr>
          <w:rFonts w:ascii="Calibri" w:hAnsi="Calibri"/>
          <w:i/>
        </w:rPr>
        <w:t>ą</w:t>
      </w:r>
      <w:r w:rsidRPr="004D081D">
        <w:rPr>
          <w:rFonts w:ascii="Calibri" w:hAnsi="Calibri"/>
          <w:i/>
        </w:rPr>
        <w:t xml:space="preserve"> šią informaciją</w:t>
      </w:r>
      <w:r w:rsidR="00CB724E" w:rsidRPr="004D081D">
        <w:rPr>
          <w:rFonts w:ascii="Calibri" w:hAnsi="Calibri"/>
          <w:i/>
        </w:rPr>
        <w:t xml:space="preserve">, kuri </w:t>
      </w:r>
      <w:r w:rsidRPr="004D081D">
        <w:rPr>
          <w:rFonts w:ascii="Calibri" w:hAnsi="Calibri"/>
          <w:i/>
        </w:rPr>
        <w:t xml:space="preserve"> padėtų </w:t>
      </w:r>
      <w:r w:rsidR="00CB724E" w:rsidRPr="004D081D">
        <w:rPr>
          <w:rFonts w:ascii="Calibri" w:hAnsi="Calibri"/>
          <w:i/>
        </w:rPr>
        <w:t xml:space="preserve">mokslo ir studijų institucijai (MSI) </w:t>
      </w:r>
      <w:r w:rsidRPr="004D081D">
        <w:rPr>
          <w:rFonts w:ascii="Calibri" w:hAnsi="Calibri"/>
          <w:i/>
        </w:rPr>
        <w:t>parduoti savo MTEP išradimus ir paslaugas verslui, padėtų mokslininkams</w:t>
      </w:r>
      <w:r w:rsidR="00CB724E" w:rsidRPr="004D081D">
        <w:rPr>
          <w:rFonts w:ascii="Calibri" w:hAnsi="Calibri"/>
          <w:i/>
        </w:rPr>
        <w:t xml:space="preserve">, </w:t>
      </w:r>
      <w:r w:rsidRPr="004D081D">
        <w:rPr>
          <w:rFonts w:ascii="Calibri" w:hAnsi="Calibri"/>
          <w:i/>
        </w:rPr>
        <w:t>studentams</w:t>
      </w:r>
      <w:r w:rsidR="00CB724E" w:rsidRPr="004D081D">
        <w:rPr>
          <w:rFonts w:ascii="Calibri" w:hAnsi="Calibri"/>
          <w:i/>
        </w:rPr>
        <w:t xml:space="preserve">, </w:t>
      </w:r>
      <w:r w:rsidRPr="004D081D">
        <w:rPr>
          <w:rFonts w:ascii="Calibri" w:hAnsi="Calibri"/>
          <w:i/>
        </w:rPr>
        <w:t>dėstytojams</w:t>
      </w:r>
      <w:r w:rsidR="00CB724E" w:rsidRPr="004D081D">
        <w:rPr>
          <w:rFonts w:ascii="Calibri" w:hAnsi="Calibri"/>
          <w:i/>
        </w:rPr>
        <w:t xml:space="preserve">, </w:t>
      </w:r>
      <w:r w:rsidRPr="004D081D">
        <w:rPr>
          <w:rFonts w:ascii="Calibri" w:hAnsi="Calibri"/>
          <w:i/>
        </w:rPr>
        <w:t>administracijai</w:t>
      </w:r>
      <w:r w:rsidR="00CB724E" w:rsidRPr="004D081D">
        <w:rPr>
          <w:rFonts w:ascii="Calibri" w:hAnsi="Calibri"/>
          <w:i/>
        </w:rPr>
        <w:t xml:space="preserve">, </w:t>
      </w:r>
      <w:r w:rsidRPr="004D081D">
        <w:rPr>
          <w:rFonts w:ascii="Calibri" w:hAnsi="Calibri"/>
          <w:i/>
        </w:rPr>
        <w:t xml:space="preserve">kompetencijų centrui viešinti savo darbus ir pasiekimus, o verslui palengvinti rasti jam reikiamų paslaugų informaciją. Per portalą būtų įmanoma demonstruoti prototipų veikimą, </w:t>
      </w:r>
      <w:proofErr w:type="spellStart"/>
      <w:r w:rsidRPr="004D081D">
        <w:rPr>
          <w:rFonts w:ascii="Calibri" w:hAnsi="Calibri"/>
          <w:i/>
        </w:rPr>
        <w:t>on</w:t>
      </w:r>
      <w:proofErr w:type="spellEnd"/>
      <w:r w:rsidRPr="004D081D">
        <w:rPr>
          <w:rFonts w:ascii="Calibri" w:hAnsi="Calibri"/>
          <w:i/>
        </w:rPr>
        <w:t>-line bendrauti ir bendradarbiauti MSI ir užsakovams.</w:t>
      </w:r>
    </w:p>
    <w:p w14:paraId="7EA568EE" w14:textId="77777777" w:rsidR="00C16029" w:rsidRPr="004D081D" w:rsidRDefault="00C16029" w:rsidP="002A748F">
      <w:pPr>
        <w:ind w:left="360"/>
        <w:jc w:val="both"/>
        <w:rPr>
          <w:i/>
        </w:rPr>
      </w:pPr>
      <w:r w:rsidRPr="004D081D">
        <w:rPr>
          <w:i/>
        </w:rPr>
        <w:t xml:space="preserve">        b) </w:t>
      </w:r>
      <w:r w:rsidR="004C5401" w:rsidRPr="004D081D">
        <w:rPr>
          <w:i/>
        </w:rPr>
        <w:t>k</w:t>
      </w:r>
      <w:r w:rsidRPr="004D081D">
        <w:rPr>
          <w:i/>
        </w:rPr>
        <w:t xml:space="preserve">okiai biudžeto išlaidų kategorijai būtų priskirtos tokios </w:t>
      </w:r>
      <w:r w:rsidR="007D77D9" w:rsidRPr="004D081D">
        <w:rPr>
          <w:i/>
        </w:rPr>
        <w:t xml:space="preserve">platformos sukūrimo paslaugų </w:t>
      </w:r>
      <w:r w:rsidRPr="004D081D">
        <w:rPr>
          <w:i/>
        </w:rPr>
        <w:t>išlaidos</w:t>
      </w:r>
      <w:r w:rsidR="007D77D9" w:rsidRPr="004D081D">
        <w:rPr>
          <w:i/>
        </w:rPr>
        <w:t>?</w:t>
      </w:r>
    </w:p>
    <w:p w14:paraId="2AB76939" w14:textId="77777777" w:rsidR="00547E0D" w:rsidRPr="004D081D" w:rsidRDefault="00C16029" w:rsidP="002A748F">
      <w:pPr>
        <w:pStyle w:val="ListParagraph"/>
        <w:jc w:val="both"/>
        <w:rPr>
          <w:b/>
        </w:rPr>
      </w:pPr>
      <w:r w:rsidRPr="004D081D">
        <w:rPr>
          <w:b/>
        </w:rPr>
        <w:t xml:space="preserve">Atsakymas: </w:t>
      </w:r>
      <w:r w:rsidR="007D77D9" w:rsidRPr="004D081D">
        <w:t xml:space="preserve">a) </w:t>
      </w:r>
      <w:r w:rsidRPr="004D081D">
        <w:t>išlaidos būtų tinkamos finansuoti, nes įrankis pirmiausia skirtas žinių perdavimo veiklai vykdyti.</w:t>
      </w:r>
    </w:p>
    <w:p w14:paraId="594C85CC" w14:textId="77777777" w:rsidR="002A748F" w:rsidRPr="004D081D" w:rsidRDefault="002A748F" w:rsidP="002A748F">
      <w:pPr>
        <w:pStyle w:val="ListParagraph"/>
        <w:jc w:val="both"/>
        <w:rPr>
          <w:b/>
        </w:rPr>
      </w:pPr>
    </w:p>
    <w:p w14:paraId="67B5D7FF" w14:textId="0C52F414" w:rsidR="007D77D9" w:rsidRPr="004D081D" w:rsidRDefault="007D77D9" w:rsidP="002A748F">
      <w:pPr>
        <w:pStyle w:val="ListParagraph"/>
        <w:jc w:val="both"/>
      </w:pPr>
      <w:r w:rsidRPr="004D081D">
        <w:t xml:space="preserve">b) </w:t>
      </w:r>
      <w:r w:rsidR="00CB724E" w:rsidRPr="004D081D">
        <w:t xml:space="preserve">išlaidos priskirtinos </w:t>
      </w:r>
      <w:r w:rsidRPr="004D081D">
        <w:t>4-</w:t>
      </w:r>
      <w:r w:rsidR="002A748F" w:rsidRPr="004D081D">
        <w:t xml:space="preserve">ai biudžeto kategorijai, kas reiškia, kad kartu su kitomis 3-os ir 4-os kategorijos išlaidomis negali sudaryti daugiau </w:t>
      </w:r>
      <w:r w:rsidR="004C5401" w:rsidRPr="004D081D">
        <w:t xml:space="preserve">nei </w:t>
      </w:r>
      <w:r w:rsidR="002A748F" w:rsidRPr="004D081D">
        <w:t>20 proc. tinkamų išlaidų.</w:t>
      </w:r>
    </w:p>
    <w:p w14:paraId="462C3943" w14:textId="77777777" w:rsidR="00C16029" w:rsidRPr="004D081D" w:rsidRDefault="00C16029" w:rsidP="002A748F">
      <w:pPr>
        <w:pStyle w:val="ListParagraph"/>
        <w:jc w:val="both"/>
      </w:pPr>
    </w:p>
    <w:p w14:paraId="6A11DE3E" w14:textId="77777777" w:rsidR="008F37FC" w:rsidRPr="004D081D" w:rsidRDefault="008F37FC" w:rsidP="008F37FC">
      <w:pPr>
        <w:pStyle w:val="ListParagraph"/>
        <w:numPr>
          <w:ilvl w:val="0"/>
          <w:numId w:val="1"/>
        </w:numPr>
        <w:jc w:val="both"/>
      </w:pPr>
      <w:r w:rsidRPr="004D081D">
        <w:rPr>
          <w:b/>
        </w:rPr>
        <w:t xml:space="preserve">Klausimas: </w:t>
      </w:r>
      <w:r w:rsidRPr="004D081D">
        <w:t>ar darbo užmokesčio fondą būtinai reikia skaičiuoti pagal valandinį įkainį, ar galima pagal etato įkainį.</w:t>
      </w:r>
    </w:p>
    <w:p w14:paraId="4A87E70F" w14:textId="77777777" w:rsidR="008F37FC" w:rsidRPr="004D081D" w:rsidRDefault="008F37FC" w:rsidP="008F37FC">
      <w:pPr>
        <w:pStyle w:val="ListParagraph"/>
        <w:jc w:val="both"/>
        <w:rPr>
          <w:b/>
        </w:rPr>
      </w:pPr>
    </w:p>
    <w:p w14:paraId="5AB811ED" w14:textId="457F6387" w:rsidR="008F37FC" w:rsidRPr="004D081D" w:rsidRDefault="008F37FC" w:rsidP="008F37FC">
      <w:pPr>
        <w:pStyle w:val="ListParagraph"/>
        <w:jc w:val="both"/>
      </w:pPr>
      <w:r w:rsidRPr="004D081D">
        <w:rPr>
          <w:b/>
        </w:rPr>
        <w:t xml:space="preserve">Atsakymas: </w:t>
      </w:r>
      <w:r w:rsidRPr="004D081D">
        <w:t xml:space="preserve">darbo užmokesčio fondas gali būti skaičiuojamas tiek pagal valandinį įkainį, tiek ir pagal etato įkainį. </w:t>
      </w:r>
    </w:p>
    <w:p w14:paraId="62948504" w14:textId="77777777" w:rsidR="008F37FC" w:rsidRPr="004D081D" w:rsidRDefault="008F37FC" w:rsidP="008F37FC">
      <w:pPr>
        <w:pStyle w:val="ListParagraph"/>
        <w:jc w:val="both"/>
      </w:pPr>
      <w:r w:rsidRPr="004D081D">
        <w:lastRenderedPageBreak/>
        <w:t xml:space="preserve">Būtina atsižvelgti į tai, kad  vadovaujantis Aprašo 39 p., patirtos vykdančiojo personalo darbo užmokesčio už kasmetines atostogas ir (ar) kompensacijos už nepanaudotas kasmetines atostogas išmokos bei papildomų poilsio dienų išmokos apmokamos taikant kasmetinių atostogų išmokų ir papildomų poilsio dienų išmokų fiksuotąsias normas.  Kasmetinių atostogų išmokų ir papildomų poilsio dienų išmokų fiksuotosios normos apskaičiuojamos remiantis 2016 m. sausio 19 d. atlikto Kasmetinių atostogų ir papildomų poilsio dienų išmokų fiksuotųjų normų nustatymo tyrimo ataskaita. Ši ataskaita skelbiama ES struktūrinių fondų interneto svetainėje adresu http://www.esinvesticijos.lt/lt/dokumentai/supaprastinto-islaidu-apmokejimo-tyrimai“. </w:t>
      </w:r>
    </w:p>
    <w:p w14:paraId="76BFD513" w14:textId="77777777" w:rsidR="008F37FC" w:rsidRPr="004D081D" w:rsidRDefault="008F37FC" w:rsidP="008F37FC">
      <w:pPr>
        <w:pStyle w:val="ListParagraph"/>
        <w:jc w:val="both"/>
        <w:rPr>
          <w:b/>
        </w:rPr>
      </w:pPr>
      <w:r w:rsidRPr="004D081D">
        <w:rPr>
          <w:b/>
        </w:rPr>
        <w:t xml:space="preserve">                             </w:t>
      </w:r>
    </w:p>
    <w:p w14:paraId="385E25F3" w14:textId="1D26AB6C" w:rsidR="008F37FC" w:rsidRPr="004D081D" w:rsidRDefault="008F37FC" w:rsidP="008F37FC">
      <w:pPr>
        <w:pStyle w:val="ListParagraph"/>
        <w:jc w:val="both"/>
        <w:rPr>
          <w:b/>
        </w:rPr>
      </w:pPr>
      <w:r w:rsidRPr="004D081D">
        <w:rPr>
          <w:b/>
        </w:rPr>
        <w:t xml:space="preserve">SVARBU - projekto įgyvendinimo metu atostogos galės būti </w:t>
      </w:r>
      <w:proofErr w:type="spellStart"/>
      <w:r w:rsidRPr="004D081D">
        <w:rPr>
          <w:b/>
        </w:rPr>
        <w:t>delaruojamos</w:t>
      </w:r>
      <w:proofErr w:type="spellEnd"/>
      <w:r w:rsidRPr="004D081D">
        <w:rPr>
          <w:b/>
        </w:rPr>
        <w:t xml:space="preserve"> tik pagal atostogų fiksuotą normą,  o ne pagal realų patyrimo faktą.  </w:t>
      </w:r>
    </w:p>
    <w:p w14:paraId="2EC28395" w14:textId="77777777" w:rsidR="00596587" w:rsidRPr="004D081D" w:rsidRDefault="00596587" w:rsidP="00596587">
      <w:pPr>
        <w:pStyle w:val="ListParagraph"/>
        <w:jc w:val="both"/>
        <w:rPr>
          <w:b/>
        </w:rPr>
      </w:pPr>
    </w:p>
    <w:p w14:paraId="773EAE43" w14:textId="656A504C" w:rsidR="00596587" w:rsidRPr="004D081D" w:rsidRDefault="002A748F" w:rsidP="00596587">
      <w:pPr>
        <w:pStyle w:val="ListParagraph"/>
        <w:numPr>
          <w:ilvl w:val="0"/>
          <w:numId w:val="1"/>
        </w:numPr>
        <w:jc w:val="both"/>
        <w:rPr>
          <w:i/>
        </w:rPr>
      </w:pPr>
      <w:r w:rsidRPr="004D081D">
        <w:rPr>
          <w:b/>
        </w:rPr>
        <w:t>Klausimas</w:t>
      </w:r>
      <w:r w:rsidRPr="004D081D">
        <w:t xml:space="preserve">: </w:t>
      </w:r>
      <w:r w:rsidRPr="004D081D">
        <w:rPr>
          <w:i/>
        </w:rPr>
        <w:t xml:space="preserve">ar galėtų būti projekto partneriu viešasis </w:t>
      </w:r>
      <w:r w:rsidR="00CB724E" w:rsidRPr="004D081D">
        <w:rPr>
          <w:i/>
        </w:rPr>
        <w:t>juridinis asmuo</w:t>
      </w:r>
      <w:r w:rsidR="004C5401" w:rsidRPr="004D081D">
        <w:rPr>
          <w:i/>
        </w:rPr>
        <w:t>,</w:t>
      </w:r>
      <w:r w:rsidRPr="004D081D">
        <w:rPr>
          <w:i/>
        </w:rPr>
        <w:t xml:space="preserve"> mokslo ir technologijų parkas?</w:t>
      </w:r>
    </w:p>
    <w:p w14:paraId="3AB036F4" w14:textId="3A9753D1" w:rsidR="002A748F" w:rsidRPr="004D081D" w:rsidRDefault="002A748F" w:rsidP="002A748F">
      <w:pPr>
        <w:ind w:left="709"/>
        <w:jc w:val="both"/>
      </w:pPr>
      <w:r w:rsidRPr="004D081D">
        <w:rPr>
          <w:b/>
        </w:rPr>
        <w:t xml:space="preserve">Atsakymas: </w:t>
      </w:r>
      <w:r w:rsidR="004C5401" w:rsidRPr="004D081D">
        <w:t>g</w:t>
      </w:r>
      <w:r w:rsidRPr="004D081D">
        <w:t>alėtų, jeigu įstaigos įstatuose numatyta mokslinių tyrimų veikla, bei bus pagrįsta, kad ši įstaiga</w:t>
      </w:r>
      <w:r w:rsidR="001E28B5" w:rsidRPr="004D081D">
        <w:t>,</w:t>
      </w:r>
      <w:r w:rsidRPr="004D081D">
        <w:t xml:space="preserve"> kaip partneris</w:t>
      </w:r>
      <w:r w:rsidR="001E28B5" w:rsidRPr="004D081D">
        <w:t>,</w:t>
      </w:r>
      <w:r w:rsidRPr="004D081D">
        <w:t xml:space="preserve"> prisideda prie projekto tikslų pasiekimo</w:t>
      </w:r>
      <w:r w:rsidR="001E28B5" w:rsidRPr="004D081D">
        <w:t xml:space="preserve"> bei atitinka kitus partneriui keliamus reikalavimus pagal Aprašą.</w:t>
      </w:r>
    </w:p>
    <w:p w14:paraId="1538F6CD" w14:textId="17077BCF" w:rsidR="002A748F" w:rsidRPr="004D081D" w:rsidRDefault="002A748F" w:rsidP="002A748F">
      <w:pPr>
        <w:pStyle w:val="ListParagraph"/>
        <w:numPr>
          <w:ilvl w:val="0"/>
          <w:numId w:val="1"/>
        </w:numPr>
        <w:jc w:val="both"/>
      </w:pPr>
      <w:r w:rsidRPr="004D081D">
        <w:rPr>
          <w:b/>
        </w:rPr>
        <w:t>Klausimas</w:t>
      </w:r>
      <w:r w:rsidRPr="004D081D">
        <w:t xml:space="preserve">: </w:t>
      </w:r>
      <w:r w:rsidR="004C5401" w:rsidRPr="004D081D">
        <w:rPr>
          <w:i/>
        </w:rPr>
        <w:t>a</w:t>
      </w:r>
      <w:r w:rsidRPr="004D081D">
        <w:rPr>
          <w:i/>
        </w:rPr>
        <w:t>r galėtų par</w:t>
      </w:r>
      <w:r w:rsidR="00921902" w:rsidRPr="004D081D">
        <w:rPr>
          <w:i/>
        </w:rPr>
        <w:t>e</w:t>
      </w:r>
      <w:r w:rsidRPr="004D081D">
        <w:rPr>
          <w:i/>
        </w:rPr>
        <w:t xml:space="preserve">iškėju ir (ar) partneriu būti privati viešoji įstaiga arba uždaroji akcinė bendrovė, registruoti </w:t>
      </w:r>
      <w:hyperlink r:id="rId5" w:history="1">
        <w:r w:rsidRPr="004D081D">
          <w:rPr>
            <w:rStyle w:val="Hyperlink"/>
            <w:i/>
          </w:rPr>
          <w:t>www.aikos.smm.lt</w:t>
        </w:r>
      </w:hyperlink>
      <w:r w:rsidRPr="004D081D">
        <w:rPr>
          <w:i/>
          <w:color w:val="0563C1"/>
          <w:u w:val="single"/>
        </w:rPr>
        <w:t xml:space="preserve"> </w:t>
      </w:r>
      <w:r w:rsidRPr="004D081D">
        <w:rPr>
          <w:i/>
          <w:u w:val="single"/>
        </w:rPr>
        <w:t>i</w:t>
      </w:r>
      <w:r w:rsidRPr="004D081D">
        <w:rPr>
          <w:i/>
        </w:rPr>
        <w:t>r</w:t>
      </w:r>
      <w:r w:rsidR="00A30970" w:rsidRPr="004D081D">
        <w:rPr>
          <w:i/>
        </w:rPr>
        <w:t xml:space="preserve"> vykdanty</w:t>
      </w:r>
      <w:r w:rsidRPr="004D081D">
        <w:rPr>
          <w:i/>
        </w:rPr>
        <w:t>s mokslo ir (ar) studijų veiklas.</w:t>
      </w:r>
    </w:p>
    <w:p w14:paraId="4560C6E0" w14:textId="3930F0A3" w:rsidR="002A748F" w:rsidRPr="004D081D" w:rsidRDefault="002A748F" w:rsidP="00A30970">
      <w:pPr>
        <w:ind w:left="709"/>
        <w:jc w:val="both"/>
      </w:pPr>
      <w:r w:rsidRPr="004D081D">
        <w:rPr>
          <w:b/>
        </w:rPr>
        <w:t xml:space="preserve">Atsakymas: </w:t>
      </w:r>
      <w:r w:rsidR="004C5401" w:rsidRPr="004D081D">
        <w:t>k</w:t>
      </w:r>
      <w:r w:rsidRPr="004D081D">
        <w:t xml:space="preserve">adangi pagal Aprašą valstybės pagalba neteikiama, </w:t>
      </w:r>
      <w:r w:rsidR="00C84750" w:rsidRPr="004D081D">
        <w:t>uždaroji akcinė bendrovė</w:t>
      </w:r>
      <w:r w:rsidRPr="004D081D">
        <w:t xml:space="preserve">, kaip ekonominės veiklos vykdytojas, negali būti nei pareiškėju, nei partneriu. </w:t>
      </w:r>
      <w:r w:rsidR="00A30970" w:rsidRPr="004D081D">
        <w:t>Privati viešoji įstaiga galėtų</w:t>
      </w:r>
      <w:r w:rsidR="00921902" w:rsidRPr="004D081D">
        <w:t xml:space="preserve"> būti pareiškėju ir (ar) partneriu</w:t>
      </w:r>
      <w:r w:rsidR="00A30970" w:rsidRPr="004D081D">
        <w:t xml:space="preserve"> tik tokiu atveju, jeigu ekonominės ir neekonominės veiklos vykdymas būtų aiškiai atskirtas, pagrindinės veiklos pajamos - iš neekonominės veiklos</w:t>
      </w:r>
      <w:r w:rsidR="00921902" w:rsidRPr="004D081D">
        <w:t>,</w:t>
      </w:r>
      <w:r w:rsidR="00A30970" w:rsidRPr="004D081D">
        <w:t xml:space="preserve"> ir tai pagrįsta finansiniais dokumentais. </w:t>
      </w:r>
    </w:p>
    <w:p w14:paraId="2CBA6641" w14:textId="5A775B75" w:rsidR="00A30970" w:rsidRPr="004D081D" w:rsidRDefault="004C5401" w:rsidP="00A30970">
      <w:pPr>
        <w:pStyle w:val="ListParagraph"/>
        <w:numPr>
          <w:ilvl w:val="0"/>
          <w:numId w:val="1"/>
        </w:numPr>
        <w:jc w:val="both"/>
        <w:rPr>
          <w:i/>
        </w:rPr>
      </w:pPr>
      <w:r w:rsidRPr="004D081D">
        <w:rPr>
          <w:b/>
        </w:rPr>
        <w:t>Klausimas</w:t>
      </w:r>
      <w:r w:rsidRPr="004D081D">
        <w:t xml:space="preserve">: </w:t>
      </w:r>
      <w:r w:rsidR="001E28B5" w:rsidRPr="004D081D">
        <w:rPr>
          <w:i/>
        </w:rPr>
        <w:t xml:space="preserve">ar </w:t>
      </w:r>
      <w:r w:rsidR="00A30970" w:rsidRPr="004D081D">
        <w:rPr>
          <w:i/>
        </w:rPr>
        <w:t xml:space="preserve">būtina pateikti sutarčių kopijas, siekiant pagrįsti stebėsenos rodiklio </w:t>
      </w:r>
      <w:r w:rsidRPr="004D081D">
        <w:rPr>
          <w:i/>
        </w:rPr>
        <w:t>“Investicijas gavusių mokslo ir studijų institucijų sutarčių su įmonėmis finansinės vertės padidėjimas“ (R.N.737)“ suplanuotos reikšmės vertę.</w:t>
      </w:r>
    </w:p>
    <w:p w14:paraId="05F18E27" w14:textId="1229EC9C" w:rsidR="004C5401" w:rsidRPr="004D081D" w:rsidRDefault="004C5401" w:rsidP="004C5401">
      <w:pPr>
        <w:ind w:left="709"/>
        <w:jc w:val="both"/>
      </w:pPr>
      <w:proofErr w:type="spellStart"/>
      <w:r w:rsidRPr="004D081D">
        <w:rPr>
          <w:b/>
        </w:rPr>
        <w:t>Atsakymas:</w:t>
      </w:r>
      <w:r w:rsidR="00EB2AAD" w:rsidRPr="004D081D">
        <w:t>s</w:t>
      </w:r>
      <w:r w:rsidRPr="004D081D">
        <w:t>u</w:t>
      </w:r>
      <w:proofErr w:type="spellEnd"/>
      <w:r w:rsidRPr="004D081D">
        <w:t xml:space="preserve"> paraiška pakanka pateikti sutarčių su įmonėmis sąrašą, nurodant finansinę vertę ir sutarties objektą, </w:t>
      </w:r>
      <w:r w:rsidR="001E28B5" w:rsidRPr="004D081D">
        <w:t xml:space="preserve">taip pat prašoma </w:t>
      </w:r>
      <w:r w:rsidRPr="004D081D">
        <w:t>pažym</w:t>
      </w:r>
      <w:r w:rsidR="001E28B5" w:rsidRPr="004D081D">
        <w:t>ėti</w:t>
      </w:r>
      <w:r w:rsidRPr="004D081D">
        <w:t>, jei Lietuvos mokslo taryba jau pripažino tokią sutartį kaip MTEP. Vertinimo metu vertintojas turi teisę paprašyti pateikti visų arba kurių nors sutarčių kopijas.</w:t>
      </w:r>
    </w:p>
    <w:p w14:paraId="1EE72D09" w14:textId="77777777" w:rsidR="004C5401" w:rsidRPr="004D081D" w:rsidRDefault="004C5401" w:rsidP="004C5401">
      <w:pPr>
        <w:pStyle w:val="ListParagraph"/>
        <w:numPr>
          <w:ilvl w:val="0"/>
          <w:numId w:val="1"/>
        </w:numPr>
        <w:rPr>
          <w:b/>
          <w:i/>
        </w:rPr>
      </w:pPr>
      <w:r w:rsidRPr="004D081D">
        <w:rPr>
          <w:b/>
        </w:rPr>
        <w:t>Klausimas</w:t>
      </w:r>
      <w:r w:rsidRPr="004D081D">
        <w:t xml:space="preserve">: </w:t>
      </w:r>
      <w:r w:rsidRPr="004D081D">
        <w:rPr>
          <w:b/>
          <w:i/>
        </w:rPr>
        <w:t>CPVA mokymų metu (</w:t>
      </w:r>
      <w:proofErr w:type="spellStart"/>
      <w:r w:rsidRPr="004D081D">
        <w:rPr>
          <w:b/>
          <w:i/>
        </w:rPr>
        <w:t>antreprenerystė</w:t>
      </w:r>
      <w:proofErr w:type="spellEnd"/>
      <w:r w:rsidRPr="004D081D">
        <w:rPr>
          <w:b/>
          <w:i/>
        </w:rPr>
        <w:t xml:space="preserve">) pastebėta, kad 2015-2016 m. duomenyse nėra VDDA. </w:t>
      </w:r>
    </w:p>
    <w:p w14:paraId="25B774F5" w14:textId="02FD8B89" w:rsidR="004C5401" w:rsidRPr="004D081D" w:rsidRDefault="004C5401" w:rsidP="004C5401">
      <w:pPr>
        <w:ind w:left="709"/>
      </w:pPr>
      <w:r w:rsidRPr="004D081D">
        <w:rPr>
          <w:b/>
        </w:rPr>
        <w:t>Atsakymas:</w:t>
      </w:r>
      <w:r w:rsidRPr="004D081D">
        <w:t xml:space="preserve"> oficialiame </w:t>
      </w:r>
      <w:r w:rsidR="00120E78" w:rsidRPr="004D081D">
        <w:t>Lietuvos mokslo tarybos (</w:t>
      </w:r>
      <w:r w:rsidRPr="004D081D">
        <w:t>LMT</w:t>
      </w:r>
      <w:r w:rsidR="00120E78" w:rsidRPr="004D081D">
        <w:t>)</w:t>
      </w:r>
      <w:r w:rsidRPr="004D081D">
        <w:t xml:space="preserve"> puslapyje   </w:t>
      </w:r>
      <w:hyperlink r:id="rId6" w:history="1">
        <w:r w:rsidRPr="004D081D">
          <w:rPr>
            <w:rStyle w:val="Hyperlink"/>
            <w:color w:val="auto"/>
          </w:rPr>
          <w:t>https://www.lmt.lt/lt/mokslo-meno-vertinimas/anksciau-baigti-mokslo-meno-veiklos-vertinimai/20152016-metu-mokslo-meno-veiklos-vertinimas/2895</w:t>
        </w:r>
      </w:hyperlink>
      <w:r w:rsidRPr="004D081D">
        <w:t xml:space="preserve">  </w:t>
      </w:r>
      <w:r w:rsidR="001E28B5" w:rsidRPr="004D081D">
        <w:t>trečiame punkte</w:t>
      </w:r>
      <w:r w:rsidRPr="004D081D">
        <w:t xml:space="preserve"> skirtame formaliojo vertinimo rezultatams, </w:t>
      </w:r>
      <w:r w:rsidRPr="004D081D">
        <w:rPr>
          <w:b/>
        </w:rPr>
        <w:t>stulpelio pavadinimas PLE</w:t>
      </w:r>
      <w:r w:rsidRPr="004D081D">
        <w:t xml:space="preserve">: </w:t>
      </w:r>
    </w:p>
    <w:p w14:paraId="0A0EA7CF" w14:textId="77777777" w:rsidR="004C5401" w:rsidRPr="004D081D" w:rsidRDefault="004C5401" w:rsidP="004C5401">
      <w:pPr>
        <w:ind w:left="709"/>
      </w:pPr>
      <w:r w:rsidRPr="004D081D">
        <w:t xml:space="preserve">Pvz.: </w:t>
      </w:r>
      <w:hyperlink r:id="rId7" w:history="1">
        <w:r w:rsidRPr="004D081D">
          <w:rPr>
            <w:rStyle w:val="Hyperlink"/>
            <w:color w:val="auto"/>
          </w:rPr>
          <w:t>https://www.lmt.lt/data/public/uploads/2017/11/mokslo-meno-darbu-formaliojo-vertinimo-rezultatai_2016_naujas.pdf</w:t>
        </w:r>
      </w:hyperlink>
      <w:r w:rsidRPr="004D081D">
        <w:t xml:space="preserve"> </w:t>
      </w:r>
    </w:p>
    <w:p w14:paraId="6F486AA4" w14:textId="614FB2F6" w:rsidR="004C5401" w:rsidRPr="004D081D" w:rsidRDefault="00921902" w:rsidP="004C5401">
      <w:pPr>
        <w:ind w:left="709"/>
        <w:rPr>
          <w:b/>
        </w:rPr>
      </w:pPr>
      <w:r w:rsidRPr="004D081D">
        <w:rPr>
          <w:b/>
        </w:rPr>
        <w:t>„</w:t>
      </w:r>
      <w:r w:rsidR="004C5401" w:rsidRPr="004D081D">
        <w:rPr>
          <w:b/>
        </w:rPr>
        <w:t xml:space="preserve">PLE“ ir „VDDA“ yra to paties dalyko trumpinys gautas iš skirtingai išversto  angl. </w:t>
      </w:r>
      <w:proofErr w:type="spellStart"/>
      <w:r w:rsidR="004C5401" w:rsidRPr="004D081D">
        <w:rPr>
          <w:b/>
          <w:i/>
          <w:iCs/>
        </w:rPr>
        <w:t>full-time</w:t>
      </w:r>
      <w:proofErr w:type="spellEnd"/>
      <w:r w:rsidR="004C5401" w:rsidRPr="004D081D">
        <w:rPr>
          <w:b/>
          <w:i/>
          <w:iCs/>
        </w:rPr>
        <w:t xml:space="preserve"> </w:t>
      </w:r>
      <w:proofErr w:type="spellStart"/>
      <w:r w:rsidR="004C5401" w:rsidRPr="004D081D">
        <w:rPr>
          <w:b/>
          <w:i/>
          <w:iCs/>
        </w:rPr>
        <w:t>equivalent</w:t>
      </w:r>
      <w:proofErr w:type="spellEnd"/>
      <w:r w:rsidR="004C5401" w:rsidRPr="004D081D">
        <w:rPr>
          <w:b/>
        </w:rPr>
        <w:t>.</w:t>
      </w:r>
    </w:p>
    <w:p w14:paraId="4830097E" w14:textId="1D0E8E4F" w:rsidR="001E28B5" w:rsidRPr="004D081D" w:rsidRDefault="001E28B5" w:rsidP="004C5401">
      <w:pPr>
        <w:ind w:left="709"/>
        <w:rPr>
          <w:b/>
        </w:rPr>
      </w:pPr>
      <w:r w:rsidRPr="004D081D">
        <w:rPr>
          <w:b/>
        </w:rPr>
        <w:t>Atkreipiame dėmesį, kad kiekvienų metų duomenys išskaidyti atskiroms MTEP kryptims, todėl turėtų būti susumuoti.</w:t>
      </w:r>
    </w:p>
    <w:p w14:paraId="5276275E" w14:textId="4B682437" w:rsidR="001C6380" w:rsidRPr="004D081D" w:rsidRDefault="001C6380" w:rsidP="00120E78">
      <w:pPr>
        <w:pStyle w:val="ListParagraph"/>
        <w:numPr>
          <w:ilvl w:val="0"/>
          <w:numId w:val="1"/>
        </w:numPr>
        <w:jc w:val="both"/>
      </w:pPr>
      <w:r w:rsidRPr="004D081D">
        <w:rPr>
          <w:b/>
        </w:rPr>
        <w:lastRenderedPageBreak/>
        <w:t>Klausimas</w:t>
      </w:r>
      <w:r w:rsidRPr="004D081D">
        <w:t xml:space="preserve">: ar visų prioritetinių kriterijų pagrindimui turi būti naudojami </w:t>
      </w:r>
      <w:r w:rsidR="00120E78" w:rsidRPr="004D081D">
        <w:t>LMT</w:t>
      </w:r>
      <w:r w:rsidRPr="004D081D">
        <w:t xml:space="preserve"> </w:t>
      </w:r>
      <w:r w:rsidR="00014EA4" w:rsidRPr="004D081D">
        <w:t>Kasmetinio universitetų ir mokslinių tyrimų institutų MTEP ir meno veiklos vertinimo rezultatai.</w:t>
      </w:r>
    </w:p>
    <w:p w14:paraId="23A758C7" w14:textId="3251126C" w:rsidR="001C6380" w:rsidRPr="004D081D" w:rsidRDefault="001C6380" w:rsidP="00120E78">
      <w:pPr>
        <w:pStyle w:val="ListParagraph"/>
        <w:jc w:val="both"/>
        <w:rPr>
          <w:b/>
        </w:rPr>
      </w:pPr>
    </w:p>
    <w:p w14:paraId="6B3C85E2" w14:textId="5192C393" w:rsidR="001C6380" w:rsidRPr="004D081D" w:rsidRDefault="001C6380" w:rsidP="00120E78">
      <w:pPr>
        <w:pStyle w:val="ListParagraph"/>
        <w:jc w:val="both"/>
      </w:pPr>
      <w:r w:rsidRPr="004D081D">
        <w:rPr>
          <w:b/>
        </w:rPr>
        <w:t xml:space="preserve">Atsakymas: </w:t>
      </w:r>
      <w:r w:rsidRPr="00322CA0">
        <w:rPr>
          <w:b/>
        </w:rPr>
        <w:t>taip.</w:t>
      </w:r>
      <w:r w:rsidRPr="004D081D">
        <w:rPr>
          <w:b/>
        </w:rPr>
        <w:t xml:space="preserve"> </w:t>
      </w:r>
      <w:r w:rsidR="0071672D" w:rsidRPr="004D081D">
        <w:t xml:space="preserve">Dėl </w:t>
      </w:r>
      <w:r w:rsidRPr="004D081D">
        <w:t xml:space="preserve">Aprašo 2 priede </w:t>
      </w:r>
      <w:r w:rsidR="00014EA4" w:rsidRPr="004D081D">
        <w:t>nurodytų prioritetinių kriterijų:</w:t>
      </w:r>
    </w:p>
    <w:p w14:paraId="46FB2DD0" w14:textId="2D195F9A" w:rsidR="00014EA4" w:rsidRPr="004D081D" w:rsidRDefault="00014EA4" w:rsidP="00120E78">
      <w:pPr>
        <w:pStyle w:val="ListParagraph"/>
        <w:jc w:val="both"/>
        <w:rPr>
          <w:b/>
        </w:rPr>
      </w:pPr>
      <w:bookmarkStart w:id="0" w:name="_GoBack"/>
      <w:bookmarkEnd w:id="0"/>
    </w:p>
    <w:p w14:paraId="41756505" w14:textId="499169D3" w:rsidR="00014EA4" w:rsidRPr="004D081D" w:rsidRDefault="00120E78" w:rsidP="00120E78">
      <w:pPr>
        <w:pStyle w:val="ListParagraph"/>
        <w:jc w:val="both"/>
        <w:rPr>
          <w:bCs/>
          <w:szCs w:val="24"/>
          <w:lang w:eastAsia="lt-LT"/>
        </w:rPr>
      </w:pPr>
      <w:r w:rsidRPr="004D081D">
        <w:rPr>
          <w:rFonts w:eastAsia="Calibri"/>
          <w:bCs/>
          <w:caps/>
          <w:szCs w:val="24"/>
        </w:rPr>
        <w:t xml:space="preserve">- </w:t>
      </w:r>
      <w:r w:rsidR="00921902" w:rsidRPr="004D081D">
        <w:rPr>
          <w:rFonts w:eastAsia="Calibri"/>
          <w:bCs/>
          <w:caps/>
          <w:szCs w:val="24"/>
        </w:rPr>
        <w:t xml:space="preserve"> </w:t>
      </w:r>
      <w:r w:rsidRPr="004D081D">
        <w:rPr>
          <w:rFonts w:eastAsia="Calibri"/>
          <w:bCs/>
          <w:caps/>
          <w:szCs w:val="24"/>
        </w:rPr>
        <w:t>N</w:t>
      </w:r>
      <w:r w:rsidRPr="004D081D">
        <w:rPr>
          <w:bCs/>
          <w:szCs w:val="24"/>
          <w:lang w:eastAsia="lt-LT"/>
        </w:rPr>
        <w:t>r</w:t>
      </w:r>
      <w:r w:rsidRPr="004D081D">
        <w:rPr>
          <w:rFonts w:eastAsia="Calibri"/>
          <w:bCs/>
          <w:caps/>
          <w:szCs w:val="24"/>
        </w:rPr>
        <w:t xml:space="preserve">. </w:t>
      </w:r>
      <w:r w:rsidR="00014EA4" w:rsidRPr="004D081D">
        <w:rPr>
          <w:rFonts w:eastAsia="Calibri"/>
          <w:bCs/>
          <w:caps/>
          <w:szCs w:val="24"/>
        </w:rPr>
        <w:t xml:space="preserve">1. </w:t>
      </w:r>
      <w:r w:rsidR="00014EA4" w:rsidRPr="004D081D">
        <w:rPr>
          <w:bCs/>
          <w:szCs w:val="24"/>
          <w:lang w:eastAsia="lt-LT"/>
        </w:rPr>
        <w:t>Lėšų, gautų iš ūkio subjektų užsakymų per 2015–2018 metų laikotarpį, akumuliuotas pokytis, procentais.</w:t>
      </w:r>
    </w:p>
    <w:p w14:paraId="3710F12E" w14:textId="4FE216FD" w:rsidR="00014EA4" w:rsidRPr="004D081D" w:rsidRDefault="00120E78" w:rsidP="00120E78">
      <w:pPr>
        <w:pStyle w:val="ListParagraph"/>
        <w:jc w:val="both"/>
        <w:rPr>
          <w:bCs/>
          <w:szCs w:val="24"/>
          <w:lang w:eastAsia="lt-LT"/>
        </w:rPr>
      </w:pPr>
      <w:r w:rsidRPr="004D081D">
        <w:rPr>
          <w:rFonts w:eastAsia="Calibri"/>
          <w:bCs/>
          <w:caps/>
          <w:szCs w:val="24"/>
        </w:rPr>
        <w:t>- N</w:t>
      </w:r>
      <w:r w:rsidRPr="004D081D">
        <w:rPr>
          <w:bCs/>
          <w:szCs w:val="24"/>
          <w:lang w:eastAsia="lt-LT"/>
        </w:rPr>
        <w:t>r.</w:t>
      </w:r>
      <w:r w:rsidRPr="004D081D">
        <w:rPr>
          <w:rFonts w:eastAsia="Calibri"/>
          <w:bCs/>
          <w:caps/>
          <w:szCs w:val="24"/>
        </w:rPr>
        <w:t xml:space="preserve"> </w:t>
      </w:r>
      <w:r w:rsidR="00014EA4" w:rsidRPr="004D081D">
        <w:rPr>
          <w:rFonts w:eastAsia="Calibri"/>
          <w:bCs/>
          <w:caps/>
          <w:szCs w:val="24"/>
        </w:rPr>
        <w:t xml:space="preserve">3. </w:t>
      </w:r>
      <w:r w:rsidR="00014EA4" w:rsidRPr="004D081D">
        <w:rPr>
          <w:bCs/>
          <w:szCs w:val="24"/>
          <w:lang w:eastAsia="lt-LT"/>
        </w:rPr>
        <w:t xml:space="preserve">Lėšų, gautų iš ūkio subjektų užsakymų per 2016–2018 metus, tenkančių institucijos mokslininko visos darbo dienos ekvivalentui, vidurkis, (tūkst. </w:t>
      </w:r>
      <w:proofErr w:type="spellStart"/>
      <w:r w:rsidR="00014EA4" w:rsidRPr="004D081D">
        <w:rPr>
          <w:bCs/>
          <w:szCs w:val="24"/>
          <w:lang w:eastAsia="lt-LT"/>
        </w:rPr>
        <w:t>Eur</w:t>
      </w:r>
      <w:proofErr w:type="spellEnd"/>
      <w:r w:rsidR="00014EA4" w:rsidRPr="004D081D">
        <w:rPr>
          <w:bCs/>
          <w:szCs w:val="24"/>
          <w:lang w:eastAsia="lt-LT"/>
        </w:rPr>
        <w:t>.)</w:t>
      </w:r>
      <w:r w:rsidR="009432B6" w:rsidRPr="004D081D">
        <w:rPr>
          <w:bCs/>
          <w:szCs w:val="24"/>
          <w:lang w:eastAsia="lt-LT"/>
        </w:rPr>
        <w:t>.</w:t>
      </w:r>
    </w:p>
    <w:p w14:paraId="5F8AB6F4" w14:textId="77777777" w:rsidR="00120E78" w:rsidRPr="004D081D" w:rsidRDefault="00120E78" w:rsidP="00120E78">
      <w:pPr>
        <w:pStyle w:val="ListParagraph"/>
        <w:jc w:val="both"/>
        <w:rPr>
          <w:bCs/>
          <w:szCs w:val="24"/>
          <w:lang w:eastAsia="lt-LT"/>
        </w:rPr>
      </w:pPr>
    </w:p>
    <w:p w14:paraId="1F1185C2" w14:textId="6A95910D" w:rsidR="00014EA4" w:rsidRPr="004D081D" w:rsidRDefault="00921902" w:rsidP="00120E78">
      <w:pPr>
        <w:pStyle w:val="ListParagraph"/>
        <w:numPr>
          <w:ilvl w:val="0"/>
          <w:numId w:val="5"/>
        </w:numPr>
        <w:tabs>
          <w:tab w:val="left" w:pos="851"/>
        </w:tabs>
        <w:ind w:left="709" w:firstLine="0"/>
        <w:jc w:val="both"/>
        <w:rPr>
          <w:b/>
        </w:rPr>
      </w:pPr>
      <w:r w:rsidRPr="004D081D">
        <w:t xml:space="preserve"> </w:t>
      </w:r>
      <w:r w:rsidR="00120E78" w:rsidRPr="004D081D">
        <w:t xml:space="preserve">Nr.2. Įgyvendinus projektą iš ūkio subjektų už MTEP ir meno užsakymus  planuojamos gauti lėšos, tenkančios institucijos mokslininko visos darbo dienos atitikmeniui, (tūkst. </w:t>
      </w:r>
      <w:proofErr w:type="spellStart"/>
      <w:r w:rsidR="00120E78" w:rsidRPr="004D081D">
        <w:t>Eur</w:t>
      </w:r>
      <w:proofErr w:type="spellEnd"/>
      <w:r w:rsidR="00120E78" w:rsidRPr="004D081D">
        <w:t xml:space="preserve">) – </w:t>
      </w:r>
      <w:r w:rsidR="009432B6" w:rsidRPr="004D081D">
        <w:t xml:space="preserve">naudojamas </w:t>
      </w:r>
      <w:r w:rsidR="00120E78" w:rsidRPr="004D081D">
        <w:t>2019 m. VDDA</w:t>
      </w:r>
      <w:r w:rsidR="009432B6" w:rsidRPr="004D081D">
        <w:t>.</w:t>
      </w:r>
    </w:p>
    <w:p w14:paraId="3119F54A" w14:textId="418B0F2A" w:rsidR="00120E78" w:rsidRPr="004D081D" w:rsidRDefault="00120E78" w:rsidP="00120E78">
      <w:pPr>
        <w:pStyle w:val="ListParagraph"/>
        <w:jc w:val="both"/>
        <w:rPr>
          <w:b/>
        </w:rPr>
      </w:pPr>
    </w:p>
    <w:p w14:paraId="0ED19447" w14:textId="11E472B8" w:rsidR="00120E78" w:rsidRPr="004D081D" w:rsidRDefault="00921902" w:rsidP="009432B6">
      <w:pPr>
        <w:pStyle w:val="ListParagraph"/>
        <w:numPr>
          <w:ilvl w:val="0"/>
          <w:numId w:val="5"/>
        </w:numPr>
        <w:tabs>
          <w:tab w:val="left" w:pos="851"/>
        </w:tabs>
        <w:ind w:left="709" w:firstLine="0"/>
        <w:jc w:val="both"/>
        <w:rPr>
          <w:b/>
        </w:rPr>
      </w:pPr>
      <w:r w:rsidRPr="004D081D">
        <w:t xml:space="preserve"> </w:t>
      </w:r>
      <w:r w:rsidR="00120E78" w:rsidRPr="004D081D">
        <w:t xml:space="preserve">Nr.5. Planuojamas unikalių išorės vartotojų MTEP ir meno užsakymams skaičiaus padidėjimas (vnt.) įgyvendinus projektą – jei </w:t>
      </w:r>
      <w:r w:rsidR="009432B6" w:rsidRPr="004D081D">
        <w:t xml:space="preserve">LMT rezultatai </w:t>
      </w:r>
      <w:r w:rsidR="00120E78" w:rsidRPr="004D081D">
        <w:t>jau bus paskelbti,</w:t>
      </w:r>
      <w:r w:rsidR="004D081D">
        <w:t xml:space="preserve"> remiamasi LMT vertinimu: </w:t>
      </w:r>
      <w:r w:rsidR="009432B6" w:rsidRPr="004D081D">
        <w:t xml:space="preserve">ar 2019 m. sutartis yra MTEP sutartis. </w:t>
      </w:r>
    </w:p>
    <w:p w14:paraId="5BEE2503" w14:textId="5DE0D6FF" w:rsidR="001C6380" w:rsidRPr="004D081D" w:rsidRDefault="001C6380" w:rsidP="001C6380">
      <w:pPr>
        <w:rPr>
          <w:b/>
        </w:rPr>
      </w:pPr>
    </w:p>
    <w:p w14:paraId="562C7C0B" w14:textId="77777777" w:rsidR="001C6380" w:rsidRPr="004D081D" w:rsidRDefault="001C6380" w:rsidP="001C6380">
      <w:pPr>
        <w:pStyle w:val="ListParagraph"/>
        <w:rPr>
          <w:b/>
        </w:rPr>
      </w:pPr>
    </w:p>
    <w:p w14:paraId="75E9009C" w14:textId="77777777" w:rsidR="004C5401" w:rsidRPr="004D081D" w:rsidRDefault="004C5401" w:rsidP="004C5401">
      <w:r w:rsidRPr="004D081D">
        <w:rPr>
          <w:color w:val="1F497D"/>
        </w:rPr>
        <w:t xml:space="preserve">  </w:t>
      </w:r>
    </w:p>
    <w:sectPr w:rsidR="004C5401" w:rsidRPr="004D081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7CBC"/>
    <w:multiLevelType w:val="hybridMultilevel"/>
    <w:tmpl w:val="065C50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F19FD"/>
    <w:multiLevelType w:val="hybridMultilevel"/>
    <w:tmpl w:val="6BCE3D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EE229E3"/>
    <w:multiLevelType w:val="hybridMultilevel"/>
    <w:tmpl w:val="360CEE2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22248E"/>
    <w:multiLevelType w:val="hybridMultilevel"/>
    <w:tmpl w:val="00201E2C"/>
    <w:lvl w:ilvl="0" w:tplc="B708621A">
      <w:start w:val="5"/>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571B7787"/>
    <w:multiLevelType w:val="hybridMultilevel"/>
    <w:tmpl w:val="DF1489D8"/>
    <w:lvl w:ilvl="0" w:tplc="9202FB2A">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D96CBE"/>
    <w:multiLevelType w:val="hybridMultilevel"/>
    <w:tmpl w:val="6BCE3D5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EF"/>
    <w:rsid w:val="00014EA4"/>
    <w:rsid w:val="0008477B"/>
    <w:rsid w:val="00120E78"/>
    <w:rsid w:val="001C6380"/>
    <w:rsid w:val="001E28B5"/>
    <w:rsid w:val="002A748F"/>
    <w:rsid w:val="00322CA0"/>
    <w:rsid w:val="003B1DDC"/>
    <w:rsid w:val="004C5401"/>
    <w:rsid w:val="004D081D"/>
    <w:rsid w:val="00547E0D"/>
    <w:rsid w:val="00596587"/>
    <w:rsid w:val="00660A40"/>
    <w:rsid w:val="006B281E"/>
    <w:rsid w:val="0071672D"/>
    <w:rsid w:val="007D77D9"/>
    <w:rsid w:val="008621EF"/>
    <w:rsid w:val="008F37FC"/>
    <w:rsid w:val="009079AB"/>
    <w:rsid w:val="00921902"/>
    <w:rsid w:val="009432B6"/>
    <w:rsid w:val="00A30970"/>
    <w:rsid w:val="00C16029"/>
    <w:rsid w:val="00C84750"/>
    <w:rsid w:val="00CB724E"/>
    <w:rsid w:val="00EB2AAD"/>
    <w:rsid w:val="00F20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0EA5B"/>
  <w15:chartTrackingRefBased/>
  <w15:docId w15:val="{F79D7E8E-A1E0-49F6-85C1-62DF93D5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EF"/>
    <w:pPr>
      <w:ind w:left="720"/>
      <w:contextualSpacing/>
    </w:pPr>
  </w:style>
  <w:style w:type="character" w:styleId="Hyperlink">
    <w:name w:val="Hyperlink"/>
    <w:basedOn w:val="DefaultParagraphFont"/>
    <w:uiPriority w:val="99"/>
    <w:unhideWhenUsed/>
    <w:rsid w:val="00596587"/>
    <w:rPr>
      <w:color w:val="0563C1" w:themeColor="hyperlink"/>
      <w:u w:val="single"/>
    </w:rPr>
  </w:style>
  <w:style w:type="character" w:styleId="CommentReference">
    <w:name w:val="annotation reference"/>
    <w:basedOn w:val="DefaultParagraphFont"/>
    <w:uiPriority w:val="99"/>
    <w:semiHidden/>
    <w:unhideWhenUsed/>
    <w:rsid w:val="00CB724E"/>
    <w:rPr>
      <w:sz w:val="16"/>
      <w:szCs w:val="16"/>
    </w:rPr>
  </w:style>
  <w:style w:type="paragraph" w:styleId="CommentText">
    <w:name w:val="annotation text"/>
    <w:basedOn w:val="Normal"/>
    <w:link w:val="CommentTextChar"/>
    <w:uiPriority w:val="99"/>
    <w:semiHidden/>
    <w:unhideWhenUsed/>
    <w:rsid w:val="00CB724E"/>
    <w:pPr>
      <w:spacing w:line="240" w:lineRule="auto"/>
    </w:pPr>
    <w:rPr>
      <w:sz w:val="20"/>
      <w:szCs w:val="20"/>
    </w:rPr>
  </w:style>
  <w:style w:type="character" w:customStyle="1" w:styleId="CommentTextChar">
    <w:name w:val="Comment Text Char"/>
    <w:basedOn w:val="DefaultParagraphFont"/>
    <w:link w:val="CommentText"/>
    <w:uiPriority w:val="99"/>
    <w:semiHidden/>
    <w:rsid w:val="00CB724E"/>
    <w:rPr>
      <w:sz w:val="20"/>
      <w:szCs w:val="20"/>
    </w:rPr>
  </w:style>
  <w:style w:type="paragraph" w:styleId="CommentSubject">
    <w:name w:val="annotation subject"/>
    <w:basedOn w:val="CommentText"/>
    <w:next w:val="CommentText"/>
    <w:link w:val="CommentSubjectChar"/>
    <w:uiPriority w:val="99"/>
    <w:semiHidden/>
    <w:unhideWhenUsed/>
    <w:rsid w:val="00CB724E"/>
    <w:rPr>
      <w:b/>
      <w:bCs/>
    </w:rPr>
  </w:style>
  <w:style w:type="character" w:customStyle="1" w:styleId="CommentSubjectChar">
    <w:name w:val="Comment Subject Char"/>
    <w:basedOn w:val="CommentTextChar"/>
    <w:link w:val="CommentSubject"/>
    <w:uiPriority w:val="99"/>
    <w:semiHidden/>
    <w:rsid w:val="00CB724E"/>
    <w:rPr>
      <w:b/>
      <w:bCs/>
      <w:sz w:val="20"/>
      <w:szCs w:val="20"/>
    </w:rPr>
  </w:style>
  <w:style w:type="paragraph" w:styleId="BalloonText">
    <w:name w:val="Balloon Text"/>
    <w:basedOn w:val="Normal"/>
    <w:link w:val="BalloonTextChar"/>
    <w:uiPriority w:val="99"/>
    <w:semiHidden/>
    <w:unhideWhenUsed/>
    <w:rsid w:val="00CB7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2808">
      <w:bodyDiv w:val="1"/>
      <w:marLeft w:val="0"/>
      <w:marRight w:val="0"/>
      <w:marTop w:val="0"/>
      <w:marBottom w:val="0"/>
      <w:divBdr>
        <w:top w:val="none" w:sz="0" w:space="0" w:color="auto"/>
        <w:left w:val="none" w:sz="0" w:space="0" w:color="auto"/>
        <w:bottom w:val="none" w:sz="0" w:space="0" w:color="auto"/>
        <w:right w:val="none" w:sz="0" w:space="0" w:color="auto"/>
      </w:divBdr>
    </w:div>
    <w:div w:id="1434669489">
      <w:bodyDiv w:val="1"/>
      <w:marLeft w:val="0"/>
      <w:marRight w:val="0"/>
      <w:marTop w:val="0"/>
      <w:marBottom w:val="0"/>
      <w:divBdr>
        <w:top w:val="none" w:sz="0" w:space="0" w:color="auto"/>
        <w:left w:val="none" w:sz="0" w:space="0" w:color="auto"/>
        <w:bottom w:val="none" w:sz="0" w:space="0" w:color="auto"/>
        <w:right w:val="none" w:sz="0" w:space="0" w:color="auto"/>
      </w:divBdr>
    </w:div>
    <w:div w:id="1496142902">
      <w:bodyDiv w:val="1"/>
      <w:marLeft w:val="0"/>
      <w:marRight w:val="0"/>
      <w:marTop w:val="0"/>
      <w:marBottom w:val="0"/>
      <w:divBdr>
        <w:top w:val="none" w:sz="0" w:space="0" w:color="auto"/>
        <w:left w:val="none" w:sz="0" w:space="0" w:color="auto"/>
        <w:bottom w:val="none" w:sz="0" w:space="0" w:color="auto"/>
        <w:right w:val="none" w:sz="0" w:space="0" w:color="auto"/>
      </w:divBdr>
    </w:div>
    <w:div w:id="1510102715">
      <w:bodyDiv w:val="1"/>
      <w:marLeft w:val="0"/>
      <w:marRight w:val="0"/>
      <w:marTop w:val="0"/>
      <w:marBottom w:val="0"/>
      <w:divBdr>
        <w:top w:val="none" w:sz="0" w:space="0" w:color="auto"/>
        <w:left w:val="none" w:sz="0" w:space="0" w:color="auto"/>
        <w:bottom w:val="none" w:sz="0" w:space="0" w:color="auto"/>
        <w:right w:val="none" w:sz="0" w:space="0" w:color="auto"/>
      </w:divBdr>
    </w:div>
    <w:div w:id="1552032556">
      <w:bodyDiv w:val="1"/>
      <w:marLeft w:val="0"/>
      <w:marRight w:val="0"/>
      <w:marTop w:val="0"/>
      <w:marBottom w:val="0"/>
      <w:divBdr>
        <w:top w:val="none" w:sz="0" w:space="0" w:color="auto"/>
        <w:left w:val="none" w:sz="0" w:space="0" w:color="auto"/>
        <w:bottom w:val="none" w:sz="0" w:space="0" w:color="auto"/>
        <w:right w:val="none" w:sz="0" w:space="0" w:color="auto"/>
      </w:divBdr>
    </w:div>
    <w:div w:id="199648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mt.lt/data/public/uploads/2017/11/mokslo-meno-darbu-formaliojo-vertinimo-rezultatai_2016_nauja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mt.lt/lt/mokslo-meno-vertinimas/anksciau-baigti-mokslo-meno-veiklos-vertinimai/20152016-metu-mokslo-meno-veiklos-vertinimas/2895" TargetMode="External"/><Relationship Id="rId5" Type="http://schemas.openxmlformats.org/officeDocument/2006/relationships/hyperlink" Target="http://www.aikos.smm.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4736</Words>
  <Characters>2701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Cieminienė</dc:creator>
  <cp:keywords/>
  <dc:description/>
  <cp:lastModifiedBy>Rosita Saukaitė</cp:lastModifiedBy>
  <cp:revision>2</cp:revision>
  <dcterms:created xsi:type="dcterms:W3CDTF">2020-10-05T07:02:00Z</dcterms:created>
  <dcterms:modified xsi:type="dcterms:W3CDTF">2020-10-05T07:02:00Z</dcterms:modified>
</cp:coreProperties>
</file>