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402A79" w14:textId="77777777" w:rsidR="0036662A" w:rsidRPr="00B36984" w:rsidRDefault="0036662A" w:rsidP="0036662A">
      <w:pPr>
        <w:jc w:val="center"/>
        <w:rPr>
          <w:b/>
          <w:bCs/>
        </w:rPr>
      </w:pPr>
      <w:bookmarkStart w:id="0" w:name="_GoBack"/>
      <w:bookmarkEnd w:id="0"/>
      <w:r w:rsidRPr="00B36984">
        <w:rPr>
          <w:b/>
          <w:bCs/>
        </w:rPr>
        <w:t xml:space="preserve">LIETUVOS RESPUBLIKOS </w:t>
      </w:r>
      <w:r w:rsidR="003D7F08" w:rsidRPr="00B36984">
        <w:rPr>
          <w:b/>
          <w:bCs/>
        </w:rPr>
        <w:t>EKONOMIKOS IR INOVACIJŲ</w:t>
      </w:r>
      <w:r w:rsidRPr="00B36984">
        <w:rPr>
          <w:b/>
          <w:bCs/>
        </w:rPr>
        <w:t xml:space="preserve"> MINISTERIJA</w:t>
      </w:r>
    </w:p>
    <w:p w14:paraId="16AA4956" w14:textId="77777777" w:rsidR="0036662A" w:rsidRPr="00B36984" w:rsidRDefault="0036662A" w:rsidP="0036662A">
      <w:pPr>
        <w:jc w:val="center"/>
        <w:rPr>
          <w:b/>
          <w:bCs/>
        </w:rPr>
      </w:pPr>
    </w:p>
    <w:p w14:paraId="1DCC38F1" w14:textId="77777777" w:rsidR="0036662A" w:rsidRPr="00B36984" w:rsidRDefault="0036662A" w:rsidP="0036662A">
      <w:pPr>
        <w:jc w:val="center"/>
        <w:rPr>
          <w:b/>
          <w:bCs/>
        </w:rPr>
      </w:pPr>
      <w:r w:rsidRPr="00B36984">
        <w:rPr>
          <w:b/>
          <w:bCs/>
        </w:rPr>
        <w:t xml:space="preserve">SOCIALINIŲ IR EKONOMINIŲ PARTNERIŲ PATEIKTŲ PASTABŲ IR PASIŪLYMŲ DĖL 2014–2020 METŲ EUROPOS SĄJUNGOS FONDŲ INVESTICIJŲ VEIKSMŲ PROGRAMOS </w:t>
      </w:r>
      <w:r w:rsidR="00547B73" w:rsidRPr="00B36984">
        <w:rPr>
          <w:b/>
          <w:szCs w:val="24"/>
        </w:rPr>
        <w:t xml:space="preserve">1 PRIORITETO „MOKSLINIŲ TYRIMŲ, EKSPERIMENTINĖS PLĖTROS IR INOVACIJŲ SKATINIMAS“ </w:t>
      </w:r>
      <w:r w:rsidR="00547B73" w:rsidRPr="00B36984">
        <w:rPr>
          <w:b/>
          <w:kern w:val="16"/>
          <w:szCs w:val="24"/>
        </w:rPr>
        <w:t xml:space="preserve">PRIEMONĖS </w:t>
      </w:r>
      <w:r w:rsidR="00547B73" w:rsidRPr="00B36984">
        <w:rPr>
          <w:b/>
          <w:kern w:val="16"/>
          <w:szCs w:val="24"/>
        </w:rPr>
        <w:br/>
        <w:t>N</w:t>
      </w:r>
      <w:r w:rsidR="00547B73" w:rsidRPr="00B36984">
        <w:rPr>
          <w:b/>
          <w:szCs w:val="24"/>
        </w:rPr>
        <w:t xml:space="preserve">R. </w:t>
      </w:r>
      <w:r w:rsidR="00B92B4E" w:rsidRPr="00B36984">
        <w:rPr>
          <w:rFonts w:eastAsia="AngsanaUPC"/>
          <w:b/>
          <w:szCs w:val="24"/>
        </w:rPr>
        <w:t>01.2.1-LVPA-T-859</w:t>
      </w:r>
      <w:r w:rsidR="00547B73" w:rsidRPr="00B36984">
        <w:rPr>
          <w:rFonts w:eastAsia="AngsanaUPC"/>
          <w:b/>
          <w:szCs w:val="24"/>
        </w:rPr>
        <w:t xml:space="preserve"> </w:t>
      </w:r>
      <w:r w:rsidR="00B92B4E" w:rsidRPr="00B36984">
        <w:rPr>
          <w:b/>
          <w:szCs w:val="24"/>
        </w:rPr>
        <w:t>„COVID-19 produktai LT</w:t>
      </w:r>
      <w:r w:rsidR="007C52CF" w:rsidRPr="00B36984">
        <w:rPr>
          <w:b/>
          <w:szCs w:val="24"/>
        </w:rPr>
        <w:t>“ FINANSAVIMO SĄLYGŲ APRAŠO</w:t>
      </w:r>
      <w:r w:rsidR="00547B73" w:rsidRPr="00B36984">
        <w:rPr>
          <w:b/>
          <w:szCs w:val="24"/>
        </w:rPr>
        <w:t xml:space="preserve"> </w:t>
      </w:r>
      <w:r w:rsidR="00B92B4E" w:rsidRPr="00B36984">
        <w:rPr>
          <w:b/>
          <w:szCs w:val="24"/>
        </w:rPr>
        <w:t xml:space="preserve">KEITIMO </w:t>
      </w:r>
      <w:r w:rsidR="00547B73" w:rsidRPr="00B36984">
        <w:rPr>
          <w:b/>
          <w:bCs/>
        </w:rPr>
        <w:t>DERINIMAS</w:t>
      </w:r>
    </w:p>
    <w:p w14:paraId="3EB14114" w14:textId="77777777" w:rsidR="0036662A" w:rsidRPr="00B36984" w:rsidRDefault="0036662A" w:rsidP="0036662A">
      <w:pPr>
        <w:rPr>
          <w:b/>
          <w:bCs/>
        </w:rPr>
      </w:pPr>
    </w:p>
    <w:tbl>
      <w:tblPr>
        <w:tblStyle w:val="TableGrid"/>
        <w:tblW w:w="14742" w:type="dxa"/>
        <w:tblInd w:w="108" w:type="dxa"/>
        <w:tblLook w:val="04A0" w:firstRow="1" w:lastRow="0" w:firstColumn="1" w:lastColumn="0" w:noHBand="0" w:noVBand="1"/>
      </w:tblPr>
      <w:tblGrid>
        <w:gridCol w:w="6804"/>
        <w:gridCol w:w="7938"/>
      </w:tblGrid>
      <w:tr w:rsidR="0036662A" w:rsidRPr="00A47275" w14:paraId="3F2611D3" w14:textId="77777777" w:rsidTr="00335D39">
        <w:tc>
          <w:tcPr>
            <w:tcW w:w="6804" w:type="dxa"/>
          </w:tcPr>
          <w:p w14:paraId="311A79B4" w14:textId="77777777" w:rsidR="0036662A" w:rsidRPr="00B36984" w:rsidRDefault="0036662A" w:rsidP="00335D39">
            <w:pPr>
              <w:rPr>
                <w:b/>
                <w:szCs w:val="24"/>
              </w:rPr>
            </w:pPr>
            <w:r w:rsidRPr="00B36984">
              <w:rPr>
                <w:b/>
                <w:szCs w:val="24"/>
              </w:rPr>
              <w:t xml:space="preserve">Paskelbimo </w:t>
            </w:r>
            <w:r w:rsidRPr="00B36984">
              <w:t>www.esinvesticijos.lt</w:t>
            </w:r>
            <w:r w:rsidRPr="00B36984">
              <w:rPr>
                <w:b/>
                <w:szCs w:val="24"/>
              </w:rPr>
              <w:t xml:space="preserve"> data</w:t>
            </w:r>
          </w:p>
        </w:tc>
        <w:tc>
          <w:tcPr>
            <w:tcW w:w="7938" w:type="dxa"/>
          </w:tcPr>
          <w:p w14:paraId="5FBBB545" w14:textId="77777777" w:rsidR="0036662A" w:rsidRPr="00B36984" w:rsidRDefault="00653AC2" w:rsidP="00997566">
            <w:pPr>
              <w:rPr>
                <w:szCs w:val="24"/>
              </w:rPr>
            </w:pPr>
            <w:r w:rsidRPr="00B36984">
              <w:rPr>
                <w:szCs w:val="24"/>
              </w:rPr>
              <w:t>2020-</w:t>
            </w:r>
            <w:r w:rsidR="00997566" w:rsidRPr="00A47275">
              <w:rPr>
                <w:szCs w:val="24"/>
              </w:rPr>
              <w:t>11-18</w:t>
            </w:r>
          </w:p>
        </w:tc>
      </w:tr>
      <w:tr w:rsidR="0036662A" w:rsidRPr="00A47275" w14:paraId="6B498872" w14:textId="77777777" w:rsidTr="00335D39">
        <w:tc>
          <w:tcPr>
            <w:tcW w:w="6804" w:type="dxa"/>
          </w:tcPr>
          <w:p w14:paraId="3286ABDD" w14:textId="77777777" w:rsidR="0036662A" w:rsidRPr="00A47275" w:rsidRDefault="0036662A" w:rsidP="00335D39">
            <w:pPr>
              <w:rPr>
                <w:b/>
                <w:szCs w:val="24"/>
              </w:rPr>
            </w:pPr>
            <w:r w:rsidRPr="00A47275">
              <w:rPr>
                <w:b/>
                <w:szCs w:val="24"/>
              </w:rPr>
              <w:t>Ar gauta pastabų ir (ar) pasiūlymų?</w:t>
            </w:r>
          </w:p>
          <w:p w14:paraId="737BF973" w14:textId="77777777" w:rsidR="0036662A" w:rsidRPr="00A47275" w:rsidRDefault="0036662A" w:rsidP="0036662A">
            <w:pPr>
              <w:rPr>
                <w:i/>
                <w:sz w:val="20"/>
              </w:rPr>
            </w:pPr>
            <w:r w:rsidRPr="00A47275">
              <w:rPr>
                <w:i/>
                <w:sz w:val="20"/>
              </w:rPr>
              <w:t>Jei pastabų ir pasiūlymų nebuvo gauta, į kitą klausimą neatsakoma ir žemiau esanti lentelė nepildoma</w:t>
            </w:r>
          </w:p>
        </w:tc>
        <w:tc>
          <w:tcPr>
            <w:tcW w:w="7938" w:type="dxa"/>
          </w:tcPr>
          <w:p w14:paraId="761DAB82" w14:textId="77777777" w:rsidR="0036662A" w:rsidRPr="00B36984" w:rsidRDefault="00C87862" w:rsidP="00B92B4E">
            <w:sdt>
              <w:sdtPr>
                <w:id w:val="1312749902"/>
              </w:sdtPr>
              <w:sdtEndPr/>
              <w:sdtContent>
                <w:bookmarkStart w:id="1" w:name="Check1"/>
                <w:r w:rsidR="00B92B4E" w:rsidRPr="00A47275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B92B4E" w:rsidRPr="00A47275">
                  <w:instrText xml:space="preserve"> FORMCHECKBOX </w:instrText>
                </w:r>
                <w:r>
                  <w:fldChar w:fldCharType="separate"/>
                </w:r>
                <w:r w:rsidR="00B92B4E" w:rsidRPr="00A47275">
                  <w:fldChar w:fldCharType="end"/>
                </w:r>
                <w:bookmarkEnd w:id="1"/>
                <w:r w:rsidR="0036662A" w:rsidRPr="00B36984">
                  <w:t xml:space="preserve"> </w:t>
                </w:r>
              </w:sdtContent>
            </w:sdt>
            <w:r w:rsidR="0036662A" w:rsidRPr="00B36984">
              <w:rPr>
                <w:szCs w:val="24"/>
              </w:rPr>
              <w:t xml:space="preserve">Taip </w:t>
            </w:r>
            <w:sdt>
              <w:sdtPr>
                <w:rPr>
                  <w:szCs w:val="24"/>
                </w:rPr>
                <w:id w:val="164368749"/>
              </w:sdtPr>
              <w:sdtEndPr/>
              <w:sdtContent>
                <w:r w:rsidR="00B92B4E" w:rsidRPr="00A47275">
                  <w:rPr>
                    <w:szCs w:val="24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B92B4E" w:rsidRPr="00A47275">
                  <w:rPr>
                    <w:szCs w:val="24"/>
                  </w:rPr>
                  <w:instrText xml:space="preserve"> FORMCHECKBOX </w:instrText>
                </w:r>
                <w:r>
                  <w:rPr>
                    <w:szCs w:val="24"/>
                  </w:rPr>
                </w:r>
                <w:r>
                  <w:rPr>
                    <w:szCs w:val="24"/>
                  </w:rPr>
                  <w:fldChar w:fldCharType="separate"/>
                </w:r>
                <w:r w:rsidR="00B92B4E" w:rsidRPr="00A47275">
                  <w:rPr>
                    <w:szCs w:val="24"/>
                  </w:rPr>
                  <w:fldChar w:fldCharType="end"/>
                </w:r>
                <w:r w:rsidR="0036662A" w:rsidRPr="00B36984">
                  <w:rPr>
                    <w:szCs w:val="24"/>
                  </w:rPr>
                  <w:t xml:space="preserve"> </w:t>
                </w:r>
              </w:sdtContent>
            </w:sdt>
            <w:r w:rsidR="0036662A" w:rsidRPr="00B36984">
              <w:rPr>
                <w:szCs w:val="24"/>
              </w:rPr>
              <w:t xml:space="preserve"> Ne</w:t>
            </w:r>
            <w:r w:rsidR="0036662A" w:rsidRPr="00A47275">
              <w:rPr>
                <w:szCs w:val="24"/>
              </w:rPr>
              <w:fldChar w:fldCharType="begin"/>
            </w:r>
            <w:r w:rsidR="0036662A" w:rsidRPr="00A47275">
              <w:rPr>
                <w:szCs w:val="24"/>
              </w:rPr>
              <w:instrText xml:space="preserve"> FILLIN   \* MERGEFORMAT </w:instrText>
            </w:r>
            <w:r w:rsidR="0036662A" w:rsidRPr="00A47275">
              <w:rPr>
                <w:szCs w:val="24"/>
              </w:rPr>
              <w:fldChar w:fldCharType="end"/>
            </w:r>
          </w:p>
        </w:tc>
      </w:tr>
      <w:tr w:rsidR="0036662A" w:rsidRPr="00A47275" w14:paraId="641955E8" w14:textId="77777777" w:rsidTr="00335D39">
        <w:tc>
          <w:tcPr>
            <w:tcW w:w="6804" w:type="dxa"/>
          </w:tcPr>
          <w:p w14:paraId="7F045EBE" w14:textId="77777777" w:rsidR="0036662A" w:rsidRPr="00A47275" w:rsidRDefault="0036662A" w:rsidP="00335D39">
            <w:pPr>
              <w:rPr>
                <w:b/>
                <w:szCs w:val="24"/>
              </w:rPr>
            </w:pPr>
            <w:r w:rsidRPr="00A47275">
              <w:rPr>
                <w:b/>
                <w:szCs w:val="24"/>
              </w:rPr>
              <w:t>Ar į visas pastabas ir (ar) pasiūlymus atsižvelgta?</w:t>
            </w:r>
          </w:p>
          <w:p w14:paraId="65B39D6D" w14:textId="77777777" w:rsidR="0036662A" w:rsidRPr="00A47275" w:rsidRDefault="0036662A" w:rsidP="00335D39">
            <w:pPr>
              <w:rPr>
                <w:i/>
                <w:sz w:val="20"/>
              </w:rPr>
            </w:pPr>
            <w:r w:rsidRPr="00A47275">
              <w:rPr>
                <w:i/>
                <w:sz w:val="20"/>
              </w:rPr>
              <w:t>Jei atsižvelgta į visas pastabas ir (ar) pasiūlymus, žemiau esanti lentelė nepildoma</w:t>
            </w:r>
          </w:p>
        </w:tc>
        <w:tc>
          <w:tcPr>
            <w:tcW w:w="7938" w:type="dxa"/>
          </w:tcPr>
          <w:p w14:paraId="36AB48EC" w14:textId="77777777" w:rsidR="0036662A" w:rsidRPr="00B36984" w:rsidRDefault="00C87862" w:rsidP="00B92B4E">
            <w:pPr>
              <w:rPr>
                <w:szCs w:val="24"/>
              </w:rPr>
            </w:pPr>
            <w:sdt>
              <w:sdtPr>
                <w:id w:val="-1548671976"/>
              </w:sdtPr>
              <w:sdtEndPr/>
              <w:sdtContent>
                <w:r w:rsidR="0036662A" w:rsidRPr="00A47275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 w:rsidRPr="00A47275">
                  <w:instrText xml:space="preserve"> FORMCHECKBOX </w:instrText>
                </w:r>
                <w:r>
                  <w:fldChar w:fldCharType="separate"/>
                </w:r>
                <w:r w:rsidR="0036662A" w:rsidRPr="00A47275">
                  <w:fldChar w:fldCharType="end"/>
                </w:r>
              </w:sdtContent>
            </w:sdt>
            <w:r w:rsidR="0036662A" w:rsidRPr="00B36984">
              <w:rPr>
                <w:szCs w:val="24"/>
              </w:rPr>
              <w:t xml:space="preserve"> Taip </w:t>
            </w:r>
            <w:sdt>
              <w:sdtPr>
                <w:id w:val="-338542889"/>
              </w:sdtPr>
              <w:sdtEndPr/>
              <w:sdtContent>
                <w:r w:rsidR="00B92B4E" w:rsidRPr="00A47275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B92B4E" w:rsidRPr="00A47275">
                  <w:instrText xml:space="preserve"> FORMCHECKBOX </w:instrText>
                </w:r>
                <w:r>
                  <w:fldChar w:fldCharType="separate"/>
                </w:r>
                <w:r w:rsidR="00B92B4E" w:rsidRPr="00A47275">
                  <w:fldChar w:fldCharType="end"/>
                </w:r>
              </w:sdtContent>
            </w:sdt>
            <w:r w:rsidR="0036662A" w:rsidRPr="00B36984">
              <w:rPr>
                <w:szCs w:val="24"/>
              </w:rPr>
              <w:t xml:space="preserve"> Ne </w:t>
            </w:r>
          </w:p>
        </w:tc>
      </w:tr>
    </w:tbl>
    <w:p w14:paraId="3B018CC2" w14:textId="77777777" w:rsidR="0036662A" w:rsidRPr="00A47275" w:rsidRDefault="0036662A" w:rsidP="0036662A">
      <w:pPr>
        <w:rPr>
          <w:szCs w:val="24"/>
        </w:rPr>
      </w:pPr>
    </w:p>
    <w:tbl>
      <w:tblPr>
        <w:tblStyle w:val="TableGrid"/>
        <w:tblW w:w="14879" w:type="dxa"/>
        <w:tblLayout w:type="fixed"/>
        <w:tblLook w:val="04A0" w:firstRow="1" w:lastRow="0" w:firstColumn="1" w:lastColumn="0" w:noHBand="0" w:noVBand="1"/>
      </w:tblPr>
      <w:tblGrid>
        <w:gridCol w:w="696"/>
        <w:gridCol w:w="1390"/>
        <w:gridCol w:w="5706"/>
        <w:gridCol w:w="7087"/>
      </w:tblGrid>
      <w:tr w:rsidR="0036662A" w:rsidRPr="00A47275" w14:paraId="55DEF9AD" w14:textId="77777777" w:rsidTr="00B92B4E">
        <w:tc>
          <w:tcPr>
            <w:tcW w:w="696" w:type="dxa"/>
          </w:tcPr>
          <w:p w14:paraId="4581C265" w14:textId="77777777" w:rsidR="0036662A" w:rsidRPr="00A47275" w:rsidRDefault="0036662A" w:rsidP="003A219C">
            <w:pPr>
              <w:jc w:val="center"/>
              <w:rPr>
                <w:b/>
                <w:szCs w:val="24"/>
              </w:rPr>
            </w:pPr>
            <w:r w:rsidRPr="00A47275">
              <w:rPr>
                <w:b/>
                <w:szCs w:val="24"/>
              </w:rPr>
              <w:t>Nr.</w:t>
            </w:r>
          </w:p>
        </w:tc>
        <w:tc>
          <w:tcPr>
            <w:tcW w:w="1390" w:type="dxa"/>
          </w:tcPr>
          <w:p w14:paraId="1E0B8751" w14:textId="77777777" w:rsidR="0036662A" w:rsidRPr="00A47275" w:rsidRDefault="0036662A" w:rsidP="003A219C">
            <w:pPr>
              <w:jc w:val="center"/>
              <w:rPr>
                <w:b/>
                <w:szCs w:val="24"/>
              </w:rPr>
            </w:pPr>
            <w:r w:rsidRPr="00A47275">
              <w:rPr>
                <w:b/>
                <w:szCs w:val="24"/>
              </w:rPr>
              <w:t>Institucija</w:t>
            </w:r>
          </w:p>
        </w:tc>
        <w:tc>
          <w:tcPr>
            <w:tcW w:w="5706" w:type="dxa"/>
          </w:tcPr>
          <w:p w14:paraId="3B52F41C" w14:textId="77777777" w:rsidR="0036662A" w:rsidRPr="00A47275" w:rsidRDefault="0036662A" w:rsidP="003A219C">
            <w:pPr>
              <w:jc w:val="center"/>
              <w:rPr>
                <w:b/>
                <w:szCs w:val="24"/>
              </w:rPr>
            </w:pPr>
            <w:r w:rsidRPr="00A47275">
              <w:rPr>
                <w:b/>
                <w:bCs/>
                <w:szCs w:val="24"/>
              </w:rPr>
              <w:t>Pastabos ir pasiūlymai</w:t>
            </w:r>
          </w:p>
        </w:tc>
        <w:tc>
          <w:tcPr>
            <w:tcW w:w="7087" w:type="dxa"/>
          </w:tcPr>
          <w:p w14:paraId="786BAD29" w14:textId="77777777" w:rsidR="0036662A" w:rsidRPr="00A47275" w:rsidRDefault="0036662A" w:rsidP="003A219C">
            <w:pPr>
              <w:jc w:val="center"/>
              <w:rPr>
                <w:b/>
                <w:szCs w:val="24"/>
              </w:rPr>
            </w:pPr>
            <w:r w:rsidRPr="00A47275">
              <w:rPr>
                <w:b/>
                <w:bCs/>
                <w:szCs w:val="24"/>
              </w:rPr>
              <w:t>Pastabų ir pasiūlymų vertinimas ir (jei taikoma) argumentai, kodėl neatsižvelgta į pastabas ar pasiūlymus</w:t>
            </w:r>
          </w:p>
        </w:tc>
      </w:tr>
      <w:tr w:rsidR="003A219C" w:rsidRPr="00A47275" w14:paraId="55FB73D1" w14:textId="77777777" w:rsidTr="008F698C"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14:paraId="661D3E62" w14:textId="77777777" w:rsidR="003A219C" w:rsidRPr="00A47275" w:rsidRDefault="00B92B4E" w:rsidP="00B92B4E">
            <w:pPr>
              <w:jc w:val="both"/>
              <w:rPr>
                <w:szCs w:val="24"/>
              </w:rPr>
            </w:pPr>
            <w:r w:rsidRPr="00A47275">
              <w:rPr>
                <w:szCs w:val="24"/>
              </w:rPr>
              <w:t>1.</w:t>
            </w:r>
          </w:p>
        </w:tc>
        <w:tc>
          <w:tcPr>
            <w:tcW w:w="1390" w:type="dxa"/>
            <w:tcBorders>
              <w:top w:val="single" w:sz="4" w:space="0" w:color="auto"/>
              <w:bottom w:val="single" w:sz="4" w:space="0" w:color="auto"/>
            </w:tcBorders>
          </w:tcPr>
          <w:p w14:paraId="0AEF1BF5" w14:textId="77777777" w:rsidR="003A219C" w:rsidRPr="00A47275" w:rsidRDefault="00B92B4E" w:rsidP="003A219C">
            <w:pPr>
              <w:rPr>
                <w:iCs/>
                <w:szCs w:val="24"/>
              </w:rPr>
            </w:pPr>
            <w:r w:rsidRPr="00A47275">
              <w:rPr>
                <w:iCs/>
                <w:szCs w:val="24"/>
              </w:rPr>
              <w:t>Simonas Žunda</w:t>
            </w:r>
          </w:p>
        </w:tc>
        <w:tc>
          <w:tcPr>
            <w:tcW w:w="5706" w:type="dxa"/>
            <w:tcBorders>
              <w:top w:val="single" w:sz="4" w:space="0" w:color="auto"/>
              <w:bottom w:val="single" w:sz="4" w:space="0" w:color="auto"/>
            </w:tcBorders>
          </w:tcPr>
          <w:p w14:paraId="12103E21" w14:textId="77777777" w:rsidR="00B92B4E" w:rsidRPr="00A47275" w:rsidRDefault="00B92B4E" w:rsidP="004B2C21">
            <w:pPr>
              <w:jc w:val="both"/>
            </w:pPr>
            <w:r w:rsidRPr="00A47275">
              <w:t xml:space="preserve">1) </w:t>
            </w:r>
            <w:r w:rsidRPr="00B36984">
              <w:t xml:space="preserve">Turi būti keičiami 21 ir </w:t>
            </w:r>
            <w:r w:rsidRPr="00B36984">
              <w:rPr>
                <w:u w:val="single"/>
              </w:rPr>
              <w:t>63 punktai</w:t>
            </w:r>
            <w:r w:rsidRPr="00B36984">
              <w:t>, techninė klaida.</w:t>
            </w:r>
          </w:p>
          <w:p w14:paraId="142C2D57" w14:textId="77777777" w:rsidR="003A219C" w:rsidRPr="00A47275" w:rsidRDefault="00DC2BB5" w:rsidP="004B2C21">
            <w:pPr>
              <w:jc w:val="both"/>
            </w:pPr>
            <w:r w:rsidRPr="00A47275">
              <w:t xml:space="preserve">2) </w:t>
            </w:r>
            <w:r w:rsidR="00B92B4E" w:rsidRPr="00A47275">
              <w:t>Kadangi šiuo metu yra vertinami šios priemonės pirmojo kvietimo projektai, pateikti pagal galiojančio PFSA nuostatas, daugelis pareiškėjų jau yra pradėję vykdyti projektų veiklas savo rizika, todėl atsižvelgiant į pareiškėjų teisėtus lūkesčius ir lygiateisiškumo principą, pakeistos aprašo nuostatos negali būti taikomos pagal pirmą priemonės COVID-19 produktai LT kvietimą paraiškas pateikusiems projektų vykdytojams, šie projektai turi būti įvertinti ir priimtas sprendimas dėl finansavimo/nefinansavimo iki 2020-12-31.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</w:tcPr>
          <w:p w14:paraId="7DD422AA" w14:textId="77777777" w:rsidR="003A219C" w:rsidRPr="00A47275" w:rsidRDefault="00DC2BB5" w:rsidP="003A219C">
            <w:pPr>
              <w:rPr>
                <w:szCs w:val="24"/>
              </w:rPr>
            </w:pPr>
            <w:r w:rsidRPr="00A47275">
              <w:rPr>
                <w:szCs w:val="24"/>
              </w:rPr>
              <w:t>1) Atsižvelgta, techninė klaida pakoreguota;</w:t>
            </w:r>
          </w:p>
          <w:p w14:paraId="4E42DF93" w14:textId="431BB56A" w:rsidR="003F6CC2" w:rsidRPr="00A47275" w:rsidRDefault="00DC2BB5" w:rsidP="008F698C">
            <w:pPr>
              <w:jc w:val="both"/>
              <w:rPr>
                <w:rFonts w:eastAsiaTheme="minorHAnsi"/>
                <w:szCs w:val="24"/>
                <w:lang w:eastAsia="en-US"/>
              </w:rPr>
            </w:pPr>
            <w:r w:rsidRPr="00A47275">
              <w:rPr>
                <w:szCs w:val="24"/>
              </w:rPr>
              <w:t xml:space="preserve">2) </w:t>
            </w:r>
            <w:r w:rsidR="00DE3049" w:rsidRPr="00A47275">
              <w:rPr>
                <w:szCs w:val="24"/>
              </w:rPr>
              <w:t>Pateiktu keitimu siekiama užtikrinti, kad įgyvendinančiajai institucijai atlikus paraiškų vertinimą,</w:t>
            </w:r>
            <w:r w:rsidR="003F6CC2" w:rsidRPr="00A47275">
              <w:rPr>
                <w:szCs w:val="24"/>
              </w:rPr>
              <w:t xml:space="preserve"> kuris vadovaujantis priemonės projektų finansavimo sąlygų aprašo 58 punktu turi trukti ne ilgiau kaip 60 dien</w:t>
            </w:r>
            <w:r w:rsidR="003F6CC2" w:rsidRPr="00B36984">
              <w:rPr>
                <w:szCs w:val="24"/>
              </w:rPr>
              <w:t xml:space="preserve">ų nuo paraiškos pateikimo, kyla rizika dėl sprendimo priėmimo iki </w:t>
            </w:r>
            <w:r w:rsidR="003F6CC2" w:rsidRPr="00A47275">
              <w:rPr>
                <w:szCs w:val="24"/>
              </w:rPr>
              <w:t>2020 m. gruod</w:t>
            </w:r>
            <w:r w:rsidR="003F6CC2" w:rsidRPr="00B36984">
              <w:rPr>
                <w:szCs w:val="24"/>
              </w:rPr>
              <w:t xml:space="preserve">žio </w:t>
            </w:r>
            <w:r w:rsidR="003F6CC2" w:rsidRPr="00A47275">
              <w:rPr>
                <w:szCs w:val="24"/>
              </w:rPr>
              <w:t>31 d. Paminėtina, kad kvietimas buvo paskelbtas 2020 m. spalio 28 d., tad parai</w:t>
            </w:r>
            <w:r w:rsidR="003F6CC2" w:rsidRPr="00B36984">
              <w:rPr>
                <w:szCs w:val="24"/>
              </w:rPr>
              <w:t xml:space="preserve">škų vertinimas gali trukti iki </w:t>
            </w:r>
            <w:r w:rsidR="00B0733D" w:rsidRPr="00B36984">
              <w:rPr>
                <w:szCs w:val="24"/>
              </w:rPr>
              <w:t xml:space="preserve">gruodžio </w:t>
            </w:r>
            <w:r w:rsidR="00B0733D" w:rsidRPr="00A47275">
              <w:rPr>
                <w:szCs w:val="24"/>
              </w:rPr>
              <w:t>28 d., jei nekils Aprašo 59 punkte nustatyt</w:t>
            </w:r>
            <w:r w:rsidR="00B0733D" w:rsidRPr="00B36984">
              <w:rPr>
                <w:szCs w:val="24"/>
              </w:rPr>
              <w:t>ų aplinkybių.</w:t>
            </w:r>
            <w:r w:rsidR="00221A8B" w:rsidRPr="00B36984">
              <w:rPr>
                <w:szCs w:val="24"/>
              </w:rPr>
              <w:t xml:space="preserve"> Projektų admini</w:t>
            </w:r>
            <w:r w:rsidR="00B36984">
              <w:rPr>
                <w:szCs w:val="24"/>
              </w:rPr>
              <w:t>s</w:t>
            </w:r>
            <w:r w:rsidR="00221A8B" w:rsidRPr="00B36984">
              <w:rPr>
                <w:szCs w:val="24"/>
              </w:rPr>
              <w:t xml:space="preserve">travimo ir finansavimo taisyklių, patvirtintų Lietuvos Respublikos finansų ministro </w:t>
            </w:r>
            <w:r w:rsidR="00221A8B" w:rsidRPr="00A47275">
              <w:rPr>
                <w:szCs w:val="24"/>
              </w:rPr>
              <w:t xml:space="preserve">2014 m. spalio 8 d. </w:t>
            </w:r>
            <w:r w:rsidR="00221A8B" w:rsidRPr="00B36984">
              <w:rPr>
                <w:szCs w:val="24"/>
              </w:rPr>
              <w:t xml:space="preserve">įsakymu Nr. </w:t>
            </w:r>
            <w:r w:rsidR="00221A8B" w:rsidRPr="00A47275">
              <w:rPr>
                <w:szCs w:val="24"/>
              </w:rPr>
              <w:t xml:space="preserve">1K-316, 153 punkte nustatyta, kad </w:t>
            </w:r>
            <w:r w:rsidR="00221A8B" w:rsidRPr="00B36984">
              <w:rPr>
                <w:szCs w:val="24"/>
              </w:rPr>
              <w:t>„</w:t>
            </w:r>
            <w:r w:rsidR="00221A8B" w:rsidRPr="00B36984">
              <w:rPr>
                <w:rFonts w:eastAsiaTheme="minorHAnsi"/>
                <w:szCs w:val="24"/>
                <w:lang w:eastAsia="en-US"/>
              </w:rPr>
              <w:t xml:space="preserve">153. Sprendimą dėl projekto finansavimo priima ministerija, vadovaudamasi projektų vertinimo ir atrankos rezultatais, </w:t>
            </w:r>
            <w:r w:rsidR="00221A8B" w:rsidRPr="00A47275">
              <w:rPr>
                <w:rFonts w:eastAsiaTheme="minorHAnsi"/>
                <w:szCs w:val="24"/>
                <w:u w:val="single"/>
                <w:lang w:eastAsia="en-US"/>
              </w:rPr>
              <w:t>ne vėliau kaip per 14 dienų</w:t>
            </w:r>
            <w:r w:rsidR="00221A8B" w:rsidRPr="00A47275">
              <w:rPr>
                <w:rFonts w:eastAsiaTheme="minorHAnsi"/>
                <w:szCs w:val="24"/>
                <w:lang w:eastAsia="en-US"/>
              </w:rPr>
              <w:t xml:space="preserve"> nuo Taisyklių 147 punkte nurodytų dokumentų arba, jei ministerija dėl šių dokumentų pateikė pastabų, nuo Taisyklių 152 punkte nustatyta tvarka pataisytų dokumentų gavimo dienos.“.</w:t>
            </w:r>
            <w:r w:rsidR="00B36984">
              <w:rPr>
                <w:rFonts w:eastAsiaTheme="minorHAnsi"/>
                <w:szCs w:val="24"/>
                <w:lang w:eastAsia="en-US"/>
              </w:rPr>
              <w:t xml:space="preserve"> Taigi, užsitęsus vertinimui ir sprendimo nepriėmus iki </w:t>
            </w:r>
            <w:r w:rsidR="00B36984">
              <w:rPr>
                <w:rFonts w:eastAsiaTheme="minorHAnsi"/>
                <w:szCs w:val="24"/>
                <w:lang w:val="en-US" w:eastAsia="en-US"/>
              </w:rPr>
              <w:t xml:space="preserve">2020 m. </w:t>
            </w:r>
            <w:proofErr w:type="spellStart"/>
            <w:r w:rsidR="00B36984">
              <w:rPr>
                <w:rFonts w:eastAsiaTheme="minorHAnsi"/>
                <w:szCs w:val="24"/>
                <w:lang w:val="en-US" w:eastAsia="en-US"/>
              </w:rPr>
              <w:t>gruod</w:t>
            </w:r>
            <w:r w:rsidR="00B36984">
              <w:rPr>
                <w:rFonts w:eastAsiaTheme="minorHAnsi"/>
                <w:szCs w:val="24"/>
                <w:lang w:eastAsia="en-US"/>
              </w:rPr>
              <w:t>žio</w:t>
            </w:r>
            <w:proofErr w:type="spellEnd"/>
            <w:r w:rsidR="00B36984">
              <w:rPr>
                <w:rFonts w:eastAsiaTheme="minorHAnsi"/>
                <w:szCs w:val="24"/>
                <w:lang w:eastAsia="en-US"/>
              </w:rPr>
              <w:t xml:space="preserve"> </w:t>
            </w:r>
            <w:r w:rsidR="00B36984">
              <w:rPr>
                <w:rFonts w:eastAsiaTheme="minorHAnsi"/>
                <w:szCs w:val="24"/>
                <w:lang w:val="en-US" w:eastAsia="en-US"/>
              </w:rPr>
              <w:t xml:space="preserve">31 </w:t>
            </w:r>
            <w:r w:rsidR="00B36984">
              <w:rPr>
                <w:rFonts w:eastAsiaTheme="minorHAnsi"/>
                <w:szCs w:val="24"/>
                <w:lang w:eastAsia="en-US"/>
              </w:rPr>
              <w:t xml:space="preserve">d., jis nebebus galimas po </w:t>
            </w:r>
            <w:r w:rsidR="00B36984">
              <w:rPr>
                <w:rFonts w:eastAsiaTheme="minorHAnsi"/>
                <w:szCs w:val="24"/>
                <w:lang w:val="en-US" w:eastAsia="en-US"/>
              </w:rPr>
              <w:t xml:space="preserve">2021 m. </w:t>
            </w:r>
            <w:proofErr w:type="spellStart"/>
            <w:r w:rsidR="00B36984">
              <w:rPr>
                <w:rFonts w:eastAsiaTheme="minorHAnsi"/>
                <w:szCs w:val="24"/>
                <w:lang w:val="en-US" w:eastAsia="en-US"/>
              </w:rPr>
              <w:t>sausio</w:t>
            </w:r>
            <w:proofErr w:type="spellEnd"/>
            <w:r w:rsidR="00B36984">
              <w:rPr>
                <w:rFonts w:eastAsiaTheme="minorHAnsi"/>
                <w:szCs w:val="24"/>
                <w:lang w:val="en-US" w:eastAsia="en-US"/>
              </w:rPr>
              <w:t xml:space="preserve"> 1 d.</w:t>
            </w:r>
            <w:r w:rsidR="00A47275">
              <w:rPr>
                <w:rFonts w:eastAsiaTheme="minorHAnsi"/>
                <w:szCs w:val="24"/>
                <w:lang w:val="en-US" w:eastAsia="en-US"/>
              </w:rPr>
              <w:t>, t. y. kilt</w:t>
            </w:r>
            <w:r w:rsidR="00A47275">
              <w:rPr>
                <w:rFonts w:eastAsiaTheme="minorHAnsi"/>
                <w:szCs w:val="24"/>
                <w:lang w:eastAsia="en-US"/>
              </w:rPr>
              <w:t>ų rizika pateiktų paraiškų finansavimui.</w:t>
            </w:r>
          </w:p>
          <w:p w14:paraId="7687E224" w14:textId="77777777" w:rsidR="00DC2BB5" w:rsidRPr="00A47275" w:rsidRDefault="00221A8B" w:rsidP="008F698C">
            <w:pPr>
              <w:jc w:val="both"/>
              <w:rPr>
                <w:szCs w:val="24"/>
              </w:rPr>
            </w:pPr>
            <w:r w:rsidRPr="00A47275">
              <w:rPr>
                <w:szCs w:val="24"/>
              </w:rPr>
              <w:lastRenderedPageBreak/>
              <w:t>Ap</w:t>
            </w:r>
            <w:r w:rsidR="002A4CDD" w:rsidRPr="00A47275">
              <w:rPr>
                <w:szCs w:val="24"/>
              </w:rPr>
              <w:t xml:space="preserve">ibendrinant tai, kad išdėstyta aukščiau, informuojame, kad </w:t>
            </w:r>
            <w:r w:rsidR="002A4CDD" w:rsidRPr="00B36984">
              <w:rPr>
                <w:szCs w:val="24"/>
              </w:rPr>
              <w:t>š</w:t>
            </w:r>
            <w:r w:rsidR="004B2C21" w:rsidRPr="00B36984">
              <w:rPr>
                <w:szCs w:val="24"/>
              </w:rPr>
              <w:t xml:space="preserve">is keitimas </w:t>
            </w:r>
            <w:r w:rsidR="002A4CDD" w:rsidRPr="00B36984">
              <w:rPr>
                <w:szCs w:val="24"/>
              </w:rPr>
              <w:t>nepažeis</w:t>
            </w:r>
            <w:r w:rsidR="004B2C21" w:rsidRPr="00B36984">
              <w:rPr>
                <w:szCs w:val="24"/>
              </w:rPr>
              <w:t xml:space="preserve"> </w:t>
            </w:r>
            <w:r w:rsidR="002A4CDD" w:rsidRPr="00B36984">
              <w:rPr>
                <w:szCs w:val="24"/>
              </w:rPr>
              <w:t>A</w:t>
            </w:r>
            <w:r w:rsidR="004B2C21" w:rsidRPr="00B36984">
              <w:rPr>
                <w:szCs w:val="24"/>
              </w:rPr>
              <w:t xml:space="preserve">prašo </w:t>
            </w:r>
            <w:r w:rsidR="004B2C21" w:rsidRPr="00A47275">
              <w:rPr>
                <w:szCs w:val="24"/>
              </w:rPr>
              <w:t>58</w:t>
            </w:r>
            <w:r w:rsidR="0061335B" w:rsidRPr="00B36984">
              <w:rPr>
                <w:szCs w:val="24"/>
              </w:rPr>
              <w:t xml:space="preserve"> punkto nuostatų, taip</w:t>
            </w:r>
            <w:r w:rsidR="00D4401F" w:rsidRPr="00B36984">
              <w:rPr>
                <w:szCs w:val="24"/>
              </w:rPr>
              <w:t xml:space="preserve"> pat</w:t>
            </w:r>
            <w:r w:rsidR="0061335B" w:rsidRPr="00B36984">
              <w:rPr>
                <w:szCs w:val="24"/>
              </w:rPr>
              <w:t xml:space="preserve"> Projektų administravimo ir finansavimo taisyklių</w:t>
            </w:r>
            <w:r w:rsidR="00B36984">
              <w:rPr>
                <w:szCs w:val="24"/>
              </w:rPr>
              <w:t xml:space="preserve"> </w:t>
            </w:r>
            <w:r w:rsidR="00265831" w:rsidRPr="00A47275">
              <w:rPr>
                <w:szCs w:val="24"/>
              </w:rPr>
              <w:t>III skyriaus 17 skirsnio nuostat</w:t>
            </w:r>
            <w:r w:rsidR="00265831" w:rsidRPr="00B36984">
              <w:rPr>
                <w:szCs w:val="24"/>
              </w:rPr>
              <w:t>ų, t. y. bus išla</w:t>
            </w:r>
            <w:r w:rsidRPr="00B36984">
              <w:rPr>
                <w:szCs w:val="24"/>
              </w:rPr>
              <w:t>i</w:t>
            </w:r>
            <w:r w:rsidR="00265831" w:rsidRPr="00B36984">
              <w:rPr>
                <w:szCs w:val="24"/>
              </w:rPr>
              <w:t>komi nustatyti vertinimo ir sprendimų</w:t>
            </w:r>
            <w:r w:rsidRPr="00B36984">
              <w:rPr>
                <w:szCs w:val="24"/>
              </w:rPr>
              <w:t xml:space="preserve"> priėmimo</w:t>
            </w:r>
            <w:r w:rsidR="00265831" w:rsidRPr="00B36984">
              <w:rPr>
                <w:szCs w:val="24"/>
              </w:rPr>
              <w:t xml:space="preserve"> terminai atitinkamai </w:t>
            </w:r>
            <w:r w:rsidR="00265831" w:rsidRPr="00A47275">
              <w:rPr>
                <w:szCs w:val="24"/>
                <w:u w:val="single"/>
              </w:rPr>
              <w:t>pagal paraiškos pateikimo datą</w:t>
            </w:r>
            <w:r w:rsidR="008F698C" w:rsidRPr="00A47275">
              <w:rPr>
                <w:szCs w:val="24"/>
              </w:rPr>
              <w:t xml:space="preserve">. </w:t>
            </w:r>
          </w:p>
        </w:tc>
      </w:tr>
      <w:tr w:rsidR="008F698C" w:rsidRPr="00A47275" w14:paraId="58E10E59" w14:textId="77777777" w:rsidTr="00B92B4E">
        <w:tc>
          <w:tcPr>
            <w:tcW w:w="696" w:type="dxa"/>
            <w:tcBorders>
              <w:top w:val="single" w:sz="4" w:space="0" w:color="auto"/>
            </w:tcBorders>
          </w:tcPr>
          <w:p w14:paraId="2A96F2C4" w14:textId="77777777" w:rsidR="008F698C" w:rsidRPr="00A47275" w:rsidRDefault="008F698C" w:rsidP="00B92B4E">
            <w:pPr>
              <w:jc w:val="both"/>
              <w:rPr>
                <w:szCs w:val="24"/>
              </w:rPr>
            </w:pPr>
            <w:r w:rsidRPr="00A47275">
              <w:rPr>
                <w:szCs w:val="24"/>
              </w:rPr>
              <w:lastRenderedPageBreak/>
              <w:t>2.</w:t>
            </w:r>
          </w:p>
        </w:tc>
        <w:tc>
          <w:tcPr>
            <w:tcW w:w="1390" w:type="dxa"/>
            <w:tcBorders>
              <w:top w:val="single" w:sz="4" w:space="0" w:color="auto"/>
            </w:tcBorders>
          </w:tcPr>
          <w:p w14:paraId="7BEC1ADF" w14:textId="77777777" w:rsidR="008F698C" w:rsidRPr="00A47275" w:rsidRDefault="008F698C" w:rsidP="003A219C">
            <w:pPr>
              <w:rPr>
                <w:iCs/>
                <w:szCs w:val="24"/>
              </w:rPr>
            </w:pPr>
            <w:r w:rsidRPr="00B36984">
              <w:rPr>
                <w:iCs/>
                <w:szCs w:val="24"/>
              </w:rPr>
              <w:t>UAB „</w:t>
            </w:r>
            <w:proofErr w:type="spellStart"/>
            <w:r w:rsidRPr="00B36984">
              <w:rPr>
                <w:iCs/>
                <w:szCs w:val="24"/>
              </w:rPr>
              <w:t>Re</w:t>
            </w:r>
            <w:proofErr w:type="spellEnd"/>
            <w:r w:rsidRPr="00B36984">
              <w:rPr>
                <w:iCs/>
                <w:szCs w:val="24"/>
              </w:rPr>
              <w:t xml:space="preserve"> </w:t>
            </w:r>
            <w:proofErr w:type="spellStart"/>
            <w:r w:rsidRPr="00B36984">
              <w:rPr>
                <w:iCs/>
                <w:szCs w:val="24"/>
              </w:rPr>
              <w:t>formus</w:t>
            </w:r>
            <w:proofErr w:type="spellEnd"/>
            <w:r w:rsidRPr="00B36984">
              <w:rPr>
                <w:iCs/>
                <w:szCs w:val="24"/>
              </w:rPr>
              <w:t>“</w:t>
            </w:r>
          </w:p>
        </w:tc>
        <w:tc>
          <w:tcPr>
            <w:tcW w:w="5706" w:type="dxa"/>
            <w:tcBorders>
              <w:top w:val="single" w:sz="4" w:space="0" w:color="auto"/>
            </w:tcBorders>
          </w:tcPr>
          <w:p w14:paraId="2BCFDCC4" w14:textId="77777777" w:rsidR="008F698C" w:rsidRPr="00A47275" w:rsidRDefault="00304616" w:rsidP="004B2C21">
            <w:pPr>
              <w:jc w:val="both"/>
            </w:pPr>
            <w:r w:rsidRPr="00A47275">
              <w:t>S</w:t>
            </w:r>
            <w:r w:rsidR="007A5212" w:rsidRPr="00A47275">
              <w:t>iūloma</w:t>
            </w:r>
            <w:r w:rsidRPr="00A47275">
              <w:t xml:space="preserve"> nepratęsti sprendimo priėmimo</w:t>
            </w:r>
            <w:r w:rsidR="007A5212" w:rsidRPr="00A47275">
              <w:t xml:space="preserve"> termino iki 2021-06-30.</w:t>
            </w:r>
          </w:p>
        </w:tc>
        <w:tc>
          <w:tcPr>
            <w:tcW w:w="7087" w:type="dxa"/>
            <w:tcBorders>
              <w:top w:val="single" w:sz="4" w:space="0" w:color="auto"/>
            </w:tcBorders>
          </w:tcPr>
          <w:p w14:paraId="60551980" w14:textId="2971E539" w:rsidR="00546EA5" w:rsidRPr="00A47275" w:rsidRDefault="00546EA5" w:rsidP="00546EA5">
            <w:pPr>
              <w:jc w:val="both"/>
              <w:rPr>
                <w:rFonts w:eastAsiaTheme="minorHAnsi"/>
                <w:szCs w:val="24"/>
                <w:lang w:eastAsia="en-US"/>
              </w:rPr>
            </w:pPr>
            <w:r w:rsidRPr="00A47275">
              <w:rPr>
                <w:szCs w:val="24"/>
              </w:rPr>
              <w:t>Pateiktu keitimu siekiama užtikrinti, kad įgyvendinančiajai institucijai atlikus paraiškų vertinimą, kuris vadovaujantis priemonės projektų finansavimo sąlygų aprašo 58 punktu turi trukti ne ilgiau kaip 60 dien</w:t>
            </w:r>
            <w:r w:rsidRPr="00B36984">
              <w:rPr>
                <w:szCs w:val="24"/>
              </w:rPr>
              <w:t xml:space="preserve">ų nuo paraiškos pateikimo, kyla rizika dėl sprendimo priėmimo iki </w:t>
            </w:r>
            <w:r w:rsidRPr="00A47275">
              <w:rPr>
                <w:szCs w:val="24"/>
              </w:rPr>
              <w:t>2020 m. gruod</w:t>
            </w:r>
            <w:r w:rsidRPr="00B36984">
              <w:rPr>
                <w:szCs w:val="24"/>
              </w:rPr>
              <w:t xml:space="preserve">žio </w:t>
            </w:r>
            <w:r w:rsidRPr="00A47275">
              <w:rPr>
                <w:szCs w:val="24"/>
              </w:rPr>
              <w:t>31 d. Paminėtina, kad kvietimas buvo paskelbtas 2020 m. spalio 28 d., tad parai</w:t>
            </w:r>
            <w:r w:rsidRPr="00B36984">
              <w:rPr>
                <w:szCs w:val="24"/>
              </w:rPr>
              <w:t xml:space="preserve">škų vertinimas gali trukti iki gruodžio </w:t>
            </w:r>
            <w:r w:rsidRPr="00A47275">
              <w:rPr>
                <w:szCs w:val="24"/>
              </w:rPr>
              <w:t>28 d., jei nekils Aprašo 59 punkte nustatyt</w:t>
            </w:r>
            <w:r w:rsidRPr="00B36984">
              <w:rPr>
                <w:szCs w:val="24"/>
              </w:rPr>
              <w:t>ų aplinkybių. Projektų admini</w:t>
            </w:r>
            <w:r w:rsidR="00B36984">
              <w:rPr>
                <w:szCs w:val="24"/>
              </w:rPr>
              <w:t>s</w:t>
            </w:r>
            <w:r w:rsidRPr="00B36984">
              <w:rPr>
                <w:szCs w:val="24"/>
              </w:rPr>
              <w:t xml:space="preserve">travimo ir finansavimo taisyklių, patvirtintų Lietuvos Respublikos finansų ministro </w:t>
            </w:r>
            <w:r w:rsidRPr="00A47275">
              <w:rPr>
                <w:szCs w:val="24"/>
              </w:rPr>
              <w:t xml:space="preserve">2014 m. spalio 8 d. </w:t>
            </w:r>
            <w:r w:rsidRPr="00B36984">
              <w:rPr>
                <w:szCs w:val="24"/>
              </w:rPr>
              <w:t xml:space="preserve">įsakymu Nr. </w:t>
            </w:r>
            <w:r w:rsidRPr="00A47275">
              <w:rPr>
                <w:szCs w:val="24"/>
              </w:rPr>
              <w:t xml:space="preserve">1K-316, 153 punkte nustatyta, kad </w:t>
            </w:r>
            <w:r w:rsidRPr="00B36984">
              <w:rPr>
                <w:szCs w:val="24"/>
              </w:rPr>
              <w:t>„</w:t>
            </w:r>
            <w:r w:rsidRPr="00B36984">
              <w:rPr>
                <w:rFonts w:eastAsiaTheme="minorHAnsi"/>
                <w:szCs w:val="24"/>
                <w:lang w:eastAsia="en-US"/>
              </w:rPr>
              <w:t>153. Sprendimą dėl projekto finansavimo priima ministerija, vadovaudamasi projektų vertini</w:t>
            </w:r>
            <w:r w:rsidRPr="00A47275">
              <w:rPr>
                <w:rFonts w:eastAsiaTheme="minorHAnsi"/>
                <w:szCs w:val="24"/>
                <w:lang w:eastAsia="en-US"/>
              </w:rPr>
              <w:t xml:space="preserve">mo ir atrankos rezultatais, </w:t>
            </w:r>
            <w:r w:rsidRPr="00A47275">
              <w:rPr>
                <w:rFonts w:eastAsiaTheme="minorHAnsi"/>
                <w:szCs w:val="24"/>
                <w:u w:val="single"/>
                <w:lang w:eastAsia="en-US"/>
              </w:rPr>
              <w:t>ne vėliau kaip per 14 dienų</w:t>
            </w:r>
            <w:r w:rsidRPr="00A47275">
              <w:rPr>
                <w:rFonts w:eastAsiaTheme="minorHAnsi"/>
                <w:szCs w:val="24"/>
                <w:lang w:eastAsia="en-US"/>
              </w:rPr>
              <w:t xml:space="preserve"> nuo Taisyklių 147 punkte nurodytų dokumentų arba, jei ministerija dėl šių dokumentų pateikė pastabų, nuo Taisyklių 152 punkte nustatyta tvarka pataisytų dokumentų gavimo dienos.“</w:t>
            </w:r>
            <w:r w:rsidR="00A47275">
              <w:rPr>
                <w:rFonts w:eastAsiaTheme="minorHAnsi"/>
                <w:szCs w:val="24"/>
                <w:lang w:eastAsia="en-US"/>
              </w:rPr>
              <w:t xml:space="preserve"> Taigi, užsitęsus vertinimui ir sprendimo nepriėmus iki </w:t>
            </w:r>
            <w:r w:rsidR="00A47275">
              <w:rPr>
                <w:rFonts w:eastAsiaTheme="minorHAnsi"/>
                <w:szCs w:val="24"/>
                <w:lang w:val="en-US" w:eastAsia="en-US"/>
              </w:rPr>
              <w:t xml:space="preserve">2020 m. </w:t>
            </w:r>
            <w:proofErr w:type="spellStart"/>
            <w:r w:rsidR="00A47275">
              <w:rPr>
                <w:rFonts w:eastAsiaTheme="minorHAnsi"/>
                <w:szCs w:val="24"/>
                <w:lang w:val="en-US" w:eastAsia="en-US"/>
              </w:rPr>
              <w:t>gruod</w:t>
            </w:r>
            <w:r w:rsidR="00A47275">
              <w:rPr>
                <w:rFonts w:eastAsiaTheme="minorHAnsi"/>
                <w:szCs w:val="24"/>
                <w:lang w:eastAsia="en-US"/>
              </w:rPr>
              <w:t>žio</w:t>
            </w:r>
            <w:proofErr w:type="spellEnd"/>
            <w:r w:rsidR="00A47275">
              <w:rPr>
                <w:rFonts w:eastAsiaTheme="minorHAnsi"/>
                <w:szCs w:val="24"/>
                <w:lang w:eastAsia="en-US"/>
              </w:rPr>
              <w:t xml:space="preserve"> </w:t>
            </w:r>
            <w:r w:rsidR="00A47275">
              <w:rPr>
                <w:rFonts w:eastAsiaTheme="minorHAnsi"/>
                <w:szCs w:val="24"/>
                <w:lang w:val="en-US" w:eastAsia="en-US"/>
              </w:rPr>
              <w:t xml:space="preserve">31 </w:t>
            </w:r>
            <w:r w:rsidR="00A47275">
              <w:rPr>
                <w:rFonts w:eastAsiaTheme="minorHAnsi"/>
                <w:szCs w:val="24"/>
                <w:lang w:eastAsia="en-US"/>
              </w:rPr>
              <w:t xml:space="preserve">d., jis nebebus galimas po </w:t>
            </w:r>
            <w:r w:rsidR="00A47275">
              <w:rPr>
                <w:rFonts w:eastAsiaTheme="minorHAnsi"/>
                <w:szCs w:val="24"/>
                <w:lang w:val="en-US" w:eastAsia="en-US"/>
              </w:rPr>
              <w:t xml:space="preserve">2021 m. </w:t>
            </w:r>
            <w:proofErr w:type="spellStart"/>
            <w:r w:rsidR="00A47275">
              <w:rPr>
                <w:rFonts w:eastAsiaTheme="minorHAnsi"/>
                <w:szCs w:val="24"/>
                <w:lang w:val="en-US" w:eastAsia="en-US"/>
              </w:rPr>
              <w:t>sausio</w:t>
            </w:r>
            <w:proofErr w:type="spellEnd"/>
            <w:r w:rsidR="00A47275">
              <w:rPr>
                <w:rFonts w:eastAsiaTheme="minorHAnsi"/>
                <w:szCs w:val="24"/>
                <w:lang w:val="en-US" w:eastAsia="en-US"/>
              </w:rPr>
              <w:t xml:space="preserve"> 1 d., t. y. kilt</w:t>
            </w:r>
            <w:r w:rsidR="00A47275">
              <w:rPr>
                <w:rFonts w:eastAsiaTheme="minorHAnsi"/>
                <w:szCs w:val="24"/>
                <w:lang w:eastAsia="en-US"/>
              </w:rPr>
              <w:t>ų rizika pateiktų paraiškų finansavimui.</w:t>
            </w:r>
          </w:p>
          <w:p w14:paraId="3BC03C96" w14:textId="77777777" w:rsidR="008F698C" w:rsidRPr="00A47275" w:rsidRDefault="00546EA5" w:rsidP="00546EA5">
            <w:pPr>
              <w:jc w:val="both"/>
              <w:rPr>
                <w:szCs w:val="24"/>
              </w:rPr>
            </w:pPr>
            <w:r w:rsidRPr="00A47275">
              <w:rPr>
                <w:szCs w:val="24"/>
              </w:rPr>
              <w:t xml:space="preserve">Apibendrinant tai, kad išdėstyta aukščiau, informuojame, kad </w:t>
            </w:r>
            <w:r w:rsidRPr="00B36984">
              <w:rPr>
                <w:szCs w:val="24"/>
              </w:rPr>
              <w:t xml:space="preserve">šis keitimas nepažeis Aprašo </w:t>
            </w:r>
            <w:r w:rsidRPr="00A47275">
              <w:rPr>
                <w:szCs w:val="24"/>
              </w:rPr>
              <w:t>58</w:t>
            </w:r>
            <w:r w:rsidRPr="00B36984">
              <w:rPr>
                <w:szCs w:val="24"/>
              </w:rPr>
              <w:t xml:space="preserve"> punkto nuostatų, taip</w:t>
            </w:r>
            <w:r w:rsidR="00D4401F" w:rsidRPr="00B36984">
              <w:rPr>
                <w:szCs w:val="24"/>
              </w:rPr>
              <w:t xml:space="preserve"> pat</w:t>
            </w:r>
            <w:r w:rsidRPr="00B36984">
              <w:rPr>
                <w:szCs w:val="24"/>
              </w:rPr>
              <w:t xml:space="preserve"> Projektų administravimo ir finansavimo taisyklių</w:t>
            </w:r>
            <w:r w:rsidR="00B36984">
              <w:rPr>
                <w:szCs w:val="24"/>
              </w:rPr>
              <w:t xml:space="preserve"> </w:t>
            </w:r>
            <w:r w:rsidRPr="00A47275">
              <w:rPr>
                <w:szCs w:val="24"/>
              </w:rPr>
              <w:t>III skyriaus 17 skirsnio nuostat</w:t>
            </w:r>
            <w:r w:rsidRPr="00B36984">
              <w:rPr>
                <w:szCs w:val="24"/>
              </w:rPr>
              <w:t xml:space="preserve">ų, t. y. bus išlaikomi nustatyti vertinimo ir sprendimų priėmimo terminai atitinkamai </w:t>
            </w:r>
            <w:r w:rsidRPr="00A47275">
              <w:rPr>
                <w:szCs w:val="24"/>
                <w:u w:val="single"/>
              </w:rPr>
              <w:t>pagal paraiškos pateikimo datą</w:t>
            </w:r>
            <w:r w:rsidRPr="00A47275">
              <w:rPr>
                <w:szCs w:val="24"/>
              </w:rPr>
              <w:t>.</w:t>
            </w:r>
          </w:p>
        </w:tc>
      </w:tr>
    </w:tbl>
    <w:p w14:paraId="4CF04D97" w14:textId="77777777" w:rsidR="005C5ECB" w:rsidRPr="00A47275" w:rsidRDefault="005C5ECB">
      <w:pPr>
        <w:rPr>
          <w:b/>
          <w:bCs/>
          <w:caps/>
          <w:szCs w:val="24"/>
        </w:rPr>
      </w:pPr>
    </w:p>
    <w:p w14:paraId="39DD6ADB" w14:textId="77777777" w:rsidR="00DD7525" w:rsidRPr="00A47275" w:rsidRDefault="00DD7525">
      <w:pPr>
        <w:rPr>
          <w:b/>
          <w:bCs/>
          <w:caps/>
          <w:szCs w:val="24"/>
        </w:rPr>
      </w:pPr>
    </w:p>
    <w:sectPr w:rsidR="00DD7525" w:rsidRPr="00A47275" w:rsidSect="0036662A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656D9"/>
    <w:multiLevelType w:val="hybridMultilevel"/>
    <w:tmpl w:val="3B628002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D7B3F"/>
    <w:multiLevelType w:val="hybridMultilevel"/>
    <w:tmpl w:val="1304E73A"/>
    <w:lvl w:ilvl="0" w:tplc="A33CA596">
      <w:start w:val="1"/>
      <w:numFmt w:val="bullet"/>
      <w:lvlText w:val="-"/>
      <w:lvlJc w:val="left"/>
      <w:pPr>
        <w:ind w:left="405" w:hanging="360"/>
      </w:pPr>
      <w:rPr>
        <w:rFonts w:ascii="Calibri" w:eastAsia="Times New Roman" w:hAnsi="Calibri" w:hint="default"/>
      </w:rPr>
    </w:lvl>
    <w:lvl w:ilvl="1" w:tplc="080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2CAB61B4"/>
    <w:multiLevelType w:val="hybridMultilevel"/>
    <w:tmpl w:val="F7540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816C2E"/>
    <w:multiLevelType w:val="hybridMultilevel"/>
    <w:tmpl w:val="12DE3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F322FC"/>
    <w:multiLevelType w:val="hybridMultilevel"/>
    <w:tmpl w:val="F61C3BF0"/>
    <w:lvl w:ilvl="0" w:tplc="93B63448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EA632D0"/>
    <w:multiLevelType w:val="hybridMultilevel"/>
    <w:tmpl w:val="490829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62A"/>
    <w:rsid w:val="0001428A"/>
    <w:rsid w:val="00016435"/>
    <w:rsid w:val="000240C4"/>
    <w:rsid w:val="00032985"/>
    <w:rsid w:val="00046DFE"/>
    <w:rsid w:val="00050427"/>
    <w:rsid w:val="00053D41"/>
    <w:rsid w:val="00070ED6"/>
    <w:rsid w:val="000A3FD2"/>
    <w:rsid w:val="000B1AF5"/>
    <w:rsid w:val="000B2D7C"/>
    <w:rsid w:val="000C0AB2"/>
    <w:rsid w:val="000D0E8E"/>
    <w:rsid w:val="000D3EFE"/>
    <w:rsid w:val="000E1F0C"/>
    <w:rsid w:val="000E275C"/>
    <w:rsid w:val="000E7A99"/>
    <w:rsid w:val="000F5CE6"/>
    <w:rsid w:val="00105F91"/>
    <w:rsid w:val="0011285D"/>
    <w:rsid w:val="00115372"/>
    <w:rsid w:val="00120210"/>
    <w:rsid w:val="00121EF6"/>
    <w:rsid w:val="001577E4"/>
    <w:rsid w:val="001608F8"/>
    <w:rsid w:val="0017137B"/>
    <w:rsid w:val="00182575"/>
    <w:rsid w:val="0018373E"/>
    <w:rsid w:val="00184FC3"/>
    <w:rsid w:val="00194702"/>
    <w:rsid w:val="001A5935"/>
    <w:rsid w:val="001C2F60"/>
    <w:rsid w:val="001D0DFD"/>
    <w:rsid w:val="001D6507"/>
    <w:rsid w:val="001E4CE7"/>
    <w:rsid w:val="001E6748"/>
    <w:rsid w:val="001E67A5"/>
    <w:rsid w:val="0020434A"/>
    <w:rsid w:val="00211DD0"/>
    <w:rsid w:val="00221A8B"/>
    <w:rsid w:val="00234AE2"/>
    <w:rsid w:val="00241C69"/>
    <w:rsid w:val="00243537"/>
    <w:rsid w:val="00247BB5"/>
    <w:rsid w:val="00265831"/>
    <w:rsid w:val="00267727"/>
    <w:rsid w:val="00270AE5"/>
    <w:rsid w:val="00285814"/>
    <w:rsid w:val="002923A6"/>
    <w:rsid w:val="002A27A2"/>
    <w:rsid w:val="002A4CDD"/>
    <w:rsid w:val="002B739F"/>
    <w:rsid w:val="002C79BA"/>
    <w:rsid w:val="002D4D56"/>
    <w:rsid w:val="002E1B28"/>
    <w:rsid w:val="002F6D81"/>
    <w:rsid w:val="00304616"/>
    <w:rsid w:val="00330EC9"/>
    <w:rsid w:val="0034444B"/>
    <w:rsid w:val="003529B3"/>
    <w:rsid w:val="00366151"/>
    <w:rsid w:val="0036662A"/>
    <w:rsid w:val="003865B8"/>
    <w:rsid w:val="003A1AD9"/>
    <w:rsid w:val="003A219C"/>
    <w:rsid w:val="003B1E1F"/>
    <w:rsid w:val="003B2FAE"/>
    <w:rsid w:val="003C1374"/>
    <w:rsid w:val="003D7F08"/>
    <w:rsid w:val="003E1DF6"/>
    <w:rsid w:val="003E5EA9"/>
    <w:rsid w:val="003E77A4"/>
    <w:rsid w:val="003F5676"/>
    <w:rsid w:val="003F6CC2"/>
    <w:rsid w:val="003F7338"/>
    <w:rsid w:val="004136A8"/>
    <w:rsid w:val="004378EE"/>
    <w:rsid w:val="00452AAF"/>
    <w:rsid w:val="0045587A"/>
    <w:rsid w:val="00466CC3"/>
    <w:rsid w:val="00475E13"/>
    <w:rsid w:val="00482B3D"/>
    <w:rsid w:val="00482B56"/>
    <w:rsid w:val="004A5F41"/>
    <w:rsid w:val="004B2C21"/>
    <w:rsid w:val="004C44BD"/>
    <w:rsid w:val="004D11D5"/>
    <w:rsid w:val="004D1FF9"/>
    <w:rsid w:val="004E187D"/>
    <w:rsid w:val="004E6B69"/>
    <w:rsid w:val="005004F3"/>
    <w:rsid w:val="00537585"/>
    <w:rsid w:val="0054453C"/>
    <w:rsid w:val="00546EA5"/>
    <w:rsid w:val="00547B73"/>
    <w:rsid w:val="00547C74"/>
    <w:rsid w:val="005516A5"/>
    <w:rsid w:val="005533C2"/>
    <w:rsid w:val="00571253"/>
    <w:rsid w:val="00580F8E"/>
    <w:rsid w:val="00581B51"/>
    <w:rsid w:val="005856BA"/>
    <w:rsid w:val="00593EE0"/>
    <w:rsid w:val="005B1293"/>
    <w:rsid w:val="005B1F40"/>
    <w:rsid w:val="005B79FB"/>
    <w:rsid w:val="005C579A"/>
    <w:rsid w:val="005C5B4A"/>
    <w:rsid w:val="005C5ECB"/>
    <w:rsid w:val="005E0604"/>
    <w:rsid w:val="005F038F"/>
    <w:rsid w:val="005F0F88"/>
    <w:rsid w:val="00600E8A"/>
    <w:rsid w:val="006106A7"/>
    <w:rsid w:val="0061335B"/>
    <w:rsid w:val="00645A54"/>
    <w:rsid w:val="00653AC2"/>
    <w:rsid w:val="00665BE2"/>
    <w:rsid w:val="00677B1E"/>
    <w:rsid w:val="006824CC"/>
    <w:rsid w:val="006A1E78"/>
    <w:rsid w:val="006A22E2"/>
    <w:rsid w:val="006B0D85"/>
    <w:rsid w:val="006B3E14"/>
    <w:rsid w:val="006B526A"/>
    <w:rsid w:val="006B6707"/>
    <w:rsid w:val="006B75D2"/>
    <w:rsid w:val="006C0163"/>
    <w:rsid w:val="006E16C9"/>
    <w:rsid w:val="00707C95"/>
    <w:rsid w:val="00717B32"/>
    <w:rsid w:val="0072623F"/>
    <w:rsid w:val="00741C32"/>
    <w:rsid w:val="00742585"/>
    <w:rsid w:val="00747BC9"/>
    <w:rsid w:val="007537EC"/>
    <w:rsid w:val="00761496"/>
    <w:rsid w:val="0077253D"/>
    <w:rsid w:val="007769FC"/>
    <w:rsid w:val="007A5212"/>
    <w:rsid w:val="007A58B3"/>
    <w:rsid w:val="007B3C8F"/>
    <w:rsid w:val="007B3E81"/>
    <w:rsid w:val="007C52CF"/>
    <w:rsid w:val="007D3038"/>
    <w:rsid w:val="007F5F38"/>
    <w:rsid w:val="007F7B87"/>
    <w:rsid w:val="0080172F"/>
    <w:rsid w:val="008359DC"/>
    <w:rsid w:val="0085384B"/>
    <w:rsid w:val="00856EDA"/>
    <w:rsid w:val="008576A6"/>
    <w:rsid w:val="0086200E"/>
    <w:rsid w:val="00865C80"/>
    <w:rsid w:val="008663E3"/>
    <w:rsid w:val="00876A85"/>
    <w:rsid w:val="00876B21"/>
    <w:rsid w:val="00885C3D"/>
    <w:rsid w:val="00893CF6"/>
    <w:rsid w:val="008A53CB"/>
    <w:rsid w:val="008B70BA"/>
    <w:rsid w:val="008C3DAE"/>
    <w:rsid w:val="008D5F38"/>
    <w:rsid w:val="008E3C68"/>
    <w:rsid w:val="008F38C3"/>
    <w:rsid w:val="008F698C"/>
    <w:rsid w:val="00911182"/>
    <w:rsid w:val="00926630"/>
    <w:rsid w:val="00933886"/>
    <w:rsid w:val="00936291"/>
    <w:rsid w:val="00947C9D"/>
    <w:rsid w:val="00954EEB"/>
    <w:rsid w:val="00956C1E"/>
    <w:rsid w:val="0097341D"/>
    <w:rsid w:val="0099342A"/>
    <w:rsid w:val="00997566"/>
    <w:rsid w:val="00997BAB"/>
    <w:rsid w:val="009A662F"/>
    <w:rsid w:val="009B3957"/>
    <w:rsid w:val="009B4714"/>
    <w:rsid w:val="009C0ED2"/>
    <w:rsid w:val="009D01C2"/>
    <w:rsid w:val="009D3B8E"/>
    <w:rsid w:val="009D3BAD"/>
    <w:rsid w:val="009E1857"/>
    <w:rsid w:val="009E69E2"/>
    <w:rsid w:val="00A00DB1"/>
    <w:rsid w:val="00A24DB0"/>
    <w:rsid w:val="00A2721F"/>
    <w:rsid w:val="00A35603"/>
    <w:rsid w:val="00A4128B"/>
    <w:rsid w:val="00A47275"/>
    <w:rsid w:val="00A47552"/>
    <w:rsid w:val="00A47E71"/>
    <w:rsid w:val="00A508A4"/>
    <w:rsid w:val="00A52C00"/>
    <w:rsid w:val="00A54BBD"/>
    <w:rsid w:val="00A6632E"/>
    <w:rsid w:val="00A80ADA"/>
    <w:rsid w:val="00A845D7"/>
    <w:rsid w:val="00A91F0C"/>
    <w:rsid w:val="00AC4B6C"/>
    <w:rsid w:val="00AD5789"/>
    <w:rsid w:val="00AF0A0D"/>
    <w:rsid w:val="00AF25D0"/>
    <w:rsid w:val="00AF2A89"/>
    <w:rsid w:val="00B0591B"/>
    <w:rsid w:val="00B06DF8"/>
    <w:rsid w:val="00B0733D"/>
    <w:rsid w:val="00B1138C"/>
    <w:rsid w:val="00B12D6F"/>
    <w:rsid w:val="00B14AA0"/>
    <w:rsid w:val="00B26628"/>
    <w:rsid w:val="00B36984"/>
    <w:rsid w:val="00B46548"/>
    <w:rsid w:val="00B7378D"/>
    <w:rsid w:val="00B75709"/>
    <w:rsid w:val="00B915D3"/>
    <w:rsid w:val="00B92B4E"/>
    <w:rsid w:val="00B9676C"/>
    <w:rsid w:val="00BA3F54"/>
    <w:rsid w:val="00BB138B"/>
    <w:rsid w:val="00BC4316"/>
    <w:rsid w:val="00BC5BDA"/>
    <w:rsid w:val="00BD17AE"/>
    <w:rsid w:val="00BE0D87"/>
    <w:rsid w:val="00BE1E8F"/>
    <w:rsid w:val="00BE6468"/>
    <w:rsid w:val="00BE6CC1"/>
    <w:rsid w:val="00BF587A"/>
    <w:rsid w:val="00C1298E"/>
    <w:rsid w:val="00C237BB"/>
    <w:rsid w:val="00C25B44"/>
    <w:rsid w:val="00C3317D"/>
    <w:rsid w:val="00C33E49"/>
    <w:rsid w:val="00C35591"/>
    <w:rsid w:val="00C41BD5"/>
    <w:rsid w:val="00C41EDB"/>
    <w:rsid w:val="00C532C0"/>
    <w:rsid w:val="00C535B1"/>
    <w:rsid w:val="00C6260A"/>
    <w:rsid w:val="00C6695A"/>
    <w:rsid w:val="00C72AC6"/>
    <w:rsid w:val="00C75B1B"/>
    <w:rsid w:val="00C87862"/>
    <w:rsid w:val="00C916C8"/>
    <w:rsid w:val="00C94B40"/>
    <w:rsid w:val="00C97E60"/>
    <w:rsid w:val="00CA2E85"/>
    <w:rsid w:val="00CA4710"/>
    <w:rsid w:val="00CA6AE7"/>
    <w:rsid w:val="00CB2790"/>
    <w:rsid w:val="00CB505F"/>
    <w:rsid w:val="00CE53AB"/>
    <w:rsid w:val="00CF2C5D"/>
    <w:rsid w:val="00CF3A31"/>
    <w:rsid w:val="00CF7C87"/>
    <w:rsid w:val="00D0530B"/>
    <w:rsid w:val="00D3274A"/>
    <w:rsid w:val="00D32BB9"/>
    <w:rsid w:val="00D4401F"/>
    <w:rsid w:val="00D548C8"/>
    <w:rsid w:val="00D54ED4"/>
    <w:rsid w:val="00D66763"/>
    <w:rsid w:val="00DB3586"/>
    <w:rsid w:val="00DC2BB5"/>
    <w:rsid w:val="00DC5385"/>
    <w:rsid w:val="00DC7728"/>
    <w:rsid w:val="00DC7AB7"/>
    <w:rsid w:val="00DD7525"/>
    <w:rsid w:val="00DE124C"/>
    <w:rsid w:val="00DE1BD0"/>
    <w:rsid w:val="00DE3049"/>
    <w:rsid w:val="00DE693B"/>
    <w:rsid w:val="00E307F8"/>
    <w:rsid w:val="00E314FC"/>
    <w:rsid w:val="00E41BD4"/>
    <w:rsid w:val="00E47926"/>
    <w:rsid w:val="00E53DCA"/>
    <w:rsid w:val="00E6399A"/>
    <w:rsid w:val="00E76FA9"/>
    <w:rsid w:val="00E95B1A"/>
    <w:rsid w:val="00EB20F8"/>
    <w:rsid w:val="00EC036E"/>
    <w:rsid w:val="00EC0828"/>
    <w:rsid w:val="00EC6B07"/>
    <w:rsid w:val="00EF0A83"/>
    <w:rsid w:val="00EF5D3D"/>
    <w:rsid w:val="00F007DB"/>
    <w:rsid w:val="00F16636"/>
    <w:rsid w:val="00F17A0F"/>
    <w:rsid w:val="00F43952"/>
    <w:rsid w:val="00F449CA"/>
    <w:rsid w:val="00F45F44"/>
    <w:rsid w:val="00F46B15"/>
    <w:rsid w:val="00F56078"/>
    <w:rsid w:val="00F63807"/>
    <w:rsid w:val="00F65930"/>
    <w:rsid w:val="00F74AD4"/>
    <w:rsid w:val="00F7759E"/>
    <w:rsid w:val="00F8394C"/>
    <w:rsid w:val="00FA1C73"/>
    <w:rsid w:val="00FA2FE9"/>
    <w:rsid w:val="00FA76AA"/>
    <w:rsid w:val="00FD0EAB"/>
    <w:rsid w:val="00FE2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F8B5F"/>
  <w15:docId w15:val="{438A5DF8-3931-4FC9-9DAB-6AEABBF87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lt-LT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662A"/>
    <w:pPr>
      <w:spacing w:after="0"/>
      <w:jc w:val="left"/>
    </w:pPr>
    <w:rPr>
      <w:rFonts w:eastAsia="Times New Roman"/>
      <w:szCs w:val="20"/>
      <w:lang w:eastAsia="lt-LT"/>
    </w:rPr>
  </w:style>
  <w:style w:type="paragraph" w:styleId="Heading1">
    <w:name w:val="heading 1"/>
    <w:basedOn w:val="Normal"/>
    <w:link w:val="Heading1Char"/>
    <w:uiPriority w:val="9"/>
    <w:qFormat/>
    <w:rsid w:val="00C6695A"/>
    <w:pPr>
      <w:outlineLvl w:val="0"/>
    </w:pPr>
    <w:rPr>
      <w:rFonts w:ascii="Calibri" w:eastAsiaTheme="minorHAnsi" w:hAnsi="Calibri"/>
      <w:kern w:val="36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662A"/>
    <w:pPr>
      <w:ind w:left="720"/>
      <w:contextualSpacing/>
    </w:pPr>
  </w:style>
  <w:style w:type="table" w:styleId="TableGrid">
    <w:name w:val="Table Grid"/>
    <w:basedOn w:val="TableNormal"/>
    <w:uiPriority w:val="59"/>
    <w:rsid w:val="0036662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66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62A"/>
    <w:rPr>
      <w:rFonts w:ascii="Tahoma" w:eastAsia="Times New Roman" w:hAnsi="Tahoma" w:cs="Tahoma"/>
      <w:sz w:val="16"/>
      <w:szCs w:val="16"/>
      <w:lang w:eastAsia="lt-LT"/>
    </w:rPr>
  </w:style>
  <w:style w:type="paragraph" w:styleId="PlainText">
    <w:name w:val="Plain Text"/>
    <w:basedOn w:val="Normal"/>
    <w:link w:val="PlainTextChar"/>
    <w:uiPriority w:val="99"/>
    <w:unhideWhenUsed/>
    <w:rsid w:val="000C0AB2"/>
    <w:rPr>
      <w:rFonts w:ascii="Calibri" w:eastAsiaTheme="minorHAnsi" w:hAnsi="Calibri" w:cs="Consolas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0C0AB2"/>
    <w:rPr>
      <w:rFonts w:ascii="Calibri" w:hAnsi="Calibri" w:cs="Consolas"/>
      <w:sz w:val="22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C6695A"/>
    <w:rPr>
      <w:rFonts w:ascii="Calibri" w:hAnsi="Calibri"/>
      <w:kern w:val="36"/>
      <w:sz w:val="22"/>
    </w:rPr>
  </w:style>
  <w:style w:type="character" w:styleId="CommentReference">
    <w:name w:val="annotation reference"/>
    <w:basedOn w:val="DefaultParagraphFont"/>
    <w:semiHidden/>
    <w:unhideWhenUsed/>
    <w:rsid w:val="00CF3A31"/>
    <w:rPr>
      <w:sz w:val="16"/>
      <w:szCs w:val="16"/>
    </w:rPr>
  </w:style>
  <w:style w:type="paragraph" w:styleId="CommentText">
    <w:name w:val="annotation text"/>
    <w:aliases w:val=" Char"/>
    <w:basedOn w:val="Normal"/>
    <w:link w:val="CommentTextChar"/>
    <w:unhideWhenUsed/>
    <w:rsid w:val="00CF3A31"/>
    <w:rPr>
      <w:sz w:val="20"/>
    </w:rPr>
  </w:style>
  <w:style w:type="character" w:customStyle="1" w:styleId="CommentTextChar">
    <w:name w:val="Comment Text Char"/>
    <w:aliases w:val=" Char Char"/>
    <w:basedOn w:val="DefaultParagraphFont"/>
    <w:link w:val="CommentText"/>
    <w:rsid w:val="00CF3A31"/>
    <w:rPr>
      <w:rFonts w:eastAsia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3A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3A31"/>
    <w:rPr>
      <w:rFonts w:eastAsia="Times New Roman"/>
      <w:b/>
      <w:bCs/>
      <w:sz w:val="20"/>
      <w:szCs w:val="20"/>
      <w:lang w:eastAsia="lt-LT"/>
    </w:rPr>
  </w:style>
  <w:style w:type="paragraph" w:styleId="NormalWeb">
    <w:name w:val="Normal (Web)"/>
    <w:basedOn w:val="Normal"/>
    <w:uiPriority w:val="99"/>
    <w:semiHidden/>
    <w:unhideWhenUsed/>
    <w:rsid w:val="00F007DB"/>
    <w:pPr>
      <w:spacing w:before="100" w:beforeAutospacing="1" w:after="100" w:afterAutospacing="1"/>
    </w:pPr>
    <w:rPr>
      <w:rFonts w:eastAsiaTheme="minorHAnsi"/>
      <w:szCs w:val="24"/>
    </w:rPr>
  </w:style>
  <w:style w:type="paragraph" w:customStyle="1" w:styleId="Default">
    <w:name w:val="Default"/>
    <w:rsid w:val="00267727"/>
    <w:pPr>
      <w:autoSpaceDE w:val="0"/>
      <w:autoSpaceDN w:val="0"/>
      <w:adjustRightInd w:val="0"/>
      <w:spacing w:after="0"/>
      <w:jc w:val="left"/>
    </w:pPr>
    <w:rPr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8CC05B-953F-4AF9-BE18-951440994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2942</Words>
  <Characters>1678</Characters>
  <Application>Microsoft Office Word</Application>
  <DocSecurity>4</DocSecurity>
  <Lines>13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Božena Zaikovska-Tomkevičienė</dc:creator>
  <cp:lastModifiedBy>Viluniene Jurgita</cp:lastModifiedBy>
  <cp:revision>2</cp:revision>
  <dcterms:created xsi:type="dcterms:W3CDTF">2020-12-02T07:04:00Z</dcterms:created>
  <dcterms:modified xsi:type="dcterms:W3CDTF">2020-12-02T07:04:00Z</dcterms:modified>
</cp:coreProperties>
</file>