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26E8A" w14:textId="4EE73540" w:rsidR="001818B7" w:rsidRDefault="00CB72FE">
      <w:pPr>
        <w:tabs>
          <w:tab w:val="center" w:pos="4153"/>
          <w:tab w:val="right" w:pos="9100"/>
        </w:tabs>
        <w:suppressAutoHyphens/>
        <w:jc w:val="center"/>
        <w:rPr>
          <w:rFonts w:ascii="Tahoma" w:hAnsi="Tahoma"/>
          <w:spacing w:val="10"/>
          <w:sz w:val="20"/>
          <w:lang w:eastAsia="lt-LT"/>
        </w:rPr>
      </w:pPr>
      <w:r>
        <w:rPr>
          <w:rFonts w:ascii="Tahoma" w:hAnsi="Tahoma"/>
          <w:spacing w:val="10"/>
          <w:sz w:val="20"/>
          <w:lang w:eastAsia="lt-LT"/>
        </w:rPr>
        <w:tab/>
      </w:r>
      <w:r>
        <w:rPr>
          <w:rFonts w:ascii="Tahoma" w:hAnsi="Tahoma"/>
          <w:spacing w:val="10"/>
          <w:sz w:val="20"/>
          <w:lang w:eastAsia="lt-LT"/>
        </w:rPr>
        <w:tab/>
      </w:r>
      <w:r w:rsidRPr="0060257A">
        <w:rPr>
          <w:b/>
          <w:spacing w:val="10"/>
          <w:szCs w:val="24"/>
          <w:lang w:eastAsia="lt-LT"/>
        </w:rPr>
        <w:t>Projektas</w:t>
      </w:r>
    </w:p>
    <w:p w14:paraId="18526E8B" w14:textId="25B19627" w:rsidR="001818B7" w:rsidRDefault="001818B7">
      <w:pPr>
        <w:tabs>
          <w:tab w:val="center" w:pos="4153"/>
          <w:tab w:val="right" w:pos="9100"/>
        </w:tabs>
        <w:suppressAutoHyphens/>
        <w:jc w:val="center"/>
        <w:rPr>
          <w:rFonts w:ascii="Tahoma" w:hAnsi="Tahoma"/>
          <w:spacing w:val="10"/>
          <w:sz w:val="20"/>
          <w:lang w:eastAsia="lt-LT"/>
        </w:rPr>
      </w:pPr>
    </w:p>
    <w:p w14:paraId="28DA2F7C" w14:textId="555C6F4D" w:rsidR="00691240" w:rsidRDefault="00691240">
      <w:pPr>
        <w:tabs>
          <w:tab w:val="center" w:pos="4153"/>
          <w:tab w:val="right" w:pos="9100"/>
        </w:tabs>
        <w:suppressAutoHyphens/>
        <w:jc w:val="center"/>
        <w:rPr>
          <w:rFonts w:ascii="Tahoma" w:hAnsi="Tahoma"/>
          <w:spacing w:val="10"/>
          <w:sz w:val="20"/>
          <w:lang w:eastAsia="lt-LT"/>
        </w:rPr>
      </w:pPr>
    </w:p>
    <w:p w14:paraId="5626D335" w14:textId="77777777" w:rsidR="00691240" w:rsidRDefault="00691240">
      <w:pPr>
        <w:tabs>
          <w:tab w:val="center" w:pos="4153"/>
          <w:tab w:val="right" w:pos="9100"/>
        </w:tabs>
        <w:suppressAutoHyphens/>
        <w:jc w:val="center"/>
        <w:rPr>
          <w:rFonts w:ascii="Tahoma" w:hAnsi="Tahoma"/>
          <w:spacing w:val="10"/>
          <w:sz w:val="20"/>
          <w:lang w:eastAsia="lt-LT"/>
        </w:rPr>
      </w:pPr>
    </w:p>
    <w:p w14:paraId="18526E8C" w14:textId="77777777" w:rsidR="001818B7" w:rsidRDefault="004F04CC">
      <w:pPr>
        <w:tabs>
          <w:tab w:val="center" w:pos="4153"/>
          <w:tab w:val="right" w:pos="9100"/>
        </w:tabs>
        <w:suppressAutoHyphens/>
        <w:jc w:val="center"/>
        <w:rPr>
          <w:b/>
          <w:bCs/>
          <w:szCs w:val="24"/>
          <w:lang w:eastAsia="lt-LT"/>
        </w:rPr>
      </w:pPr>
      <w:r>
        <w:rPr>
          <w:b/>
          <w:bCs/>
          <w:szCs w:val="24"/>
          <w:lang w:eastAsia="lt-LT"/>
        </w:rPr>
        <w:t>LIETUVOS RESPUBLIKOS APLINKOS MINISTRAS</w:t>
      </w:r>
    </w:p>
    <w:p w14:paraId="18526E8D" w14:textId="77777777" w:rsidR="001818B7" w:rsidRDefault="001818B7">
      <w:pPr>
        <w:tabs>
          <w:tab w:val="center" w:pos="4153"/>
          <w:tab w:val="right" w:pos="9100"/>
        </w:tabs>
        <w:suppressAutoHyphens/>
        <w:jc w:val="center"/>
        <w:rPr>
          <w:spacing w:val="10"/>
          <w:szCs w:val="24"/>
          <w:lang w:eastAsia="lt-LT"/>
        </w:rPr>
      </w:pPr>
    </w:p>
    <w:p w14:paraId="18526E8E" w14:textId="77777777" w:rsidR="001818B7" w:rsidRDefault="004F04CC">
      <w:pPr>
        <w:suppressAutoHyphens/>
        <w:jc w:val="center"/>
        <w:rPr>
          <w:b/>
          <w:bCs/>
          <w:lang w:eastAsia="lt-LT"/>
        </w:rPr>
      </w:pPr>
      <w:r>
        <w:rPr>
          <w:b/>
          <w:bCs/>
          <w:lang w:eastAsia="lt-LT"/>
        </w:rPr>
        <w:t>ĮSAKYMAS</w:t>
      </w:r>
    </w:p>
    <w:p w14:paraId="18526E8F" w14:textId="77777777" w:rsidR="001818B7" w:rsidRDefault="001818B7">
      <w:pPr>
        <w:rPr>
          <w:sz w:val="6"/>
          <w:szCs w:val="6"/>
        </w:rPr>
      </w:pPr>
    </w:p>
    <w:p w14:paraId="18526E90" w14:textId="6106A894" w:rsidR="001818B7" w:rsidRDefault="004F04CC">
      <w:pPr>
        <w:suppressAutoHyphens/>
        <w:jc w:val="center"/>
        <w:rPr>
          <w:b/>
          <w:caps/>
          <w:lang w:eastAsia="lt-LT"/>
        </w:rPr>
      </w:pPr>
      <w:r>
        <w:rPr>
          <w:b/>
          <w:caps/>
          <w:lang w:eastAsia="lt-LT"/>
        </w:rPr>
        <w:t xml:space="preserve">DĖL </w:t>
      </w:r>
      <w:r>
        <w:rPr>
          <w:b/>
          <w:bCs/>
          <w:caps/>
          <w:lang w:eastAsia="lt-LT"/>
        </w:rPr>
        <w:t xml:space="preserve">LIETUVOS RESPUBLIKOS APLINKOS MINISTRO 2015 M. SPALIO 23 D. ĮSAKYMO NR. D1-761 „DĖL </w:t>
      </w:r>
      <w:r>
        <w:rPr>
          <w:b/>
          <w:caps/>
          <w:lang w:eastAsia="lt-LT"/>
        </w:rPr>
        <w:t>2014–2020 metų Europos Sąjungos fondų investicijų veiksmų programos 5 prioriteto „Aplinkosauga, gamtos išteklių darnus naudojimas ir prisitaikymas prie klimato kaitos“ 05.4.1-APVA-V-017 priemonės „Visuomenės informavimas apie aplinką ir aplinkosauginių-rekreacinių objektų tvarkymas“ projektų finansavimo sąlygų aprašO Nr. 1</w:t>
      </w:r>
      <w:r>
        <w:rPr>
          <w:b/>
          <w:caps/>
          <w:szCs w:val="24"/>
          <w:lang w:eastAsia="lt-LT"/>
        </w:rPr>
        <w:t xml:space="preserve"> PATVIRTINIMO“ PAKEITIMO</w:t>
      </w:r>
      <w:r w:rsidR="00B3658D">
        <w:rPr>
          <w:b/>
          <w:caps/>
          <w:szCs w:val="24"/>
          <w:lang w:eastAsia="lt-LT"/>
        </w:rPr>
        <w:t xml:space="preserve"> </w:t>
      </w:r>
    </w:p>
    <w:p w14:paraId="18526E91" w14:textId="77777777" w:rsidR="001818B7" w:rsidRDefault="001818B7">
      <w:pPr>
        <w:suppressAutoHyphens/>
        <w:jc w:val="center"/>
        <w:rPr>
          <w:lang w:eastAsia="lt-LT"/>
        </w:rPr>
      </w:pPr>
    </w:p>
    <w:p w14:paraId="18526E92" w14:textId="63DC75C5" w:rsidR="001818B7" w:rsidRDefault="004F04CC">
      <w:pPr>
        <w:suppressAutoHyphens/>
        <w:jc w:val="center"/>
        <w:rPr>
          <w:lang w:eastAsia="lt-LT"/>
        </w:rPr>
      </w:pPr>
      <w:r>
        <w:rPr>
          <w:lang w:eastAsia="lt-LT"/>
        </w:rPr>
        <w:t xml:space="preserve">2020 m. </w:t>
      </w:r>
      <w:r w:rsidR="003130B0">
        <w:rPr>
          <w:lang w:eastAsia="lt-LT"/>
        </w:rPr>
        <w:t xml:space="preserve">                             </w:t>
      </w:r>
      <w:r>
        <w:rPr>
          <w:lang w:eastAsia="lt-LT"/>
        </w:rPr>
        <w:t> d. Nr. D1-</w:t>
      </w:r>
    </w:p>
    <w:p w14:paraId="18526E95" w14:textId="10918F46" w:rsidR="001818B7" w:rsidRDefault="004F04CC" w:rsidP="004F04CC">
      <w:pPr>
        <w:suppressAutoHyphens/>
        <w:jc w:val="center"/>
        <w:rPr>
          <w:lang w:eastAsia="lt-LT"/>
        </w:rPr>
      </w:pPr>
      <w:r>
        <w:rPr>
          <w:lang w:eastAsia="lt-LT"/>
        </w:rPr>
        <w:t>Vilnius</w:t>
      </w:r>
    </w:p>
    <w:p w14:paraId="3B3221A9" w14:textId="77777777" w:rsidR="004F04CC" w:rsidRDefault="004F04CC" w:rsidP="00323B93">
      <w:pPr>
        <w:suppressAutoHyphens/>
        <w:ind w:firstLine="709"/>
        <w:jc w:val="center"/>
        <w:rPr>
          <w:lang w:eastAsia="lt-LT"/>
        </w:rPr>
      </w:pPr>
    </w:p>
    <w:p w14:paraId="0D4227D7" w14:textId="77777777" w:rsidR="004F04CC" w:rsidRPr="006F328E" w:rsidRDefault="004F04CC" w:rsidP="00323B93">
      <w:pPr>
        <w:suppressAutoHyphens/>
        <w:ind w:firstLine="709"/>
        <w:jc w:val="center"/>
        <w:rPr>
          <w:rFonts w:ascii="Tahoma" w:hAnsi="Tahoma"/>
          <w:spacing w:val="10"/>
          <w:sz w:val="20"/>
          <w:lang w:eastAsia="lt-LT"/>
        </w:rPr>
      </w:pPr>
    </w:p>
    <w:p w14:paraId="4D676493" w14:textId="77777777" w:rsidR="005473C3" w:rsidRPr="006F328E" w:rsidRDefault="005473C3" w:rsidP="005473C3">
      <w:pPr>
        <w:ind w:firstLine="709"/>
        <w:jc w:val="both"/>
        <w:rPr>
          <w:rFonts w:eastAsia="Calibri"/>
          <w:szCs w:val="24"/>
        </w:rPr>
      </w:pPr>
      <w:r w:rsidRPr="006F328E">
        <w:rPr>
          <w:rFonts w:eastAsia="Calibri"/>
          <w:spacing w:val="60"/>
          <w:szCs w:val="24"/>
        </w:rPr>
        <w:t>Pakeičiu</w:t>
      </w:r>
      <w:r w:rsidRPr="006F328E">
        <w:rPr>
          <w:rFonts w:eastAsia="Calibri"/>
          <w:szCs w:val="24"/>
        </w:rPr>
        <w:t xml:space="preserve"> 2014–2020 metų Europos Sąjungos fondų investicijų veiksmų programos 5</w:t>
      </w:r>
      <w:r w:rsidRPr="006F328E">
        <w:rPr>
          <w:rFonts w:eastAsia="Calibri"/>
          <w:lang w:eastAsia="lt-LT"/>
        </w:rPr>
        <w:t> </w:t>
      </w:r>
      <w:r w:rsidRPr="006F328E">
        <w:rPr>
          <w:rFonts w:eastAsia="Calibri"/>
          <w:szCs w:val="24"/>
        </w:rPr>
        <w:t>prioriteto „Aplinkosauga, gamtos išteklių darnus naudojimas ir prisitaikymas prie klimato kaitos“ 05.4.1-APVA-V-017 priemonės „Visuomenės informavimas apie aplinką ir aplinkosauginių-rekreacinių objektų tvarkymas“ projektų finansavimo sąlygų aprašą Nr. 1, patvirtintą Lietuvos Respublikos aplinkos ministro 2015 m. spalio 23 d. įsakymu Nr. D1-761 „Dėl 2014–2020 metų Europos Sąjungos fondų investicijų veiksmų programos 5 prioriteto „Aplinkosauga, gamtos išteklių darnus naudojimas ir prisitaikymas prie klimato kaitos“ 05.4.1-APVA-V-017 priemonės „Visuomenės informavimas apie aplinką ir aplinkosauginių-rekreacinių objektų tvarkymas“ projektų finansavimo sąlygų aprašo Nr. 1 patvirtinimo“:</w:t>
      </w:r>
    </w:p>
    <w:p w14:paraId="128A3C5D" w14:textId="77777777" w:rsidR="005473C3" w:rsidRPr="006F328E" w:rsidRDefault="005473C3" w:rsidP="005473C3">
      <w:pPr>
        <w:tabs>
          <w:tab w:val="left" w:pos="851"/>
        </w:tabs>
        <w:ind w:firstLine="709"/>
        <w:jc w:val="both"/>
        <w:rPr>
          <w:rFonts w:eastAsia="Calibri"/>
          <w:szCs w:val="24"/>
        </w:rPr>
      </w:pPr>
      <w:bookmarkStart w:id="0" w:name="_Hlk56613813"/>
      <w:bookmarkStart w:id="1" w:name="_Hlk56613581"/>
      <w:r w:rsidRPr="006F328E">
        <w:rPr>
          <w:rFonts w:eastAsia="Calibri"/>
          <w:szCs w:val="24"/>
        </w:rPr>
        <w:t>1.</w:t>
      </w:r>
      <w:bookmarkStart w:id="2" w:name="_Hlk54205700"/>
      <w:r w:rsidRPr="006F328E">
        <w:rPr>
          <w:rFonts w:eastAsia="Calibri"/>
          <w:szCs w:val="24"/>
        </w:rPr>
        <w:t xml:space="preserve"> Pakeičiu 7 punktą ir jį išdėstau taip:</w:t>
      </w:r>
    </w:p>
    <w:p w14:paraId="5C3A70E8" w14:textId="754DAD23" w:rsidR="005473C3" w:rsidRPr="006F328E" w:rsidRDefault="005473C3" w:rsidP="005473C3">
      <w:pPr>
        <w:tabs>
          <w:tab w:val="left" w:pos="851"/>
        </w:tabs>
        <w:ind w:firstLine="709"/>
        <w:jc w:val="both"/>
        <w:rPr>
          <w:rFonts w:eastAsia="Calibri"/>
          <w:szCs w:val="24"/>
        </w:rPr>
      </w:pPr>
      <w:bookmarkStart w:id="3" w:name="_Hlk56750002"/>
      <w:r w:rsidRPr="006F328E">
        <w:rPr>
          <w:color w:val="000000"/>
        </w:rPr>
        <w:t>„7. Pagal aprašą projektams įgyvendinti numatoma skirti iki 33 012 369 eurų (trisdešimt trys milijonai dvylika tūkstančių trys šimtai šešiasdešimt devyni eurai), iš kurių iki 28 231 299 eurų (dvidešimt aštuoni milijonai du šimtai trisdešimt vienas tūkstantis du šimtai devyniasdešimt devyni eurai) – Europos regioninės plėtros fondo lėšos, iki 4 781 070  eurų (keturi milijonai septyni šimtai aštuoniasdešimt vienas tūkstantis septyniasdešimt eurų)  – Lietuvos Respublikos valstybės biudžeto lėšos. Iš jų iki 4 710 600 eurų (keturi milijonai septyni šimtai dešimt tūkstančių šeši šimtai eurų), iš kurių iki 4 004 010 eurų (</w:t>
      </w:r>
      <w:bookmarkStart w:id="4" w:name="_Hlk56978794"/>
      <w:r w:rsidRPr="006F328E">
        <w:rPr>
          <w:color w:val="000000"/>
        </w:rPr>
        <w:t xml:space="preserve">keturi </w:t>
      </w:r>
      <w:bookmarkEnd w:id="4"/>
      <w:r w:rsidRPr="006F328E">
        <w:rPr>
          <w:color w:val="000000"/>
        </w:rPr>
        <w:t>milijonai keturi tūkstančiai dešimt eurų) – Europos regioninės plėtros fondo lėšos, iki 706 590 eurų (septyni šimtai šeši tūkstančiai penki šimtai devyniasdešimt eurų) – Lietuvos Respublikos valstybės biudžeto lėšos (toliau – veiklos lėšų rezervas), galės būti skirta projektams finansuoti tik Lietuvos Respublikos Vyriausybei patvirtinus Veiksmų programos priedo pakeitimą, kuriuo veiklos lėšų rezervas bus skirtas Veiksmų programos 5 prioritetui įgyvendinti.“</w:t>
      </w:r>
    </w:p>
    <w:bookmarkEnd w:id="0"/>
    <w:bookmarkEnd w:id="3"/>
    <w:p w14:paraId="490A6C2B" w14:textId="77777777" w:rsidR="005473C3" w:rsidRPr="006F328E" w:rsidRDefault="005473C3" w:rsidP="005473C3">
      <w:pPr>
        <w:tabs>
          <w:tab w:val="left" w:pos="851"/>
        </w:tabs>
        <w:ind w:firstLine="709"/>
        <w:jc w:val="both"/>
        <w:rPr>
          <w:rFonts w:eastAsia="Calibri"/>
          <w:szCs w:val="24"/>
        </w:rPr>
      </w:pPr>
      <w:r w:rsidRPr="006F328E">
        <w:rPr>
          <w:rFonts w:eastAsia="Calibri"/>
          <w:szCs w:val="24"/>
        </w:rPr>
        <w:t>2. Pakeičiu 10 punktą ir jį išdėstau taip:</w:t>
      </w:r>
    </w:p>
    <w:p w14:paraId="2FE47913" w14:textId="4A59D5B7" w:rsidR="005473C3" w:rsidRPr="006F328E" w:rsidRDefault="005473C3" w:rsidP="005473C3">
      <w:pPr>
        <w:tabs>
          <w:tab w:val="left" w:pos="851"/>
        </w:tabs>
        <w:ind w:firstLine="709"/>
        <w:jc w:val="both"/>
        <w:rPr>
          <w:rFonts w:eastAsia="Calibri"/>
          <w:szCs w:val="24"/>
        </w:rPr>
      </w:pPr>
      <w:bookmarkStart w:id="5" w:name="_Hlk56750034"/>
      <w:r w:rsidRPr="006F328E">
        <w:rPr>
          <w:rFonts w:eastAsia="Calibri"/>
          <w:szCs w:val="24"/>
        </w:rPr>
        <w:t>„10. Pagal apraše nurodytas remiamas veiklas valstybės projektų sąrašą numatoma sudaryti trimis etapais: I etapas – 2016 m. I ketvirtį, II etapas – 2020 m. I ketvirtį, III etapas – 2021 m. I ketvirtį.“</w:t>
      </w:r>
    </w:p>
    <w:bookmarkEnd w:id="1"/>
    <w:bookmarkEnd w:id="5"/>
    <w:p w14:paraId="6B05A45E" w14:textId="77777777" w:rsidR="005473C3" w:rsidRPr="006F328E" w:rsidRDefault="005473C3" w:rsidP="005473C3">
      <w:pPr>
        <w:tabs>
          <w:tab w:val="left" w:pos="851"/>
        </w:tabs>
        <w:ind w:firstLine="709"/>
        <w:jc w:val="both"/>
        <w:rPr>
          <w:rFonts w:eastAsia="Calibri"/>
          <w:szCs w:val="24"/>
        </w:rPr>
      </w:pPr>
      <w:r w:rsidRPr="006F328E">
        <w:rPr>
          <w:rFonts w:eastAsia="Calibri"/>
          <w:szCs w:val="24"/>
        </w:rPr>
        <w:t>3. Pakeičiu 11 punktą ir jį išdėstau taip:</w:t>
      </w:r>
      <w:bookmarkEnd w:id="2"/>
    </w:p>
    <w:p w14:paraId="527F9B84" w14:textId="77777777" w:rsidR="005473C3" w:rsidRPr="006F328E" w:rsidRDefault="005473C3" w:rsidP="005473C3">
      <w:pPr>
        <w:ind w:firstLine="709"/>
        <w:jc w:val="both"/>
        <w:rPr>
          <w:lang w:eastAsia="lt-LT"/>
        </w:rPr>
      </w:pPr>
      <w:r w:rsidRPr="006F328E">
        <w:rPr>
          <w:rFonts w:eastAsia="Calibri"/>
          <w:szCs w:val="24"/>
        </w:rPr>
        <w:t>„</w:t>
      </w:r>
      <w:r w:rsidRPr="006F328E">
        <w:rPr>
          <w:rFonts w:eastAsia="Calibri"/>
          <w:szCs w:val="24"/>
          <w:lang w:eastAsia="lt-LT"/>
        </w:rPr>
        <w:t>11. Pagal aprašą galimi pareiškėjai yra Lietuvos Respublikos aplinkos ministerija, Lietuvos zoologijos sodas, Lietuvos geologijos tarnyba prie Lietuvos Respublikos aplinkos ministerijos, Kauno Tado Ivanausko zoologijos muziejus, Respublikinis Vaclovo Into akmenų muziejus, VĮ Valstybinių miškų urėdija, Aplinkos apsaugos agentūra, Lietuvos universitetų botanikos sodai</w:t>
      </w:r>
      <w:r w:rsidRPr="006F328E">
        <w:t xml:space="preserve"> </w:t>
      </w:r>
      <w:r w:rsidRPr="006F328E">
        <w:rPr>
          <w:rFonts w:eastAsia="Calibri"/>
          <w:szCs w:val="24"/>
          <w:lang w:eastAsia="lt-LT"/>
        </w:rPr>
        <w:t>(atstovaujami Lietuvos universitetų).“</w:t>
      </w:r>
    </w:p>
    <w:p w14:paraId="047DEA0D" w14:textId="77777777" w:rsidR="005473C3" w:rsidRPr="006F328E" w:rsidRDefault="005473C3" w:rsidP="005473C3">
      <w:pPr>
        <w:ind w:firstLine="709"/>
        <w:jc w:val="both"/>
        <w:rPr>
          <w:lang w:eastAsia="lt-LT"/>
        </w:rPr>
      </w:pPr>
      <w:r w:rsidRPr="006F328E">
        <w:rPr>
          <w:lang w:eastAsia="lt-LT"/>
        </w:rPr>
        <w:lastRenderedPageBreak/>
        <w:t>4. Pakeičiu 19 punkto pirmąją pastraipą ir ją išdėstau taip:</w:t>
      </w:r>
    </w:p>
    <w:p w14:paraId="6D88B90E" w14:textId="3D3FD78D" w:rsidR="005473C3" w:rsidRPr="006F328E" w:rsidRDefault="005473C3" w:rsidP="005473C3">
      <w:pPr>
        <w:ind w:firstLine="709"/>
        <w:jc w:val="both"/>
        <w:rPr>
          <w:color w:val="000000"/>
          <w:szCs w:val="24"/>
          <w:lang w:eastAsia="lt-LT"/>
        </w:rPr>
      </w:pPr>
      <w:r w:rsidRPr="006F328E">
        <w:rPr>
          <w:szCs w:val="24"/>
          <w:lang w:eastAsia="lt-LT"/>
        </w:rPr>
        <w:t>„19.</w:t>
      </w:r>
      <w:r w:rsidRPr="006F328E">
        <w:rPr>
          <w:rFonts w:eastAsia="Calibri"/>
          <w:szCs w:val="24"/>
        </w:rPr>
        <w:t xml:space="preserve"> </w:t>
      </w:r>
      <w:r w:rsidRPr="006F328E">
        <w:rPr>
          <w:color w:val="000000"/>
          <w:szCs w:val="24"/>
          <w:lang w:eastAsia="lt-LT"/>
        </w:rPr>
        <w:t xml:space="preserve">Projektas turi atitikti specialųjį projektų atrankos </w:t>
      </w:r>
      <w:r w:rsidRPr="006F328E">
        <w:rPr>
          <w:rFonts w:eastAsia="Calibri"/>
          <w:szCs w:val="24"/>
        </w:rPr>
        <w:t>kriterijų, kuriam pritarta 2014–2020 m. Europos Sąjungos fondų investicijų veiksmų programos stebėsenos komiteto 2015 m. balandžio 23 d. nutarimu Nr. 44P-3.1 (5), patikslintą 2019 m. gruodžio 12 d. nutarimu Nr. 44P-12 (48) ir 2020 m. gruodžio 3 d. nutarimu Nr. 44P-</w:t>
      </w:r>
      <w:r w:rsidR="008C68DE">
        <w:rPr>
          <w:rFonts w:eastAsia="Calibri"/>
          <w:szCs w:val="24"/>
        </w:rPr>
        <w:t>12(60)</w:t>
      </w:r>
      <w:r w:rsidRPr="006F328E">
        <w:rPr>
          <w:rFonts w:eastAsia="Calibri"/>
          <w:szCs w:val="24"/>
        </w:rPr>
        <w:t>, skelbiamais 2014–2020 Europos Sąjungos struktūrinių fondų svetainėje www.esinvesticijos.lt, – projektas turi atitikti bent vieną Aplinkos sektoriaus 2014–2020 m. viešinimo priemonių programos, patvirtintos Lietuvos Respublikos aplinkos ministro 2014 m. kovo 5 d. įsakymu Nr. D1-238 „Dėl Aplinkos sektoriaus 2014–2020 m. viešinimo priemonių programos patvirtinimo“, priede pateikto įgyvendinimo priemonių plano priemonę:</w:t>
      </w:r>
      <w:r w:rsidRPr="006F328E">
        <w:rPr>
          <w:color w:val="000000"/>
          <w:szCs w:val="24"/>
          <w:lang w:eastAsia="lt-LT"/>
        </w:rPr>
        <w:t>19.1. siekiant programos 1.1 uždavinio „Didinti gyventojų informuotumą apie aplinką ir jų aplinkosauginį sąmoningumą, keisti ir ugdyti visuomenės mąstymą ir vartojimo kultūrą, skatinti tausiai naudoti turimus išteklius“:“.</w:t>
      </w:r>
    </w:p>
    <w:p w14:paraId="3130411A" w14:textId="77777777" w:rsidR="005473C3" w:rsidRPr="006F328E" w:rsidRDefault="005473C3" w:rsidP="005473C3">
      <w:pPr>
        <w:tabs>
          <w:tab w:val="left" w:pos="993"/>
        </w:tabs>
        <w:ind w:firstLine="709"/>
        <w:jc w:val="both"/>
        <w:rPr>
          <w:rFonts w:eastAsia="Calibri"/>
          <w:szCs w:val="24"/>
        </w:rPr>
      </w:pPr>
      <w:bookmarkStart w:id="6" w:name="part_c8bae9106eea4e949529f4315d03a60a"/>
      <w:bookmarkEnd w:id="6"/>
      <w:r w:rsidRPr="006F328E">
        <w:rPr>
          <w:rFonts w:eastAsia="Calibri"/>
          <w:szCs w:val="24"/>
        </w:rPr>
        <w:t>5. Papildau 19.2.6 papunkčiu:</w:t>
      </w:r>
    </w:p>
    <w:p w14:paraId="233E5565"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„19.2.6.  Vilniaus universiteto botanikos sodo atnaujinimas;“.</w:t>
      </w:r>
    </w:p>
    <w:p w14:paraId="295EBA17"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6. Papildau 19.2.7 papunkčiu:</w:t>
      </w:r>
    </w:p>
    <w:p w14:paraId="3215D940"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„19.2.7. Vytauto Didžiojo universiteto botanikos sodo atnaujinimas;“.</w:t>
      </w:r>
    </w:p>
    <w:p w14:paraId="0B3C3E60"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7. Papildau 19.2.8 papunkčiu:</w:t>
      </w:r>
    </w:p>
    <w:p w14:paraId="21319F5A"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„19.2.8. Klaipėdos universiteto botanikos sodo atnaujinimas;“.</w:t>
      </w:r>
    </w:p>
    <w:p w14:paraId="07BAF533" w14:textId="77777777" w:rsidR="005473C3" w:rsidRPr="006F328E" w:rsidRDefault="005473C3" w:rsidP="005473C3">
      <w:pPr>
        <w:ind w:firstLine="709"/>
        <w:jc w:val="both"/>
      </w:pPr>
      <w:r w:rsidRPr="006F328E">
        <w:rPr>
          <w:color w:val="000000"/>
          <w:szCs w:val="24"/>
          <w:lang w:eastAsia="lt-LT"/>
        </w:rPr>
        <w:t xml:space="preserve">8. </w:t>
      </w:r>
      <w:bookmarkStart w:id="7" w:name="_Hlk57125744"/>
      <w:r w:rsidRPr="006F328E">
        <w:t>Pakeičiu 36 punktą ir jį išdėstau taip:</w:t>
      </w:r>
    </w:p>
    <w:bookmarkEnd w:id="7"/>
    <w:p w14:paraId="2A5D4D2B" w14:textId="3AF8F6B6" w:rsidR="005473C3" w:rsidRPr="006F328E" w:rsidRDefault="005473C3" w:rsidP="005473C3">
      <w:pPr>
        <w:ind w:firstLine="709"/>
        <w:jc w:val="both"/>
        <w:rPr>
          <w:color w:val="000000"/>
        </w:rPr>
      </w:pPr>
      <w:r w:rsidRPr="006F328E">
        <w:rPr>
          <w:color w:val="000000"/>
        </w:rPr>
        <w:t>„36. Valstybės pagalba, kaip ji apibrėžta Sutarties dėl Europos Sąjungos veikimo 107 straipsnyje, ir </w:t>
      </w:r>
      <w:r w:rsidRPr="006F328E">
        <w:rPr>
          <w:i/>
          <w:iCs/>
          <w:color w:val="000000"/>
        </w:rPr>
        <w:t>de minimis </w:t>
      </w:r>
      <w:r w:rsidRPr="006F328E">
        <w:rPr>
          <w:color w:val="000000"/>
        </w:rPr>
        <w:t>pagalba, kuri atitinka 2013 m. gruodžio 18 d. Komisijos reglamento (ES) Nr. 1407/2013 dėl Sutarties dėl Europos Sąjungos veikimo 107 ir 108 straipsnių taikymo </w:t>
      </w:r>
      <w:r w:rsidRPr="006F328E">
        <w:rPr>
          <w:i/>
          <w:iCs/>
          <w:color w:val="000000"/>
        </w:rPr>
        <w:t>de minimis </w:t>
      </w:r>
      <w:r w:rsidRPr="006F328E">
        <w:rPr>
          <w:color w:val="000000"/>
        </w:rPr>
        <w:t>pagalbai su visais pakeitimais nuostatas, neteikiama.“</w:t>
      </w:r>
    </w:p>
    <w:p w14:paraId="58662178"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9. Pakeičiu 38 punktą ir jį išdėstau taip:</w:t>
      </w:r>
    </w:p>
    <w:p w14:paraId="611ED0EF"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„38. Didžiausia galima projekto finansuojamoji dalis sudaro:</w:t>
      </w:r>
    </w:p>
    <w:p w14:paraId="76424094"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38.1. 100 proc. visų tinkamų finansuoti projekto išlaidų, jei p</w:t>
      </w:r>
      <w:r w:rsidRPr="006F328E">
        <w:rPr>
          <w:color w:val="000000"/>
          <w:szCs w:val="24"/>
          <w:lang w:eastAsia="lt-LT"/>
        </w:rPr>
        <w:t xml:space="preserve">areiškėjas yra </w:t>
      </w:r>
      <w:r w:rsidRPr="006F328E">
        <w:rPr>
          <w:rFonts w:eastAsia="Calibri"/>
          <w:szCs w:val="24"/>
          <w:lang w:eastAsia="lt-LT"/>
        </w:rPr>
        <w:t>Lietuvos Respublikos aplinkos ministerija, Lietuvos zoologijos sodas, Lietuvos geologijos tarnyba prie Lietuvos Respublikos aplinkos ministerijos, Kauno Tado Ivanausko zoologijos muziejus, Respublikinis Vaclovo Into akmenų muziejus, VĮ Valstybinių miškų urėdija, Aplinkos apsaugos agentūra;</w:t>
      </w:r>
    </w:p>
    <w:p w14:paraId="66B47336" w14:textId="77777777" w:rsidR="005473C3" w:rsidRPr="006F328E" w:rsidRDefault="005473C3" w:rsidP="005473C3">
      <w:pPr>
        <w:ind w:firstLine="709"/>
        <w:jc w:val="both"/>
        <w:textAlignment w:val="center"/>
        <w:rPr>
          <w:color w:val="000000"/>
          <w:szCs w:val="24"/>
          <w:lang w:eastAsia="lt-LT"/>
        </w:rPr>
      </w:pPr>
      <w:bookmarkStart w:id="8" w:name="part_7eece73760cc4f2887d6c5d055b95a00"/>
      <w:bookmarkEnd w:id="8"/>
      <w:r w:rsidRPr="006F328E">
        <w:rPr>
          <w:color w:val="000000"/>
          <w:szCs w:val="24"/>
          <w:lang w:eastAsia="lt-LT"/>
        </w:rPr>
        <w:t xml:space="preserve">38.2. 85 proc. visų tinkamų finansuoti projekto išlaidų, jei pareiškėjai yra </w:t>
      </w:r>
      <w:r w:rsidRPr="006F328E">
        <w:rPr>
          <w:rFonts w:eastAsia="Calibri"/>
          <w:szCs w:val="24"/>
          <w:lang w:eastAsia="lt-LT"/>
        </w:rPr>
        <w:t>Lietuvos universitetų botanikos sodai</w:t>
      </w:r>
      <w:r w:rsidRPr="006F328E">
        <w:t xml:space="preserve"> </w:t>
      </w:r>
      <w:r w:rsidRPr="006F328E">
        <w:rPr>
          <w:rFonts w:eastAsia="Calibri"/>
          <w:szCs w:val="24"/>
          <w:lang w:eastAsia="lt-LT"/>
        </w:rPr>
        <w:t>(atstovaujami Lietuvos universitetų)</w:t>
      </w:r>
      <w:r w:rsidRPr="006F328E">
        <w:rPr>
          <w:color w:val="000000"/>
          <w:szCs w:val="24"/>
          <w:lang w:eastAsia="lt-LT"/>
        </w:rPr>
        <w:t>. Pareiškėjai privalo prisidėti prie projekto finansavimo ne mažiau nei 15 proc. visų tinkamų finansuoti projekto išlaidų</w:t>
      </w:r>
      <w:bookmarkStart w:id="9" w:name="part_a83a9218a03d4957957717780e4842c0"/>
      <w:bookmarkEnd w:id="9"/>
      <w:r w:rsidRPr="006F328E">
        <w:rPr>
          <w:color w:val="000000"/>
          <w:szCs w:val="24"/>
          <w:lang w:eastAsia="lt-LT"/>
        </w:rPr>
        <w:t>.“</w:t>
      </w:r>
    </w:p>
    <w:p w14:paraId="33B4CBCA" w14:textId="77777777" w:rsidR="005473C3" w:rsidRPr="006F328E" w:rsidRDefault="005473C3" w:rsidP="005473C3">
      <w:pPr>
        <w:ind w:firstLine="709"/>
        <w:jc w:val="both"/>
      </w:pPr>
      <w:r w:rsidRPr="006F328E">
        <w:t>10. Papildau 40 punkto lentelę 5.12 papunkčiu: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27"/>
        <w:gridCol w:w="4395"/>
      </w:tblGrid>
      <w:tr w:rsidR="005473C3" w:rsidRPr="006F328E" w14:paraId="7C4F066A" w14:textId="77777777" w:rsidTr="00E2287B">
        <w:tc>
          <w:tcPr>
            <w:tcW w:w="1276" w:type="dxa"/>
            <w:shd w:val="clear" w:color="auto" w:fill="auto"/>
            <w:vAlign w:val="center"/>
          </w:tcPr>
          <w:p w14:paraId="39FAD0CF" w14:textId="77777777" w:rsidR="005473C3" w:rsidRPr="006F328E" w:rsidRDefault="005473C3" w:rsidP="00E2287B">
            <w:pPr>
              <w:tabs>
                <w:tab w:val="left" w:pos="0"/>
                <w:tab w:val="left" w:pos="204"/>
              </w:tabs>
              <w:ind w:firstLine="709"/>
              <w:contextualSpacing/>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6297987" w14:textId="77777777" w:rsidR="005473C3" w:rsidRPr="006F328E" w:rsidRDefault="005473C3" w:rsidP="00E2287B">
            <w:pPr>
              <w:tabs>
                <w:tab w:val="left" w:pos="0"/>
                <w:tab w:val="left" w:pos="567"/>
              </w:tabs>
              <w:ind w:firstLine="709"/>
              <w:contextualSpacing/>
            </w:pP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60281233" w14:textId="77777777" w:rsidR="005473C3" w:rsidRPr="006F328E" w:rsidRDefault="005473C3" w:rsidP="00AA36E3">
            <w:pPr>
              <w:tabs>
                <w:tab w:val="left" w:pos="0"/>
                <w:tab w:val="left" w:pos="567"/>
              </w:tabs>
              <w:ind w:firstLine="64"/>
              <w:contextualSpacing/>
              <w:jc w:val="both"/>
            </w:pPr>
            <w:r w:rsidRPr="006F328E">
              <w:t>„5.12. statybos valdytojo funkcijų vykdymo išlaidos.“</w:t>
            </w:r>
          </w:p>
        </w:tc>
      </w:tr>
    </w:tbl>
    <w:p w14:paraId="7EB6132E" w14:textId="77777777" w:rsidR="005473C3" w:rsidRPr="006F328E" w:rsidRDefault="005473C3" w:rsidP="005473C3">
      <w:pPr>
        <w:ind w:firstLine="709"/>
        <w:jc w:val="both"/>
        <w:textAlignment w:val="center"/>
        <w:rPr>
          <w:rFonts w:eastAsia="Calibri"/>
          <w:szCs w:val="24"/>
        </w:rPr>
      </w:pPr>
      <w:r w:rsidRPr="006F328E">
        <w:rPr>
          <w:rFonts w:eastAsia="Calibri"/>
          <w:szCs w:val="24"/>
        </w:rPr>
        <w:t>11. Pakeičiu 42 punktą ir jį išdėstau taip:</w:t>
      </w:r>
    </w:p>
    <w:p w14:paraId="2A0AC386" w14:textId="77777777" w:rsidR="005473C3" w:rsidRPr="006F328E" w:rsidRDefault="005473C3" w:rsidP="005473C3">
      <w:pPr>
        <w:ind w:firstLine="709"/>
        <w:jc w:val="both"/>
      </w:pPr>
      <w:r w:rsidRPr="006F328E">
        <w:rPr>
          <w:color w:val="000000"/>
        </w:rPr>
        <w:t xml:space="preserve">„42. Galimi pareiškėjai ne vėliau kaip per 3 mėnesius (Lietuvos zoologijos sodas – per 6 mėnesius, Lietuvos universitetų botanikos sodai </w:t>
      </w:r>
      <w:r w:rsidRPr="006F328E">
        <w:rPr>
          <w:rFonts w:eastAsia="Calibri"/>
          <w:szCs w:val="24"/>
          <w:lang w:eastAsia="lt-LT"/>
        </w:rPr>
        <w:t>(atstovaujami Lietuvos universitetų) – per 1 mėnesį</w:t>
      </w:r>
      <w:r w:rsidRPr="006F328E">
        <w:rPr>
          <w:color w:val="000000"/>
        </w:rPr>
        <w:t>) nuo kvietimo teikti projektinius pasiūlymus gavimo turi ministerijai raštu pateikti projektinį pasiūlymą dėl valstybės projekto įgyvendinimo (toliau – projektinis pasiūlymas) pagal formą, nustatytą Valstybės projektų atrankos tvarkos apraše, patvirtintame Lietuvos Respublikos aplinkos ministro 2015 m. balandžio 3 d. įsakymu Nr. D1-276 „Dėl Valstybės projektų atrankos tvarkos aprašo patvirtinimo“ ir paskelbtą Europos Sąjungos struktūrinių fondų svetainėje www.esinvesticijos.lt. Pareiškėjas privalo pateikti vieną originalų projektinio pasiūlymo egzempliorių ir projektinio pasiūlymo versiją kompiuterinėje laikmenoje (ant elektroninės laikmenos turi būti aiškiai nurodytas projekto pavadinimas).“</w:t>
      </w:r>
    </w:p>
    <w:p w14:paraId="79FBB03C"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12. Pakeičiu 43 punktą ir jį išdėstau taip:</w:t>
      </w:r>
    </w:p>
    <w:p w14:paraId="47A4F5B7"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„43. Pareiškėjai, ketinantys įgyvendinti projektą pagal aprašo 9.2 papunktyje nurodytą veiklą, kartu su projektiniu pasiūlymu turi pateikti:</w:t>
      </w:r>
    </w:p>
    <w:p w14:paraId="1E735A81" w14:textId="72A87B59" w:rsidR="005473C3" w:rsidRPr="006F328E" w:rsidRDefault="005473C3" w:rsidP="005473C3">
      <w:pPr>
        <w:tabs>
          <w:tab w:val="left" w:pos="993"/>
        </w:tabs>
        <w:ind w:firstLine="709"/>
        <w:jc w:val="both"/>
        <w:rPr>
          <w:rFonts w:eastAsia="Calibri"/>
          <w:szCs w:val="24"/>
        </w:rPr>
      </w:pPr>
      <w:r w:rsidRPr="006F328E">
        <w:rPr>
          <w:rFonts w:eastAsia="Calibri"/>
          <w:szCs w:val="24"/>
        </w:rPr>
        <w:lastRenderedPageBreak/>
        <w:t xml:space="preserve">43.1. investicijų projektą, parengtą vadovaujantis Investicijų projektų rengimo metodika, patvirtinta Viešosios įstaigos Centrinės projektų valdymo agentūros direktoriaus 2014 m. gruodžio 31 d. įsakymu Nr. 2014/8-337, kuri skelbiama ES struktūrinių fondų interneto svetainėje www.esinvesticijos.lt. Rengiant investicijų projektą, minimaliai turi būti išnagrinėtos ir palygintos projekto įgyvendinimo alternatyvos, nurodytos Investicijų projektų rengimo metodikos 4 priede, atsižvelgiant į projekto investavimo objektą. Papildomos alternatyvos gali būti išnagrinėtos pareiškėjo iniciatyva; </w:t>
      </w:r>
    </w:p>
    <w:p w14:paraId="4A63C55A" w14:textId="4490FC51" w:rsidR="005473C3" w:rsidRPr="006F328E" w:rsidRDefault="005473C3" w:rsidP="005473C3">
      <w:pPr>
        <w:tabs>
          <w:tab w:val="left" w:pos="993"/>
        </w:tabs>
        <w:ind w:firstLine="709"/>
        <w:jc w:val="both"/>
        <w:rPr>
          <w:rFonts w:eastAsia="Calibri"/>
          <w:szCs w:val="24"/>
        </w:rPr>
      </w:pPr>
      <w:r w:rsidRPr="006F328E">
        <w:rPr>
          <w:rFonts w:eastAsia="Calibri"/>
          <w:szCs w:val="24"/>
        </w:rPr>
        <w:t>43.2. sąnaudų naudos analizės rezultatų skaičiuoklę, parengtą pagal Investicijų projektų rengimo metodikos 10 priedą;</w:t>
      </w:r>
    </w:p>
    <w:p w14:paraId="7096FA44" w14:textId="77777777" w:rsidR="005473C3" w:rsidRPr="006F328E" w:rsidRDefault="005473C3" w:rsidP="005473C3">
      <w:pPr>
        <w:tabs>
          <w:tab w:val="left" w:pos="993"/>
        </w:tabs>
        <w:ind w:firstLine="709"/>
        <w:jc w:val="both"/>
        <w:rPr>
          <w:rFonts w:eastAsia="Calibri"/>
          <w:szCs w:val="24"/>
        </w:rPr>
      </w:pPr>
      <w:r w:rsidRPr="006F328E">
        <w:rPr>
          <w:rFonts w:eastAsia="Calibri"/>
          <w:szCs w:val="24"/>
        </w:rPr>
        <w:t>43.3. aprašo 43.1 papunktis netaikomas projektams, kuriems įgyvendinti suplanuotų investicijų į investavimo objektus išlaidų suma, išskyrus (atėmus) joms tenkantį pirkimo ir (arba) importo pridėtinės vertės mokestį ir išlaidas, kurios apmokamos supaprastintai pagal iš anksto nustatytus dydžius (fiksuotuosius įkainius, fiksuotąsias sumas arba fiksuotąsias normas), neviršija 300 000 eurų.“</w:t>
      </w:r>
    </w:p>
    <w:p w14:paraId="6B0BE41C" w14:textId="77777777" w:rsidR="005473C3" w:rsidRPr="006F328E" w:rsidRDefault="005473C3" w:rsidP="005473C3">
      <w:pPr>
        <w:tabs>
          <w:tab w:val="left" w:pos="993"/>
        </w:tabs>
        <w:ind w:firstLine="709"/>
        <w:jc w:val="both"/>
        <w:rPr>
          <w:rFonts w:eastAsia="Calibri"/>
          <w:szCs w:val="24"/>
        </w:rPr>
      </w:pPr>
      <w:bookmarkStart w:id="10" w:name="_Hlk56848625"/>
      <w:r w:rsidRPr="006F328E">
        <w:rPr>
          <w:rFonts w:eastAsia="Calibri"/>
          <w:szCs w:val="24"/>
        </w:rPr>
        <w:t>13. Pakeičiu 52 punktą ir jį išdėstau taip:</w:t>
      </w:r>
    </w:p>
    <w:p w14:paraId="423AE51B" w14:textId="5F95D656" w:rsidR="005473C3" w:rsidRPr="006F328E" w:rsidRDefault="005473C3" w:rsidP="005473C3">
      <w:pPr>
        <w:tabs>
          <w:tab w:val="left" w:pos="993"/>
        </w:tabs>
        <w:ind w:firstLine="709"/>
        <w:jc w:val="both"/>
        <w:rPr>
          <w:rFonts w:eastAsia="Calibri"/>
          <w:szCs w:val="24"/>
        </w:rPr>
      </w:pPr>
      <w:bookmarkStart w:id="11" w:name="_Hlk56848744"/>
      <w:r w:rsidRPr="006F328E">
        <w:rPr>
          <w:rFonts w:eastAsia="Calibri"/>
          <w:szCs w:val="24"/>
        </w:rPr>
        <w:t>„52. I etapo projektų paraiškos turi būti pateiktos ne vėliau kaip per 6 mėnesius, II etapo projektų paraiškos – ne vėliau kaip per 2 mėnesius, III etapo projektų paraiškos – ne vėliau kaip per 1 mėnesį nuo siūlymo teikti paraišką gavimo dienos. 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 suderinusi su ministerija.</w:t>
      </w:r>
      <w:r w:rsidRPr="006F328E">
        <w:t>“</w:t>
      </w:r>
    </w:p>
    <w:bookmarkEnd w:id="10"/>
    <w:bookmarkEnd w:id="11"/>
    <w:p w14:paraId="68741C0A" w14:textId="77777777" w:rsidR="005473C3" w:rsidRDefault="005473C3" w:rsidP="005473C3">
      <w:pPr>
        <w:suppressAutoHyphens/>
        <w:rPr>
          <w:lang w:eastAsia="lt-LT"/>
        </w:rPr>
      </w:pPr>
    </w:p>
    <w:p w14:paraId="4964A6AA" w14:textId="77777777" w:rsidR="005473C3" w:rsidRDefault="005473C3" w:rsidP="005473C3">
      <w:pPr>
        <w:suppressAutoHyphens/>
        <w:rPr>
          <w:lang w:eastAsia="lt-LT"/>
        </w:rPr>
      </w:pPr>
    </w:p>
    <w:p w14:paraId="355AAB57" w14:textId="77777777" w:rsidR="005473C3" w:rsidRPr="00CA6E2A" w:rsidRDefault="005473C3" w:rsidP="005473C3">
      <w:pPr>
        <w:suppressAutoHyphens/>
        <w:rPr>
          <w:lang w:val="en-US" w:eastAsia="lt-LT"/>
        </w:rPr>
      </w:pPr>
    </w:p>
    <w:p w14:paraId="726BEB70" w14:textId="77777777" w:rsidR="005473C3" w:rsidRDefault="005473C3" w:rsidP="005473C3">
      <w:pPr>
        <w:tabs>
          <w:tab w:val="left" w:pos="7655"/>
        </w:tabs>
        <w:suppressAutoHyphens/>
        <w:ind w:right="34"/>
        <w:rPr>
          <w:lang w:eastAsia="lt-LT"/>
        </w:rPr>
      </w:pPr>
      <w:r>
        <w:rPr>
          <w:lang w:eastAsia="lt-LT"/>
        </w:rPr>
        <w:t>Aplinkos ministras</w:t>
      </w:r>
      <w:r>
        <w:rPr>
          <w:lang w:eastAsia="lt-LT"/>
        </w:rPr>
        <w:tab/>
      </w:r>
    </w:p>
    <w:p w14:paraId="313428CA" w14:textId="77777777" w:rsidR="005473C3" w:rsidRDefault="005473C3" w:rsidP="005473C3"/>
    <w:p w14:paraId="18526EAB" w14:textId="4CD347EF" w:rsidR="001818B7" w:rsidRDefault="001818B7" w:rsidP="005473C3">
      <w:pPr>
        <w:ind w:firstLine="709"/>
        <w:jc w:val="both"/>
      </w:pPr>
    </w:p>
    <w:sectPr w:rsidR="001818B7" w:rsidSect="00691240">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5" w:h="16837"/>
      <w:pgMar w:top="1134" w:right="706" w:bottom="1134" w:left="1843" w:header="1134" w:footer="91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1F35" w14:textId="77777777" w:rsidR="006577A8" w:rsidRDefault="006577A8">
      <w:pPr>
        <w:suppressAutoHyphens/>
        <w:rPr>
          <w:lang w:eastAsia="lt-LT"/>
        </w:rPr>
      </w:pPr>
      <w:r>
        <w:rPr>
          <w:lang w:eastAsia="lt-LT"/>
        </w:rPr>
        <w:separator/>
      </w:r>
    </w:p>
  </w:endnote>
  <w:endnote w:type="continuationSeparator" w:id="0">
    <w:p w14:paraId="47F87909" w14:textId="77777777" w:rsidR="006577A8" w:rsidRDefault="006577A8">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5" w14:textId="77777777" w:rsidR="001D288B" w:rsidRDefault="001D288B">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6" w14:textId="77777777" w:rsidR="001D288B" w:rsidRDefault="001D288B">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8" w14:textId="77777777" w:rsidR="001D288B" w:rsidRDefault="001D288B">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2CC57" w14:textId="77777777" w:rsidR="006577A8" w:rsidRDefault="006577A8">
      <w:pPr>
        <w:suppressAutoHyphens/>
        <w:rPr>
          <w:lang w:eastAsia="lt-LT"/>
        </w:rPr>
      </w:pPr>
      <w:r>
        <w:rPr>
          <w:lang w:eastAsia="lt-LT"/>
        </w:rPr>
        <w:separator/>
      </w:r>
    </w:p>
  </w:footnote>
  <w:footnote w:type="continuationSeparator" w:id="0">
    <w:p w14:paraId="3FBB2478" w14:textId="77777777" w:rsidR="006577A8" w:rsidRDefault="006577A8">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2" w14:textId="77777777" w:rsidR="001D288B" w:rsidRDefault="001D288B">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3" w14:textId="77777777" w:rsidR="001D288B" w:rsidRDefault="001D288B">
    <w:pPr>
      <w:tabs>
        <w:tab w:val="center" w:pos="4153"/>
        <w:tab w:val="right" w:pos="9100"/>
      </w:tabs>
      <w:suppressAutoHyphens/>
      <w:jc w:val="center"/>
      <w:rPr>
        <w:rFonts w:ascii="Tahoma" w:hAnsi="Tahoma"/>
        <w:spacing w:val="10"/>
        <w:sz w:val="20"/>
        <w:lang w:eastAsia="lt-LT"/>
      </w:rPr>
    </w:pPr>
    <w:r>
      <w:rPr>
        <w:rFonts w:ascii="Tahoma" w:hAnsi="Tahoma"/>
        <w:spacing w:val="10"/>
        <w:sz w:val="20"/>
        <w:lang w:eastAsia="lt-LT"/>
      </w:rPr>
      <w:fldChar w:fldCharType="begin"/>
    </w:r>
    <w:r>
      <w:rPr>
        <w:rFonts w:ascii="Tahoma" w:hAnsi="Tahoma"/>
        <w:spacing w:val="10"/>
        <w:sz w:val="20"/>
        <w:lang w:eastAsia="lt-LT"/>
      </w:rPr>
      <w:instrText>PAGE   \* MERGEFORMAT</w:instrText>
    </w:r>
    <w:r>
      <w:rPr>
        <w:rFonts w:ascii="Tahoma" w:hAnsi="Tahoma"/>
        <w:spacing w:val="10"/>
        <w:sz w:val="20"/>
        <w:lang w:eastAsia="lt-LT"/>
      </w:rPr>
      <w:fldChar w:fldCharType="separate"/>
    </w:r>
    <w:r w:rsidR="00B3658D">
      <w:rPr>
        <w:rFonts w:ascii="Tahoma" w:hAnsi="Tahoma"/>
        <w:noProof/>
        <w:spacing w:val="10"/>
        <w:sz w:val="20"/>
        <w:lang w:eastAsia="lt-LT"/>
      </w:rPr>
      <w:t>2</w:t>
    </w:r>
    <w:r>
      <w:rPr>
        <w:rFonts w:ascii="Tahoma" w:hAnsi="Tahoma"/>
        <w:spacing w:val="10"/>
        <w:sz w:val="20"/>
        <w:lang w:eastAsia="lt-LT"/>
      </w:rPr>
      <w:fldChar w:fldCharType="end"/>
    </w:r>
  </w:p>
  <w:p w14:paraId="18526EB4" w14:textId="77777777" w:rsidR="001D288B" w:rsidRDefault="001D288B">
    <w:pPr>
      <w:tabs>
        <w:tab w:val="left" w:pos="3344"/>
        <w:tab w:val="left" w:pos="8291"/>
      </w:tabs>
      <w:suppressAutoHyphens/>
      <w:spacing w:before="120" w:after="60"/>
      <w:ind w:left="-17" w:firstLine="17"/>
      <w:jc w:val="center"/>
      <w:rPr>
        <w:b/>
        <w:bCs/>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6EB7" w14:textId="77777777" w:rsidR="001D288B" w:rsidRDefault="001D288B">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B4E9E"/>
    <w:multiLevelType w:val="hybridMultilevel"/>
    <w:tmpl w:val="F48A0930"/>
    <w:lvl w:ilvl="0" w:tplc="81308E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BC"/>
    <w:rsid w:val="000513DB"/>
    <w:rsid w:val="0006427F"/>
    <w:rsid w:val="0008272E"/>
    <w:rsid w:val="00097B68"/>
    <w:rsid w:val="000D0915"/>
    <w:rsid w:val="000D5794"/>
    <w:rsid w:val="000E227B"/>
    <w:rsid w:val="000E56DC"/>
    <w:rsid w:val="0010648D"/>
    <w:rsid w:val="00121BBF"/>
    <w:rsid w:val="001303C7"/>
    <w:rsid w:val="00145854"/>
    <w:rsid w:val="00155E41"/>
    <w:rsid w:val="001818B7"/>
    <w:rsid w:val="0018394B"/>
    <w:rsid w:val="001D288B"/>
    <w:rsid w:val="0020269A"/>
    <w:rsid w:val="00210809"/>
    <w:rsid w:val="00217038"/>
    <w:rsid w:val="00217FAE"/>
    <w:rsid w:val="00253BF8"/>
    <w:rsid w:val="0027017F"/>
    <w:rsid w:val="003130B0"/>
    <w:rsid w:val="00323B93"/>
    <w:rsid w:val="00325FA0"/>
    <w:rsid w:val="0034771F"/>
    <w:rsid w:val="00376ACE"/>
    <w:rsid w:val="00397354"/>
    <w:rsid w:val="003B1A04"/>
    <w:rsid w:val="003C0F88"/>
    <w:rsid w:val="003E2BD9"/>
    <w:rsid w:val="003E7E2D"/>
    <w:rsid w:val="003F6AA7"/>
    <w:rsid w:val="004051E7"/>
    <w:rsid w:val="0045189E"/>
    <w:rsid w:val="00486EBF"/>
    <w:rsid w:val="004E3EDA"/>
    <w:rsid w:val="004F04CC"/>
    <w:rsid w:val="005010FD"/>
    <w:rsid w:val="0051777D"/>
    <w:rsid w:val="005232C0"/>
    <w:rsid w:val="00541787"/>
    <w:rsid w:val="005473C3"/>
    <w:rsid w:val="005D1C69"/>
    <w:rsid w:val="005D7DE9"/>
    <w:rsid w:val="0060257A"/>
    <w:rsid w:val="006051B6"/>
    <w:rsid w:val="00617442"/>
    <w:rsid w:val="00620693"/>
    <w:rsid w:val="00646F2B"/>
    <w:rsid w:val="006577A8"/>
    <w:rsid w:val="00687BB5"/>
    <w:rsid w:val="00691240"/>
    <w:rsid w:val="006976C2"/>
    <w:rsid w:val="006B1F94"/>
    <w:rsid w:val="006D1245"/>
    <w:rsid w:val="006F328E"/>
    <w:rsid w:val="007173D1"/>
    <w:rsid w:val="007477EF"/>
    <w:rsid w:val="007C19A2"/>
    <w:rsid w:val="007C7284"/>
    <w:rsid w:val="007E1B0F"/>
    <w:rsid w:val="008038D2"/>
    <w:rsid w:val="00834D68"/>
    <w:rsid w:val="00873B21"/>
    <w:rsid w:val="00874163"/>
    <w:rsid w:val="008B4A46"/>
    <w:rsid w:val="008C2D83"/>
    <w:rsid w:val="008C3386"/>
    <w:rsid w:val="008C68DE"/>
    <w:rsid w:val="00921286"/>
    <w:rsid w:val="00922535"/>
    <w:rsid w:val="009716EB"/>
    <w:rsid w:val="00986987"/>
    <w:rsid w:val="009E13F8"/>
    <w:rsid w:val="00A03BA5"/>
    <w:rsid w:val="00A7187E"/>
    <w:rsid w:val="00AA12CF"/>
    <w:rsid w:val="00AA2C28"/>
    <w:rsid w:val="00AA36E3"/>
    <w:rsid w:val="00B3658D"/>
    <w:rsid w:val="00B66A0A"/>
    <w:rsid w:val="00BA6BBC"/>
    <w:rsid w:val="00BA70E7"/>
    <w:rsid w:val="00C2056C"/>
    <w:rsid w:val="00C2082F"/>
    <w:rsid w:val="00C63780"/>
    <w:rsid w:val="00C8404E"/>
    <w:rsid w:val="00C9426D"/>
    <w:rsid w:val="00CA6E2A"/>
    <w:rsid w:val="00CB72FE"/>
    <w:rsid w:val="00D17E81"/>
    <w:rsid w:val="00D738B5"/>
    <w:rsid w:val="00DC13D6"/>
    <w:rsid w:val="00DD201B"/>
    <w:rsid w:val="00DD60D3"/>
    <w:rsid w:val="00DF687E"/>
    <w:rsid w:val="00E1452E"/>
    <w:rsid w:val="00E26715"/>
    <w:rsid w:val="00F54F3B"/>
    <w:rsid w:val="00F7326B"/>
    <w:rsid w:val="00F82BE3"/>
    <w:rsid w:val="00FB4F12"/>
    <w:rsid w:val="00FF3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2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F04CC"/>
    <w:rPr>
      <w:color w:val="808080"/>
    </w:rPr>
  </w:style>
  <w:style w:type="paragraph" w:styleId="BalloonText">
    <w:name w:val="Balloon Text"/>
    <w:basedOn w:val="Normal"/>
    <w:link w:val="BalloonTextChar"/>
    <w:rsid w:val="00FB4F12"/>
    <w:rPr>
      <w:rFonts w:ascii="Segoe UI" w:hAnsi="Segoe UI" w:cs="Segoe UI"/>
      <w:sz w:val="18"/>
      <w:szCs w:val="18"/>
    </w:rPr>
  </w:style>
  <w:style w:type="character" w:customStyle="1" w:styleId="BalloonTextChar">
    <w:name w:val="Balloon Text Char"/>
    <w:basedOn w:val="DefaultParagraphFont"/>
    <w:link w:val="BalloonText"/>
    <w:rsid w:val="00FB4F12"/>
    <w:rPr>
      <w:rFonts w:ascii="Segoe UI" w:hAnsi="Segoe UI" w:cs="Segoe UI"/>
      <w:sz w:val="18"/>
      <w:szCs w:val="18"/>
    </w:rPr>
  </w:style>
  <w:style w:type="character" w:styleId="Hyperlink">
    <w:name w:val="Hyperlink"/>
    <w:basedOn w:val="DefaultParagraphFont"/>
    <w:uiPriority w:val="99"/>
    <w:semiHidden/>
    <w:unhideWhenUsed/>
    <w:rsid w:val="00376ACE"/>
    <w:rPr>
      <w:color w:val="0000FF"/>
      <w:u w:val="single"/>
    </w:rPr>
  </w:style>
  <w:style w:type="paragraph" w:styleId="ListParagraph">
    <w:name w:val="List Paragraph"/>
    <w:basedOn w:val="Normal"/>
    <w:rsid w:val="0045189E"/>
    <w:pPr>
      <w:ind w:left="720"/>
      <w:contextualSpacing/>
    </w:pPr>
  </w:style>
  <w:style w:type="character" w:styleId="CommentReference">
    <w:name w:val="annotation reference"/>
    <w:basedOn w:val="DefaultParagraphFont"/>
    <w:semiHidden/>
    <w:unhideWhenUsed/>
    <w:rsid w:val="00CB72FE"/>
    <w:rPr>
      <w:sz w:val="16"/>
      <w:szCs w:val="16"/>
    </w:rPr>
  </w:style>
  <w:style w:type="paragraph" w:styleId="CommentText">
    <w:name w:val="annotation text"/>
    <w:basedOn w:val="Normal"/>
    <w:link w:val="CommentTextChar"/>
    <w:semiHidden/>
    <w:unhideWhenUsed/>
    <w:rsid w:val="00CB72FE"/>
    <w:rPr>
      <w:sz w:val="20"/>
    </w:rPr>
  </w:style>
  <w:style w:type="character" w:customStyle="1" w:styleId="CommentTextChar">
    <w:name w:val="Comment Text Char"/>
    <w:basedOn w:val="DefaultParagraphFont"/>
    <w:link w:val="CommentText"/>
    <w:semiHidden/>
    <w:rsid w:val="00CB72FE"/>
    <w:rPr>
      <w:sz w:val="20"/>
    </w:rPr>
  </w:style>
  <w:style w:type="paragraph" w:styleId="CommentSubject">
    <w:name w:val="annotation subject"/>
    <w:basedOn w:val="CommentText"/>
    <w:next w:val="CommentText"/>
    <w:link w:val="CommentSubjectChar"/>
    <w:semiHidden/>
    <w:unhideWhenUsed/>
    <w:rsid w:val="00CB72FE"/>
    <w:rPr>
      <w:b/>
      <w:bCs/>
    </w:rPr>
  </w:style>
  <w:style w:type="character" w:customStyle="1" w:styleId="CommentSubjectChar">
    <w:name w:val="Comment Subject Char"/>
    <w:basedOn w:val="CommentTextChar"/>
    <w:link w:val="CommentSubject"/>
    <w:semiHidden/>
    <w:rsid w:val="00CB72FE"/>
    <w:rPr>
      <w:b/>
      <w:bCs/>
      <w:sz w:val="20"/>
    </w:rPr>
  </w:style>
  <w:style w:type="paragraph" w:styleId="Revision">
    <w:name w:val="Revision"/>
    <w:hidden/>
    <w:semiHidden/>
    <w:rsid w:val="0060257A"/>
  </w:style>
  <w:style w:type="paragraph" w:customStyle="1" w:styleId="xxxmsonormal">
    <w:name w:val="x_x_x_msonormal"/>
    <w:basedOn w:val="Normal"/>
    <w:rsid w:val="006B1F9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0000">
      <w:bodyDiv w:val="1"/>
      <w:marLeft w:val="0"/>
      <w:marRight w:val="0"/>
      <w:marTop w:val="0"/>
      <w:marBottom w:val="0"/>
      <w:divBdr>
        <w:top w:val="none" w:sz="0" w:space="0" w:color="auto"/>
        <w:left w:val="none" w:sz="0" w:space="0" w:color="auto"/>
        <w:bottom w:val="none" w:sz="0" w:space="0" w:color="auto"/>
        <w:right w:val="none" w:sz="0" w:space="0" w:color="auto"/>
      </w:divBdr>
    </w:div>
    <w:div w:id="829642807">
      <w:bodyDiv w:val="1"/>
      <w:marLeft w:val="0"/>
      <w:marRight w:val="0"/>
      <w:marTop w:val="0"/>
      <w:marBottom w:val="0"/>
      <w:divBdr>
        <w:top w:val="none" w:sz="0" w:space="0" w:color="auto"/>
        <w:left w:val="none" w:sz="0" w:space="0" w:color="auto"/>
        <w:bottom w:val="none" w:sz="0" w:space="0" w:color="auto"/>
        <w:right w:val="none" w:sz="0" w:space="0" w:color="auto"/>
      </w:divBdr>
    </w:div>
    <w:div w:id="1828667976">
      <w:bodyDiv w:val="1"/>
      <w:marLeft w:val="0"/>
      <w:marRight w:val="0"/>
      <w:marTop w:val="0"/>
      <w:marBottom w:val="0"/>
      <w:divBdr>
        <w:top w:val="none" w:sz="0" w:space="0" w:color="auto"/>
        <w:left w:val="none" w:sz="0" w:space="0" w:color="auto"/>
        <w:bottom w:val="none" w:sz="0" w:space="0" w:color="auto"/>
        <w:right w:val="none" w:sz="0" w:space="0" w:color="auto"/>
      </w:divBdr>
      <w:divsChild>
        <w:div w:id="1859079093">
          <w:marLeft w:val="0"/>
          <w:marRight w:val="0"/>
          <w:marTop w:val="0"/>
          <w:marBottom w:val="0"/>
          <w:divBdr>
            <w:top w:val="none" w:sz="0" w:space="0" w:color="auto"/>
            <w:left w:val="none" w:sz="0" w:space="0" w:color="auto"/>
            <w:bottom w:val="none" w:sz="0" w:space="0" w:color="auto"/>
            <w:right w:val="none" w:sz="0" w:space="0" w:color="auto"/>
          </w:divBdr>
          <w:divsChild>
            <w:div w:id="1617518890">
              <w:marLeft w:val="0"/>
              <w:marRight w:val="0"/>
              <w:marTop w:val="0"/>
              <w:marBottom w:val="0"/>
              <w:divBdr>
                <w:top w:val="none" w:sz="0" w:space="0" w:color="auto"/>
                <w:left w:val="none" w:sz="0" w:space="0" w:color="auto"/>
                <w:bottom w:val="none" w:sz="0" w:space="0" w:color="auto"/>
                <w:right w:val="none" w:sz="0" w:space="0" w:color="auto"/>
              </w:divBdr>
            </w:div>
            <w:div w:id="873150682">
              <w:marLeft w:val="0"/>
              <w:marRight w:val="0"/>
              <w:marTop w:val="0"/>
              <w:marBottom w:val="0"/>
              <w:divBdr>
                <w:top w:val="none" w:sz="0" w:space="0" w:color="auto"/>
                <w:left w:val="none" w:sz="0" w:space="0" w:color="auto"/>
                <w:bottom w:val="none" w:sz="0" w:space="0" w:color="auto"/>
                <w:right w:val="none" w:sz="0" w:space="0" w:color="auto"/>
              </w:divBdr>
            </w:div>
            <w:div w:id="464273695">
              <w:marLeft w:val="0"/>
              <w:marRight w:val="0"/>
              <w:marTop w:val="0"/>
              <w:marBottom w:val="0"/>
              <w:divBdr>
                <w:top w:val="none" w:sz="0" w:space="0" w:color="auto"/>
                <w:left w:val="none" w:sz="0" w:space="0" w:color="auto"/>
                <w:bottom w:val="none" w:sz="0" w:space="0" w:color="auto"/>
                <w:right w:val="none" w:sz="0" w:space="0" w:color="auto"/>
              </w:divBdr>
            </w:div>
            <w:div w:id="1837381569">
              <w:marLeft w:val="0"/>
              <w:marRight w:val="0"/>
              <w:marTop w:val="0"/>
              <w:marBottom w:val="0"/>
              <w:divBdr>
                <w:top w:val="none" w:sz="0" w:space="0" w:color="auto"/>
                <w:left w:val="none" w:sz="0" w:space="0" w:color="auto"/>
                <w:bottom w:val="none" w:sz="0" w:space="0" w:color="auto"/>
                <w:right w:val="none" w:sz="0" w:space="0" w:color="auto"/>
              </w:divBdr>
            </w:div>
            <w:div w:id="275134924">
              <w:marLeft w:val="0"/>
              <w:marRight w:val="0"/>
              <w:marTop w:val="0"/>
              <w:marBottom w:val="0"/>
              <w:divBdr>
                <w:top w:val="none" w:sz="0" w:space="0" w:color="auto"/>
                <w:left w:val="none" w:sz="0" w:space="0" w:color="auto"/>
                <w:bottom w:val="none" w:sz="0" w:space="0" w:color="auto"/>
                <w:right w:val="none" w:sz="0" w:space="0" w:color="auto"/>
              </w:divBdr>
            </w:div>
          </w:divsChild>
        </w:div>
        <w:div w:id="550574160">
          <w:marLeft w:val="0"/>
          <w:marRight w:val="0"/>
          <w:marTop w:val="0"/>
          <w:marBottom w:val="0"/>
          <w:divBdr>
            <w:top w:val="none" w:sz="0" w:space="0" w:color="auto"/>
            <w:left w:val="none" w:sz="0" w:space="0" w:color="auto"/>
            <w:bottom w:val="none" w:sz="0" w:space="0" w:color="auto"/>
            <w:right w:val="none" w:sz="0" w:space="0" w:color="auto"/>
          </w:divBdr>
          <w:divsChild>
            <w:div w:id="1840735496">
              <w:marLeft w:val="0"/>
              <w:marRight w:val="0"/>
              <w:marTop w:val="0"/>
              <w:marBottom w:val="0"/>
              <w:divBdr>
                <w:top w:val="none" w:sz="0" w:space="0" w:color="auto"/>
                <w:left w:val="none" w:sz="0" w:space="0" w:color="auto"/>
                <w:bottom w:val="none" w:sz="0" w:space="0" w:color="auto"/>
                <w:right w:val="none" w:sz="0" w:space="0" w:color="auto"/>
              </w:divBdr>
            </w:div>
            <w:div w:id="295568048">
              <w:marLeft w:val="0"/>
              <w:marRight w:val="0"/>
              <w:marTop w:val="0"/>
              <w:marBottom w:val="0"/>
              <w:divBdr>
                <w:top w:val="none" w:sz="0" w:space="0" w:color="auto"/>
                <w:left w:val="none" w:sz="0" w:space="0" w:color="auto"/>
                <w:bottom w:val="none" w:sz="0" w:space="0" w:color="auto"/>
                <w:right w:val="none" w:sz="0" w:space="0" w:color="auto"/>
              </w:divBdr>
            </w:div>
            <w:div w:id="527135442">
              <w:marLeft w:val="0"/>
              <w:marRight w:val="0"/>
              <w:marTop w:val="0"/>
              <w:marBottom w:val="0"/>
              <w:divBdr>
                <w:top w:val="none" w:sz="0" w:space="0" w:color="auto"/>
                <w:left w:val="none" w:sz="0" w:space="0" w:color="auto"/>
                <w:bottom w:val="none" w:sz="0" w:space="0" w:color="auto"/>
                <w:right w:val="none" w:sz="0" w:space="0" w:color="auto"/>
              </w:divBdr>
            </w:div>
            <w:div w:id="131486606">
              <w:marLeft w:val="0"/>
              <w:marRight w:val="0"/>
              <w:marTop w:val="0"/>
              <w:marBottom w:val="0"/>
              <w:divBdr>
                <w:top w:val="none" w:sz="0" w:space="0" w:color="auto"/>
                <w:left w:val="none" w:sz="0" w:space="0" w:color="auto"/>
                <w:bottom w:val="none" w:sz="0" w:space="0" w:color="auto"/>
                <w:right w:val="none" w:sz="0" w:space="0" w:color="auto"/>
              </w:divBdr>
            </w:div>
            <w:div w:id="316081520">
              <w:marLeft w:val="0"/>
              <w:marRight w:val="0"/>
              <w:marTop w:val="0"/>
              <w:marBottom w:val="0"/>
              <w:divBdr>
                <w:top w:val="none" w:sz="0" w:space="0" w:color="auto"/>
                <w:left w:val="none" w:sz="0" w:space="0" w:color="auto"/>
                <w:bottom w:val="none" w:sz="0" w:space="0" w:color="auto"/>
                <w:right w:val="none" w:sz="0" w:space="0" w:color="auto"/>
              </w:divBdr>
            </w:div>
          </w:divsChild>
        </w:div>
        <w:div w:id="105704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DB45-589F-4F21-82C6-F9C0ACDC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5450</Words>
  <Characters>3107</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2020-12-02T07:06:00Z</dcterms:created>
  <dcterms:modified xsi:type="dcterms:W3CDTF">2020-12-02T13:37:00Z</dcterms:modified>
</cp:coreProperties>
</file>