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7EFFD" w14:textId="70DE3CFA" w:rsidR="00FB6137" w:rsidRPr="007528AB" w:rsidRDefault="00FB6137" w:rsidP="00FB6137">
      <w:pPr>
        <w:jc w:val="center"/>
        <w:rPr>
          <w:rFonts w:ascii="Times New Roman" w:hAnsi="Times New Roman"/>
          <w:b/>
          <w:sz w:val="24"/>
          <w:szCs w:val="24"/>
        </w:rPr>
      </w:pPr>
      <w:r w:rsidRPr="007528AB">
        <w:rPr>
          <w:rFonts w:ascii="Times New Roman" w:hAnsi="Times New Roman"/>
          <w:b/>
          <w:bCs/>
          <w:sz w:val="24"/>
          <w:szCs w:val="24"/>
        </w:rPr>
        <w:t xml:space="preserve">2014–2020 METŲ EUROPOS SĄJUNGOS FONDŲ INVESTICIJŲ VEIKSMŲ PROGRAMOS </w:t>
      </w:r>
      <w:r w:rsidRPr="007528AB">
        <w:rPr>
          <w:rFonts w:ascii="Times New Roman" w:hAnsi="Times New Roman"/>
          <w:b/>
          <w:sz w:val="24"/>
          <w:szCs w:val="24"/>
        </w:rPr>
        <w:t>PRIORITET</w:t>
      </w:r>
      <w:r w:rsidR="000C16B3">
        <w:rPr>
          <w:rFonts w:ascii="Times New Roman" w:hAnsi="Times New Roman"/>
          <w:b/>
          <w:sz w:val="24"/>
          <w:szCs w:val="24"/>
        </w:rPr>
        <w:t>O</w:t>
      </w:r>
      <w:r w:rsidRPr="007528AB">
        <w:rPr>
          <w:rFonts w:ascii="Times New Roman" w:hAnsi="Times New Roman"/>
          <w:b/>
          <w:sz w:val="24"/>
          <w:szCs w:val="24"/>
        </w:rPr>
        <w:t xml:space="preserve"> ĮGYVENDINIMO </w:t>
      </w:r>
    </w:p>
    <w:p w14:paraId="0A8E890A" w14:textId="4DA9EDE9" w:rsidR="00813B21" w:rsidRPr="007528AB" w:rsidRDefault="00FB6137" w:rsidP="00DE6E01">
      <w:pPr>
        <w:tabs>
          <w:tab w:val="left" w:pos="0"/>
          <w:tab w:val="left" w:pos="567"/>
        </w:tabs>
        <w:spacing w:after="0" w:line="240" w:lineRule="auto"/>
        <w:jc w:val="center"/>
        <w:rPr>
          <w:rFonts w:ascii="Times New Roman" w:hAnsi="Times New Roman"/>
          <w:b/>
          <w:bCs/>
          <w:sz w:val="24"/>
          <w:szCs w:val="24"/>
          <w:lang w:eastAsia="lt-LT"/>
        </w:rPr>
      </w:pPr>
      <w:r w:rsidRPr="000C16B3">
        <w:rPr>
          <w:rFonts w:ascii="Times New Roman" w:hAnsi="Times New Roman"/>
          <w:b/>
          <w:bCs/>
          <w:sz w:val="24"/>
          <w:szCs w:val="24"/>
          <w:lang w:eastAsia="lt-LT"/>
        </w:rPr>
        <w:t xml:space="preserve">PRIEMONĖS </w:t>
      </w:r>
      <w:r w:rsidR="00813B21" w:rsidRPr="000C16B3">
        <w:rPr>
          <w:rFonts w:ascii="Times New Roman" w:eastAsia="Times New Roman" w:hAnsi="Times New Roman"/>
          <w:b/>
          <w:sz w:val="24"/>
          <w:szCs w:val="24"/>
          <w:lang w:eastAsia="lt-LT"/>
        </w:rPr>
        <w:t>NR.</w:t>
      </w:r>
      <w:r w:rsidR="00813B21" w:rsidRPr="007528AB">
        <w:rPr>
          <w:rFonts w:ascii="Times New Roman" w:eastAsia="Times New Roman" w:hAnsi="Times New Roman"/>
          <w:sz w:val="24"/>
          <w:szCs w:val="24"/>
          <w:lang w:eastAsia="lt-LT"/>
        </w:rPr>
        <w:t xml:space="preserve"> </w:t>
      </w:r>
      <w:r w:rsidR="00B35899">
        <w:rPr>
          <w:rFonts w:ascii="Times New Roman" w:eastAsia="Times New Roman" w:hAnsi="Times New Roman"/>
          <w:b/>
          <w:sz w:val="24"/>
          <w:szCs w:val="24"/>
          <w:lang w:eastAsia="lt-LT"/>
        </w:rPr>
        <w:t>04.3.2-LVPA</w:t>
      </w:r>
      <w:proofErr w:type="gramStart"/>
      <w:r w:rsidR="00B35899">
        <w:rPr>
          <w:rFonts w:ascii="Times New Roman" w:eastAsia="Times New Roman" w:hAnsi="Times New Roman"/>
          <w:b/>
          <w:sz w:val="24"/>
          <w:szCs w:val="24"/>
          <w:lang w:eastAsia="lt-LT"/>
        </w:rPr>
        <w:t>-</w:t>
      </w:r>
      <w:proofErr w:type="gramEnd"/>
      <w:r w:rsidR="00B35899">
        <w:rPr>
          <w:rFonts w:ascii="Times New Roman" w:eastAsia="Times New Roman" w:hAnsi="Times New Roman"/>
          <w:b/>
          <w:sz w:val="24"/>
          <w:szCs w:val="24"/>
          <w:lang w:eastAsia="lt-LT"/>
        </w:rPr>
        <w:t>K-106</w:t>
      </w:r>
      <w:r w:rsidR="00DE6E01" w:rsidRPr="007528AB">
        <w:rPr>
          <w:rFonts w:ascii="Times New Roman" w:eastAsia="Times New Roman" w:hAnsi="Times New Roman"/>
          <w:b/>
          <w:sz w:val="24"/>
          <w:szCs w:val="24"/>
          <w:lang w:eastAsia="lt-LT"/>
        </w:rPr>
        <w:t xml:space="preserve"> </w:t>
      </w:r>
      <w:r w:rsidR="00DE6E01" w:rsidRPr="007528AB">
        <w:rPr>
          <w:rFonts w:ascii="Times New Roman" w:hAnsi="Times New Roman"/>
          <w:b/>
          <w:caps/>
          <w:sz w:val="24"/>
          <w:szCs w:val="24"/>
        </w:rPr>
        <w:t>„</w:t>
      </w:r>
      <w:r w:rsidR="00B35899" w:rsidRPr="00807260">
        <w:rPr>
          <w:rFonts w:ascii="Times New Roman" w:hAnsi="Times New Roman"/>
          <w:b/>
          <w:sz w:val="24"/>
          <w:szCs w:val="24"/>
        </w:rPr>
        <w:t>IŠKAST</w:t>
      </w:r>
      <w:r w:rsidR="00B35899">
        <w:rPr>
          <w:rFonts w:ascii="Times New Roman" w:hAnsi="Times New Roman"/>
          <w:b/>
          <w:sz w:val="24"/>
          <w:szCs w:val="24"/>
        </w:rPr>
        <w:t xml:space="preserve">INĮ KURĄ NAUDOJANČIŲ KATILINIŲ </w:t>
      </w:r>
      <w:r w:rsidR="00B35899" w:rsidRPr="00807260">
        <w:rPr>
          <w:rFonts w:ascii="Times New Roman" w:hAnsi="Times New Roman"/>
          <w:b/>
          <w:sz w:val="24"/>
          <w:szCs w:val="24"/>
        </w:rPr>
        <w:t>MODERNIZAVIMAS</w:t>
      </w:r>
      <w:r w:rsidR="00DE6E01" w:rsidRPr="007528AB">
        <w:rPr>
          <w:rFonts w:ascii="Times New Roman" w:hAnsi="Times New Roman"/>
          <w:b/>
          <w:caps/>
          <w:sz w:val="24"/>
          <w:szCs w:val="24"/>
        </w:rPr>
        <w:t>“</w:t>
      </w:r>
      <w:r w:rsidR="00C70028">
        <w:rPr>
          <w:rFonts w:ascii="Times New Roman" w:hAnsi="Times New Roman"/>
          <w:b/>
          <w:caps/>
          <w:sz w:val="24"/>
          <w:szCs w:val="24"/>
        </w:rPr>
        <w:t xml:space="preserve"> </w:t>
      </w:r>
      <w:r w:rsidR="00813B21" w:rsidRPr="007528AB">
        <w:rPr>
          <w:rFonts w:ascii="Times New Roman" w:hAnsi="Times New Roman"/>
          <w:b/>
          <w:bCs/>
          <w:sz w:val="24"/>
          <w:szCs w:val="24"/>
          <w:lang w:eastAsia="lt-LT"/>
        </w:rPr>
        <w:t>PAGRINDIMAS</w:t>
      </w:r>
      <w:r w:rsidR="00DE6E01" w:rsidRPr="007528AB">
        <w:rPr>
          <w:rFonts w:ascii="Times New Roman" w:hAnsi="Times New Roman"/>
          <w:b/>
          <w:bCs/>
          <w:sz w:val="24"/>
          <w:szCs w:val="24"/>
          <w:lang w:eastAsia="lt-LT"/>
        </w:rPr>
        <w:t xml:space="preserve"> </w:t>
      </w:r>
    </w:p>
    <w:p w14:paraId="192C0D17" w14:textId="77777777" w:rsidR="00DE6E01" w:rsidRPr="007528AB" w:rsidRDefault="00DE6E01" w:rsidP="00DE6E01">
      <w:pPr>
        <w:tabs>
          <w:tab w:val="left" w:pos="0"/>
          <w:tab w:val="left" w:pos="567"/>
        </w:tabs>
        <w:spacing w:after="0" w:line="240" w:lineRule="auto"/>
        <w:jc w:val="center"/>
        <w:rPr>
          <w:rFonts w:ascii="Times New Roman" w:hAnsi="Times New Roman"/>
          <w:b/>
          <w:bCs/>
          <w:sz w:val="24"/>
          <w:szCs w:val="24"/>
          <w:lang w:eastAsia="lt-LT"/>
        </w:rPr>
      </w:pPr>
    </w:p>
    <w:tbl>
      <w:tblPr>
        <w:tblStyle w:val="TableGrid"/>
        <w:tblW w:w="10348" w:type="dxa"/>
        <w:tblInd w:w="-510" w:type="dxa"/>
        <w:tblLayout w:type="fixed"/>
        <w:tblLook w:val="04A0" w:firstRow="1" w:lastRow="0" w:firstColumn="1" w:lastColumn="0" w:noHBand="0" w:noVBand="1"/>
      </w:tblPr>
      <w:tblGrid>
        <w:gridCol w:w="567"/>
        <w:gridCol w:w="2836"/>
        <w:gridCol w:w="6945"/>
      </w:tblGrid>
      <w:tr w:rsidR="007528AB" w:rsidRPr="007528AB" w14:paraId="642664BA" w14:textId="77777777" w:rsidTr="00A513FA">
        <w:tc>
          <w:tcPr>
            <w:tcW w:w="567" w:type="dxa"/>
            <w:shd w:val="clear" w:color="auto" w:fill="F2F2F2" w:themeFill="background1" w:themeFillShade="F2"/>
          </w:tcPr>
          <w:p w14:paraId="49FEF7A2" w14:textId="77777777" w:rsidR="00FB6137" w:rsidRPr="007528AB" w:rsidRDefault="00FB6137" w:rsidP="00D80DEB">
            <w:pPr>
              <w:tabs>
                <w:tab w:val="left" w:pos="567"/>
              </w:tabs>
              <w:rPr>
                <w:rFonts w:ascii="Times New Roman" w:hAnsi="Times New Roman"/>
                <w:b/>
                <w:sz w:val="24"/>
                <w:szCs w:val="24"/>
              </w:rPr>
            </w:pPr>
            <w:r w:rsidRPr="007528AB">
              <w:rPr>
                <w:rFonts w:ascii="Times New Roman" w:hAnsi="Times New Roman"/>
                <w:b/>
                <w:sz w:val="24"/>
                <w:szCs w:val="24"/>
              </w:rPr>
              <w:t xml:space="preserve">Nr. </w:t>
            </w:r>
          </w:p>
        </w:tc>
        <w:tc>
          <w:tcPr>
            <w:tcW w:w="2836" w:type="dxa"/>
            <w:shd w:val="clear" w:color="auto" w:fill="F2F2F2" w:themeFill="background1" w:themeFillShade="F2"/>
          </w:tcPr>
          <w:p w14:paraId="556ED83E" w14:textId="77777777" w:rsidR="00FB6137" w:rsidRPr="007528AB" w:rsidRDefault="00FB6137" w:rsidP="00D80DEB">
            <w:pPr>
              <w:tabs>
                <w:tab w:val="left" w:pos="567"/>
              </w:tabs>
              <w:jc w:val="center"/>
              <w:rPr>
                <w:rFonts w:ascii="Times New Roman" w:hAnsi="Times New Roman"/>
                <w:b/>
                <w:sz w:val="24"/>
                <w:szCs w:val="24"/>
              </w:rPr>
            </w:pPr>
            <w:r w:rsidRPr="007528AB">
              <w:rPr>
                <w:rFonts w:ascii="Times New Roman" w:hAnsi="Times New Roman"/>
                <w:b/>
                <w:sz w:val="24"/>
                <w:szCs w:val="24"/>
              </w:rPr>
              <w:t>Klausimas</w:t>
            </w:r>
          </w:p>
        </w:tc>
        <w:tc>
          <w:tcPr>
            <w:tcW w:w="6945" w:type="dxa"/>
            <w:shd w:val="clear" w:color="auto" w:fill="F2F2F2" w:themeFill="background1" w:themeFillShade="F2"/>
          </w:tcPr>
          <w:p w14:paraId="186AACED" w14:textId="77777777" w:rsidR="00FB6137" w:rsidRPr="007528AB" w:rsidRDefault="00FB6137" w:rsidP="00D80DEB">
            <w:pPr>
              <w:tabs>
                <w:tab w:val="left" w:pos="567"/>
              </w:tabs>
              <w:jc w:val="center"/>
              <w:rPr>
                <w:rFonts w:ascii="Times New Roman" w:hAnsi="Times New Roman"/>
                <w:b/>
                <w:sz w:val="24"/>
                <w:szCs w:val="24"/>
              </w:rPr>
            </w:pPr>
            <w:r w:rsidRPr="007528AB">
              <w:rPr>
                <w:rFonts w:ascii="Times New Roman" w:hAnsi="Times New Roman"/>
                <w:b/>
                <w:sz w:val="24"/>
                <w:szCs w:val="24"/>
              </w:rPr>
              <w:t>Ministerijos pateikta informacija</w:t>
            </w:r>
          </w:p>
          <w:p w14:paraId="4F78B0E0" w14:textId="77777777" w:rsidR="00FB6137" w:rsidRPr="007528AB" w:rsidRDefault="00FB6137" w:rsidP="00D80DEB">
            <w:pPr>
              <w:tabs>
                <w:tab w:val="left" w:pos="567"/>
              </w:tabs>
              <w:jc w:val="center"/>
              <w:rPr>
                <w:rFonts w:ascii="Times New Roman" w:hAnsi="Times New Roman"/>
                <w:b/>
                <w:sz w:val="24"/>
                <w:szCs w:val="24"/>
              </w:rPr>
            </w:pPr>
            <w:r w:rsidRPr="007528AB">
              <w:rPr>
                <w:rFonts w:ascii="Times New Roman" w:hAnsi="Times New Roman"/>
                <w:b/>
                <w:sz w:val="24"/>
                <w:szCs w:val="24"/>
              </w:rPr>
              <w:t>(pildymo instrukcija)</w:t>
            </w:r>
          </w:p>
        </w:tc>
      </w:tr>
      <w:tr w:rsidR="007528AB" w:rsidRPr="007528AB" w14:paraId="1F414E2D" w14:textId="77777777" w:rsidTr="00A513FA">
        <w:tc>
          <w:tcPr>
            <w:tcW w:w="10348" w:type="dxa"/>
            <w:gridSpan w:val="3"/>
            <w:shd w:val="clear" w:color="auto" w:fill="F2F2F2" w:themeFill="background1" w:themeFillShade="F2"/>
          </w:tcPr>
          <w:p w14:paraId="2FF32E3B" w14:textId="77777777" w:rsidR="00FB6137" w:rsidRPr="007528AB" w:rsidRDefault="00FB6137" w:rsidP="00FB6137">
            <w:pPr>
              <w:pStyle w:val="ListParagraph"/>
              <w:numPr>
                <w:ilvl w:val="0"/>
                <w:numId w:val="3"/>
              </w:numPr>
              <w:tabs>
                <w:tab w:val="left" w:pos="567"/>
              </w:tabs>
              <w:jc w:val="center"/>
              <w:rPr>
                <w:rFonts w:ascii="Times New Roman" w:hAnsi="Times New Roman"/>
                <w:b/>
                <w:sz w:val="24"/>
                <w:szCs w:val="24"/>
              </w:rPr>
            </w:pPr>
            <w:r w:rsidRPr="007528AB">
              <w:rPr>
                <w:rFonts w:ascii="Times New Roman" w:hAnsi="Times New Roman"/>
                <w:b/>
                <w:sz w:val="24"/>
                <w:szCs w:val="24"/>
              </w:rPr>
              <w:t>Priemonės aprašymas</w:t>
            </w:r>
          </w:p>
        </w:tc>
      </w:tr>
      <w:tr w:rsidR="007528AB" w:rsidRPr="007528AB" w14:paraId="3C558A57" w14:textId="77777777" w:rsidTr="00404C60">
        <w:tc>
          <w:tcPr>
            <w:tcW w:w="567" w:type="dxa"/>
          </w:tcPr>
          <w:p w14:paraId="2760C56D" w14:textId="77777777" w:rsidR="007528AB" w:rsidRPr="007528AB" w:rsidRDefault="007528AB" w:rsidP="00404C60">
            <w:pPr>
              <w:pStyle w:val="ListParagraph"/>
              <w:numPr>
                <w:ilvl w:val="0"/>
                <w:numId w:val="1"/>
              </w:numPr>
              <w:tabs>
                <w:tab w:val="left" w:pos="567"/>
              </w:tabs>
              <w:ind w:left="0" w:firstLine="0"/>
              <w:rPr>
                <w:rFonts w:ascii="Times New Roman" w:hAnsi="Times New Roman"/>
                <w:sz w:val="24"/>
                <w:szCs w:val="24"/>
              </w:rPr>
            </w:pPr>
          </w:p>
        </w:tc>
        <w:tc>
          <w:tcPr>
            <w:tcW w:w="2836" w:type="dxa"/>
          </w:tcPr>
          <w:p w14:paraId="4682BF76" w14:textId="77777777" w:rsidR="007528AB" w:rsidRPr="007528AB" w:rsidRDefault="007528AB" w:rsidP="00404C60">
            <w:pPr>
              <w:tabs>
                <w:tab w:val="left" w:pos="567"/>
              </w:tabs>
              <w:rPr>
                <w:rFonts w:ascii="Times New Roman" w:hAnsi="Times New Roman"/>
                <w:sz w:val="24"/>
                <w:szCs w:val="24"/>
              </w:rPr>
            </w:pPr>
            <w:r w:rsidRPr="007528AB">
              <w:rPr>
                <w:rFonts w:ascii="Times New Roman" w:hAnsi="Times New Roman"/>
                <w:sz w:val="24"/>
                <w:szCs w:val="24"/>
              </w:rPr>
              <w:t xml:space="preserve">Priemonės atitiktis </w:t>
            </w:r>
            <w:r w:rsidRPr="007528AB">
              <w:rPr>
                <w:rFonts w:ascii="Times New Roman" w:hAnsi="Times New Roman"/>
                <w:bCs/>
                <w:sz w:val="24"/>
                <w:szCs w:val="24"/>
              </w:rPr>
              <w:t xml:space="preserve">2014–2020 metų Europos Sąjungos fondų investicijų </w:t>
            </w:r>
            <w:r w:rsidRPr="007528AB">
              <w:rPr>
                <w:rFonts w:ascii="Times New Roman" w:hAnsi="Times New Roman"/>
                <w:sz w:val="24"/>
                <w:szCs w:val="24"/>
              </w:rPr>
              <w:t>veiksmų programos (toliau – veiksmų programa) nuostatoms</w:t>
            </w:r>
          </w:p>
        </w:tc>
        <w:tc>
          <w:tcPr>
            <w:tcW w:w="6945" w:type="dxa"/>
          </w:tcPr>
          <w:p w14:paraId="20F7FC0B" w14:textId="3A7A32B7" w:rsidR="007528AB" w:rsidRDefault="007528AB" w:rsidP="00404C60">
            <w:pPr>
              <w:tabs>
                <w:tab w:val="left" w:pos="567"/>
              </w:tabs>
              <w:jc w:val="both"/>
              <w:rPr>
                <w:rFonts w:ascii="Times New Roman" w:hAnsi="Times New Roman"/>
                <w:sz w:val="24"/>
                <w:szCs w:val="24"/>
              </w:rPr>
            </w:pPr>
            <w:r w:rsidRPr="007528AB">
              <w:rPr>
                <w:rFonts w:ascii="Times New Roman" w:hAnsi="Times New Roman"/>
                <w:sz w:val="24"/>
                <w:szCs w:val="24"/>
              </w:rPr>
              <w:t xml:space="preserve">Priemonė prisideda prie 2014–2020 metų Europos Sąjungos struktūrinių fondų investicijų veiksmų programos </w:t>
            </w:r>
            <w:r w:rsidR="000C16B3" w:rsidRPr="000F4FA8">
              <w:rPr>
                <w:rFonts w:ascii="Times New Roman" w:hAnsi="Times New Roman"/>
                <w:sz w:val="24"/>
                <w:szCs w:val="24"/>
              </w:rPr>
              <w:t>(toliau – veiksmų programa)</w:t>
            </w:r>
            <w:r w:rsidR="000C16B3">
              <w:rPr>
                <w:rFonts w:ascii="Times New Roman" w:hAnsi="Times New Roman"/>
                <w:sz w:val="24"/>
                <w:szCs w:val="24"/>
              </w:rPr>
              <w:t xml:space="preserve"> </w:t>
            </w:r>
            <w:r w:rsidRPr="007528AB">
              <w:rPr>
                <w:rFonts w:ascii="Times New Roman" w:hAnsi="Times New Roman"/>
                <w:sz w:val="24"/>
                <w:szCs w:val="24"/>
              </w:rPr>
              <w:t>4 prioriteto „Energijos efektyvumo ir atsinaujinančių išteklių energijos gamy</w:t>
            </w:r>
            <w:r w:rsidR="00B35899">
              <w:rPr>
                <w:rFonts w:ascii="Times New Roman" w:hAnsi="Times New Roman"/>
                <w:sz w:val="24"/>
                <w:szCs w:val="24"/>
              </w:rPr>
              <w:t>bos ir naudojimo skatinimas“ 4</w:t>
            </w:r>
            <w:r w:rsidRPr="007528AB">
              <w:rPr>
                <w:rFonts w:ascii="Times New Roman" w:hAnsi="Times New Roman"/>
                <w:sz w:val="24"/>
                <w:szCs w:val="24"/>
              </w:rPr>
              <w:t xml:space="preserve"> investicinio prioriteto „</w:t>
            </w:r>
            <w:r w:rsidR="00B35899" w:rsidRPr="00385835">
              <w:rPr>
                <w:rFonts w:ascii="Times New Roman" w:hAnsi="Times New Roman"/>
                <w:b/>
                <w:sz w:val="24"/>
                <w:szCs w:val="24"/>
              </w:rPr>
              <w:t>AIE gamybos ir skirstymo skatinimas</w:t>
            </w:r>
            <w:r w:rsidR="00B35899">
              <w:rPr>
                <w:rFonts w:ascii="Times New Roman" w:hAnsi="Times New Roman"/>
                <w:sz w:val="24"/>
                <w:szCs w:val="24"/>
              </w:rPr>
              <w:t>“ 4.1.1</w:t>
            </w:r>
            <w:r w:rsidRPr="007528AB">
              <w:rPr>
                <w:rFonts w:ascii="Times New Roman" w:hAnsi="Times New Roman"/>
                <w:sz w:val="24"/>
                <w:szCs w:val="24"/>
              </w:rPr>
              <w:t xml:space="preserve"> konkretaus uždavinio „</w:t>
            </w:r>
            <w:r w:rsidR="00B35899" w:rsidRPr="00385835">
              <w:rPr>
                <w:rFonts w:ascii="Times New Roman" w:hAnsi="Times New Roman"/>
                <w:b/>
                <w:sz w:val="24"/>
                <w:szCs w:val="24"/>
              </w:rPr>
              <w:t>Padidinti atsinaujinančių i</w:t>
            </w:r>
            <w:r w:rsidR="00B35899">
              <w:rPr>
                <w:rFonts w:ascii="Times New Roman" w:hAnsi="Times New Roman"/>
                <w:b/>
                <w:sz w:val="24"/>
                <w:szCs w:val="24"/>
              </w:rPr>
              <w:t>šteklių energijos naudojimą</w:t>
            </w:r>
            <w:r w:rsidRPr="007528AB">
              <w:rPr>
                <w:rFonts w:ascii="Times New Roman" w:hAnsi="Times New Roman"/>
                <w:sz w:val="24"/>
                <w:szCs w:val="24"/>
              </w:rPr>
              <w:t xml:space="preserve">“. </w:t>
            </w:r>
          </w:p>
          <w:p w14:paraId="4C4683E0" w14:textId="77777777" w:rsidR="000C16B3" w:rsidRDefault="000C16B3" w:rsidP="00404C60">
            <w:pPr>
              <w:tabs>
                <w:tab w:val="left" w:pos="567"/>
              </w:tabs>
              <w:jc w:val="both"/>
              <w:rPr>
                <w:rFonts w:ascii="Times New Roman" w:hAnsi="Times New Roman"/>
                <w:sz w:val="24"/>
                <w:szCs w:val="24"/>
              </w:rPr>
            </w:pPr>
          </w:p>
          <w:p w14:paraId="35A08476" w14:textId="77777777" w:rsidR="00F75A27" w:rsidRDefault="000C16B3" w:rsidP="00404C60">
            <w:pPr>
              <w:tabs>
                <w:tab w:val="left" w:pos="567"/>
              </w:tabs>
              <w:jc w:val="both"/>
              <w:rPr>
                <w:rFonts w:ascii="Times New Roman" w:eastAsia="AngsanaUPC" w:hAnsi="Times New Roman"/>
                <w:bCs/>
                <w:iCs/>
                <w:sz w:val="24"/>
                <w:szCs w:val="24"/>
                <w:lang w:eastAsia="lt-LT"/>
              </w:rPr>
            </w:pPr>
            <w:r w:rsidRPr="000F4FA8">
              <w:rPr>
                <w:rFonts w:ascii="Times New Roman" w:hAnsi="Times New Roman"/>
                <w:sz w:val="24"/>
                <w:szCs w:val="24"/>
              </w:rPr>
              <w:t>Numatomos įgyvendinti priemonės veiklos yra šios:</w:t>
            </w:r>
            <w:r w:rsidR="00E244ED">
              <w:rPr>
                <w:rFonts w:ascii="Times New Roman" w:eastAsia="AngsanaUPC" w:hAnsi="Times New Roman"/>
                <w:bCs/>
                <w:iCs/>
                <w:sz w:val="24"/>
                <w:szCs w:val="24"/>
                <w:lang w:eastAsia="lt-LT"/>
              </w:rPr>
              <w:t xml:space="preserve"> </w:t>
            </w:r>
          </w:p>
          <w:p w14:paraId="483E0DE7" w14:textId="4E78417C" w:rsidR="000C16B3" w:rsidRDefault="003A59A1" w:rsidP="00404C60">
            <w:pPr>
              <w:tabs>
                <w:tab w:val="left" w:pos="567"/>
              </w:tabs>
              <w:jc w:val="both"/>
              <w:rPr>
                <w:rFonts w:ascii="Times New Roman" w:hAnsi="Times New Roman"/>
                <w:sz w:val="24"/>
                <w:szCs w:val="24"/>
              </w:rPr>
            </w:pPr>
            <w:r>
              <w:rPr>
                <w:rFonts w:ascii="Times New Roman" w:eastAsia="AngsanaUPC" w:hAnsi="Times New Roman"/>
                <w:bCs/>
                <w:iCs/>
                <w:sz w:val="24"/>
                <w:szCs w:val="24"/>
                <w:lang w:eastAsia="lt-LT"/>
              </w:rPr>
              <w:t>.</w:t>
            </w:r>
          </w:p>
          <w:p w14:paraId="374DF735" w14:textId="79C41096" w:rsidR="000C16B3" w:rsidRPr="000C16B3" w:rsidRDefault="00B35899" w:rsidP="00F75A27">
            <w:pPr>
              <w:tabs>
                <w:tab w:val="left" w:pos="567"/>
              </w:tabs>
              <w:jc w:val="both"/>
              <w:rPr>
                <w:rFonts w:ascii="Times New Roman" w:hAnsi="Times New Roman"/>
                <w:sz w:val="24"/>
                <w:szCs w:val="24"/>
              </w:rPr>
            </w:pPr>
            <w:r w:rsidRPr="00385835">
              <w:rPr>
                <w:rFonts w:ascii="Times New Roman" w:eastAsia="AngsanaUPC" w:hAnsi="Times New Roman"/>
                <w:bCs/>
                <w:iCs/>
                <w:sz w:val="24"/>
                <w:szCs w:val="24"/>
                <w:lang w:eastAsia="lt-LT"/>
              </w:rPr>
              <w:t xml:space="preserve">AIE panaudojimas šilumos gamybai, </w:t>
            </w:r>
            <w:r w:rsidR="00F75A27" w:rsidRPr="00385835">
              <w:rPr>
                <w:rFonts w:ascii="Times New Roman" w:eastAsia="AngsanaUPC" w:hAnsi="Times New Roman"/>
                <w:bCs/>
                <w:iCs/>
                <w:sz w:val="24"/>
                <w:szCs w:val="24"/>
                <w:lang w:eastAsia="lt-LT"/>
              </w:rPr>
              <w:t xml:space="preserve">iškastinį kurą </w:t>
            </w:r>
            <w:r w:rsidR="00F75A27">
              <w:rPr>
                <w:rFonts w:ascii="Times New Roman" w:eastAsia="AngsanaUPC" w:hAnsi="Times New Roman"/>
                <w:bCs/>
                <w:iCs/>
                <w:sz w:val="24"/>
                <w:szCs w:val="24"/>
                <w:lang w:eastAsia="lt-LT"/>
              </w:rPr>
              <w:t xml:space="preserve">naudojančių </w:t>
            </w:r>
            <w:r w:rsidR="00F75A27" w:rsidRPr="00385835">
              <w:rPr>
                <w:rFonts w:ascii="Times New Roman" w:eastAsia="AngsanaUPC" w:hAnsi="Times New Roman"/>
                <w:bCs/>
                <w:iCs/>
                <w:sz w:val="24"/>
                <w:szCs w:val="24"/>
                <w:lang w:eastAsia="lt-LT"/>
              </w:rPr>
              <w:t>katil</w:t>
            </w:r>
            <w:r w:rsidR="00F75A27">
              <w:rPr>
                <w:rFonts w:ascii="Times New Roman" w:eastAsia="AngsanaUPC" w:hAnsi="Times New Roman"/>
                <w:bCs/>
                <w:iCs/>
                <w:sz w:val="24"/>
                <w:szCs w:val="24"/>
                <w:lang w:eastAsia="lt-LT"/>
              </w:rPr>
              <w:t>inių modernizavimas, įrengiant</w:t>
            </w:r>
            <w:r w:rsidR="00F75A27" w:rsidRPr="00385835">
              <w:rPr>
                <w:rFonts w:ascii="Times New Roman" w:eastAsia="AngsanaUPC" w:hAnsi="Times New Roman"/>
                <w:bCs/>
                <w:iCs/>
                <w:sz w:val="24"/>
                <w:szCs w:val="24"/>
                <w:lang w:eastAsia="lt-LT"/>
              </w:rPr>
              <w:t xml:space="preserve"> </w:t>
            </w:r>
            <w:r w:rsidR="00F75A27">
              <w:rPr>
                <w:rFonts w:ascii="Times New Roman" w:eastAsia="AngsanaUPC" w:hAnsi="Times New Roman"/>
                <w:bCs/>
                <w:iCs/>
                <w:sz w:val="24"/>
                <w:szCs w:val="24"/>
                <w:lang w:eastAsia="lt-LT"/>
              </w:rPr>
              <w:t>biokurą naudojančius katilus ir susijusią infrastruktūrą</w:t>
            </w:r>
            <w:r w:rsidR="000C16B3" w:rsidRPr="000C16B3">
              <w:rPr>
                <w:rFonts w:ascii="Times New Roman" w:hAnsi="Times New Roman"/>
                <w:sz w:val="24"/>
                <w:szCs w:val="24"/>
              </w:rPr>
              <w:t>;</w:t>
            </w:r>
          </w:p>
          <w:p w14:paraId="648CF43B" w14:textId="77777777" w:rsidR="007528AB" w:rsidRPr="007528AB" w:rsidRDefault="007528AB" w:rsidP="00404C60">
            <w:pPr>
              <w:tabs>
                <w:tab w:val="left" w:pos="567"/>
              </w:tabs>
              <w:jc w:val="both"/>
              <w:rPr>
                <w:rFonts w:ascii="Times New Roman" w:hAnsi="Times New Roman"/>
                <w:sz w:val="24"/>
                <w:szCs w:val="24"/>
              </w:rPr>
            </w:pPr>
          </w:p>
          <w:p w14:paraId="0E826B28" w14:textId="76750E35" w:rsidR="007528AB" w:rsidRPr="007528AB" w:rsidRDefault="00B35899" w:rsidP="00D1199B">
            <w:pPr>
              <w:jc w:val="both"/>
              <w:rPr>
                <w:rFonts w:ascii="Times New Roman" w:eastAsia="Times New Roman" w:hAnsi="Times New Roman"/>
                <w:sz w:val="24"/>
                <w:szCs w:val="24"/>
                <w:lang w:eastAsia="lt-LT"/>
              </w:rPr>
            </w:pPr>
            <w:r w:rsidRPr="00385835">
              <w:rPr>
                <w:rFonts w:ascii="Times New Roman" w:eastAsia="AngsanaUPC" w:hAnsi="Times New Roman"/>
                <w:bCs/>
                <w:sz w:val="24"/>
                <w:szCs w:val="24"/>
                <w:lang w:eastAsia="lt-LT"/>
              </w:rPr>
              <w:t xml:space="preserve">Lietuvoje centralizuotai </w:t>
            </w:r>
            <w:r w:rsidR="00E244ED">
              <w:rPr>
                <w:rFonts w:ascii="Times New Roman" w:eastAsia="AngsanaUPC" w:hAnsi="Times New Roman"/>
                <w:bCs/>
                <w:sz w:val="24"/>
                <w:szCs w:val="24"/>
                <w:lang w:eastAsia="lt-LT"/>
              </w:rPr>
              <w:t xml:space="preserve">tiekiama šiluma aprūpinama </w:t>
            </w:r>
            <w:r w:rsidRPr="00385835">
              <w:rPr>
                <w:rFonts w:ascii="Times New Roman" w:eastAsia="AngsanaUPC" w:hAnsi="Times New Roman"/>
                <w:bCs/>
                <w:sz w:val="24"/>
                <w:szCs w:val="24"/>
                <w:lang w:eastAsia="lt-LT"/>
              </w:rPr>
              <w:t xml:space="preserve">apie 65 proc. viso miestuose esamo gyvenamojo ploto. Šiuo metu Lietuvos centralizuoto šilumos tiekimo sektoriuje vis dar pagrindinis kuras yra brangios gamtinės dujos (apie 68 proc. nuo bendro šilumos kuro balanso). </w:t>
            </w:r>
            <w:r w:rsidR="00AF5C29">
              <w:rPr>
                <w:rFonts w:ascii="Times New Roman" w:eastAsia="AngsanaUPC" w:hAnsi="Times New Roman"/>
                <w:bCs/>
                <w:sz w:val="24"/>
                <w:szCs w:val="24"/>
                <w:lang w:eastAsia="lt-LT"/>
              </w:rPr>
              <w:t>Padidinę biokuro kiekį šilumos gamybos balanse, ženkliai sumažintume išmetamo CO</w:t>
            </w:r>
            <w:r w:rsidR="00AF5C29" w:rsidRPr="00AF5C29">
              <w:rPr>
                <w:rFonts w:ascii="Times New Roman" w:eastAsia="AngsanaUPC" w:hAnsi="Times New Roman"/>
                <w:bCs/>
                <w:sz w:val="24"/>
                <w:szCs w:val="24"/>
                <w:vertAlign w:val="subscript"/>
                <w:lang w:eastAsia="lt-LT"/>
              </w:rPr>
              <w:t>2</w:t>
            </w:r>
            <w:r w:rsidR="00AF5C29">
              <w:rPr>
                <w:rFonts w:ascii="Times New Roman" w:eastAsia="AngsanaUPC" w:hAnsi="Times New Roman"/>
                <w:bCs/>
                <w:sz w:val="24"/>
                <w:szCs w:val="24"/>
                <w:lang w:eastAsia="lt-LT"/>
              </w:rPr>
              <w:t xml:space="preserve"> kiekį į atmosferą. Taip pat s</w:t>
            </w:r>
            <w:r w:rsidRPr="00385835">
              <w:rPr>
                <w:rFonts w:ascii="Times New Roman" w:eastAsia="AngsanaUPC" w:hAnsi="Times New Roman"/>
                <w:bCs/>
                <w:sz w:val="24"/>
                <w:szCs w:val="24"/>
                <w:lang w:eastAsia="lt-LT"/>
              </w:rPr>
              <w:t>iekiant mažiausiomis sąnaudomis užtikrinti patikimą ir kokybišką centralizuotos šilumos tiekimą vartotojams, būtina brangias importuojamas dujas pakeisti vietiniu, pigesniu biokuru, kuris šiuo metu Lietuvoje turi didžiausią potencialą. Todėl investicijos į energijos gamybos įrenginių pervedimą į biokurą yra efektyviausias būdas Lietuvai pasiekti užsibrėžtus tikslus.</w:t>
            </w:r>
          </w:p>
        </w:tc>
      </w:tr>
      <w:tr w:rsidR="007528AB" w:rsidRPr="007528AB" w14:paraId="419AC2AD" w14:textId="77777777" w:rsidTr="00404C60">
        <w:tc>
          <w:tcPr>
            <w:tcW w:w="567" w:type="dxa"/>
          </w:tcPr>
          <w:p w14:paraId="38A8F6E9" w14:textId="77777777" w:rsidR="007528AB" w:rsidRPr="007528AB" w:rsidRDefault="007528AB" w:rsidP="00404C60">
            <w:pPr>
              <w:pStyle w:val="ListParagraph"/>
              <w:numPr>
                <w:ilvl w:val="0"/>
                <w:numId w:val="1"/>
              </w:numPr>
              <w:tabs>
                <w:tab w:val="left" w:pos="567"/>
              </w:tabs>
              <w:ind w:left="0" w:firstLine="0"/>
              <w:rPr>
                <w:rFonts w:ascii="Times New Roman" w:hAnsi="Times New Roman"/>
                <w:sz w:val="24"/>
                <w:szCs w:val="24"/>
              </w:rPr>
            </w:pPr>
          </w:p>
        </w:tc>
        <w:tc>
          <w:tcPr>
            <w:tcW w:w="2836" w:type="dxa"/>
          </w:tcPr>
          <w:p w14:paraId="4515112D" w14:textId="77777777" w:rsidR="007528AB" w:rsidRPr="007528AB" w:rsidRDefault="007528AB" w:rsidP="00404C60">
            <w:pPr>
              <w:tabs>
                <w:tab w:val="left" w:pos="567"/>
              </w:tabs>
              <w:rPr>
                <w:rFonts w:ascii="Times New Roman" w:hAnsi="Times New Roman"/>
                <w:sz w:val="24"/>
                <w:szCs w:val="24"/>
              </w:rPr>
            </w:pPr>
            <w:r w:rsidRPr="007528AB">
              <w:rPr>
                <w:rFonts w:ascii="Times New Roman" w:hAnsi="Times New Roman"/>
                <w:sz w:val="24"/>
                <w:szCs w:val="24"/>
              </w:rPr>
              <w:t>Priemonės atitiktis strateginio planavimo dokumentų nuostatoms</w:t>
            </w:r>
          </w:p>
        </w:tc>
        <w:tc>
          <w:tcPr>
            <w:tcW w:w="6945" w:type="dxa"/>
          </w:tcPr>
          <w:p w14:paraId="74DF692E" w14:textId="096869C3" w:rsidR="007528AB" w:rsidRPr="009D0662" w:rsidRDefault="004E68B7" w:rsidP="00404C60">
            <w:pPr>
              <w:jc w:val="both"/>
              <w:rPr>
                <w:rFonts w:ascii="Times New Roman" w:hAnsi="Times New Roman"/>
                <w:sz w:val="24"/>
                <w:szCs w:val="24"/>
              </w:rPr>
            </w:pPr>
            <w:r w:rsidRPr="009D0662">
              <w:rPr>
                <w:rFonts w:ascii="Times New Roman" w:hAnsi="Times New Roman"/>
                <w:sz w:val="24"/>
                <w:szCs w:val="24"/>
              </w:rPr>
              <w:t>Į</w:t>
            </w:r>
            <w:r w:rsidR="007528AB" w:rsidRPr="009D0662">
              <w:rPr>
                <w:rFonts w:ascii="Times New Roman" w:hAnsi="Times New Roman"/>
                <w:sz w:val="24"/>
                <w:szCs w:val="24"/>
              </w:rPr>
              <w:t xml:space="preserve">gyvendinant priemonę prisidedama prie 2014–2020 metų Nacionalinės pažangos programos </w:t>
            </w:r>
            <w:r w:rsidR="00240CB9" w:rsidRPr="009D0662">
              <w:rPr>
                <w:rFonts w:ascii="Times New Roman" w:hAnsi="Times New Roman"/>
                <w:bCs/>
                <w:color w:val="000000"/>
                <w:sz w:val="24"/>
                <w:szCs w:val="24"/>
                <w:shd w:val="clear" w:color="auto" w:fill="FFFFFF"/>
              </w:rPr>
              <w:t>3 prioriteto „Ekonominiam augimui palanki aplinka“</w:t>
            </w:r>
            <w:r w:rsidR="00240CB9" w:rsidRPr="009D0662">
              <w:rPr>
                <w:rFonts w:ascii="Times New Roman" w:hAnsi="Times New Roman"/>
                <w:b/>
                <w:bCs/>
                <w:caps/>
                <w:color w:val="000000"/>
                <w:sz w:val="24"/>
                <w:szCs w:val="24"/>
                <w:shd w:val="clear" w:color="auto" w:fill="FFFFFF"/>
              </w:rPr>
              <w:t xml:space="preserve"> </w:t>
            </w:r>
            <w:r w:rsidR="007528AB" w:rsidRPr="009D0662">
              <w:rPr>
                <w:rFonts w:ascii="Times New Roman" w:hAnsi="Times New Roman"/>
                <w:sz w:val="24"/>
                <w:szCs w:val="24"/>
              </w:rPr>
              <w:t>3.</w:t>
            </w:r>
            <w:r w:rsidR="00240CB9" w:rsidRPr="009D0662">
              <w:rPr>
                <w:rFonts w:ascii="Times New Roman" w:hAnsi="Times New Roman"/>
                <w:sz w:val="24"/>
                <w:szCs w:val="24"/>
              </w:rPr>
              <w:t>3.</w:t>
            </w:r>
            <w:r w:rsidR="007528AB" w:rsidRPr="009D0662">
              <w:rPr>
                <w:rFonts w:ascii="Times New Roman" w:hAnsi="Times New Roman"/>
                <w:sz w:val="24"/>
                <w:szCs w:val="24"/>
              </w:rPr>
              <w:t xml:space="preserve"> tikslo „</w:t>
            </w:r>
            <w:bookmarkStart w:id="0" w:name="Xf6dcb5c5bbf54b03976f614080ec83ea"/>
            <w:r w:rsidR="00240CB9" w:rsidRPr="009D0662">
              <w:rPr>
                <w:rFonts w:ascii="Times New Roman" w:hAnsi="Times New Roman"/>
                <w:bCs/>
                <w:color w:val="000000"/>
                <w:sz w:val="24"/>
                <w:szCs w:val="24"/>
                <w:shd w:val="clear" w:color="auto" w:fill="FFFFFF"/>
              </w:rPr>
              <w:t>Skatinti darnų išteklių naudojimą, užtikrinti ekosistemų stabilumą</w:t>
            </w:r>
            <w:bookmarkEnd w:id="0"/>
            <w:r w:rsidR="00240CB9" w:rsidRPr="009D0662">
              <w:rPr>
                <w:rFonts w:ascii="Times New Roman" w:hAnsi="Times New Roman"/>
                <w:sz w:val="24"/>
                <w:szCs w:val="24"/>
              </w:rPr>
              <w:t>“ 3.3.2</w:t>
            </w:r>
            <w:r w:rsidR="007528AB" w:rsidRPr="009D0662">
              <w:rPr>
                <w:rFonts w:ascii="Times New Roman" w:hAnsi="Times New Roman"/>
                <w:sz w:val="24"/>
                <w:szCs w:val="24"/>
              </w:rPr>
              <w:t>. uždavinio „</w:t>
            </w:r>
            <w:bookmarkStart w:id="1" w:name="X15494fba215246459dae58ff27748e73"/>
            <w:r w:rsidR="00240CB9" w:rsidRPr="009D0662">
              <w:rPr>
                <w:rFonts w:ascii="Times New Roman" w:hAnsi="Times New Roman"/>
                <w:bCs/>
                <w:color w:val="000000"/>
                <w:sz w:val="24"/>
                <w:szCs w:val="24"/>
                <w:shd w:val="clear" w:color="auto" w:fill="FFFFFF"/>
              </w:rPr>
              <w:t>Užtikrinti darnų energijos išteklių naudojimą</w:t>
            </w:r>
            <w:bookmarkEnd w:id="1"/>
            <w:r w:rsidR="007528AB" w:rsidRPr="009D0662">
              <w:rPr>
                <w:rFonts w:ascii="Times New Roman" w:hAnsi="Times New Roman"/>
                <w:sz w:val="24"/>
                <w:szCs w:val="24"/>
              </w:rPr>
              <w:t xml:space="preserve">“ </w:t>
            </w:r>
            <w:bookmarkStart w:id="2" w:name="Xdfef4f7c46b04aeebab8011ba9029387"/>
            <w:r w:rsidR="00240CB9" w:rsidRPr="009D0662">
              <w:rPr>
                <w:rFonts w:ascii="Times New Roman" w:hAnsi="Times New Roman"/>
                <w:color w:val="000000"/>
                <w:sz w:val="24"/>
                <w:szCs w:val="24"/>
                <w:shd w:val="clear" w:color="auto" w:fill="FFFFFF"/>
              </w:rPr>
              <w:t>3.3.2.1. „Skatinti atsinaujinančių energijos išteklių gamybą ir naudojimą</w:t>
            </w:r>
            <w:bookmarkEnd w:id="2"/>
            <w:r w:rsidR="00240CB9" w:rsidRPr="009D0662">
              <w:rPr>
                <w:rFonts w:ascii="Times New Roman" w:hAnsi="Times New Roman"/>
                <w:color w:val="000000"/>
                <w:sz w:val="24"/>
                <w:szCs w:val="24"/>
                <w:shd w:val="clear" w:color="auto" w:fill="FFFFFF"/>
              </w:rPr>
              <w:t>“</w:t>
            </w:r>
            <w:r w:rsidR="009505FF" w:rsidRPr="009D0662">
              <w:rPr>
                <w:rFonts w:ascii="Times New Roman" w:hAnsi="Times New Roman"/>
                <w:sz w:val="24"/>
                <w:szCs w:val="24"/>
              </w:rPr>
              <w:t xml:space="preserve">. </w:t>
            </w:r>
            <w:r w:rsidRPr="009D0662">
              <w:rPr>
                <w:rFonts w:ascii="Times New Roman" w:hAnsi="Times New Roman"/>
                <w:sz w:val="24"/>
                <w:szCs w:val="24"/>
              </w:rPr>
              <w:t>Į</w:t>
            </w:r>
            <w:r w:rsidR="007528AB" w:rsidRPr="009D0662">
              <w:rPr>
                <w:rFonts w:ascii="Times New Roman" w:hAnsi="Times New Roman"/>
                <w:sz w:val="24"/>
                <w:szCs w:val="24"/>
              </w:rPr>
              <w:t xml:space="preserve">gyvendinant priemonę prisidedama prie Nacionalinės šilumos ūkio plėtros </w:t>
            </w:r>
            <w:r w:rsidR="00AC6C4F" w:rsidRPr="009D0662">
              <w:rPr>
                <w:rFonts w:ascii="Times New Roman" w:hAnsi="Times New Roman"/>
                <w:sz w:val="24"/>
                <w:szCs w:val="24"/>
              </w:rPr>
              <w:t>201</w:t>
            </w:r>
            <w:r w:rsidR="00AC6C4F">
              <w:rPr>
                <w:rFonts w:ascii="Times New Roman" w:hAnsi="Times New Roman"/>
                <w:sz w:val="24"/>
                <w:szCs w:val="24"/>
              </w:rPr>
              <w:t>5</w:t>
            </w:r>
            <w:r w:rsidR="007528AB" w:rsidRPr="009D0662">
              <w:rPr>
                <w:rFonts w:ascii="Times New Roman" w:hAnsi="Times New Roman"/>
                <w:sz w:val="24"/>
                <w:szCs w:val="24"/>
              </w:rPr>
              <w:t>–</w:t>
            </w:r>
            <w:r w:rsidR="00AC6C4F" w:rsidRPr="009D0662">
              <w:rPr>
                <w:rFonts w:ascii="Times New Roman" w:hAnsi="Times New Roman"/>
                <w:sz w:val="24"/>
                <w:szCs w:val="24"/>
              </w:rPr>
              <w:t>202</w:t>
            </w:r>
            <w:r w:rsidR="00AC6C4F">
              <w:rPr>
                <w:rFonts w:ascii="Times New Roman" w:hAnsi="Times New Roman"/>
                <w:sz w:val="24"/>
                <w:szCs w:val="24"/>
              </w:rPr>
              <w:t>1</w:t>
            </w:r>
            <w:r w:rsidR="00AC6C4F" w:rsidRPr="009D0662">
              <w:rPr>
                <w:rFonts w:ascii="Times New Roman" w:hAnsi="Times New Roman"/>
                <w:sz w:val="24"/>
                <w:szCs w:val="24"/>
              </w:rPr>
              <w:t xml:space="preserve"> </w:t>
            </w:r>
            <w:r w:rsidR="007528AB" w:rsidRPr="009D0662">
              <w:rPr>
                <w:rFonts w:ascii="Times New Roman" w:hAnsi="Times New Roman"/>
                <w:sz w:val="24"/>
                <w:szCs w:val="24"/>
              </w:rPr>
              <w:t>metų programos</w:t>
            </w:r>
            <w:r w:rsidR="00AC492A">
              <w:rPr>
                <w:rFonts w:ascii="Times New Roman" w:hAnsi="Times New Roman"/>
                <w:sz w:val="24"/>
                <w:szCs w:val="24"/>
              </w:rPr>
              <w:t xml:space="preserve"> </w:t>
            </w:r>
            <w:r w:rsidR="007528AB" w:rsidRPr="009D0662">
              <w:rPr>
                <w:rFonts w:ascii="Times New Roman" w:hAnsi="Times New Roman"/>
                <w:sz w:val="24"/>
                <w:szCs w:val="24"/>
              </w:rPr>
              <w:t>(toliau – NŠŪPP)</w:t>
            </w:r>
            <w:r w:rsidR="006B12AD" w:rsidRPr="009D0662">
              <w:rPr>
                <w:rFonts w:ascii="Times New Roman" w:hAnsi="Times New Roman"/>
                <w:sz w:val="24"/>
                <w:szCs w:val="24"/>
              </w:rPr>
              <w:t>,</w:t>
            </w:r>
            <w:r w:rsidR="00AC492A">
              <w:rPr>
                <w:rFonts w:ascii="Times New Roman" w:hAnsi="Times New Roman"/>
                <w:sz w:val="24"/>
                <w:szCs w:val="24"/>
              </w:rPr>
              <w:t xml:space="preserve"> </w:t>
            </w:r>
            <w:r w:rsidR="00250BB1">
              <w:rPr>
                <w:rFonts w:ascii="Times New Roman" w:hAnsi="Times New Roman"/>
                <w:sz w:val="24"/>
                <w:szCs w:val="24"/>
              </w:rPr>
              <w:t>patvirtintos L</w:t>
            </w:r>
            <w:r w:rsidR="00AC6C4F">
              <w:rPr>
                <w:rFonts w:ascii="Times New Roman" w:hAnsi="Times New Roman"/>
                <w:sz w:val="24"/>
                <w:szCs w:val="24"/>
              </w:rPr>
              <w:t xml:space="preserve">ietuvos </w:t>
            </w:r>
            <w:r w:rsidR="00250BB1">
              <w:rPr>
                <w:rFonts w:ascii="Times New Roman" w:hAnsi="Times New Roman"/>
                <w:sz w:val="24"/>
                <w:szCs w:val="24"/>
              </w:rPr>
              <w:t>R</w:t>
            </w:r>
            <w:r w:rsidR="00AC6C4F">
              <w:rPr>
                <w:rFonts w:ascii="Times New Roman" w:hAnsi="Times New Roman"/>
                <w:sz w:val="24"/>
                <w:szCs w:val="24"/>
              </w:rPr>
              <w:t xml:space="preserve">espublikos </w:t>
            </w:r>
            <w:r w:rsidR="00250BB1">
              <w:rPr>
                <w:rFonts w:ascii="Times New Roman" w:hAnsi="Times New Roman"/>
                <w:sz w:val="24"/>
                <w:szCs w:val="24"/>
              </w:rPr>
              <w:t>V</w:t>
            </w:r>
            <w:r w:rsidR="00AC6C4F">
              <w:rPr>
                <w:rFonts w:ascii="Times New Roman" w:hAnsi="Times New Roman"/>
                <w:sz w:val="24"/>
                <w:szCs w:val="24"/>
              </w:rPr>
              <w:t xml:space="preserve">yriausybės 2015 m. </w:t>
            </w:r>
            <w:r w:rsidR="00F75A27">
              <w:rPr>
                <w:rFonts w:ascii="Times New Roman" w:hAnsi="Times New Roman"/>
                <w:sz w:val="24"/>
                <w:szCs w:val="24"/>
              </w:rPr>
              <w:t>kovo 18 d.</w:t>
            </w:r>
            <w:r w:rsidR="00AC6C4F">
              <w:rPr>
                <w:rFonts w:ascii="Times New Roman" w:hAnsi="Times New Roman"/>
                <w:sz w:val="24"/>
                <w:szCs w:val="24"/>
              </w:rPr>
              <w:t xml:space="preserve"> nutarimu</w:t>
            </w:r>
            <w:r w:rsidR="00250BB1" w:rsidRPr="009D0662">
              <w:rPr>
                <w:rFonts w:ascii="Times New Roman" w:hAnsi="Times New Roman"/>
                <w:sz w:val="24"/>
                <w:szCs w:val="24"/>
              </w:rPr>
              <w:t xml:space="preserve"> </w:t>
            </w:r>
            <w:r w:rsidR="00AC6C4F">
              <w:rPr>
                <w:rFonts w:ascii="Times New Roman" w:hAnsi="Times New Roman"/>
                <w:sz w:val="24"/>
                <w:szCs w:val="24"/>
              </w:rPr>
              <w:t xml:space="preserve">Nr. </w:t>
            </w:r>
            <w:r w:rsidR="00F75A27">
              <w:rPr>
                <w:rFonts w:ascii="Times New Roman" w:hAnsi="Times New Roman"/>
                <w:sz w:val="24"/>
                <w:szCs w:val="24"/>
              </w:rPr>
              <w:t>284</w:t>
            </w:r>
            <w:r w:rsidR="00AC6C4F">
              <w:rPr>
                <w:rFonts w:ascii="Times New Roman" w:hAnsi="Times New Roman"/>
                <w:sz w:val="24"/>
                <w:szCs w:val="24"/>
              </w:rPr>
              <w:t xml:space="preserve"> </w:t>
            </w:r>
            <w:r w:rsidR="00250BB1">
              <w:rPr>
                <w:rFonts w:ascii="Times New Roman" w:hAnsi="Times New Roman"/>
                <w:sz w:val="24"/>
                <w:szCs w:val="24"/>
              </w:rPr>
              <w:t>įgyvendinimo</w:t>
            </w:r>
            <w:r w:rsidR="002354E6">
              <w:rPr>
                <w:rFonts w:ascii="Times New Roman" w:hAnsi="Times New Roman"/>
                <w:sz w:val="24"/>
                <w:szCs w:val="24"/>
              </w:rPr>
              <w:t>.</w:t>
            </w:r>
            <w:r w:rsidR="006B12AD" w:rsidRPr="009D0662">
              <w:rPr>
                <w:rFonts w:ascii="Times New Roman" w:hAnsi="Times New Roman"/>
                <w:sz w:val="24"/>
                <w:szCs w:val="24"/>
              </w:rPr>
              <w:t xml:space="preserve"> </w:t>
            </w:r>
            <w:r w:rsidR="00AC6C4F">
              <w:rPr>
                <w:rFonts w:ascii="Times New Roman" w:hAnsi="Times New Roman"/>
                <w:sz w:val="24"/>
                <w:szCs w:val="24"/>
              </w:rPr>
              <w:t>Priemonės veiklos atitinka NŠŪPP</w:t>
            </w:r>
            <w:r w:rsidR="00250BB1">
              <w:rPr>
                <w:rFonts w:ascii="Times New Roman" w:hAnsi="Times New Roman"/>
                <w:sz w:val="24"/>
                <w:szCs w:val="24"/>
              </w:rPr>
              <w:t xml:space="preserve"> 1 tikslo</w:t>
            </w:r>
            <w:r w:rsidR="00AC6C4F">
              <w:rPr>
                <w:rFonts w:ascii="Times New Roman" w:hAnsi="Times New Roman"/>
                <w:sz w:val="24"/>
                <w:szCs w:val="24"/>
              </w:rPr>
              <w:t xml:space="preserve"> „M</w:t>
            </w:r>
            <w:r w:rsidR="00250BB1">
              <w:rPr>
                <w:rFonts w:ascii="Times New Roman" w:hAnsi="Times New Roman"/>
                <w:sz w:val="24"/>
                <w:szCs w:val="24"/>
              </w:rPr>
              <w:t>ažinti šilumos energijos kainas ir aplinkos taršą, šilumos ener</w:t>
            </w:r>
            <w:r w:rsidR="002354E6">
              <w:rPr>
                <w:rFonts w:ascii="Times New Roman" w:hAnsi="Times New Roman"/>
                <w:sz w:val="24"/>
                <w:szCs w:val="24"/>
              </w:rPr>
              <w:t>g</w:t>
            </w:r>
            <w:r w:rsidR="00250BB1">
              <w:rPr>
                <w:rFonts w:ascii="Times New Roman" w:hAnsi="Times New Roman"/>
                <w:sz w:val="24"/>
                <w:szCs w:val="24"/>
              </w:rPr>
              <w:t>ijai</w:t>
            </w:r>
            <w:r w:rsidR="002354E6">
              <w:rPr>
                <w:rFonts w:ascii="Times New Roman" w:hAnsi="Times New Roman"/>
                <w:sz w:val="24"/>
                <w:szCs w:val="24"/>
              </w:rPr>
              <w:t xml:space="preserve"> </w:t>
            </w:r>
            <w:r w:rsidR="00250BB1">
              <w:rPr>
                <w:rFonts w:ascii="Times New Roman" w:hAnsi="Times New Roman"/>
                <w:sz w:val="24"/>
                <w:szCs w:val="24"/>
              </w:rPr>
              <w:t>gaminti naudojamo kuro balanse teikiant pirmenybę atsinaujinantiems ir (ar) vietiniams ištekliams</w:t>
            </w:r>
            <w:r w:rsidR="00AC6C4F">
              <w:rPr>
                <w:rFonts w:ascii="Times New Roman" w:hAnsi="Times New Roman"/>
                <w:sz w:val="24"/>
                <w:szCs w:val="24"/>
              </w:rPr>
              <w:t>“</w:t>
            </w:r>
            <w:r w:rsidR="00250BB1">
              <w:rPr>
                <w:rFonts w:ascii="Times New Roman" w:hAnsi="Times New Roman"/>
                <w:sz w:val="24"/>
                <w:szCs w:val="24"/>
              </w:rPr>
              <w:t xml:space="preserve"> 2 uždavinio „Mažinti šilumos energijos gamybos įrenginių taršą ir užtikrinti atsinauji</w:t>
            </w:r>
            <w:r w:rsidR="00AC492A">
              <w:rPr>
                <w:rFonts w:ascii="Times New Roman" w:hAnsi="Times New Roman"/>
                <w:sz w:val="24"/>
                <w:szCs w:val="24"/>
              </w:rPr>
              <w:t>na</w:t>
            </w:r>
            <w:r w:rsidR="00250BB1">
              <w:rPr>
                <w:rFonts w:ascii="Times New Roman" w:hAnsi="Times New Roman"/>
                <w:sz w:val="24"/>
                <w:szCs w:val="24"/>
              </w:rPr>
              <w:t>nčius energijos ištekliu naudojančių technologijų plėtrą“ priemon</w:t>
            </w:r>
            <w:r w:rsidR="00AC6C4F">
              <w:rPr>
                <w:rFonts w:ascii="Times New Roman" w:hAnsi="Times New Roman"/>
                <w:sz w:val="24"/>
                <w:szCs w:val="24"/>
              </w:rPr>
              <w:t>ės</w:t>
            </w:r>
            <w:r w:rsidR="00250BB1">
              <w:rPr>
                <w:rFonts w:ascii="Times New Roman" w:hAnsi="Times New Roman"/>
                <w:sz w:val="24"/>
                <w:szCs w:val="24"/>
              </w:rPr>
              <w:t xml:space="preserve"> „Įrengti naujus ar modernizuoti esamus </w:t>
            </w:r>
            <w:r w:rsidR="00250BB1">
              <w:rPr>
                <w:rFonts w:ascii="Times New Roman" w:hAnsi="Times New Roman"/>
                <w:sz w:val="24"/>
                <w:szCs w:val="24"/>
              </w:rPr>
              <w:lastRenderedPageBreak/>
              <w:t>atsinaujinančius energijos išteklius naudojančius šilumos energiją gaminančius įrenginius“</w:t>
            </w:r>
            <w:r w:rsidR="00AC6C4F" w:rsidRPr="009D0662">
              <w:rPr>
                <w:rFonts w:ascii="Times New Roman" w:hAnsi="Times New Roman"/>
                <w:sz w:val="24"/>
                <w:szCs w:val="24"/>
              </w:rPr>
              <w:t xml:space="preserve"> įgyvendinimo</w:t>
            </w:r>
            <w:r w:rsidR="00AC6C4F" w:rsidRPr="009D0662" w:rsidDel="00250BB1">
              <w:rPr>
                <w:rFonts w:ascii="Times New Roman" w:hAnsi="Times New Roman"/>
                <w:sz w:val="24"/>
                <w:szCs w:val="24"/>
              </w:rPr>
              <w:t xml:space="preserve"> </w:t>
            </w:r>
            <w:r w:rsidR="00AC492A">
              <w:rPr>
                <w:rFonts w:ascii="Times New Roman" w:hAnsi="Times New Roman"/>
                <w:sz w:val="24"/>
                <w:szCs w:val="24"/>
              </w:rPr>
              <w:t>veiklas.</w:t>
            </w:r>
            <w:r w:rsidR="007528AB" w:rsidRPr="009D0662">
              <w:rPr>
                <w:rFonts w:ascii="Times New Roman" w:hAnsi="Times New Roman"/>
                <w:sz w:val="24"/>
                <w:szCs w:val="24"/>
              </w:rPr>
              <w:t xml:space="preserve"> </w:t>
            </w:r>
          </w:p>
          <w:p w14:paraId="39D303B2" w14:textId="77777777" w:rsidR="007528AB" w:rsidRPr="009D0662" w:rsidRDefault="007528AB" w:rsidP="00404C60">
            <w:pPr>
              <w:jc w:val="both"/>
              <w:rPr>
                <w:rFonts w:ascii="Times New Roman" w:hAnsi="Times New Roman"/>
                <w:sz w:val="24"/>
                <w:szCs w:val="24"/>
              </w:rPr>
            </w:pPr>
          </w:p>
          <w:p w14:paraId="6F419269" w14:textId="7B6B1488" w:rsidR="007528AB" w:rsidRPr="009D0662" w:rsidRDefault="00E50993" w:rsidP="00F75A27">
            <w:pPr>
              <w:jc w:val="both"/>
              <w:rPr>
                <w:rFonts w:ascii="Times New Roman" w:hAnsi="Times New Roman"/>
                <w:sz w:val="24"/>
                <w:szCs w:val="24"/>
              </w:rPr>
            </w:pPr>
            <w:r w:rsidRPr="009D0662">
              <w:rPr>
                <w:rFonts w:ascii="Times New Roman" w:hAnsi="Times New Roman"/>
                <w:sz w:val="24"/>
                <w:szCs w:val="24"/>
              </w:rPr>
              <w:t>Kadangi į</w:t>
            </w:r>
            <w:r w:rsidR="007528AB" w:rsidRPr="009D0662">
              <w:rPr>
                <w:rFonts w:ascii="Times New Roman" w:hAnsi="Times New Roman"/>
                <w:sz w:val="24"/>
                <w:szCs w:val="24"/>
              </w:rPr>
              <w:t>gyvendinant priemonę</w:t>
            </w:r>
            <w:r w:rsidRPr="009D0662">
              <w:rPr>
                <w:rFonts w:ascii="Times New Roman" w:hAnsi="Times New Roman"/>
                <w:sz w:val="24"/>
                <w:szCs w:val="24"/>
              </w:rPr>
              <w:t xml:space="preserve"> yra mažinamas </w:t>
            </w:r>
            <w:r w:rsidR="001C615D">
              <w:rPr>
                <w:rFonts w:ascii="Times New Roman" w:hAnsi="Times New Roman"/>
                <w:sz w:val="24"/>
                <w:szCs w:val="24"/>
              </w:rPr>
              <w:t>iškastinio</w:t>
            </w:r>
            <w:r w:rsidR="001C615D" w:rsidRPr="009D0662">
              <w:rPr>
                <w:rFonts w:ascii="Times New Roman" w:hAnsi="Times New Roman"/>
                <w:sz w:val="24"/>
                <w:szCs w:val="24"/>
              </w:rPr>
              <w:t xml:space="preserve"> </w:t>
            </w:r>
            <w:r w:rsidRPr="009D0662">
              <w:rPr>
                <w:rFonts w:ascii="Times New Roman" w:hAnsi="Times New Roman"/>
                <w:sz w:val="24"/>
                <w:szCs w:val="24"/>
              </w:rPr>
              <w:t>kuro suvartojimas, ko pasekoje mažinamas angli</w:t>
            </w:r>
            <w:r w:rsidR="00E4160F" w:rsidRPr="009D0662">
              <w:rPr>
                <w:rFonts w:ascii="Times New Roman" w:hAnsi="Times New Roman"/>
                <w:sz w:val="24"/>
                <w:szCs w:val="24"/>
              </w:rPr>
              <w:t>e</w:t>
            </w:r>
            <w:r w:rsidRPr="009D0662">
              <w:rPr>
                <w:rFonts w:ascii="Times New Roman" w:hAnsi="Times New Roman"/>
                <w:sz w:val="24"/>
                <w:szCs w:val="24"/>
              </w:rPr>
              <w:t>s dvideginio išmetimai į aplinkos orą, tuo yra</w:t>
            </w:r>
            <w:r w:rsidR="007528AB" w:rsidRPr="009D0662">
              <w:rPr>
                <w:rFonts w:ascii="Times New Roman" w:hAnsi="Times New Roman"/>
                <w:sz w:val="24"/>
                <w:szCs w:val="24"/>
              </w:rPr>
              <w:t xml:space="preserve"> prisidedama prie Nacionalinės klimato kaitos valdymo politikos </w:t>
            </w:r>
            <w:bookmarkStart w:id="3" w:name="_Toc320517726"/>
            <w:bookmarkStart w:id="4" w:name="_Toc320536214"/>
            <w:bookmarkStart w:id="5" w:name="_Toc320687651"/>
            <w:bookmarkStart w:id="6" w:name="_Toc322009017"/>
            <w:r w:rsidR="00597455" w:rsidRPr="009D0662">
              <w:rPr>
                <w:rFonts w:ascii="Times New Roman" w:hAnsi="Times New Roman"/>
                <w:sz w:val="24"/>
                <w:szCs w:val="24"/>
              </w:rPr>
              <w:t xml:space="preserve">strategijos </w:t>
            </w:r>
            <w:r w:rsidR="007C1C1C" w:rsidRPr="009D0662">
              <w:rPr>
                <w:rFonts w:ascii="Times New Roman" w:hAnsi="Times New Roman"/>
                <w:sz w:val="24"/>
                <w:szCs w:val="24"/>
              </w:rPr>
              <w:t>128</w:t>
            </w:r>
            <w:r w:rsidR="001C4F37" w:rsidRPr="009D0662">
              <w:rPr>
                <w:rFonts w:ascii="Times New Roman" w:hAnsi="Times New Roman"/>
                <w:sz w:val="24"/>
                <w:szCs w:val="24"/>
              </w:rPr>
              <w:t xml:space="preserve"> </w:t>
            </w:r>
            <w:r w:rsidR="007C1C1C" w:rsidRPr="009D0662">
              <w:rPr>
                <w:rFonts w:ascii="Times New Roman" w:hAnsi="Times New Roman"/>
                <w:sz w:val="24"/>
                <w:szCs w:val="24"/>
              </w:rPr>
              <w:t>punkte</w:t>
            </w:r>
            <w:r w:rsidR="008245D1" w:rsidRPr="009D0662">
              <w:rPr>
                <w:rFonts w:ascii="Times New Roman" w:hAnsi="Times New Roman"/>
                <w:sz w:val="24"/>
                <w:szCs w:val="24"/>
              </w:rPr>
              <w:t xml:space="preserve"> nustatyto </w:t>
            </w:r>
            <w:r w:rsidR="007528AB" w:rsidRPr="009D0662">
              <w:rPr>
                <w:rFonts w:ascii="Times New Roman" w:hAnsi="Times New Roman"/>
                <w:sz w:val="24"/>
                <w:szCs w:val="24"/>
              </w:rPr>
              <w:t>speciali</w:t>
            </w:r>
            <w:r w:rsidR="00597455" w:rsidRPr="009D0662">
              <w:rPr>
                <w:rFonts w:ascii="Times New Roman" w:hAnsi="Times New Roman"/>
                <w:sz w:val="24"/>
                <w:szCs w:val="24"/>
              </w:rPr>
              <w:t>o</w:t>
            </w:r>
            <w:r w:rsidR="007528AB" w:rsidRPr="009D0662">
              <w:rPr>
                <w:rFonts w:ascii="Times New Roman" w:hAnsi="Times New Roman"/>
                <w:sz w:val="24"/>
                <w:szCs w:val="24"/>
              </w:rPr>
              <w:t>j</w:t>
            </w:r>
            <w:r w:rsidR="00597455" w:rsidRPr="009D0662">
              <w:rPr>
                <w:rFonts w:ascii="Times New Roman" w:hAnsi="Times New Roman"/>
                <w:sz w:val="24"/>
                <w:szCs w:val="24"/>
              </w:rPr>
              <w:t>o</w:t>
            </w:r>
            <w:r w:rsidR="007528AB" w:rsidRPr="009D0662">
              <w:rPr>
                <w:rFonts w:ascii="Times New Roman" w:hAnsi="Times New Roman"/>
                <w:sz w:val="24"/>
                <w:szCs w:val="24"/>
              </w:rPr>
              <w:t xml:space="preserve"> </w:t>
            </w:r>
            <w:bookmarkStart w:id="7" w:name="_Ref317590354"/>
            <w:r w:rsidR="007C1C1C" w:rsidRPr="009D0662">
              <w:rPr>
                <w:rFonts w:ascii="Times New Roman" w:hAnsi="Times New Roman"/>
                <w:color w:val="000000"/>
                <w:sz w:val="24"/>
                <w:szCs w:val="24"/>
                <w:shd w:val="clear" w:color="auto" w:fill="FFFFFF"/>
              </w:rPr>
              <w:t>trumpalaikio klimato kaitos švelninimo ES prekybos ATL sistemoje dalyvaujančiuose sektoriuose tikslo „siekti, kad išmetamųjų ŠESD kiekis ATL sektoriuje 2020 m. neviršytų 8,53 mln. t CO</w:t>
            </w:r>
            <w:r w:rsidR="007C1C1C" w:rsidRPr="009D0662">
              <w:rPr>
                <w:rFonts w:ascii="Times New Roman" w:hAnsi="Times New Roman"/>
                <w:color w:val="000000"/>
                <w:sz w:val="24"/>
                <w:szCs w:val="24"/>
                <w:shd w:val="clear" w:color="auto" w:fill="FFFFFF"/>
                <w:vertAlign w:val="subscript"/>
              </w:rPr>
              <w:t>2</w:t>
            </w:r>
            <w:r w:rsidR="007C1C1C" w:rsidRPr="009D0662">
              <w:rPr>
                <w:rFonts w:ascii="Times New Roman" w:hAnsi="Times New Roman"/>
                <w:color w:val="000000"/>
                <w:sz w:val="24"/>
                <w:szCs w:val="24"/>
                <w:shd w:val="clear" w:color="auto" w:fill="FFFFFF"/>
              </w:rPr>
              <w:t>e, užtikrinant AEI naudojimo ir energijos vartojimo efektyvumo didinimo tikslų įgyvendinimą</w:t>
            </w:r>
            <w:bookmarkEnd w:id="3"/>
            <w:bookmarkEnd w:id="4"/>
            <w:bookmarkEnd w:id="5"/>
            <w:bookmarkEnd w:id="6"/>
            <w:bookmarkEnd w:id="7"/>
            <w:r w:rsidR="007528AB" w:rsidRPr="009D0662">
              <w:rPr>
                <w:rFonts w:ascii="Times New Roman" w:hAnsi="Times New Roman"/>
                <w:sz w:val="24"/>
                <w:szCs w:val="24"/>
              </w:rPr>
              <w:t>“</w:t>
            </w:r>
            <w:r w:rsidR="00346084" w:rsidRPr="009D0662">
              <w:rPr>
                <w:rFonts w:ascii="Times New Roman" w:hAnsi="Times New Roman"/>
                <w:sz w:val="24"/>
                <w:szCs w:val="24"/>
              </w:rPr>
              <w:t xml:space="preserve"> </w:t>
            </w:r>
            <w:r w:rsidR="007528AB" w:rsidRPr="009D0662">
              <w:rPr>
                <w:rFonts w:ascii="Times New Roman" w:hAnsi="Times New Roman"/>
                <w:sz w:val="24"/>
                <w:szCs w:val="24"/>
              </w:rPr>
              <w:t>uždavinio</w:t>
            </w:r>
            <w:r w:rsidR="007C1C1C" w:rsidRPr="009D0662">
              <w:rPr>
                <w:rFonts w:ascii="Times New Roman" w:hAnsi="Times New Roman"/>
                <w:sz w:val="24"/>
                <w:szCs w:val="24"/>
              </w:rPr>
              <w:t xml:space="preserve"> „</w:t>
            </w:r>
            <w:r w:rsidR="007C1C1C" w:rsidRPr="009D0662">
              <w:rPr>
                <w:rFonts w:ascii="Times New Roman" w:hAnsi="Times New Roman"/>
                <w:color w:val="000000"/>
                <w:sz w:val="24"/>
                <w:szCs w:val="24"/>
                <w:shd w:val="clear" w:color="auto" w:fill="FFFFFF"/>
              </w:rPr>
              <w:t>pasiekti, kad centralizuoto aprūpinimo šiluma įmonėse, dalyvaujančiose ES prekybos ATL sistemoje, centralizuotai tiekiamos šilumos, pagamintos iš AEI, dalis 2020 m. sudarytų ne mažiau kaip 60 proc.</w:t>
            </w:r>
            <w:r w:rsidR="007528AB" w:rsidRPr="009D0662">
              <w:rPr>
                <w:rFonts w:ascii="Times New Roman" w:hAnsi="Times New Roman"/>
                <w:sz w:val="24"/>
                <w:szCs w:val="24"/>
              </w:rPr>
              <w:t>“.</w:t>
            </w:r>
          </w:p>
        </w:tc>
      </w:tr>
      <w:tr w:rsidR="007528AB" w:rsidRPr="007528AB" w14:paraId="5E7BD1B8" w14:textId="77777777" w:rsidTr="00A513FA">
        <w:tc>
          <w:tcPr>
            <w:tcW w:w="567" w:type="dxa"/>
          </w:tcPr>
          <w:p w14:paraId="692B3C7D" w14:textId="77777777" w:rsidR="00FB6137" w:rsidRPr="007528AB" w:rsidRDefault="00FB6137" w:rsidP="00FB6137">
            <w:pPr>
              <w:pStyle w:val="ListParagraph"/>
              <w:numPr>
                <w:ilvl w:val="0"/>
                <w:numId w:val="1"/>
              </w:numPr>
              <w:tabs>
                <w:tab w:val="left" w:pos="567"/>
              </w:tabs>
              <w:ind w:left="0" w:firstLine="0"/>
              <w:rPr>
                <w:rFonts w:ascii="Times New Roman" w:hAnsi="Times New Roman"/>
                <w:sz w:val="24"/>
                <w:szCs w:val="24"/>
              </w:rPr>
            </w:pPr>
          </w:p>
        </w:tc>
        <w:tc>
          <w:tcPr>
            <w:tcW w:w="2836" w:type="dxa"/>
            <w:shd w:val="clear" w:color="auto" w:fill="auto"/>
          </w:tcPr>
          <w:p w14:paraId="3ABC78DA" w14:textId="77777777" w:rsidR="00FB6137" w:rsidRPr="007528AB" w:rsidRDefault="00FB6137" w:rsidP="00D80DEB">
            <w:pPr>
              <w:tabs>
                <w:tab w:val="left" w:pos="567"/>
              </w:tabs>
              <w:rPr>
                <w:rFonts w:ascii="Times New Roman" w:hAnsi="Times New Roman"/>
                <w:sz w:val="24"/>
                <w:szCs w:val="24"/>
              </w:rPr>
            </w:pPr>
            <w:r w:rsidRPr="007528AB">
              <w:rPr>
                <w:rFonts w:ascii="Times New Roman" w:hAnsi="Times New Roman"/>
                <w:sz w:val="24"/>
                <w:szCs w:val="24"/>
              </w:rPr>
              <w:t>Išankstinių (</w:t>
            </w:r>
            <w:r w:rsidRPr="007528AB">
              <w:rPr>
                <w:rFonts w:ascii="Times New Roman" w:hAnsi="Times New Roman"/>
                <w:i/>
                <w:sz w:val="24"/>
                <w:szCs w:val="24"/>
              </w:rPr>
              <w:t>ex ante)</w:t>
            </w:r>
            <w:r w:rsidRPr="007528AB">
              <w:rPr>
                <w:rFonts w:ascii="Times New Roman" w:hAnsi="Times New Roman"/>
                <w:sz w:val="24"/>
                <w:szCs w:val="24"/>
              </w:rPr>
              <w:t xml:space="preserve"> sąlygų įvykdymas</w:t>
            </w:r>
          </w:p>
          <w:p w14:paraId="6B751D2F" w14:textId="77777777" w:rsidR="00FB6137" w:rsidRPr="007528AB" w:rsidRDefault="00FB6137" w:rsidP="00D80DEB">
            <w:pPr>
              <w:tabs>
                <w:tab w:val="left" w:pos="567"/>
              </w:tabs>
              <w:rPr>
                <w:rFonts w:ascii="Times New Roman" w:hAnsi="Times New Roman"/>
                <w:sz w:val="24"/>
                <w:szCs w:val="24"/>
              </w:rPr>
            </w:pPr>
            <w:r w:rsidRPr="007528AB">
              <w:rPr>
                <w:rFonts w:ascii="Times New Roman" w:hAnsi="Times New Roman"/>
                <w:sz w:val="24"/>
                <w:szCs w:val="24"/>
              </w:rPr>
              <w:t>(jei taikoma)</w:t>
            </w:r>
          </w:p>
        </w:tc>
        <w:tc>
          <w:tcPr>
            <w:tcW w:w="6945" w:type="dxa"/>
          </w:tcPr>
          <w:p w14:paraId="06ED73B0" w14:textId="7A2F4C97" w:rsidR="008776BB" w:rsidRPr="007C1C1C" w:rsidRDefault="007432FF" w:rsidP="006B12AD">
            <w:pPr>
              <w:tabs>
                <w:tab w:val="left" w:pos="567"/>
              </w:tabs>
              <w:jc w:val="both"/>
              <w:rPr>
                <w:rFonts w:ascii="Times New Roman" w:hAnsi="Times New Roman"/>
                <w:sz w:val="24"/>
                <w:szCs w:val="24"/>
              </w:rPr>
            </w:pPr>
            <w:r w:rsidRPr="007C1C1C">
              <w:rPr>
                <w:rFonts w:ascii="Times New Roman" w:eastAsia="Times New Roman" w:hAnsi="Times New Roman"/>
                <w:sz w:val="24"/>
                <w:szCs w:val="24"/>
              </w:rPr>
              <w:t>Veiksmų programos išankstinio vertinimo ataskaito</w:t>
            </w:r>
            <w:r w:rsidR="007C1C1C" w:rsidRPr="007C1C1C">
              <w:rPr>
                <w:rFonts w:ascii="Times New Roman" w:eastAsia="Times New Roman" w:hAnsi="Times New Roman"/>
                <w:sz w:val="24"/>
                <w:szCs w:val="24"/>
              </w:rPr>
              <w:t>je nurodyta išankstinė sąlyga (8</w:t>
            </w:r>
            <w:r w:rsidR="00CE4821">
              <w:rPr>
                <w:rFonts w:ascii="Times New Roman" w:eastAsia="Times New Roman" w:hAnsi="Times New Roman"/>
                <w:sz w:val="24"/>
                <w:szCs w:val="24"/>
              </w:rPr>
              <w:t xml:space="preserve">) </w:t>
            </w:r>
            <w:r w:rsidRPr="007C1C1C">
              <w:rPr>
                <w:rFonts w:ascii="Times New Roman" w:eastAsia="Times New Roman" w:hAnsi="Times New Roman"/>
                <w:sz w:val="24"/>
                <w:szCs w:val="24"/>
              </w:rPr>
              <w:t>“</w:t>
            </w:r>
            <w:r w:rsidR="007C1C1C" w:rsidRPr="007C1C1C">
              <w:rPr>
                <w:rFonts w:ascii="Times New Roman" w:hAnsi="Times New Roman"/>
                <w:sz w:val="24"/>
                <w:szCs w:val="24"/>
              </w:rPr>
              <w:t>4.3. Imtasi veiksmų siekiant skatinti atsinaujinančiųjų išteklių energijos gamybą ir paskirstymą.</w:t>
            </w:r>
            <w:r w:rsidRPr="007C1C1C">
              <w:rPr>
                <w:rFonts w:ascii="Times New Roman" w:eastAsia="Times New Roman" w:hAnsi="Times New Roman"/>
                <w:sz w:val="24"/>
                <w:szCs w:val="24"/>
              </w:rPr>
              <w:t>” įvykdyta – informacija apie įvykdymą pateikiama veiksmų programos 1 priede (</w:t>
            </w:r>
            <w:bookmarkStart w:id="8" w:name="OLE_LINK1"/>
            <w:r w:rsidRPr="007C1C1C">
              <w:rPr>
                <w:rFonts w:ascii="Times New Roman" w:eastAsia="Times New Roman" w:hAnsi="Times New Roman"/>
                <w:sz w:val="24"/>
                <w:szCs w:val="24"/>
              </w:rPr>
              <w:t>http://esinvesticijos.lt/uploads/documents/docs/161_58547612f9ca20f3dc00320c401c228d.doc</w:t>
            </w:r>
            <w:bookmarkEnd w:id="8"/>
            <w:r w:rsidRPr="007C1C1C">
              <w:rPr>
                <w:rFonts w:ascii="Times New Roman" w:eastAsia="Times New Roman" w:hAnsi="Times New Roman"/>
                <w:sz w:val="24"/>
                <w:szCs w:val="24"/>
              </w:rPr>
              <w:t>).</w:t>
            </w:r>
          </w:p>
        </w:tc>
      </w:tr>
      <w:tr w:rsidR="007528AB" w:rsidRPr="007528AB" w14:paraId="330F4A8D" w14:textId="77777777" w:rsidTr="00A513FA">
        <w:trPr>
          <w:trHeight w:val="2171"/>
        </w:trPr>
        <w:tc>
          <w:tcPr>
            <w:tcW w:w="567" w:type="dxa"/>
          </w:tcPr>
          <w:p w14:paraId="4F29752E" w14:textId="77777777" w:rsidR="00FB6137" w:rsidRPr="007528AB" w:rsidRDefault="00FB6137" w:rsidP="00FB6137">
            <w:pPr>
              <w:pStyle w:val="ListParagraph"/>
              <w:numPr>
                <w:ilvl w:val="0"/>
                <w:numId w:val="1"/>
              </w:numPr>
              <w:tabs>
                <w:tab w:val="left" w:pos="567"/>
              </w:tabs>
              <w:ind w:left="0" w:firstLine="0"/>
              <w:rPr>
                <w:rFonts w:ascii="Times New Roman" w:hAnsi="Times New Roman"/>
                <w:sz w:val="24"/>
                <w:szCs w:val="24"/>
              </w:rPr>
            </w:pPr>
          </w:p>
        </w:tc>
        <w:tc>
          <w:tcPr>
            <w:tcW w:w="2836" w:type="dxa"/>
            <w:shd w:val="clear" w:color="auto" w:fill="auto"/>
          </w:tcPr>
          <w:p w14:paraId="048150CA" w14:textId="77777777" w:rsidR="00FB6137" w:rsidRPr="007528AB" w:rsidRDefault="00FB6137" w:rsidP="00D80DEB">
            <w:pPr>
              <w:tabs>
                <w:tab w:val="left" w:pos="567"/>
              </w:tabs>
              <w:rPr>
                <w:rFonts w:ascii="Times New Roman" w:hAnsi="Times New Roman"/>
                <w:sz w:val="24"/>
                <w:szCs w:val="24"/>
              </w:rPr>
            </w:pPr>
            <w:r w:rsidRPr="007528AB">
              <w:rPr>
                <w:rFonts w:ascii="Times New Roman" w:hAnsi="Times New Roman"/>
                <w:sz w:val="24"/>
                <w:szCs w:val="24"/>
              </w:rPr>
              <w:t xml:space="preserve">Priemonės tikslingumas, tinkamumas ir tęstinumas, atsižvelgiant į vertinimų  išvadas </w:t>
            </w:r>
          </w:p>
        </w:tc>
        <w:tc>
          <w:tcPr>
            <w:tcW w:w="6945" w:type="dxa"/>
          </w:tcPr>
          <w:p w14:paraId="1A60FA2E" w14:textId="740019EB" w:rsidR="005E0DB3" w:rsidRDefault="0002771D" w:rsidP="005E0DB3">
            <w:pPr>
              <w:jc w:val="both"/>
              <w:rPr>
                <w:rFonts w:ascii="Times New Roman" w:hAnsi="Times New Roman"/>
                <w:sz w:val="24"/>
                <w:szCs w:val="24"/>
                <w:lang w:eastAsia="lt-LT"/>
              </w:rPr>
            </w:pPr>
            <w:r w:rsidRPr="007528AB">
              <w:rPr>
                <w:rFonts w:ascii="Times New Roman" w:hAnsi="Times New Roman"/>
                <w:sz w:val="24"/>
                <w:szCs w:val="24"/>
                <w:lang w:eastAsia="lt-LT"/>
              </w:rPr>
              <w:t xml:space="preserve">Lietuvos Respublikos ūkio ministerijos 2011 m. gruodžio 23 d.  „Lietuvos Respublikos ūkio ministerijos kompetencijai priskirtų bendrai finansuojamų iš ES Struktūrinių fondų lėšų ekonomikos sektorių būklės pokyčių vertinimo“ </w:t>
            </w:r>
            <w:r w:rsidR="00C627E9">
              <w:rPr>
                <w:rFonts w:ascii="Times New Roman" w:hAnsi="Times New Roman"/>
                <w:sz w:val="24"/>
                <w:szCs w:val="24"/>
                <w:lang w:eastAsia="lt-LT"/>
              </w:rPr>
              <w:t xml:space="preserve">vertinimo </w:t>
            </w:r>
            <w:r w:rsidRPr="007528AB">
              <w:rPr>
                <w:rFonts w:ascii="Times New Roman" w:hAnsi="Times New Roman"/>
                <w:sz w:val="24"/>
                <w:szCs w:val="24"/>
                <w:lang w:eastAsia="lt-LT"/>
              </w:rPr>
              <w:t>galutin</w:t>
            </w:r>
            <w:r w:rsidR="005E0DB3">
              <w:rPr>
                <w:rFonts w:ascii="Times New Roman" w:hAnsi="Times New Roman"/>
                <w:sz w:val="24"/>
                <w:szCs w:val="24"/>
                <w:lang w:eastAsia="lt-LT"/>
              </w:rPr>
              <w:t>ėje</w:t>
            </w:r>
            <w:r w:rsidRPr="007528AB">
              <w:rPr>
                <w:rFonts w:ascii="Times New Roman" w:hAnsi="Times New Roman"/>
                <w:sz w:val="24"/>
                <w:szCs w:val="24"/>
                <w:lang w:eastAsia="lt-LT"/>
              </w:rPr>
              <w:t xml:space="preserve"> ataskait</w:t>
            </w:r>
            <w:r w:rsidR="005E0DB3">
              <w:rPr>
                <w:rFonts w:ascii="Times New Roman" w:hAnsi="Times New Roman"/>
                <w:sz w:val="24"/>
                <w:szCs w:val="24"/>
                <w:lang w:eastAsia="lt-LT"/>
              </w:rPr>
              <w:t>oje</w:t>
            </w:r>
            <w:r w:rsidR="00535B10">
              <w:rPr>
                <w:rFonts w:ascii="Times New Roman" w:hAnsi="Times New Roman"/>
                <w:sz w:val="24"/>
                <w:szCs w:val="24"/>
                <w:lang w:eastAsia="lt-LT"/>
              </w:rPr>
              <w:t xml:space="preserve"> (toliau – vertinimo galutinė ataskaita)</w:t>
            </w:r>
            <w:r w:rsidR="00E4160F">
              <w:rPr>
                <w:rFonts w:ascii="Times New Roman" w:hAnsi="Times New Roman"/>
                <w:sz w:val="24"/>
                <w:szCs w:val="24"/>
                <w:lang w:eastAsia="lt-LT"/>
              </w:rPr>
              <w:t>,</w:t>
            </w:r>
            <w:r w:rsidRPr="007528AB">
              <w:rPr>
                <w:rFonts w:ascii="Times New Roman" w:hAnsi="Times New Roman"/>
                <w:sz w:val="24"/>
                <w:szCs w:val="24"/>
                <w:lang w:eastAsia="lt-LT"/>
              </w:rPr>
              <w:t xml:space="preserve"> </w:t>
            </w:r>
            <w:r w:rsidR="005E0DB3">
              <w:rPr>
                <w:rFonts w:ascii="Times New Roman" w:hAnsi="Times New Roman"/>
                <w:sz w:val="24"/>
                <w:szCs w:val="24"/>
                <w:lang w:eastAsia="lt-LT"/>
              </w:rPr>
              <w:t>yra pateikiama išvada:</w:t>
            </w:r>
          </w:p>
          <w:p w14:paraId="310AC77F" w14:textId="1B9B772E" w:rsidR="005E0DB3" w:rsidRPr="001C5442" w:rsidRDefault="005E0DB3" w:rsidP="001C5442">
            <w:pPr>
              <w:pStyle w:val="ListParagraph"/>
              <w:numPr>
                <w:ilvl w:val="0"/>
                <w:numId w:val="15"/>
              </w:numPr>
              <w:jc w:val="both"/>
              <w:rPr>
                <w:rFonts w:ascii="Times New Roman" w:hAnsi="Times New Roman"/>
                <w:sz w:val="24"/>
                <w:szCs w:val="24"/>
                <w:lang w:eastAsia="lt-LT"/>
              </w:rPr>
            </w:pPr>
            <w:r w:rsidRPr="001C5442">
              <w:rPr>
                <w:rFonts w:ascii="Times New Roman" w:hAnsi="Times New Roman"/>
                <w:sz w:val="24"/>
                <w:szCs w:val="24"/>
                <w:lang w:eastAsia="lt-LT"/>
              </w:rPr>
              <w:t>Ūkio ministerijos kompetencijai priskirtos ir ES struktūrinės paramos lėšomis bendrai finansuojamos priemonės energetikos sektoriuje, numatytos atitinkamų veiksmų programose, iš esmės išlieka aktualios. Įgyvendinamų priemonių tinkamumas nekelia abejonių, nes atitinka Lietuvos ir Europos Sąjungos energetikos strateginiuose dokumentuose ir direktyvose suformuluotus prioritetus ir tikslus. Dauguma vykdomų priemonių energetikos sektoriuje pasiteisina, ypač ilguoju laikotarpiu, ir Lietuvos socialinės</w:t>
            </w:r>
            <w:proofErr w:type="gramStart"/>
            <w:r w:rsidRPr="001C5442">
              <w:rPr>
                <w:rFonts w:ascii="Times New Roman" w:hAnsi="Times New Roman"/>
                <w:sz w:val="24"/>
                <w:szCs w:val="24"/>
                <w:lang w:eastAsia="lt-LT"/>
              </w:rPr>
              <w:t>-</w:t>
            </w:r>
            <w:proofErr w:type="gramEnd"/>
            <w:r w:rsidRPr="001C5442">
              <w:rPr>
                <w:rFonts w:ascii="Times New Roman" w:hAnsi="Times New Roman"/>
                <w:sz w:val="24"/>
                <w:szCs w:val="24"/>
                <w:lang w:eastAsia="lt-LT"/>
              </w:rPr>
              <w:t>ekonominės situacijos kontekste.</w:t>
            </w:r>
          </w:p>
          <w:p w14:paraId="76F55D04" w14:textId="75AFC477" w:rsidR="005E0DB3" w:rsidRDefault="00933330" w:rsidP="005E0DB3">
            <w:pPr>
              <w:jc w:val="both"/>
              <w:rPr>
                <w:rFonts w:ascii="Times New Roman" w:hAnsi="Times New Roman"/>
                <w:sz w:val="24"/>
                <w:szCs w:val="24"/>
                <w:lang w:eastAsia="lt-LT"/>
              </w:rPr>
            </w:pPr>
            <w:r>
              <w:rPr>
                <w:rFonts w:ascii="Times New Roman" w:hAnsi="Times New Roman"/>
                <w:sz w:val="24"/>
                <w:szCs w:val="24"/>
                <w:lang w:eastAsia="lt-LT"/>
              </w:rPr>
              <w:t>Atsižvelgiant į tai, darytina išvada</w:t>
            </w:r>
            <w:r w:rsidR="005E0DB3">
              <w:rPr>
                <w:rFonts w:ascii="Times New Roman" w:hAnsi="Times New Roman"/>
                <w:sz w:val="24"/>
                <w:szCs w:val="24"/>
                <w:lang w:eastAsia="lt-LT"/>
              </w:rPr>
              <w:t xml:space="preserve">, kad yra tikslinga įgyvendinti priemonę </w:t>
            </w:r>
            <w:r w:rsidR="00AF5C29">
              <w:rPr>
                <w:rFonts w:ascii="Times New Roman" w:eastAsia="Times New Roman" w:hAnsi="Times New Roman"/>
                <w:sz w:val="24"/>
                <w:szCs w:val="24"/>
                <w:lang w:eastAsia="lt-LT"/>
              </w:rPr>
              <w:t>Nr. 04.3.2-LVPA</w:t>
            </w:r>
            <w:proofErr w:type="gramStart"/>
            <w:r w:rsidR="00AF5C29">
              <w:rPr>
                <w:rFonts w:ascii="Times New Roman" w:eastAsia="Times New Roman" w:hAnsi="Times New Roman"/>
                <w:sz w:val="24"/>
                <w:szCs w:val="24"/>
                <w:lang w:eastAsia="lt-LT"/>
              </w:rPr>
              <w:t>-</w:t>
            </w:r>
            <w:proofErr w:type="gramEnd"/>
            <w:r w:rsidR="00AF5C29">
              <w:rPr>
                <w:rFonts w:ascii="Times New Roman" w:eastAsia="Times New Roman" w:hAnsi="Times New Roman"/>
                <w:sz w:val="24"/>
                <w:szCs w:val="24"/>
                <w:lang w:eastAsia="lt-LT"/>
              </w:rPr>
              <w:t>K-106</w:t>
            </w:r>
            <w:r w:rsidR="005E0DB3">
              <w:rPr>
                <w:rFonts w:ascii="Times New Roman" w:eastAsia="Times New Roman" w:hAnsi="Times New Roman"/>
                <w:sz w:val="24"/>
                <w:szCs w:val="24"/>
                <w:lang w:eastAsia="lt-LT"/>
              </w:rPr>
              <w:t xml:space="preserve"> </w:t>
            </w:r>
            <w:r w:rsidR="005E0DB3">
              <w:rPr>
                <w:rFonts w:ascii="Times New Roman" w:hAnsi="Times New Roman"/>
                <w:sz w:val="24"/>
                <w:szCs w:val="24"/>
              </w:rPr>
              <w:t>„</w:t>
            </w:r>
            <w:r w:rsidR="00AF5C29">
              <w:rPr>
                <w:rFonts w:ascii="Times New Roman" w:hAnsi="Times New Roman"/>
                <w:sz w:val="24"/>
                <w:szCs w:val="24"/>
              </w:rPr>
              <w:t>I</w:t>
            </w:r>
            <w:r w:rsidR="00AF5C29" w:rsidRPr="00AF5C29">
              <w:rPr>
                <w:rFonts w:ascii="Times New Roman" w:hAnsi="Times New Roman"/>
                <w:sz w:val="24"/>
                <w:szCs w:val="24"/>
              </w:rPr>
              <w:t>škastinį kurą naudojančių katilinių modernizavimas</w:t>
            </w:r>
            <w:r w:rsidR="005E0DB3">
              <w:rPr>
                <w:rFonts w:ascii="Times New Roman" w:hAnsi="Times New Roman"/>
                <w:sz w:val="24"/>
                <w:szCs w:val="24"/>
              </w:rPr>
              <w:t>“.</w:t>
            </w:r>
          </w:p>
          <w:p w14:paraId="7004F826" w14:textId="1BBA7219" w:rsidR="0002771D" w:rsidRPr="007528AB" w:rsidRDefault="0002771D" w:rsidP="005E0DB3">
            <w:pPr>
              <w:jc w:val="both"/>
              <w:rPr>
                <w:rFonts w:ascii="Times New Roman" w:hAnsi="Times New Roman"/>
                <w:sz w:val="24"/>
                <w:szCs w:val="24"/>
                <w:lang w:eastAsia="lt-LT"/>
              </w:rPr>
            </w:pPr>
          </w:p>
          <w:p w14:paraId="09B0AE70" w14:textId="77777777" w:rsidR="0002771D" w:rsidRPr="007528AB" w:rsidRDefault="0002771D" w:rsidP="0002771D">
            <w:pPr>
              <w:rPr>
                <w:rFonts w:ascii="Times New Roman" w:hAnsi="Times New Roman"/>
              </w:rPr>
            </w:pPr>
            <w:r w:rsidRPr="007528AB">
              <w:rPr>
                <w:rFonts w:ascii="Times New Roman" w:hAnsi="Times New Roman"/>
                <w:sz w:val="24"/>
                <w:szCs w:val="24"/>
                <w:lang w:eastAsia="lt-LT"/>
              </w:rPr>
              <w:t>(</w:t>
            </w:r>
            <w:hyperlink r:id="rId6" w:history="1">
              <w:r w:rsidRPr="007528AB">
                <w:rPr>
                  <w:rStyle w:val="Hyperlink"/>
                  <w:rFonts w:ascii="Times New Roman" w:hAnsi="Times New Roman"/>
                  <w:color w:val="auto"/>
                  <w:sz w:val="24"/>
                  <w:szCs w:val="24"/>
                </w:rPr>
                <w:t>http://www.ukmin.lt/uploads/documents/imported/lt/veikla/veiklos_sritys/es_strukturiniai_fondai/2007-2013/Vertinimas/Sektoriu_Galutine%20vertinimo%20ataskaita.pdf</w:t>
              </w:r>
            </w:hyperlink>
            <w:r w:rsidRPr="007528AB">
              <w:rPr>
                <w:rFonts w:ascii="Times New Roman" w:hAnsi="Times New Roman"/>
                <w:sz w:val="24"/>
                <w:szCs w:val="24"/>
                <w:lang w:eastAsia="lt-LT"/>
              </w:rPr>
              <w:t>)</w:t>
            </w:r>
          </w:p>
          <w:p w14:paraId="5A20B010" w14:textId="77777777" w:rsidR="00072BBF" w:rsidRPr="007528AB" w:rsidRDefault="00072BBF" w:rsidP="000C760C">
            <w:pPr>
              <w:pStyle w:val="CommentText"/>
              <w:jc w:val="both"/>
              <w:rPr>
                <w:rFonts w:ascii="Times New Roman" w:hAnsi="Times New Roman"/>
                <w:sz w:val="24"/>
                <w:szCs w:val="24"/>
              </w:rPr>
            </w:pPr>
          </w:p>
        </w:tc>
      </w:tr>
      <w:tr w:rsidR="007528AB" w:rsidRPr="007528AB" w14:paraId="27D46C82" w14:textId="77777777" w:rsidTr="00CF179E">
        <w:trPr>
          <w:trHeight w:val="645"/>
        </w:trPr>
        <w:tc>
          <w:tcPr>
            <w:tcW w:w="567" w:type="dxa"/>
          </w:tcPr>
          <w:p w14:paraId="6CABDCE9" w14:textId="77777777" w:rsidR="00FB6137" w:rsidRPr="007528AB" w:rsidRDefault="00FB6137" w:rsidP="00FB6137">
            <w:pPr>
              <w:pStyle w:val="ListParagraph"/>
              <w:numPr>
                <w:ilvl w:val="0"/>
                <w:numId w:val="1"/>
              </w:numPr>
              <w:tabs>
                <w:tab w:val="left" w:pos="567"/>
              </w:tabs>
              <w:ind w:left="0" w:firstLine="0"/>
              <w:rPr>
                <w:rFonts w:ascii="Times New Roman" w:hAnsi="Times New Roman"/>
                <w:sz w:val="24"/>
                <w:szCs w:val="24"/>
              </w:rPr>
            </w:pPr>
          </w:p>
        </w:tc>
        <w:tc>
          <w:tcPr>
            <w:tcW w:w="2836" w:type="dxa"/>
          </w:tcPr>
          <w:p w14:paraId="1846C0BF" w14:textId="77777777" w:rsidR="00FB6137" w:rsidRPr="007528AB" w:rsidRDefault="00FB6137" w:rsidP="00D80DEB">
            <w:pPr>
              <w:tabs>
                <w:tab w:val="left" w:pos="567"/>
              </w:tabs>
              <w:rPr>
                <w:rFonts w:ascii="Times New Roman" w:hAnsi="Times New Roman"/>
                <w:sz w:val="24"/>
                <w:szCs w:val="24"/>
              </w:rPr>
            </w:pPr>
            <w:r w:rsidRPr="007528AB">
              <w:rPr>
                <w:rFonts w:ascii="Times New Roman" w:hAnsi="Times New Roman"/>
                <w:sz w:val="24"/>
                <w:szCs w:val="24"/>
              </w:rPr>
              <w:t>Priemonės suderinamumas su kitomis priemonėmis</w:t>
            </w:r>
          </w:p>
        </w:tc>
        <w:tc>
          <w:tcPr>
            <w:tcW w:w="6945" w:type="dxa"/>
          </w:tcPr>
          <w:p w14:paraId="6D5D1AA7" w14:textId="55FF9D71" w:rsidR="001E1576" w:rsidRPr="00F75A27" w:rsidRDefault="005E543C" w:rsidP="002354E6">
            <w:pPr>
              <w:pStyle w:val="CommentText"/>
              <w:jc w:val="both"/>
              <w:rPr>
                <w:rFonts w:ascii="Times New Roman" w:hAnsi="Times New Roman"/>
                <w:sz w:val="24"/>
                <w:szCs w:val="24"/>
              </w:rPr>
            </w:pPr>
            <w:r>
              <w:rPr>
                <w:rFonts w:ascii="Times New Roman" w:hAnsi="Times New Roman"/>
                <w:b/>
                <w:sz w:val="24"/>
                <w:szCs w:val="24"/>
              </w:rPr>
              <w:t xml:space="preserve">Netaikoma, nes </w:t>
            </w:r>
            <w:r>
              <w:rPr>
                <w:rFonts w:ascii="Times New Roman" w:eastAsiaTheme="minorHAnsi" w:hAnsi="Times New Roman"/>
                <w:color w:val="000000"/>
                <w:sz w:val="24"/>
                <w:szCs w:val="24"/>
              </w:rPr>
              <w:t>priemonės veiklos nėr</w:t>
            </w:r>
            <w:r w:rsidRPr="00807A15">
              <w:rPr>
                <w:rFonts w:ascii="Times New Roman" w:eastAsiaTheme="minorHAnsi" w:hAnsi="Times New Roman"/>
                <w:color w:val="000000"/>
                <w:sz w:val="24"/>
                <w:szCs w:val="24"/>
              </w:rPr>
              <w:t>a susijusios su kitų ministerijos ir (ar) kitų ministerijų įgyvendinamų</w:t>
            </w:r>
            <w:r w:rsidR="00F75A27" w:rsidRPr="00807A15">
              <w:rPr>
                <w:rFonts w:ascii="Times New Roman" w:eastAsiaTheme="minorHAnsi" w:hAnsi="Times New Roman"/>
                <w:color w:val="000000"/>
                <w:sz w:val="24"/>
                <w:szCs w:val="24"/>
              </w:rPr>
              <w:t xml:space="preserve"> </w:t>
            </w:r>
            <w:r w:rsidRPr="00807A15">
              <w:rPr>
                <w:rFonts w:ascii="Times New Roman" w:eastAsiaTheme="minorHAnsi" w:hAnsi="Times New Roman"/>
                <w:color w:val="000000"/>
                <w:sz w:val="24"/>
                <w:szCs w:val="24"/>
              </w:rPr>
              <w:t xml:space="preserve">veiksmų programos, </w:t>
            </w:r>
            <w:r w:rsidRPr="00807A15">
              <w:rPr>
                <w:rFonts w:ascii="Times New Roman" w:hAnsi="Times New Roman"/>
                <w:sz w:val="24"/>
                <w:szCs w:val="24"/>
              </w:rPr>
              <w:t xml:space="preserve">kitos ES finansinės paramos ar kitos tarptautinės paramos, taip pat </w:t>
            </w:r>
            <w:r w:rsidRPr="00807A15">
              <w:rPr>
                <w:rFonts w:ascii="Times New Roman" w:eastAsiaTheme="minorHAnsi" w:hAnsi="Times New Roman"/>
                <w:color w:val="000000"/>
                <w:sz w:val="24"/>
                <w:szCs w:val="24"/>
              </w:rPr>
              <w:t>nacionalinėmis lėšomis finansuojamų priemonių veiklomis</w:t>
            </w:r>
            <w:r>
              <w:rPr>
                <w:rFonts w:ascii="Times New Roman" w:eastAsiaTheme="minorHAnsi" w:hAnsi="Times New Roman"/>
                <w:color w:val="000000"/>
                <w:sz w:val="24"/>
                <w:szCs w:val="24"/>
              </w:rPr>
              <w:t>.</w:t>
            </w:r>
            <w:r w:rsidR="00F75A27">
              <w:rPr>
                <w:rFonts w:ascii="Times New Roman" w:eastAsiaTheme="minorHAnsi" w:hAnsi="Times New Roman"/>
                <w:color w:val="000000"/>
                <w:sz w:val="24"/>
                <w:szCs w:val="24"/>
              </w:rPr>
              <w:t xml:space="preserve"> </w:t>
            </w:r>
            <w:r w:rsidR="001C15C5">
              <w:rPr>
                <w:rFonts w:ascii="Times New Roman" w:eastAsiaTheme="minorHAnsi" w:hAnsi="Times New Roman"/>
                <w:color w:val="000000"/>
                <w:sz w:val="24"/>
                <w:szCs w:val="24"/>
              </w:rPr>
              <w:t xml:space="preserve">Priemonės veiklos nepapildo kitų priemonių veiklų. </w:t>
            </w:r>
            <w:r w:rsidR="001E1576" w:rsidRPr="00F75A27">
              <w:rPr>
                <w:rFonts w:ascii="Times New Roman" w:hAnsi="Times New Roman"/>
                <w:sz w:val="24"/>
                <w:szCs w:val="24"/>
              </w:rPr>
              <w:t xml:space="preserve">Galimos šios priemonės sankirtos su kitomis veiksmų programos priemonėmis </w:t>
            </w:r>
            <w:r w:rsidR="002354E6" w:rsidRPr="001258A2">
              <w:rPr>
                <w:rFonts w:ascii="Times New Roman" w:hAnsi="Times New Roman"/>
                <w:sz w:val="24"/>
                <w:szCs w:val="24"/>
              </w:rPr>
              <w:t xml:space="preserve">ir su </w:t>
            </w:r>
            <w:r w:rsidR="002354E6">
              <w:rPr>
                <w:rFonts w:ascii="Times New Roman" w:hAnsi="Times New Roman"/>
                <w:sz w:val="24"/>
                <w:szCs w:val="24"/>
              </w:rPr>
              <w:t>parama iš kitų programų</w:t>
            </w:r>
            <w:r w:rsidR="002354E6" w:rsidRPr="002354E6">
              <w:rPr>
                <w:rFonts w:ascii="Times New Roman" w:hAnsi="Times New Roman"/>
                <w:sz w:val="24"/>
                <w:szCs w:val="24"/>
              </w:rPr>
              <w:t xml:space="preserve"> </w:t>
            </w:r>
            <w:r w:rsidR="001E1576" w:rsidRPr="00F75A27">
              <w:rPr>
                <w:rFonts w:ascii="Times New Roman" w:hAnsi="Times New Roman"/>
                <w:sz w:val="24"/>
                <w:szCs w:val="24"/>
              </w:rPr>
              <w:t xml:space="preserve">nurodytos 19 </w:t>
            </w:r>
            <w:r w:rsidR="002354E6">
              <w:rPr>
                <w:rFonts w:ascii="Times New Roman" w:hAnsi="Times New Roman"/>
                <w:sz w:val="24"/>
                <w:szCs w:val="24"/>
              </w:rPr>
              <w:t xml:space="preserve">ir 20 </w:t>
            </w:r>
            <w:r w:rsidR="001E1576" w:rsidRPr="00F75A27">
              <w:rPr>
                <w:rFonts w:ascii="Times New Roman" w:hAnsi="Times New Roman"/>
                <w:sz w:val="24"/>
                <w:szCs w:val="24"/>
              </w:rPr>
              <w:t>punkt</w:t>
            </w:r>
            <w:r w:rsidR="002354E6">
              <w:rPr>
                <w:rFonts w:ascii="Times New Roman" w:hAnsi="Times New Roman"/>
                <w:sz w:val="24"/>
                <w:szCs w:val="24"/>
              </w:rPr>
              <w:t>uose</w:t>
            </w:r>
            <w:r w:rsidR="001E1576" w:rsidRPr="00F75A27">
              <w:rPr>
                <w:rFonts w:ascii="Times New Roman" w:hAnsi="Times New Roman"/>
                <w:sz w:val="24"/>
                <w:szCs w:val="24"/>
              </w:rPr>
              <w:t xml:space="preserve">.  </w:t>
            </w:r>
          </w:p>
        </w:tc>
      </w:tr>
      <w:tr w:rsidR="007528AB" w:rsidRPr="007528AB" w14:paraId="55BA865A" w14:textId="77777777" w:rsidTr="00A513FA">
        <w:tc>
          <w:tcPr>
            <w:tcW w:w="567" w:type="dxa"/>
          </w:tcPr>
          <w:p w14:paraId="1B538A2D" w14:textId="77777777" w:rsidR="00FB6137" w:rsidRPr="007528AB" w:rsidRDefault="00FB6137" w:rsidP="00FB6137">
            <w:pPr>
              <w:pStyle w:val="ListParagraph"/>
              <w:numPr>
                <w:ilvl w:val="0"/>
                <w:numId w:val="1"/>
              </w:numPr>
              <w:tabs>
                <w:tab w:val="left" w:pos="567"/>
              </w:tabs>
              <w:ind w:left="0" w:firstLine="0"/>
              <w:rPr>
                <w:rFonts w:ascii="Times New Roman" w:hAnsi="Times New Roman"/>
                <w:sz w:val="24"/>
                <w:szCs w:val="24"/>
              </w:rPr>
            </w:pPr>
          </w:p>
        </w:tc>
        <w:tc>
          <w:tcPr>
            <w:tcW w:w="2836" w:type="dxa"/>
            <w:shd w:val="clear" w:color="auto" w:fill="auto"/>
          </w:tcPr>
          <w:p w14:paraId="6EE896BE" w14:textId="77777777" w:rsidR="00FB6137" w:rsidRPr="007528AB" w:rsidRDefault="00FB6137" w:rsidP="00D80DEB">
            <w:pPr>
              <w:tabs>
                <w:tab w:val="left" w:pos="567"/>
              </w:tabs>
              <w:rPr>
                <w:rFonts w:ascii="Times New Roman" w:hAnsi="Times New Roman"/>
                <w:sz w:val="24"/>
                <w:szCs w:val="24"/>
              </w:rPr>
            </w:pPr>
            <w:r w:rsidRPr="007528AB">
              <w:rPr>
                <w:rFonts w:ascii="Times New Roman" w:hAnsi="Times New Roman"/>
                <w:sz w:val="24"/>
                <w:szCs w:val="24"/>
              </w:rPr>
              <w:t>Nagrinėtų priemonės veiklų įgyvendinimo alternatyvų aprašymas ir siūlomos alternatyvos pasirinkimo pagrindimas (jei taikoma)</w:t>
            </w:r>
          </w:p>
        </w:tc>
        <w:tc>
          <w:tcPr>
            <w:tcW w:w="6945" w:type="dxa"/>
          </w:tcPr>
          <w:p w14:paraId="6BEBF247" w14:textId="322C03BB" w:rsidR="00BE71C2" w:rsidRPr="007528AB" w:rsidRDefault="007528AB" w:rsidP="00296D34">
            <w:pPr>
              <w:tabs>
                <w:tab w:val="left" w:pos="567"/>
              </w:tabs>
              <w:jc w:val="both"/>
              <w:rPr>
                <w:rFonts w:ascii="Times New Roman" w:hAnsi="Times New Roman"/>
                <w:sz w:val="24"/>
                <w:szCs w:val="24"/>
              </w:rPr>
            </w:pPr>
            <w:r w:rsidRPr="00755C92">
              <w:rPr>
                <w:rFonts w:ascii="Times New Roman" w:hAnsi="Times New Roman"/>
                <w:sz w:val="24"/>
                <w:szCs w:val="24"/>
              </w:rPr>
              <w:t xml:space="preserve">Priemonės veiklų alternatyvos nenagrinėjamos, nes numatomos įgyvendinti veiklos visiškai </w:t>
            </w:r>
            <w:r w:rsidR="00F07951">
              <w:rPr>
                <w:rFonts w:ascii="Times New Roman" w:hAnsi="Times New Roman"/>
                <w:sz w:val="24"/>
                <w:szCs w:val="24"/>
              </w:rPr>
              <w:t>atitinka veiksmų programos 4.1.1</w:t>
            </w:r>
            <w:r>
              <w:rPr>
                <w:rFonts w:ascii="Times New Roman" w:hAnsi="Times New Roman"/>
                <w:sz w:val="24"/>
                <w:szCs w:val="24"/>
              </w:rPr>
              <w:t>.</w:t>
            </w:r>
            <w:r w:rsidRPr="00755C92">
              <w:rPr>
                <w:rFonts w:ascii="Times New Roman" w:hAnsi="Times New Roman"/>
                <w:sz w:val="24"/>
                <w:szCs w:val="24"/>
              </w:rPr>
              <w:t xml:space="preserve"> investicinio prioriteto įgyvendinimo veiklų aprašymus.</w:t>
            </w:r>
          </w:p>
        </w:tc>
      </w:tr>
      <w:tr w:rsidR="007528AB" w:rsidRPr="007528AB" w14:paraId="335A5573" w14:textId="77777777" w:rsidTr="00A513FA">
        <w:tc>
          <w:tcPr>
            <w:tcW w:w="567" w:type="dxa"/>
          </w:tcPr>
          <w:p w14:paraId="6FC10E92" w14:textId="77777777" w:rsidR="00FB6137" w:rsidRPr="007528AB" w:rsidRDefault="00FB6137" w:rsidP="00FB6137">
            <w:pPr>
              <w:pStyle w:val="ListParagraph"/>
              <w:numPr>
                <w:ilvl w:val="0"/>
                <w:numId w:val="1"/>
              </w:numPr>
              <w:tabs>
                <w:tab w:val="left" w:pos="567"/>
              </w:tabs>
              <w:ind w:left="0" w:firstLine="0"/>
              <w:rPr>
                <w:rFonts w:ascii="Times New Roman" w:hAnsi="Times New Roman"/>
                <w:sz w:val="24"/>
                <w:szCs w:val="24"/>
              </w:rPr>
            </w:pPr>
          </w:p>
        </w:tc>
        <w:tc>
          <w:tcPr>
            <w:tcW w:w="2836" w:type="dxa"/>
          </w:tcPr>
          <w:p w14:paraId="5C58FC1C" w14:textId="77777777" w:rsidR="00FB6137" w:rsidRPr="007528AB" w:rsidRDefault="00FB6137" w:rsidP="00D80DEB">
            <w:pPr>
              <w:tabs>
                <w:tab w:val="left" w:pos="567"/>
              </w:tabs>
              <w:rPr>
                <w:rFonts w:ascii="Times New Roman" w:hAnsi="Times New Roman"/>
                <w:sz w:val="24"/>
                <w:szCs w:val="24"/>
              </w:rPr>
            </w:pPr>
            <w:r w:rsidRPr="007528AB">
              <w:rPr>
                <w:rFonts w:ascii="Times New Roman" w:hAnsi="Times New Roman"/>
                <w:sz w:val="24"/>
                <w:szCs w:val="24"/>
              </w:rPr>
              <w:t>Galimų pareiškėjų arba galutinių naudos gavėjų pasirinkimo pagrindimas</w:t>
            </w:r>
          </w:p>
        </w:tc>
        <w:tc>
          <w:tcPr>
            <w:tcW w:w="6945" w:type="dxa"/>
          </w:tcPr>
          <w:p w14:paraId="5CCCAECA" w14:textId="318B77DA" w:rsidR="002D0C61" w:rsidRPr="007528AB" w:rsidRDefault="00DE6E01" w:rsidP="00AC492A">
            <w:pPr>
              <w:rPr>
                <w:rFonts w:ascii="Times New Roman" w:hAnsi="Times New Roman"/>
                <w:sz w:val="24"/>
                <w:szCs w:val="24"/>
              </w:rPr>
            </w:pPr>
            <w:r w:rsidRPr="007528AB">
              <w:rPr>
                <w:rFonts w:ascii="Times New Roman" w:hAnsi="Times New Roman"/>
                <w:sz w:val="24"/>
                <w:szCs w:val="24"/>
              </w:rPr>
              <w:t>Pareiškėjai pagal šią priemonę –</w:t>
            </w:r>
            <w:r w:rsidR="00AC492A" w:rsidRPr="00AC492A">
              <w:rPr>
                <w:rFonts w:ascii="Times New Roman" w:hAnsi="Times New Roman"/>
                <w:sz w:val="24"/>
                <w:szCs w:val="24"/>
              </w:rPr>
              <w:t>juridini</w:t>
            </w:r>
            <w:r w:rsidR="00AC492A">
              <w:rPr>
                <w:rFonts w:ascii="Times New Roman" w:hAnsi="Times New Roman"/>
                <w:sz w:val="24"/>
                <w:szCs w:val="24"/>
              </w:rPr>
              <w:t xml:space="preserve">ai asmenys, atitinkantys visas projektų finansavimo sąlygų apraše </w:t>
            </w:r>
            <w:r w:rsidR="00AC492A" w:rsidRPr="00AC492A">
              <w:rPr>
                <w:rFonts w:ascii="Times New Roman" w:hAnsi="Times New Roman"/>
                <w:sz w:val="24"/>
                <w:szCs w:val="24"/>
              </w:rPr>
              <w:t>išvardytas sąlygas ir reikalavimus</w:t>
            </w:r>
            <w:r w:rsidR="006B12AD">
              <w:rPr>
                <w:rFonts w:ascii="Times New Roman" w:hAnsi="Times New Roman"/>
                <w:sz w:val="24"/>
                <w:szCs w:val="24"/>
              </w:rPr>
              <w:t xml:space="preserve">. </w:t>
            </w:r>
            <w:r w:rsidRPr="007528AB">
              <w:rPr>
                <w:rFonts w:ascii="Times New Roman" w:hAnsi="Times New Roman"/>
                <w:sz w:val="24"/>
                <w:szCs w:val="24"/>
              </w:rPr>
              <w:t>Parinkti tokie pareiškėjai</w:t>
            </w:r>
            <w:r w:rsidR="001F14C7">
              <w:rPr>
                <w:rFonts w:ascii="Times New Roman" w:hAnsi="Times New Roman"/>
                <w:sz w:val="24"/>
                <w:szCs w:val="24"/>
              </w:rPr>
              <w:t xml:space="preserve"> (juridiniai asmenys, kurie yra turto</w:t>
            </w:r>
            <w:r w:rsidR="00E4160F">
              <w:rPr>
                <w:rFonts w:ascii="Times New Roman" w:hAnsi="Times New Roman"/>
                <w:sz w:val="24"/>
                <w:szCs w:val="24"/>
              </w:rPr>
              <w:t>, į kurį</w:t>
            </w:r>
            <w:r w:rsidR="001F14C7">
              <w:rPr>
                <w:rFonts w:ascii="Times New Roman" w:hAnsi="Times New Roman"/>
                <w:sz w:val="24"/>
                <w:szCs w:val="24"/>
              </w:rPr>
              <w:t xml:space="preserve"> planuojama investuoti teisėti valdytojai)</w:t>
            </w:r>
            <w:r w:rsidRPr="007528AB">
              <w:rPr>
                <w:rFonts w:ascii="Times New Roman" w:hAnsi="Times New Roman"/>
                <w:sz w:val="24"/>
                <w:szCs w:val="24"/>
              </w:rPr>
              <w:t>, kurie atitiktų įg</w:t>
            </w:r>
            <w:r w:rsidR="00F07951">
              <w:rPr>
                <w:rFonts w:ascii="Times New Roman" w:hAnsi="Times New Roman"/>
                <w:sz w:val="24"/>
                <w:szCs w:val="24"/>
              </w:rPr>
              <w:t>yvendinamą Veiksmų programos 4.1.1</w:t>
            </w:r>
            <w:r w:rsidRPr="007528AB">
              <w:rPr>
                <w:rFonts w:ascii="Times New Roman" w:hAnsi="Times New Roman"/>
                <w:sz w:val="24"/>
                <w:szCs w:val="24"/>
              </w:rPr>
              <w:t xml:space="preserve">. </w:t>
            </w:r>
            <w:r w:rsidR="0086175E">
              <w:rPr>
                <w:rFonts w:ascii="Times New Roman" w:hAnsi="Times New Roman"/>
                <w:sz w:val="24"/>
                <w:szCs w:val="24"/>
              </w:rPr>
              <w:t xml:space="preserve">konkretų </w:t>
            </w:r>
            <w:r w:rsidRPr="007528AB">
              <w:rPr>
                <w:rFonts w:ascii="Times New Roman" w:hAnsi="Times New Roman"/>
                <w:sz w:val="24"/>
                <w:szCs w:val="24"/>
              </w:rPr>
              <w:t>uždavinį „</w:t>
            </w:r>
            <w:r w:rsidR="00F07951" w:rsidRPr="00422536">
              <w:rPr>
                <w:rFonts w:ascii="Times New Roman" w:hAnsi="Times New Roman"/>
                <w:i/>
                <w:sz w:val="24"/>
                <w:szCs w:val="24"/>
              </w:rPr>
              <w:t>Padidinti atsinaujinančių išteklių energijos naudojimą</w:t>
            </w:r>
            <w:r w:rsidRPr="007528AB">
              <w:rPr>
                <w:rFonts w:ascii="Times New Roman" w:hAnsi="Times New Roman"/>
                <w:sz w:val="24"/>
                <w:szCs w:val="24"/>
              </w:rPr>
              <w:t>“.</w:t>
            </w:r>
          </w:p>
        </w:tc>
      </w:tr>
      <w:tr w:rsidR="007528AB" w:rsidRPr="007528AB" w14:paraId="14E05758" w14:textId="77777777" w:rsidTr="00A513FA">
        <w:tc>
          <w:tcPr>
            <w:tcW w:w="567" w:type="dxa"/>
          </w:tcPr>
          <w:p w14:paraId="2B8CDCFE" w14:textId="77777777" w:rsidR="00FB6137" w:rsidRPr="007528AB" w:rsidRDefault="00FB6137" w:rsidP="00FB6137">
            <w:pPr>
              <w:pStyle w:val="ListParagraph"/>
              <w:numPr>
                <w:ilvl w:val="0"/>
                <w:numId w:val="1"/>
              </w:numPr>
              <w:tabs>
                <w:tab w:val="left" w:pos="567"/>
              </w:tabs>
              <w:ind w:left="0" w:firstLine="0"/>
              <w:rPr>
                <w:rFonts w:ascii="Times New Roman" w:hAnsi="Times New Roman"/>
                <w:sz w:val="24"/>
                <w:szCs w:val="24"/>
              </w:rPr>
            </w:pPr>
          </w:p>
        </w:tc>
        <w:tc>
          <w:tcPr>
            <w:tcW w:w="2836" w:type="dxa"/>
            <w:shd w:val="clear" w:color="auto" w:fill="auto"/>
          </w:tcPr>
          <w:p w14:paraId="5606C94C" w14:textId="77777777" w:rsidR="00FB6137" w:rsidRPr="007528AB" w:rsidRDefault="00FB6137" w:rsidP="00D80DEB">
            <w:pPr>
              <w:tabs>
                <w:tab w:val="left" w:pos="567"/>
              </w:tabs>
              <w:rPr>
                <w:rFonts w:ascii="Times New Roman" w:hAnsi="Times New Roman"/>
                <w:sz w:val="24"/>
                <w:szCs w:val="24"/>
              </w:rPr>
            </w:pPr>
            <w:r w:rsidRPr="007528AB">
              <w:rPr>
                <w:rFonts w:ascii="Times New Roman" w:hAnsi="Times New Roman"/>
                <w:sz w:val="24"/>
                <w:szCs w:val="24"/>
              </w:rPr>
              <w:t xml:space="preserve">Supaprastintas išlaidų apmokėjimas </w:t>
            </w:r>
          </w:p>
        </w:tc>
        <w:tc>
          <w:tcPr>
            <w:tcW w:w="6945" w:type="dxa"/>
          </w:tcPr>
          <w:p w14:paraId="5D655E52" w14:textId="5264EF03" w:rsidR="002762B4" w:rsidRPr="007528AB" w:rsidRDefault="00706202" w:rsidP="00706202">
            <w:pPr>
              <w:tabs>
                <w:tab w:val="left" w:pos="1134"/>
              </w:tabs>
              <w:jc w:val="both"/>
              <w:rPr>
                <w:rFonts w:ascii="Times New Roman" w:hAnsi="Times New Roman"/>
                <w:sz w:val="24"/>
                <w:szCs w:val="24"/>
              </w:rPr>
            </w:pPr>
            <w:r>
              <w:rPr>
                <w:rFonts w:ascii="Times New Roman" w:eastAsia="Times New Roman" w:hAnsi="Times New Roman"/>
                <w:sz w:val="24"/>
                <w:szCs w:val="24"/>
              </w:rPr>
              <w:t>S</w:t>
            </w:r>
            <w:r w:rsidRPr="00456FA0">
              <w:rPr>
                <w:rFonts w:ascii="Times New Roman" w:eastAsia="Times New Roman" w:hAnsi="Times New Roman"/>
                <w:sz w:val="24"/>
                <w:szCs w:val="24"/>
              </w:rPr>
              <w:t>upaprastintas išlaidų apmokėjimo būdas yra netaikytinas, nes pagal šią priemonę vykdomoms veikloms išlaidos bus patiriamos išimtinai vykdant viešuosius pirkimus.</w:t>
            </w:r>
            <w:r w:rsidRPr="007528AB">
              <w:rPr>
                <w:rFonts w:ascii="Times New Roman" w:eastAsia="Times New Roman" w:hAnsi="Times New Roman"/>
                <w:sz w:val="24"/>
                <w:szCs w:val="24"/>
              </w:rPr>
              <w:t xml:space="preserve"> </w:t>
            </w:r>
            <w:r w:rsidR="00D77C50" w:rsidRPr="00456FA0">
              <w:rPr>
                <w:rFonts w:ascii="Times New Roman" w:eastAsia="Times New Roman" w:hAnsi="Times New Roman"/>
                <w:sz w:val="24"/>
                <w:szCs w:val="24"/>
              </w:rPr>
              <w:t xml:space="preserve">Šios priemonės atveju </w:t>
            </w:r>
            <w:r w:rsidR="00D77C50" w:rsidRPr="00456FA0">
              <w:rPr>
                <w:rFonts w:ascii="Times New Roman" w:hAnsi="Times New Roman"/>
                <w:sz w:val="24"/>
                <w:szCs w:val="24"/>
              </w:rPr>
              <w:t>netikslinga taikyti supaprastinto išlaidų apmokėjimo būdo, nes</w:t>
            </w:r>
            <w:r w:rsidR="00D77C50" w:rsidRPr="00456FA0">
              <w:rPr>
                <w:rFonts w:ascii="Times New Roman" w:eastAsia="Times New Roman" w:hAnsi="Times New Roman"/>
                <w:sz w:val="24"/>
                <w:szCs w:val="24"/>
              </w:rPr>
              <w:t xml:space="preserve"> nėra statistinių duomenų ir projektų istorinių duomenų, kuriais remiantis būtų galima nustatyti supaprastintų išlaidų apmokėjimo vertes.</w:t>
            </w:r>
            <w:r w:rsidR="0047705C" w:rsidRPr="00456FA0">
              <w:rPr>
                <w:rFonts w:ascii="Times New Roman" w:eastAsia="Times New Roman" w:hAnsi="Times New Roman"/>
                <w:sz w:val="24"/>
                <w:szCs w:val="24"/>
              </w:rPr>
              <w:t xml:space="preserve"> </w:t>
            </w:r>
          </w:p>
        </w:tc>
      </w:tr>
      <w:tr w:rsidR="007528AB" w:rsidRPr="007528AB" w14:paraId="42AA26AA" w14:textId="77777777" w:rsidTr="00A513FA">
        <w:tc>
          <w:tcPr>
            <w:tcW w:w="567" w:type="dxa"/>
          </w:tcPr>
          <w:p w14:paraId="7D837F7D" w14:textId="77777777" w:rsidR="00FB6137" w:rsidRPr="007528AB" w:rsidRDefault="00FB6137" w:rsidP="00FB6137">
            <w:pPr>
              <w:pStyle w:val="ListParagraph"/>
              <w:numPr>
                <w:ilvl w:val="0"/>
                <w:numId w:val="1"/>
              </w:numPr>
              <w:tabs>
                <w:tab w:val="left" w:pos="567"/>
              </w:tabs>
              <w:ind w:left="0" w:firstLine="0"/>
              <w:rPr>
                <w:rFonts w:ascii="Times New Roman" w:hAnsi="Times New Roman"/>
                <w:sz w:val="24"/>
                <w:szCs w:val="24"/>
              </w:rPr>
            </w:pPr>
          </w:p>
        </w:tc>
        <w:tc>
          <w:tcPr>
            <w:tcW w:w="2836" w:type="dxa"/>
          </w:tcPr>
          <w:p w14:paraId="38BEEB47" w14:textId="77777777" w:rsidR="00FB6137" w:rsidRPr="007528AB" w:rsidRDefault="00FB6137" w:rsidP="00D80DEB">
            <w:pPr>
              <w:tabs>
                <w:tab w:val="left" w:pos="567"/>
              </w:tabs>
              <w:rPr>
                <w:rFonts w:ascii="Times New Roman" w:hAnsi="Times New Roman"/>
                <w:sz w:val="24"/>
                <w:szCs w:val="24"/>
              </w:rPr>
            </w:pPr>
            <w:r w:rsidRPr="007528AB">
              <w:rPr>
                <w:rFonts w:ascii="Times New Roman" w:hAnsi="Times New Roman"/>
                <w:sz w:val="24"/>
                <w:szCs w:val="24"/>
              </w:rPr>
              <w:t>Galimybė taikyti viešojo ir privataus sektorių partnerystės būdą (jei taikoma)</w:t>
            </w:r>
          </w:p>
        </w:tc>
        <w:tc>
          <w:tcPr>
            <w:tcW w:w="6945" w:type="dxa"/>
          </w:tcPr>
          <w:p w14:paraId="0F54C8DB" w14:textId="3FE3C646" w:rsidR="00FB6137" w:rsidRPr="007528AB" w:rsidRDefault="00C70028" w:rsidP="00E4160F">
            <w:pPr>
              <w:tabs>
                <w:tab w:val="left" w:pos="567"/>
              </w:tabs>
              <w:jc w:val="both"/>
              <w:rPr>
                <w:rFonts w:ascii="Times New Roman" w:hAnsi="Times New Roman"/>
                <w:b/>
                <w:sz w:val="24"/>
                <w:szCs w:val="24"/>
              </w:rPr>
            </w:pPr>
            <w:r>
              <w:rPr>
                <w:rFonts w:ascii="Times New Roman" w:hAnsi="Times New Roman"/>
                <w:sz w:val="24"/>
                <w:szCs w:val="24"/>
              </w:rPr>
              <w:t>G</w:t>
            </w:r>
            <w:r w:rsidR="000C16B3" w:rsidRPr="005A4DC6">
              <w:rPr>
                <w:rFonts w:ascii="Times New Roman" w:hAnsi="Times New Roman"/>
                <w:sz w:val="24"/>
                <w:szCs w:val="24"/>
              </w:rPr>
              <w:t xml:space="preserve">alimais pareiškėjais gali būti tik </w:t>
            </w:r>
            <w:r w:rsidR="00E4160F" w:rsidRPr="007528AB">
              <w:rPr>
                <w:rFonts w:ascii="Times New Roman" w:hAnsi="Times New Roman"/>
                <w:sz w:val="24"/>
                <w:szCs w:val="24"/>
              </w:rPr>
              <w:t>juridiniai asmenys</w:t>
            </w:r>
            <w:r w:rsidR="00E4160F">
              <w:rPr>
                <w:rFonts w:ascii="Times New Roman" w:hAnsi="Times New Roman"/>
                <w:sz w:val="24"/>
                <w:szCs w:val="24"/>
              </w:rPr>
              <w:t>,</w:t>
            </w:r>
            <w:r w:rsidR="00E4160F" w:rsidRPr="007528AB">
              <w:rPr>
                <w:rFonts w:ascii="Times New Roman" w:hAnsi="Times New Roman"/>
                <w:sz w:val="24"/>
                <w:szCs w:val="24"/>
              </w:rPr>
              <w:t xml:space="preserve"> valdantys šilumos tinklus nuosavybės ar kita teise (nuomos, patikėjimo, panaudos ar kt.) ir turintys šilumos tiekimo licencijas</w:t>
            </w:r>
            <w:r>
              <w:rPr>
                <w:rFonts w:ascii="Times New Roman" w:hAnsi="Times New Roman"/>
                <w:sz w:val="24"/>
                <w:szCs w:val="24"/>
              </w:rPr>
              <w:t xml:space="preserve">, </w:t>
            </w:r>
            <w:r w:rsidR="000C16B3" w:rsidRPr="005A4DC6">
              <w:rPr>
                <w:rFonts w:ascii="Times New Roman" w:hAnsi="Times New Roman"/>
                <w:sz w:val="24"/>
                <w:szCs w:val="24"/>
              </w:rPr>
              <w:t>todėl taikyti viešojo ir privataus sektorių partnerystę nėra galimybių.</w:t>
            </w:r>
          </w:p>
        </w:tc>
      </w:tr>
      <w:tr w:rsidR="007528AB" w:rsidRPr="007528AB" w14:paraId="4F9A2FC1" w14:textId="77777777" w:rsidTr="00A513FA">
        <w:tc>
          <w:tcPr>
            <w:tcW w:w="567" w:type="dxa"/>
          </w:tcPr>
          <w:p w14:paraId="149A2EF0" w14:textId="77777777" w:rsidR="00FB6137" w:rsidRPr="007528AB" w:rsidRDefault="00FB6137" w:rsidP="008B4412">
            <w:pPr>
              <w:pStyle w:val="ListParagraph"/>
              <w:keepNext/>
              <w:numPr>
                <w:ilvl w:val="0"/>
                <w:numId w:val="1"/>
              </w:numPr>
              <w:tabs>
                <w:tab w:val="left" w:pos="567"/>
              </w:tabs>
              <w:ind w:left="0" w:firstLine="0"/>
              <w:rPr>
                <w:rFonts w:ascii="Times New Roman" w:hAnsi="Times New Roman"/>
                <w:sz w:val="24"/>
                <w:szCs w:val="24"/>
              </w:rPr>
            </w:pPr>
            <w:r w:rsidRPr="007528AB">
              <w:rPr>
                <w:rFonts w:ascii="Times New Roman" w:hAnsi="Times New Roman"/>
                <w:sz w:val="24"/>
                <w:szCs w:val="24"/>
              </w:rPr>
              <w:t>G</w:t>
            </w:r>
          </w:p>
        </w:tc>
        <w:tc>
          <w:tcPr>
            <w:tcW w:w="2836" w:type="dxa"/>
          </w:tcPr>
          <w:p w14:paraId="7A07653B" w14:textId="77777777" w:rsidR="00FB6137" w:rsidRPr="007528AB" w:rsidRDefault="00FB6137" w:rsidP="008B4412">
            <w:pPr>
              <w:keepNext/>
              <w:tabs>
                <w:tab w:val="left" w:pos="567"/>
              </w:tabs>
              <w:rPr>
                <w:rStyle w:val="CommentReference"/>
                <w:rFonts w:ascii="Times New Roman" w:hAnsi="Times New Roman"/>
                <w:sz w:val="24"/>
                <w:szCs w:val="24"/>
              </w:rPr>
            </w:pPr>
            <w:r w:rsidRPr="007528AB">
              <w:rPr>
                <w:rStyle w:val="CommentReference"/>
                <w:rFonts w:ascii="Times New Roman" w:hAnsi="Times New Roman"/>
                <w:sz w:val="24"/>
                <w:szCs w:val="24"/>
              </w:rPr>
              <w:t xml:space="preserve">Galimybė taikyti visuotinę dotaciją </w:t>
            </w:r>
            <w:r w:rsidRPr="007528AB">
              <w:rPr>
                <w:rFonts w:ascii="Times New Roman" w:hAnsi="Times New Roman"/>
                <w:sz w:val="24"/>
                <w:szCs w:val="24"/>
              </w:rPr>
              <w:t>(jei taikoma)</w:t>
            </w:r>
          </w:p>
        </w:tc>
        <w:tc>
          <w:tcPr>
            <w:tcW w:w="6945" w:type="dxa"/>
          </w:tcPr>
          <w:p w14:paraId="08C3838B" w14:textId="02FADD70" w:rsidR="00F87D9C" w:rsidRPr="007528AB" w:rsidRDefault="005E543C" w:rsidP="008B4412">
            <w:pPr>
              <w:keepNext/>
              <w:tabs>
                <w:tab w:val="left" w:pos="567"/>
              </w:tabs>
              <w:jc w:val="both"/>
              <w:rPr>
                <w:rFonts w:ascii="Times New Roman" w:hAnsi="Times New Roman"/>
                <w:b/>
                <w:sz w:val="24"/>
                <w:szCs w:val="24"/>
              </w:rPr>
            </w:pPr>
            <w:r w:rsidRPr="006C5379">
              <w:rPr>
                <w:rFonts w:ascii="Times New Roman" w:hAnsi="Times New Roman"/>
                <w:sz w:val="24"/>
                <w:szCs w:val="24"/>
              </w:rPr>
              <w:t>Netaikoma, nes pagal priemonę nebus įgyvendinamos vienarūšės veiklos, taip pat neplanuojama projektų išlaidas apmokėti taikant tik supaprastintą išlaidų apmokėjimą.</w:t>
            </w:r>
          </w:p>
        </w:tc>
      </w:tr>
      <w:tr w:rsidR="007528AB" w:rsidRPr="007528AB" w14:paraId="1FFA39A4" w14:textId="77777777" w:rsidTr="00A513FA">
        <w:tc>
          <w:tcPr>
            <w:tcW w:w="567" w:type="dxa"/>
          </w:tcPr>
          <w:p w14:paraId="6926EB28" w14:textId="77777777" w:rsidR="00FB6137" w:rsidRPr="007528AB" w:rsidRDefault="00FB6137" w:rsidP="00FB6137">
            <w:pPr>
              <w:pStyle w:val="ListParagraph"/>
              <w:numPr>
                <w:ilvl w:val="0"/>
                <w:numId w:val="1"/>
              </w:numPr>
              <w:tabs>
                <w:tab w:val="left" w:pos="567"/>
              </w:tabs>
              <w:ind w:left="0" w:firstLine="0"/>
              <w:rPr>
                <w:rFonts w:ascii="Times New Roman" w:hAnsi="Times New Roman"/>
                <w:sz w:val="24"/>
                <w:szCs w:val="24"/>
              </w:rPr>
            </w:pPr>
          </w:p>
        </w:tc>
        <w:tc>
          <w:tcPr>
            <w:tcW w:w="2836" w:type="dxa"/>
          </w:tcPr>
          <w:p w14:paraId="15185AE4" w14:textId="77777777" w:rsidR="00FB6137" w:rsidRPr="007528AB" w:rsidRDefault="00FB6137" w:rsidP="00D80DEB">
            <w:pPr>
              <w:tabs>
                <w:tab w:val="left" w:pos="567"/>
              </w:tabs>
              <w:rPr>
                <w:rStyle w:val="CommentReference"/>
                <w:rFonts w:ascii="Times New Roman" w:hAnsi="Times New Roman"/>
                <w:sz w:val="24"/>
                <w:szCs w:val="24"/>
              </w:rPr>
            </w:pPr>
            <w:r w:rsidRPr="007528AB">
              <w:rPr>
                <w:rStyle w:val="CommentReference"/>
                <w:rFonts w:ascii="Times New Roman" w:hAnsi="Times New Roman"/>
                <w:sz w:val="24"/>
                <w:szCs w:val="24"/>
              </w:rPr>
              <w:t xml:space="preserve">Jungtinės priemonės tikslingumo pagrindimas </w:t>
            </w:r>
            <w:r w:rsidRPr="007528AB">
              <w:rPr>
                <w:rFonts w:ascii="Times New Roman" w:hAnsi="Times New Roman"/>
                <w:sz w:val="24"/>
                <w:szCs w:val="24"/>
              </w:rPr>
              <w:t>(jei taikoma)</w:t>
            </w:r>
          </w:p>
        </w:tc>
        <w:tc>
          <w:tcPr>
            <w:tcW w:w="6945" w:type="dxa"/>
          </w:tcPr>
          <w:p w14:paraId="62638BE2" w14:textId="2851DAC6" w:rsidR="00FB6137" w:rsidRPr="007528AB" w:rsidRDefault="005E543C" w:rsidP="00D80DEB">
            <w:pPr>
              <w:tabs>
                <w:tab w:val="left" w:pos="567"/>
              </w:tabs>
              <w:jc w:val="both"/>
              <w:rPr>
                <w:rFonts w:ascii="Times New Roman" w:hAnsi="Times New Roman"/>
                <w:sz w:val="24"/>
                <w:szCs w:val="24"/>
              </w:rPr>
            </w:pPr>
            <w:r w:rsidRPr="006C5379">
              <w:rPr>
                <w:rFonts w:ascii="Times New Roman" w:hAnsi="Times New Roman"/>
                <w:sz w:val="24"/>
                <w:szCs w:val="24"/>
              </w:rPr>
              <w:t>Netaikoma, nes nėra tikslinga. Šios priemonės įgyvendinimas nėra susijęs su kitomis ministerijos arba kitų ministerijų planuojamomis priemonėmis, nes veiklos yra skirtos išimtinai centralizuoto šilumos tiekimo tinklų infrastruktūros gerinimui.</w:t>
            </w:r>
          </w:p>
        </w:tc>
      </w:tr>
      <w:tr w:rsidR="007528AB" w:rsidRPr="007528AB" w14:paraId="009AE0EF" w14:textId="77777777" w:rsidTr="00A513FA">
        <w:tc>
          <w:tcPr>
            <w:tcW w:w="567" w:type="dxa"/>
          </w:tcPr>
          <w:p w14:paraId="5D820891" w14:textId="77777777" w:rsidR="00FB6137" w:rsidRPr="007528AB" w:rsidRDefault="00FB6137" w:rsidP="00FB6137">
            <w:pPr>
              <w:pStyle w:val="ListParagraph"/>
              <w:numPr>
                <w:ilvl w:val="0"/>
                <w:numId w:val="1"/>
              </w:numPr>
              <w:tabs>
                <w:tab w:val="left" w:pos="567"/>
              </w:tabs>
              <w:ind w:left="0" w:firstLine="0"/>
              <w:rPr>
                <w:rFonts w:ascii="Times New Roman" w:hAnsi="Times New Roman"/>
                <w:sz w:val="24"/>
                <w:szCs w:val="24"/>
              </w:rPr>
            </w:pPr>
          </w:p>
        </w:tc>
        <w:tc>
          <w:tcPr>
            <w:tcW w:w="2836" w:type="dxa"/>
            <w:shd w:val="clear" w:color="auto" w:fill="auto"/>
          </w:tcPr>
          <w:p w14:paraId="608F8129" w14:textId="77777777" w:rsidR="00FB6137" w:rsidRPr="007528AB" w:rsidRDefault="00FB6137" w:rsidP="00D80DEB">
            <w:pPr>
              <w:tabs>
                <w:tab w:val="left" w:pos="567"/>
              </w:tabs>
              <w:rPr>
                <w:rStyle w:val="CommentReference"/>
                <w:rFonts w:ascii="Times New Roman" w:hAnsi="Times New Roman"/>
                <w:sz w:val="24"/>
                <w:szCs w:val="24"/>
              </w:rPr>
            </w:pPr>
            <w:r w:rsidRPr="007528AB">
              <w:rPr>
                <w:rStyle w:val="CommentReference"/>
                <w:rFonts w:ascii="Times New Roman" w:hAnsi="Times New Roman"/>
                <w:sz w:val="24"/>
                <w:szCs w:val="24"/>
              </w:rPr>
              <w:t>Galimų rizikų vertinimas</w:t>
            </w:r>
          </w:p>
        </w:tc>
        <w:tc>
          <w:tcPr>
            <w:tcW w:w="6945" w:type="dxa"/>
            <w:shd w:val="clear" w:color="auto" w:fill="auto"/>
          </w:tcPr>
          <w:p w14:paraId="46E814AD" w14:textId="77777777" w:rsidR="00E4160F" w:rsidRDefault="00E4160F" w:rsidP="008B4412">
            <w:pPr>
              <w:tabs>
                <w:tab w:val="left" w:pos="567"/>
              </w:tabs>
              <w:jc w:val="both"/>
              <w:rPr>
                <w:rFonts w:ascii="Times New Roman" w:hAnsi="Times New Roman"/>
                <w:sz w:val="24"/>
                <w:szCs w:val="24"/>
              </w:rPr>
            </w:pPr>
            <w:r>
              <w:rPr>
                <w:rFonts w:ascii="Times New Roman" w:hAnsi="Times New Roman"/>
                <w:sz w:val="24"/>
                <w:szCs w:val="24"/>
              </w:rPr>
              <w:t>Galimos šios</w:t>
            </w:r>
            <w:r w:rsidR="000C760C" w:rsidRPr="007528AB">
              <w:rPr>
                <w:rFonts w:ascii="Times New Roman" w:hAnsi="Times New Roman"/>
                <w:sz w:val="24"/>
                <w:szCs w:val="24"/>
              </w:rPr>
              <w:t xml:space="preserve"> priemonės įgyvendinimo rizikos susijusios su</w:t>
            </w:r>
            <w:r>
              <w:rPr>
                <w:rFonts w:ascii="Times New Roman" w:hAnsi="Times New Roman"/>
                <w:sz w:val="24"/>
                <w:szCs w:val="24"/>
              </w:rPr>
              <w:t>:</w:t>
            </w:r>
          </w:p>
          <w:p w14:paraId="7C5ADD9A" w14:textId="44B44BF5" w:rsidR="00560241" w:rsidRPr="00E4160F" w:rsidRDefault="00374B00" w:rsidP="006D7830">
            <w:pPr>
              <w:pStyle w:val="ListParagraph"/>
              <w:numPr>
                <w:ilvl w:val="0"/>
                <w:numId w:val="12"/>
              </w:numPr>
              <w:tabs>
                <w:tab w:val="left" w:pos="567"/>
              </w:tabs>
              <w:ind w:left="0" w:firstLine="360"/>
              <w:jc w:val="both"/>
              <w:rPr>
                <w:rFonts w:ascii="Times New Roman" w:hAnsi="Times New Roman"/>
                <w:sz w:val="24"/>
                <w:szCs w:val="24"/>
              </w:rPr>
            </w:pPr>
            <w:r>
              <w:rPr>
                <w:rFonts w:ascii="Times New Roman" w:hAnsi="Times New Roman"/>
                <w:sz w:val="24"/>
                <w:szCs w:val="24"/>
              </w:rPr>
              <w:t>P</w:t>
            </w:r>
            <w:r w:rsidR="000C760C" w:rsidRPr="00E4160F">
              <w:rPr>
                <w:rFonts w:ascii="Times New Roman" w:hAnsi="Times New Roman"/>
                <w:sz w:val="24"/>
                <w:szCs w:val="24"/>
              </w:rPr>
              <w:t>olitiniais aspektais – pas</w:t>
            </w:r>
            <w:r>
              <w:rPr>
                <w:rFonts w:ascii="Times New Roman" w:hAnsi="Times New Roman"/>
                <w:sz w:val="24"/>
                <w:szCs w:val="24"/>
              </w:rPr>
              <w:t>ikeitus nacionalinės energetinės nepriklausomybės</w:t>
            </w:r>
            <w:r w:rsidR="000C760C" w:rsidRPr="00E4160F">
              <w:rPr>
                <w:rFonts w:ascii="Times New Roman" w:hAnsi="Times New Roman"/>
                <w:sz w:val="24"/>
                <w:szCs w:val="24"/>
              </w:rPr>
              <w:t xml:space="preserve"> strategijos tikslams, gali būti atsisakyta kai kurių priemonių įgyvendinimo. Minėtos rizikos galėtų būti vertinamos kaip mažos tikimybės</w:t>
            </w:r>
            <w:r w:rsidR="00080DC1">
              <w:rPr>
                <w:rFonts w:ascii="Times New Roman" w:hAnsi="Times New Roman"/>
                <w:sz w:val="24"/>
                <w:szCs w:val="24"/>
              </w:rPr>
              <w:t>. Tokiai rizikai pasireiškus, bus inicijuojamas veiksmų programos keitimas, numatant alternatyvias priemones arba perskirstant lėšas kitoms priemonėms bei atitinkamai koreguojamas priemonių įgyvendinimo planas.</w:t>
            </w:r>
            <w:r w:rsidR="000C760C" w:rsidRPr="00E4160F">
              <w:rPr>
                <w:rFonts w:ascii="Times New Roman" w:hAnsi="Times New Roman"/>
                <w:sz w:val="24"/>
                <w:szCs w:val="24"/>
              </w:rPr>
              <w:t xml:space="preserve"> </w:t>
            </w:r>
            <w:r w:rsidR="00706202">
              <w:rPr>
                <w:rFonts w:ascii="Times New Roman" w:hAnsi="Times New Roman"/>
                <w:sz w:val="24"/>
                <w:szCs w:val="24"/>
              </w:rPr>
              <w:t xml:space="preserve">Iš anksto </w:t>
            </w:r>
            <w:r w:rsidR="000C760C" w:rsidRPr="00E4160F">
              <w:rPr>
                <w:rFonts w:ascii="Times New Roman" w:hAnsi="Times New Roman"/>
                <w:sz w:val="24"/>
                <w:szCs w:val="24"/>
              </w:rPr>
              <w:t>numatyti priemones jų valdymui nėra galimybių.</w:t>
            </w:r>
            <w:r w:rsidR="00EF70C1" w:rsidRPr="00E4160F">
              <w:rPr>
                <w:rFonts w:ascii="Times New Roman" w:hAnsi="Times New Roman"/>
                <w:sz w:val="24"/>
                <w:szCs w:val="24"/>
              </w:rPr>
              <w:t xml:space="preserve"> </w:t>
            </w:r>
          </w:p>
          <w:p w14:paraId="44F469BC" w14:textId="77777777" w:rsidR="00CF179E" w:rsidRDefault="00CF179E" w:rsidP="006D7830">
            <w:pPr>
              <w:tabs>
                <w:tab w:val="left" w:pos="567"/>
              </w:tabs>
              <w:ind w:firstLine="360"/>
              <w:jc w:val="both"/>
              <w:rPr>
                <w:rFonts w:ascii="Times New Roman" w:hAnsi="Times New Roman"/>
                <w:sz w:val="24"/>
                <w:szCs w:val="24"/>
              </w:rPr>
            </w:pPr>
          </w:p>
          <w:p w14:paraId="6F8936D2" w14:textId="7E3482C7" w:rsidR="00CF179E" w:rsidRPr="00E4160F" w:rsidRDefault="00CF179E" w:rsidP="006D7830">
            <w:pPr>
              <w:pStyle w:val="ListParagraph"/>
              <w:numPr>
                <w:ilvl w:val="0"/>
                <w:numId w:val="12"/>
              </w:numPr>
              <w:tabs>
                <w:tab w:val="left" w:pos="567"/>
              </w:tabs>
              <w:ind w:left="0" w:firstLine="360"/>
              <w:jc w:val="both"/>
              <w:rPr>
                <w:rFonts w:ascii="Times New Roman" w:hAnsi="Times New Roman"/>
                <w:sz w:val="24"/>
                <w:szCs w:val="24"/>
              </w:rPr>
            </w:pPr>
            <w:r w:rsidRPr="00E4160F">
              <w:rPr>
                <w:rFonts w:ascii="Times New Roman" w:hAnsi="Times New Roman"/>
                <w:sz w:val="24"/>
                <w:szCs w:val="24"/>
              </w:rPr>
              <w:t>Vi</w:t>
            </w:r>
            <w:r w:rsidR="00374B00">
              <w:rPr>
                <w:rFonts w:ascii="Times New Roman" w:hAnsi="Times New Roman"/>
                <w:sz w:val="24"/>
                <w:szCs w:val="24"/>
              </w:rPr>
              <w:t>ešųjų pirkimų procedūrų taikymu</w:t>
            </w:r>
            <w:r w:rsidRPr="00E4160F">
              <w:rPr>
                <w:rFonts w:ascii="Times New Roman" w:hAnsi="Times New Roman"/>
                <w:sz w:val="24"/>
                <w:szCs w:val="24"/>
              </w:rPr>
              <w:t xml:space="preserve"> </w:t>
            </w:r>
            <w:r w:rsidR="00374B00">
              <w:rPr>
                <w:rFonts w:ascii="Times New Roman" w:hAnsi="Times New Roman"/>
                <w:sz w:val="24"/>
                <w:szCs w:val="24"/>
              </w:rPr>
              <w:t xml:space="preserve">– </w:t>
            </w:r>
            <w:r w:rsidRPr="00E4160F">
              <w:rPr>
                <w:rFonts w:ascii="Times New Roman" w:hAnsi="Times New Roman"/>
                <w:sz w:val="24"/>
                <w:szCs w:val="24"/>
              </w:rPr>
              <w:t>gali</w:t>
            </w:r>
            <w:r w:rsidR="00374B00">
              <w:rPr>
                <w:rFonts w:ascii="Times New Roman" w:hAnsi="Times New Roman"/>
                <w:sz w:val="24"/>
                <w:szCs w:val="24"/>
              </w:rPr>
              <w:t>mas</w:t>
            </w:r>
            <w:r w:rsidRPr="00E4160F">
              <w:rPr>
                <w:rFonts w:ascii="Times New Roman" w:hAnsi="Times New Roman"/>
                <w:sz w:val="24"/>
                <w:szCs w:val="24"/>
              </w:rPr>
              <w:t xml:space="preserve"> priemo</w:t>
            </w:r>
            <w:r w:rsidR="00374B00">
              <w:rPr>
                <w:rFonts w:ascii="Times New Roman" w:hAnsi="Times New Roman"/>
                <w:sz w:val="24"/>
                <w:szCs w:val="24"/>
              </w:rPr>
              <w:t>nės veiklų įgyvendinimo terminų nusikėlimas</w:t>
            </w:r>
            <w:r w:rsidRPr="00E4160F">
              <w:rPr>
                <w:rFonts w:ascii="Times New Roman" w:hAnsi="Times New Roman"/>
                <w:sz w:val="24"/>
                <w:szCs w:val="24"/>
              </w:rPr>
              <w:t xml:space="preserve">, rizika vertinama kaip vidutinė. Siekiant </w:t>
            </w:r>
            <w:r w:rsidR="001F14C7" w:rsidRPr="00E4160F">
              <w:rPr>
                <w:rFonts w:ascii="Times New Roman" w:hAnsi="Times New Roman"/>
                <w:sz w:val="24"/>
                <w:szCs w:val="24"/>
              </w:rPr>
              <w:t>sklandžiai vykdyti</w:t>
            </w:r>
            <w:r w:rsidRPr="00E4160F">
              <w:rPr>
                <w:rFonts w:ascii="Times New Roman" w:hAnsi="Times New Roman"/>
                <w:sz w:val="24"/>
                <w:szCs w:val="24"/>
              </w:rPr>
              <w:t xml:space="preserve"> viešųjų pirkimų procedūras</w:t>
            </w:r>
            <w:r w:rsidR="00374B00">
              <w:rPr>
                <w:rFonts w:ascii="Times New Roman" w:hAnsi="Times New Roman"/>
                <w:sz w:val="24"/>
                <w:szCs w:val="24"/>
              </w:rPr>
              <w:t>,</w:t>
            </w:r>
            <w:r w:rsidRPr="00E4160F">
              <w:rPr>
                <w:rFonts w:ascii="Times New Roman" w:hAnsi="Times New Roman"/>
                <w:sz w:val="24"/>
                <w:szCs w:val="24"/>
              </w:rPr>
              <w:t xml:space="preserve"> bus prašoma </w:t>
            </w:r>
            <w:r w:rsidR="00374B00">
              <w:rPr>
                <w:rFonts w:ascii="Times New Roman" w:hAnsi="Times New Roman"/>
                <w:sz w:val="24"/>
                <w:szCs w:val="24"/>
              </w:rPr>
              <w:t xml:space="preserve">pareiškėjo </w:t>
            </w:r>
            <w:r w:rsidRPr="00E4160F">
              <w:rPr>
                <w:rFonts w:ascii="Times New Roman" w:hAnsi="Times New Roman"/>
                <w:sz w:val="24"/>
                <w:szCs w:val="24"/>
              </w:rPr>
              <w:t xml:space="preserve">užtikrinti atitinkamą projekto parengtumą, kuris bus detalizuotas </w:t>
            </w:r>
            <w:r w:rsidR="001F14C7" w:rsidRPr="00E4160F">
              <w:rPr>
                <w:rFonts w:ascii="Times New Roman" w:hAnsi="Times New Roman"/>
                <w:sz w:val="24"/>
                <w:szCs w:val="24"/>
              </w:rPr>
              <w:t>projektų finansavimo sąlygų apraše</w:t>
            </w:r>
            <w:r w:rsidRPr="00E4160F">
              <w:rPr>
                <w:rFonts w:ascii="Times New Roman" w:hAnsi="Times New Roman"/>
                <w:sz w:val="24"/>
                <w:szCs w:val="24"/>
              </w:rPr>
              <w:t xml:space="preserve">. </w:t>
            </w:r>
            <w:r w:rsidR="001F14C7" w:rsidRPr="00E4160F">
              <w:rPr>
                <w:rFonts w:ascii="Times New Roman" w:hAnsi="Times New Roman"/>
                <w:sz w:val="24"/>
                <w:szCs w:val="24"/>
              </w:rPr>
              <w:t>Planuojama siūlyti galimam pareiškėjui skelbti viešuosius pirkimus iki paraiškos teikimo.</w:t>
            </w:r>
          </w:p>
          <w:p w14:paraId="7E091B35" w14:textId="77777777" w:rsidR="00CF179E" w:rsidRDefault="00CF179E" w:rsidP="006D7830">
            <w:pPr>
              <w:tabs>
                <w:tab w:val="left" w:pos="567"/>
              </w:tabs>
              <w:ind w:firstLine="360"/>
              <w:jc w:val="both"/>
              <w:rPr>
                <w:rFonts w:ascii="Times New Roman" w:hAnsi="Times New Roman"/>
                <w:sz w:val="24"/>
                <w:szCs w:val="24"/>
              </w:rPr>
            </w:pPr>
          </w:p>
          <w:p w14:paraId="3E65C973" w14:textId="57F79693" w:rsidR="00CF179E" w:rsidRPr="00E4160F" w:rsidRDefault="00374B00" w:rsidP="006D7830">
            <w:pPr>
              <w:pStyle w:val="ListParagraph"/>
              <w:numPr>
                <w:ilvl w:val="0"/>
                <w:numId w:val="12"/>
              </w:numPr>
              <w:tabs>
                <w:tab w:val="left" w:pos="567"/>
              </w:tabs>
              <w:ind w:left="0" w:firstLine="360"/>
              <w:jc w:val="both"/>
              <w:rPr>
                <w:rFonts w:ascii="Times New Roman" w:hAnsi="Times New Roman"/>
                <w:sz w:val="24"/>
                <w:szCs w:val="24"/>
              </w:rPr>
            </w:pPr>
            <w:r>
              <w:rPr>
                <w:rFonts w:ascii="Times New Roman" w:hAnsi="Times New Roman"/>
                <w:sz w:val="24"/>
                <w:szCs w:val="24"/>
              </w:rPr>
              <w:t>Sezoniškumu</w:t>
            </w:r>
            <w:r w:rsidR="00CF179E" w:rsidRPr="00E4160F">
              <w:rPr>
                <w:rFonts w:ascii="Times New Roman" w:hAnsi="Times New Roman"/>
                <w:sz w:val="24"/>
                <w:szCs w:val="24"/>
              </w:rPr>
              <w:t xml:space="preserve"> (t.y. </w:t>
            </w:r>
            <w:r w:rsidR="00E4160F" w:rsidRPr="00E4160F">
              <w:rPr>
                <w:rFonts w:ascii="Times New Roman" w:hAnsi="Times New Roman"/>
                <w:sz w:val="24"/>
                <w:szCs w:val="24"/>
              </w:rPr>
              <w:t>ne</w:t>
            </w:r>
            <w:r w:rsidR="001E5E90">
              <w:rPr>
                <w:rFonts w:ascii="Times New Roman" w:hAnsi="Times New Roman"/>
                <w:sz w:val="24"/>
                <w:szCs w:val="24"/>
              </w:rPr>
              <w:t>t</w:t>
            </w:r>
            <w:r w:rsidR="00CF179E" w:rsidRPr="00E4160F">
              <w:rPr>
                <w:rFonts w:ascii="Times New Roman" w:hAnsi="Times New Roman"/>
                <w:sz w:val="24"/>
                <w:szCs w:val="24"/>
              </w:rPr>
              <w:t>inkamos gamtinės sąlygos lauko darbams), rizika vertinama kaip maža. Atsižvelgiant į šios priemonės veiklas, paraiškų teikimo data bus numatoma šaltąjį metų sezoną, kad visos finansavimo suteikimo procedūros pasibaigtų iki šiltojo metų sezono pradžios, ir kad darbai galėtų vykti šiltuoju metų sezonu.</w:t>
            </w:r>
          </w:p>
          <w:p w14:paraId="61EE0ABB" w14:textId="77777777" w:rsidR="00CF179E" w:rsidRDefault="00CF179E" w:rsidP="00CF179E">
            <w:pPr>
              <w:tabs>
                <w:tab w:val="left" w:pos="567"/>
              </w:tabs>
              <w:jc w:val="both"/>
              <w:rPr>
                <w:rFonts w:ascii="Times New Roman" w:hAnsi="Times New Roman"/>
                <w:sz w:val="24"/>
                <w:szCs w:val="24"/>
              </w:rPr>
            </w:pPr>
          </w:p>
          <w:p w14:paraId="37BDA199" w14:textId="54E8E736" w:rsidR="00374B00" w:rsidRPr="007432FF" w:rsidRDefault="00374B00" w:rsidP="006D7830">
            <w:pPr>
              <w:pStyle w:val="ListParagraph"/>
              <w:numPr>
                <w:ilvl w:val="0"/>
                <w:numId w:val="12"/>
              </w:numPr>
              <w:tabs>
                <w:tab w:val="left" w:pos="567"/>
              </w:tabs>
              <w:ind w:left="0" w:firstLine="360"/>
              <w:jc w:val="both"/>
              <w:rPr>
                <w:rFonts w:ascii="Times New Roman" w:hAnsi="Times New Roman"/>
                <w:sz w:val="24"/>
                <w:szCs w:val="24"/>
              </w:rPr>
            </w:pPr>
            <w:r>
              <w:rPr>
                <w:rFonts w:ascii="Times New Roman" w:hAnsi="Times New Roman"/>
                <w:sz w:val="24"/>
                <w:szCs w:val="24"/>
              </w:rPr>
              <w:t>Projektų vykdytojų gebėjimais – egzistuoja rizika, kad</w:t>
            </w:r>
            <w:r w:rsidR="00CF179E" w:rsidRPr="00E4160F">
              <w:rPr>
                <w:rFonts w:ascii="Times New Roman" w:hAnsi="Times New Roman"/>
                <w:sz w:val="24"/>
                <w:szCs w:val="24"/>
              </w:rPr>
              <w:t xml:space="preserve"> projekto vykdytojas nesugebės užtikrinti visų s</w:t>
            </w:r>
            <w:r w:rsidR="001F14C7" w:rsidRPr="00E4160F">
              <w:rPr>
                <w:rFonts w:ascii="Times New Roman" w:hAnsi="Times New Roman"/>
                <w:sz w:val="24"/>
                <w:szCs w:val="24"/>
              </w:rPr>
              <w:t>uplanuotų projekto veiklų</w:t>
            </w:r>
            <w:r w:rsidR="00CF179E" w:rsidRPr="00E4160F">
              <w:rPr>
                <w:rFonts w:ascii="Times New Roman" w:hAnsi="Times New Roman"/>
                <w:sz w:val="24"/>
                <w:szCs w:val="24"/>
              </w:rPr>
              <w:t xml:space="preserve"> įgyvendinimą laiku ir panaudoti </w:t>
            </w:r>
            <w:r w:rsidR="001F14C7" w:rsidRPr="00E4160F">
              <w:rPr>
                <w:rFonts w:ascii="Times New Roman" w:hAnsi="Times New Roman"/>
                <w:sz w:val="24"/>
                <w:szCs w:val="24"/>
              </w:rPr>
              <w:t>projektui</w:t>
            </w:r>
            <w:r w:rsidR="00CF179E" w:rsidRPr="00E4160F">
              <w:rPr>
                <w:rFonts w:ascii="Times New Roman" w:hAnsi="Times New Roman"/>
                <w:sz w:val="24"/>
                <w:szCs w:val="24"/>
              </w:rPr>
              <w:t xml:space="preserve"> numatytas lėšas. Tokią riziką padės suvaldyti</w:t>
            </w:r>
            <w:r w:rsidR="007432FF">
              <w:rPr>
                <w:rFonts w:ascii="Times New Roman" w:hAnsi="Times New Roman"/>
                <w:sz w:val="24"/>
                <w:szCs w:val="24"/>
              </w:rPr>
              <w:t xml:space="preserve"> </w:t>
            </w:r>
            <w:r w:rsidR="00CF179E" w:rsidRPr="007432FF">
              <w:rPr>
                <w:rFonts w:ascii="Times New Roman" w:hAnsi="Times New Roman"/>
                <w:sz w:val="24"/>
                <w:szCs w:val="24"/>
              </w:rPr>
              <w:t xml:space="preserve">suplanuotas aiškus priemonės įgyvendinimo planas ir aiškus </w:t>
            </w:r>
            <w:r w:rsidR="00080DC1">
              <w:rPr>
                <w:rFonts w:ascii="Times New Roman" w:hAnsi="Times New Roman"/>
                <w:sz w:val="24"/>
                <w:szCs w:val="24"/>
              </w:rPr>
              <w:t xml:space="preserve">kvietimų ir </w:t>
            </w:r>
            <w:r w:rsidR="00CF179E" w:rsidRPr="007432FF">
              <w:rPr>
                <w:rFonts w:ascii="Times New Roman" w:hAnsi="Times New Roman"/>
                <w:sz w:val="24"/>
                <w:szCs w:val="24"/>
              </w:rPr>
              <w:t>paraiškų teikimo grafikas</w:t>
            </w:r>
            <w:r w:rsidR="00AD2E85">
              <w:rPr>
                <w:rFonts w:ascii="Times New Roman" w:hAnsi="Times New Roman"/>
                <w:sz w:val="24"/>
                <w:szCs w:val="24"/>
              </w:rPr>
              <w:t>.</w:t>
            </w:r>
            <w:r w:rsidR="007432FF">
              <w:rPr>
                <w:rFonts w:ascii="Times New Roman" w:hAnsi="Times New Roman"/>
                <w:sz w:val="24"/>
                <w:szCs w:val="24"/>
              </w:rPr>
              <w:t xml:space="preserve"> </w:t>
            </w:r>
            <w:r w:rsidRPr="007432FF">
              <w:rPr>
                <w:rFonts w:ascii="Times New Roman" w:hAnsi="Times New Roman"/>
                <w:sz w:val="24"/>
                <w:szCs w:val="24"/>
              </w:rPr>
              <w:t>Šią riziką laikome vidutine.</w:t>
            </w:r>
          </w:p>
          <w:p w14:paraId="230B391D" w14:textId="77777777" w:rsidR="00CF179E" w:rsidRPr="007528AB" w:rsidRDefault="00CF179E" w:rsidP="008B4412">
            <w:pPr>
              <w:tabs>
                <w:tab w:val="left" w:pos="567"/>
              </w:tabs>
              <w:jc w:val="both"/>
              <w:rPr>
                <w:rFonts w:ascii="Times New Roman" w:hAnsi="Times New Roman"/>
                <w:sz w:val="24"/>
                <w:szCs w:val="24"/>
              </w:rPr>
            </w:pPr>
          </w:p>
        </w:tc>
      </w:tr>
      <w:tr w:rsidR="007528AB" w:rsidRPr="007528AB" w14:paraId="67A97858" w14:textId="77777777" w:rsidTr="00A513FA">
        <w:tc>
          <w:tcPr>
            <w:tcW w:w="567" w:type="dxa"/>
          </w:tcPr>
          <w:p w14:paraId="50B3EAAB" w14:textId="506E1387" w:rsidR="00FB6137" w:rsidRPr="007528AB" w:rsidRDefault="00FB6137" w:rsidP="00FB6137">
            <w:pPr>
              <w:pStyle w:val="ListParagraph"/>
              <w:numPr>
                <w:ilvl w:val="0"/>
                <w:numId w:val="1"/>
              </w:numPr>
              <w:tabs>
                <w:tab w:val="left" w:pos="567"/>
              </w:tabs>
              <w:ind w:left="0" w:firstLine="0"/>
              <w:rPr>
                <w:rFonts w:ascii="Times New Roman" w:hAnsi="Times New Roman"/>
                <w:sz w:val="24"/>
                <w:szCs w:val="24"/>
              </w:rPr>
            </w:pPr>
          </w:p>
        </w:tc>
        <w:tc>
          <w:tcPr>
            <w:tcW w:w="2836" w:type="dxa"/>
            <w:shd w:val="clear" w:color="auto" w:fill="auto"/>
          </w:tcPr>
          <w:p w14:paraId="213E84A8" w14:textId="77777777" w:rsidR="00FB6137" w:rsidRPr="007528AB" w:rsidRDefault="00FB6137" w:rsidP="00D80DEB">
            <w:pPr>
              <w:tabs>
                <w:tab w:val="left" w:pos="567"/>
              </w:tabs>
              <w:rPr>
                <w:rStyle w:val="CommentReference"/>
                <w:rFonts w:ascii="Times New Roman" w:hAnsi="Times New Roman"/>
                <w:sz w:val="24"/>
                <w:szCs w:val="24"/>
              </w:rPr>
            </w:pPr>
            <w:r w:rsidRPr="007528AB">
              <w:rPr>
                <w:rStyle w:val="CommentReference"/>
                <w:rFonts w:ascii="Times New Roman" w:hAnsi="Times New Roman"/>
                <w:sz w:val="24"/>
                <w:szCs w:val="24"/>
              </w:rPr>
              <w:t>Horizontaliųjų principų įgyvendinimas</w:t>
            </w:r>
          </w:p>
        </w:tc>
        <w:tc>
          <w:tcPr>
            <w:tcW w:w="6945" w:type="dxa"/>
          </w:tcPr>
          <w:p w14:paraId="7673DA80" w14:textId="00162D6E" w:rsidR="00DE6E01" w:rsidRPr="007528AB" w:rsidRDefault="00DE6E01" w:rsidP="00DE6E01">
            <w:pPr>
              <w:tabs>
                <w:tab w:val="left" w:pos="567"/>
              </w:tabs>
              <w:jc w:val="both"/>
              <w:rPr>
                <w:rFonts w:ascii="Times New Roman" w:hAnsi="Times New Roman"/>
                <w:sz w:val="24"/>
                <w:szCs w:val="24"/>
              </w:rPr>
            </w:pPr>
            <w:r w:rsidRPr="007528AB">
              <w:rPr>
                <w:rFonts w:ascii="Times New Roman" w:hAnsi="Times New Roman"/>
                <w:sz w:val="24"/>
                <w:szCs w:val="24"/>
              </w:rPr>
              <w:t xml:space="preserve">Įgyvendinant šią priemonę siekiama </w:t>
            </w:r>
            <w:r w:rsidR="00AC6539" w:rsidRPr="007432FF">
              <w:rPr>
                <w:rFonts w:ascii="Times New Roman" w:hAnsi="Times New Roman"/>
                <w:sz w:val="24"/>
                <w:szCs w:val="24"/>
              </w:rPr>
              <w:t>aktyviai</w:t>
            </w:r>
            <w:r w:rsidR="00AC6539">
              <w:rPr>
                <w:rFonts w:ascii="Times New Roman" w:hAnsi="Times New Roman"/>
                <w:sz w:val="24"/>
                <w:szCs w:val="24"/>
              </w:rPr>
              <w:t xml:space="preserve"> </w:t>
            </w:r>
            <w:r w:rsidRPr="007528AB">
              <w:rPr>
                <w:rFonts w:ascii="Times New Roman" w:hAnsi="Times New Roman"/>
                <w:sz w:val="24"/>
                <w:szCs w:val="24"/>
              </w:rPr>
              <w:t xml:space="preserve">prisidėti prie darnių principų versle diegimo, skatinant energiją ir gamtinius išteklius tausojančių procesų ir technologijų diegimą įmonėse. Darnaus vystymosi principas bus numatytas kaip vienas iš projektų tinkamumo vertinimo kriterijų. Taip pat Nacionalinės klimato kaitos valdymo politikos tikslų ir uždavinių įgyvendinimo tarpinstituciniame veiklos plane yra numatyta, kad </w:t>
            </w:r>
            <w:r w:rsidR="00C70028" w:rsidRPr="00C70028">
              <w:rPr>
                <w:rFonts w:ascii="Times New Roman" w:hAnsi="Times New Roman"/>
                <w:bCs/>
                <w:sz w:val="24"/>
                <w:szCs w:val="24"/>
                <w:lang w:eastAsia="lt-LT"/>
              </w:rPr>
              <w:t xml:space="preserve">priemonės </w:t>
            </w:r>
            <w:r w:rsidR="001F14C7">
              <w:rPr>
                <w:rFonts w:ascii="Times New Roman" w:eastAsia="Times New Roman" w:hAnsi="Times New Roman"/>
                <w:sz w:val="24"/>
                <w:szCs w:val="24"/>
                <w:lang w:eastAsia="lt-LT"/>
              </w:rPr>
              <w:t>N</w:t>
            </w:r>
            <w:r w:rsidR="00C70028" w:rsidRPr="00C70028">
              <w:rPr>
                <w:rFonts w:ascii="Times New Roman" w:eastAsia="Times New Roman" w:hAnsi="Times New Roman"/>
                <w:sz w:val="24"/>
                <w:szCs w:val="24"/>
                <w:lang w:eastAsia="lt-LT"/>
              </w:rPr>
              <w:t>r. 04.3.2-</w:t>
            </w:r>
            <w:r w:rsidR="001F14C7">
              <w:rPr>
                <w:rFonts w:ascii="Times New Roman" w:eastAsia="Times New Roman" w:hAnsi="Times New Roman"/>
                <w:sz w:val="24"/>
                <w:szCs w:val="24"/>
                <w:lang w:eastAsia="lt-LT"/>
              </w:rPr>
              <w:t>LVPA</w:t>
            </w:r>
            <w:proofErr w:type="gramStart"/>
            <w:r w:rsidR="001F14C7">
              <w:rPr>
                <w:rFonts w:ascii="Times New Roman" w:eastAsia="Times New Roman" w:hAnsi="Times New Roman"/>
                <w:sz w:val="24"/>
                <w:szCs w:val="24"/>
                <w:lang w:eastAsia="lt-LT"/>
              </w:rPr>
              <w:t>-</w:t>
            </w:r>
            <w:proofErr w:type="gramEnd"/>
            <w:r w:rsidR="001F14C7">
              <w:rPr>
                <w:rFonts w:ascii="Times New Roman" w:eastAsia="Times New Roman" w:hAnsi="Times New Roman"/>
                <w:sz w:val="24"/>
                <w:szCs w:val="24"/>
                <w:lang w:eastAsia="lt-LT"/>
              </w:rPr>
              <w:t>K</w:t>
            </w:r>
            <w:r w:rsidR="00C70028" w:rsidRPr="00C70028">
              <w:rPr>
                <w:rFonts w:ascii="Times New Roman" w:eastAsia="Times New Roman" w:hAnsi="Times New Roman"/>
                <w:sz w:val="24"/>
                <w:szCs w:val="24"/>
                <w:lang w:eastAsia="lt-LT"/>
              </w:rPr>
              <w:t>-10</w:t>
            </w:r>
            <w:r w:rsidR="00F07951">
              <w:rPr>
                <w:rFonts w:ascii="Times New Roman" w:eastAsia="Times New Roman" w:hAnsi="Times New Roman"/>
                <w:sz w:val="24"/>
                <w:szCs w:val="24"/>
                <w:lang w:eastAsia="lt-LT"/>
              </w:rPr>
              <w:t>6</w:t>
            </w:r>
            <w:r w:rsidR="00C70028" w:rsidRPr="00C70028">
              <w:rPr>
                <w:rFonts w:ascii="Times New Roman" w:eastAsia="Times New Roman" w:hAnsi="Times New Roman"/>
                <w:sz w:val="24"/>
                <w:szCs w:val="24"/>
                <w:lang w:eastAsia="lt-LT"/>
              </w:rPr>
              <w:t xml:space="preserve"> </w:t>
            </w:r>
            <w:r w:rsidR="00C70028" w:rsidRPr="00C70028">
              <w:rPr>
                <w:rFonts w:ascii="Times New Roman" w:hAnsi="Times New Roman"/>
                <w:sz w:val="24"/>
                <w:szCs w:val="24"/>
              </w:rPr>
              <w:t>„</w:t>
            </w:r>
            <w:r w:rsidR="00F07951" w:rsidRPr="00F07951">
              <w:rPr>
                <w:rFonts w:ascii="Times New Roman" w:hAnsi="Times New Roman"/>
                <w:sz w:val="24"/>
                <w:szCs w:val="24"/>
              </w:rPr>
              <w:t>Iškastinį kurą naudojančių katilinių modernizavimas</w:t>
            </w:r>
            <w:r w:rsidR="00C70028" w:rsidRPr="00C70028">
              <w:rPr>
                <w:rFonts w:ascii="Times New Roman" w:hAnsi="Times New Roman"/>
                <w:sz w:val="24"/>
                <w:szCs w:val="24"/>
              </w:rPr>
              <w:t>“</w:t>
            </w:r>
            <w:r w:rsidR="00C70028">
              <w:rPr>
                <w:rFonts w:ascii="Times New Roman" w:hAnsi="Times New Roman"/>
                <w:sz w:val="24"/>
                <w:szCs w:val="24"/>
              </w:rPr>
              <w:t xml:space="preserve"> </w:t>
            </w:r>
            <w:r w:rsidRPr="007528AB">
              <w:rPr>
                <w:rFonts w:ascii="Times New Roman" w:hAnsi="Times New Roman"/>
                <w:sz w:val="24"/>
                <w:szCs w:val="24"/>
              </w:rPr>
              <w:t xml:space="preserve">prisidedama prie plano įgyvendinimo. </w:t>
            </w:r>
          </w:p>
          <w:p w14:paraId="5A4D0F94" w14:textId="77777777" w:rsidR="009E2B64" w:rsidRDefault="00DE6E01" w:rsidP="00DE6E01">
            <w:pPr>
              <w:tabs>
                <w:tab w:val="left" w:pos="567"/>
              </w:tabs>
              <w:jc w:val="both"/>
              <w:rPr>
                <w:rFonts w:ascii="Times New Roman" w:hAnsi="Times New Roman"/>
                <w:bCs/>
                <w:sz w:val="24"/>
                <w:szCs w:val="24"/>
              </w:rPr>
            </w:pPr>
            <w:r w:rsidRPr="007528AB">
              <w:rPr>
                <w:rFonts w:ascii="Times New Roman" w:hAnsi="Times New Roman"/>
                <w:sz w:val="24"/>
                <w:szCs w:val="24"/>
              </w:rPr>
              <w:t xml:space="preserve">Pagal šią priemonę </w:t>
            </w:r>
            <w:r w:rsidRPr="007528AB">
              <w:rPr>
                <w:rFonts w:ascii="Times New Roman" w:hAnsi="Times New Roman"/>
                <w:bCs/>
                <w:sz w:val="24"/>
                <w:szCs w:val="24"/>
              </w:rPr>
              <w:t>nenumatoma apribojimų, kurie turėtų neigiamą poveikį jaunimo, lyčių lygybės ir nediskriminavimo principų įgyvendinimui.</w:t>
            </w:r>
          </w:p>
          <w:p w14:paraId="4294A59C" w14:textId="053220FB" w:rsidR="009E2B64" w:rsidRDefault="009E2B64" w:rsidP="009E2B64">
            <w:pPr>
              <w:tabs>
                <w:tab w:val="left" w:pos="567"/>
              </w:tabs>
              <w:jc w:val="both"/>
              <w:rPr>
                <w:rFonts w:ascii="Times New Roman" w:hAnsi="Times New Roman"/>
                <w:bCs/>
                <w:sz w:val="24"/>
                <w:szCs w:val="24"/>
              </w:rPr>
            </w:pPr>
            <w:r>
              <w:rPr>
                <w:rFonts w:ascii="Times New Roman" w:hAnsi="Times New Roman"/>
                <w:bCs/>
                <w:sz w:val="24"/>
                <w:szCs w:val="24"/>
              </w:rPr>
              <w:t xml:space="preserve">Priemonės veiklos nėra </w:t>
            </w:r>
            <w:r w:rsidR="00706202">
              <w:rPr>
                <w:rFonts w:ascii="Times New Roman" w:hAnsi="Times New Roman"/>
                <w:bCs/>
                <w:sz w:val="24"/>
                <w:szCs w:val="24"/>
              </w:rPr>
              <w:t xml:space="preserve">susijusios </w:t>
            </w:r>
            <w:r>
              <w:rPr>
                <w:rFonts w:ascii="Times New Roman" w:hAnsi="Times New Roman"/>
                <w:bCs/>
                <w:sz w:val="24"/>
                <w:szCs w:val="24"/>
              </w:rPr>
              <w:t>nei su viena tiksline grupe, t.y. jų įgyvendinimas neprisideda prie vienos atskiros grupės gyvenimo kokybės gerinimo, su priemone susijusios veiklos yra visiems prieinamos vienodai, netaikant diskriminuojančių kriterijų. Todėl priemonė aktyviai neprisideda prie horizontaliųjų principų įgyvendinimo. Šiuo požiūriu ji yra neutrali.</w:t>
            </w:r>
            <w:r w:rsidR="00535B10">
              <w:rPr>
                <w:rFonts w:ascii="Times New Roman" w:hAnsi="Times New Roman"/>
                <w:bCs/>
                <w:sz w:val="24"/>
                <w:szCs w:val="24"/>
              </w:rPr>
              <w:t xml:space="preserve"> </w:t>
            </w:r>
          </w:p>
          <w:p w14:paraId="5592468D" w14:textId="5BA21C4D" w:rsidR="007B09DD" w:rsidRPr="007528AB" w:rsidRDefault="00535B10" w:rsidP="009E2B64">
            <w:pPr>
              <w:tabs>
                <w:tab w:val="left" w:pos="567"/>
              </w:tabs>
              <w:jc w:val="both"/>
              <w:rPr>
                <w:rFonts w:ascii="Times New Roman" w:hAnsi="Times New Roman"/>
                <w:sz w:val="24"/>
                <w:szCs w:val="24"/>
              </w:rPr>
            </w:pPr>
            <w:r>
              <w:rPr>
                <w:rFonts w:ascii="Times New Roman" w:hAnsi="Times New Roman"/>
                <w:bCs/>
                <w:sz w:val="24"/>
                <w:szCs w:val="24"/>
              </w:rPr>
              <w:t>Ūkio ministerijos atliktoje vertinimo galutinėje ataskaitoje nenustatyta diskriminacijos apraiškų.</w:t>
            </w:r>
          </w:p>
        </w:tc>
      </w:tr>
      <w:tr w:rsidR="007528AB" w:rsidRPr="007528AB" w14:paraId="5F753C21" w14:textId="77777777" w:rsidTr="00A513FA">
        <w:tc>
          <w:tcPr>
            <w:tcW w:w="10348" w:type="dxa"/>
            <w:gridSpan w:val="3"/>
            <w:shd w:val="clear" w:color="auto" w:fill="F2F2F2" w:themeFill="background1" w:themeFillShade="F2"/>
          </w:tcPr>
          <w:p w14:paraId="6B7AC219" w14:textId="77777777" w:rsidR="00FB6137" w:rsidRPr="007528AB" w:rsidRDefault="00FB6137" w:rsidP="00D80DEB">
            <w:pPr>
              <w:tabs>
                <w:tab w:val="left" w:pos="567"/>
              </w:tabs>
              <w:jc w:val="center"/>
              <w:rPr>
                <w:rFonts w:ascii="Times New Roman" w:hAnsi="Times New Roman"/>
                <w:b/>
                <w:sz w:val="24"/>
                <w:szCs w:val="24"/>
              </w:rPr>
            </w:pPr>
            <w:r w:rsidRPr="007528AB">
              <w:rPr>
                <w:rFonts w:ascii="Times New Roman" w:hAnsi="Times New Roman"/>
                <w:b/>
                <w:sz w:val="24"/>
                <w:szCs w:val="24"/>
              </w:rPr>
              <w:t>II. Finansavimo forma</w:t>
            </w:r>
          </w:p>
        </w:tc>
      </w:tr>
      <w:tr w:rsidR="007528AB" w:rsidRPr="007528AB" w14:paraId="5DE0BA85" w14:textId="77777777" w:rsidTr="00A513FA">
        <w:tc>
          <w:tcPr>
            <w:tcW w:w="567" w:type="dxa"/>
          </w:tcPr>
          <w:p w14:paraId="2F90B25A" w14:textId="77777777" w:rsidR="00FB6137" w:rsidRPr="007528AB" w:rsidRDefault="00FB6137" w:rsidP="00FB6137">
            <w:pPr>
              <w:pStyle w:val="ListParagraph"/>
              <w:numPr>
                <w:ilvl w:val="0"/>
                <w:numId w:val="1"/>
              </w:numPr>
              <w:tabs>
                <w:tab w:val="left" w:pos="567"/>
              </w:tabs>
              <w:ind w:hanging="1080"/>
              <w:rPr>
                <w:rFonts w:ascii="Times New Roman" w:hAnsi="Times New Roman"/>
                <w:sz w:val="24"/>
                <w:szCs w:val="24"/>
              </w:rPr>
            </w:pPr>
          </w:p>
        </w:tc>
        <w:tc>
          <w:tcPr>
            <w:tcW w:w="2836" w:type="dxa"/>
            <w:shd w:val="clear" w:color="auto" w:fill="auto"/>
          </w:tcPr>
          <w:p w14:paraId="5D1703E8" w14:textId="77777777" w:rsidR="00FB6137" w:rsidRPr="007528AB" w:rsidRDefault="00FB6137" w:rsidP="00D80DEB">
            <w:pPr>
              <w:tabs>
                <w:tab w:val="left" w:pos="567"/>
              </w:tabs>
              <w:rPr>
                <w:rFonts w:ascii="Times New Roman" w:hAnsi="Times New Roman"/>
                <w:sz w:val="24"/>
                <w:szCs w:val="24"/>
              </w:rPr>
            </w:pPr>
            <w:r w:rsidRPr="007528AB">
              <w:rPr>
                <w:rFonts w:ascii="Times New Roman" w:hAnsi="Times New Roman"/>
                <w:sz w:val="24"/>
                <w:szCs w:val="24"/>
              </w:rPr>
              <w:t>Priemonės finansavimo formos pasirinkimo pagrindimas</w:t>
            </w:r>
          </w:p>
        </w:tc>
        <w:tc>
          <w:tcPr>
            <w:tcW w:w="6945" w:type="dxa"/>
          </w:tcPr>
          <w:p w14:paraId="56FDB39F" w14:textId="468612C9" w:rsidR="00C716D9" w:rsidRPr="007528AB" w:rsidRDefault="005E543C" w:rsidP="005E543C">
            <w:pPr>
              <w:jc w:val="both"/>
              <w:rPr>
                <w:rFonts w:ascii="Times New Roman" w:hAnsi="Times New Roman"/>
                <w:sz w:val="24"/>
                <w:szCs w:val="24"/>
              </w:rPr>
            </w:pPr>
            <w:r w:rsidRPr="007528AB">
              <w:rPr>
                <w:rFonts w:ascii="Times New Roman" w:hAnsi="Times New Roman"/>
                <w:sz w:val="24"/>
                <w:szCs w:val="24"/>
              </w:rPr>
              <w:t xml:space="preserve">Negrąžinamoji subsidija. Ši finansavimo forma buvo pasirinkta dėl jos </w:t>
            </w:r>
            <w:r w:rsidRPr="00933330">
              <w:rPr>
                <w:rFonts w:ascii="Times New Roman" w:hAnsi="Times New Roman"/>
                <w:sz w:val="24"/>
                <w:szCs w:val="24"/>
              </w:rPr>
              <w:t>skatinamojo poveikio</w:t>
            </w:r>
            <w:r>
              <w:rPr>
                <w:rFonts w:ascii="Times New Roman" w:hAnsi="Times New Roman"/>
                <w:sz w:val="24"/>
                <w:szCs w:val="24"/>
              </w:rPr>
              <w:t xml:space="preserve"> bei todėl, kad ji yra numatyta </w:t>
            </w:r>
            <w:proofErr w:type="spellStart"/>
            <w:r>
              <w:rPr>
                <w:rFonts w:ascii="Times New Roman" w:hAnsi="Times New Roman"/>
                <w:sz w:val="24"/>
                <w:szCs w:val="24"/>
              </w:rPr>
              <w:t>NŠŪP‘o</w:t>
            </w:r>
            <w:proofErr w:type="spellEnd"/>
            <w:r>
              <w:rPr>
                <w:rFonts w:ascii="Times New Roman" w:hAnsi="Times New Roman"/>
                <w:sz w:val="24"/>
                <w:szCs w:val="24"/>
              </w:rPr>
              <w:t xml:space="preserve"> 2 priede</w:t>
            </w:r>
            <w:r w:rsidRPr="007528AB">
              <w:rPr>
                <w:rFonts w:ascii="Times New Roman" w:hAnsi="Times New Roman"/>
                <w:sz w:val="24"/>
                <w:szCs w:val="24"/>
              </w:rPr>
              <w:t xml:space="preserve">. Šilumos tiekimo įmonės savo lėšomis yra nepajėgios vykdyti šios priemonės projektų. </w:t>
            </w:r>
            <w:r>
              <w:rPr>
                <w:rFonts w:ascii="Times New Roman" w:hAnsi="Times New Roman"/>
                <w:sz w:val="24"/>
                <w:szCs w:val="24"/>
              </w:rPr>
              <w:t>Projektų finansavimas skolinantis</w:t>
            </w:r>
            <w:r w:rsidRPr="007528AB">
              <w:rPr>
                <w:rFonts w:ascii="Times New Roman" w:hAnsi="Times New Roman"/>
                <w:sz w:val="24"/>
                <w:szCs w:val="24"/>
              </w:rPr>
              <w:t xml:space="preserve"> dėl projektų mažo atsiperkamumo</w:t>
            </w:r>
            <w:r>
              <w:rPr>
                <w:rFonts w:ascii="Times New Roman" w:hAnsi="Times New Roman"/>
                <w:sz w:val="24"/>
                <w:szCs w:val="24"/>
              </w:rPr>
              <w:t xml:space="preserve"> (projektai nėra finansiškai gyvybingi dėl esamos reguliacinės aplinkos)</w:t>
            </w:r>
            <w:r w:rsidRPr="007528AB">
              <w:rPr>
                <w:rFonts w:ascii="Times New Roman" w:hAnsi="Times New Roman"/>
                <w:sz w:val="24"/>
                <w:szCs w:val="24"/>
              </w:rPr>
              <w:t xml:space="preserve">, didintų kainas galutiniams šilumos vartotojams. </w:t>
            </w:r>
            <w:r w:rsidRPr="007528AB">
              <w:rPr>
                <w:rFonts w:ascii="Times New Roman" w:hAnsi="Times New Roman"/>
                <w:sz w:val="24"/>
              </w:rPr>
              <w:t xml:space="preserve">Taip pat pažymėtina, kad sumažėjusių </w:t>
            </w:r>
            <w:r>
              <w:rPr>
                <w:rFonts w:ascii="Times New Roman" w:hAnsi="Times New Roman"/>
                <w:sz w:val="24"/>
              </w:rPr>
              <w:t>kuro sąnaudų dėl įgyvendintų projektų pagal priemonę</w:t>
            </w:r>
            <w:r w:rsidRPr="007528AB">
              <w:rPr>
                <w:rFonts w:ascii="Times New Roman" w:hAnsi="Times New Roman"/>
                <w:sz w:val="24"/>
              </w:rPr>
              <w:t xml:space="preserve"> nauda po projekto įgyvendinimo atitenka vartotojams, kadangi šilumos tiekimo sąnaudomis pripažįstamos tik faktinės šilumos tiekimo sąnaudos, t.y. šiuo atveju faktini</w:t>
            </w:r>
            <w:r>
              <w:rPr>
                <w:rFonts w:ascii="Times New Roman" w:hAnsi="Times New Roman"/>
                <w:sz w:val="24"/>
              </w:rPr>
              <w:t>ai po projekto įgyvendinimo likusios kuro sąnaudos</w:t>
            </w:r>
            <w:r w:rsidRPr="007528AB">
              <w:rPr>
                <w:rFonts w:ascii="Times New Roman" w:hAnsi="Times New Roman"/>
                <w:sz w:val="24"/>
              </w:rPr>
              <w:t xml:space="preserve"> (vadovaujantis „Šilumos kainų nustatymo metodika“ patvirtinta Valstybinės kainų ir energetikos kontrolės komisijos 2009 m. liepos 8 d. nutarimu Nr. O3-96). </w:t>
            </w:r>
            <w:r>
              <w:rPr>
                <w:rFonts w:ascii="Times New Roman" w:hAnsi="Times New Roman"/>
                <w:sz w:val="24"/>
                <w:szCs w:val="24"/>
              </w:rPr>
              <w:t xml:space="preserve">Todėl yra siūloma negražinamoji subsidija kaip </w:t>
            </w:r>
            <w:r w:rsidRPr="007528AB">
              <w:rPr>
                <w:rFonts w:ascii="Times New Roman" w:hAnsi="Times New Roman"/>
                <w:sz w:val="24"/>
                <w:szCs w:val="24"/>
              </w:rPr>
              <w:t>subalansuota finansavimo forma, kuri palengvina įmonėms projektų finansavimą ir ženkliai nedidina šilumos kainos vartotojams.</w:t>
            </w:r>
          </w:p>
        </w:tc>
      </w:tr>
      <w:tr w:rsidR="005E543C" w:rsidRPr="007528AB" w14:paraId="09542C94" w14:textId="77777777" w:rsidTr="00A513FA">
        <w:tc>
          <w:tcPr>
            <w:tcW w:w="567" w:type="dxa"/>
          </w:tcPr>
          <w:p w14:paraId="11605F67" w14:textId="77777777" w:rsidR="005E543C" w:rsidRPr="007528AB" w:rsidRDefault="005E543C" w:rsidP="005E543C">
            <w:pPr>
              <w:pStyle w:val="ListParagraph"/>
              <w:numPr>
                <w:ilvl w:val="0"/>
                <w:numId w:val="1"/>
              </w:numPr>
              <w:tabs>
                <w:tab w:val="left" w:pos="567"/>
              </w:tabs>
              <w:ind w:left="34" w:firstLine="0"/>
              <w:rPr>
                <w:rFonts w:ascii="Times New Roman" w:hAnsi="Times New Roman"/>
                <w:sz w:val="24"/>
                <w:szCs w:val="24"/>
              </w:rPr>
            </w:pPr>
          </w:p>
        </w:tc>
        <w:tc>
          <w:tcPr>
            <w:tcW w:w="2836" w:type="dxa"/>
          </w:tcPr>
          <w:p w14:paraId="3938B927" w14:textId="77777777" w:rsidR="005E543C" w:rsidRPr="007528AB" w:rsidRDefault="005E543C" w:rsidP="005E543C">
            <w:pPr>
              <w:tabs>
                <w:tab w:val="left" w:pos="567"/>
              </w:tabs>
              <w:rPr>
                <w:rFonts w:ascii="Times New Roman" w:hAnsi="Times New Roman"/>
                <w:sz w:val="24"/>
                <w:szCs w:val="24"/>
              </w:rPr>
            </w:pPr>
            <w:r w:rsidRPr="007528AB">
              <w:rPr>
                <w:rFonts w:ascii="Times New Roman" w:hAnsi="Times New Roman"/>
                <w:sz w:val="24"/>
                <w:szCs w:val="24"/>
              </w:rPr>
              <w:t>Galimybė taikyti finansines  priemones (jei taikoma)</w:t>
            </w:r>
          </w:p>
        </w:tc>
        <w:tc>
          <w:tcPr>
            <w:tcW w:w="6945" w:type="dxa"/>
          </w:tcPr>
          <w:p w14:paraId="5023D2A0" w14:textId="3F7B05EB" w:rsidR="005E543C" w:rsidRPr="007528AB" w:rsidRDefault="005E543C" w:rsidP="005E543C">
            <w:pPr>
              <w:tabs>
                <w:tab w:val="left" w:pos="175"/>
              </w:tabs>
              <w:jc w:val="both"/>
              <w:rPr>
                <w:rFonts w:ascii="Times New Roman" w:hAnsi="Times New Roman"/>
                <w:i/>
                <w:sz w:val="24"/>
                <w:szCs w:val="24"/>
              </w:rPr>
            </w:pPr>
            <w:r w:rsidRPr="006C5379">
              <w:rPr>
                <w:rFonts w:ascii="Times New Roman" w:hAnsi="Times New Roman"/>
                <w:sz w:val="24"/>
                <w:szCs w:val="24"/>
              </w:rPr>
              <w:t>Netaikoma, nes priemonė neatitinka finansinės priemonės apibrėžimo, t.y. negeneruoja pajamų, nes pagal dabar galiojančią reguliacinę aplinką pagal šią priemonę įgyvendinamos veiklos nėra priskiriamos prie pelną duodančių veiklų</w:t>
            </w:r>
            <w:r w:rsidRPr="006C5379">
              <w:rPr>
                <w:rFonts w:ascii="Times New Roman" w:hAnsi="Times New Roman"/>
                <w:b/>
                <w:sz w:val="24"/>
                <w:szCs w:val="24"/>
              </w:rPr>
              <w:t xml:space="preserve">. </w:t>
            </w:r>
          </w:p>
        </w:tc>
      </w:tr>
      <w:tr w:rsidR="007528AB" w:rsidRPr="007528AB" w14:paraId="01CA6D61" w14:textId="77777777" w:rsidTr="00A513FA">
        <w:tc>
          <w:tcPr>
            <w:tcW w:w="567" w:type="dxa"/>
          </w:tcPr>
          <w:p w14:paraId="7D3EE52E" w14:textId="77777777" w:rsidR="00FB6137" w:rsidRPr="007528AB" w:rsidRDefault="00FB6137" w:rsidP="008B4412">
            <w:pPr>
              <w:pStyle w:val="ListParagraph"/>
              <w:keepNext/>
              <w:numPr>
                <w:ilvl w:val="0"/>
                <w:numId w:val="1"/>
              </w:numPr>
              <w:tabs>
                <w:tab w:val="left" w:pos="567"/>
              </w:tabs>
              <w:ind w:left="34" w:firstLine="0"/>
              <w:rPr>
                <w:rFonts w:ascii="Times New Roman" w:hAnsi="Times New Roman"/>
                <w:sz w:val="24"/>
                <w:szCs w:val="24"/>
              </w:rPr>
            </w:pPr>
          </w:p>
        </w:tc>
        <w:tc>
          <w:tcPr>
            <w:tcW w:w="2836" w:type="dxa"/>
            <w:shd w:val="clear" w:color="auto" w:fill="auto"/>
          </w:tcPr>
          <w:p w14:paraId="70EB177C" w14:textId="77777777" w:rsidR="00FB6137" w:rsidRPr="007528AB" w:rsidRDefault="00FB6137" w:rsidP="008B4412">
            <w:pPr>
              <w:keepNext/>
              <w:tabs>
                <w:tab w:val="left" w:pos="567"/>
              </w:tabs>
              <w:rPr>
                <w:rFonts w:ascii="Times New Roman" w:hAnsi="Times New Roman"/>
                <w:sz w:val="24"/>
                <w:szCs w:val="24"/>
              </w:rPr>
            </w:pPr>
            <w:r w:rsidRPr="007528AB">
              <w:rPr>
                <w:rFonts w:ascii="Times New Roman" w:hAnsi="Times New Roman"/>
                <w:sz w:val="24"/>
                <w:szCs w:val="24"/>
              </w:rPr>
              <w:t xml:space="preserve">Galimybė taikyti grąžinamąją subsidiją </w:t>
            </w:r>
          </w:p>
        </w:tc>
        <w:tc>
          <w:tcPr>
            <w:tcW w:w="6945" w:type="dxa"/>
          </w:tcPr>
          <w:p w14:paraId="05F0E0F8" w14:textId="33150695" w:rsidR="005B06CA" w:rsidRPr="007528AB" w:rsidRDefault="00923385" w:rsidP="008B4412">
            <w:pPr>
              <w:keepNext/>
              <w:tabs>
                <w:tab w:val="left" w:pos="175"/>
              </w:tabs>
              <w:jc w:val="both"/>
              <w:rPr>
                <w:rFonts w:ascii="Times New Roman" w:hAnsi="Times New Roman"/>
                <w:sz w:val="24"/>
                <w:szCs w:val="24"/>
              </w:rPr>
            </w:pPr>
            <w:r w:rsidRPr="007631E5">
              <w:rPr>
                <w:rFonts w:ascii="Times New Roman" w:hAnsi="Times New Roman"/>
                <w:sz w:val="24"/>
                <w:szCs w:val="24"/>
              </w:rPr>
              <w:t xml:space="preserve">Grąžinamosios subsidijos </w:t>
            </w:r>
            <w:r w:rsidR="00265C0B" w:rsidRPr="007631E5">
              <w:rPr>
                <w:rFonts w:ascii="Times New Roman" w:hAnsi="Times New Roman"/>
                <w:sz w:val="24"/>
                <w:szCs w:val="24"/>
              </w:rPr>
              <w:t xml:space="preserve">taikymas </w:t>
            </w:r>
            <w:r w:rsidR="00265C0B" w:rsidRPr="007631E5">
              <w:rPr>
                <w:rFonts w:ascii="Times New Roman" w:eastAsiaTheme="minorHAnsi" w:hAnsi="Times New Roman"/>
                <w:sz w:val="24"/>
                <w:szCs w:val="24"/>
              </w:rPr>
              <w:t>šios priemonės projektų</w:t>
            </w:r>
            <w:r w:rsidR="00265C0B" w:rsidRPr="007631E5">
              <w:rPr>
                <w:rFonts w:ascii="Times New Roman" w:hAnsi="Times New Roman"/>
                <w:sz w:val="24"/>
                <w:szCs w:val="24"/>
              </w:rPr>
              <w:t xml:space="preserve"> </w:t>
            </w:r>
            <w:r w:rsidR="00374B00" w:rsidRPr="007631E5">
              <w:rPr>
                <w:rFonts w:ascii="Times New Roman" w:hAnsi="Times New Roman"/>
                <w:sz w:val="24"/>
                <w:szCs w:val="24"/>
              </w:rPr>
              <w:t>įgyvendinimui</w:t>
            </w:r>
            <w:r w:rsidR="005B06CA" w:rsidRPr="007631E5">
              <w:rPr>
                <w:rFonts w:ascii="Times New Roman" w:hAnsi="Times New Roman"/>
                <w:sz w:val="24"/>
                <w:szCs w:val="24"/>
              </w:rPr>
              <w:t xml:space="preserve"> </w:t>
            </w:r>
            <w:r w:rsidR="00265C0B" w:rsidRPr="007631E5">
              <w:rPr>
                <w:rFonts w:ascii="Times New Roman" w:hAnsi="Times New Roman"/>
                <w:sz w:val="24"/>
                <w:szCs w:val="24"/>
              </w:rPr>
              <w:t>dėl esamos šios reguliuojamos veiklos kainodaros principų</w:t>
            </w:r>
            <w:r w:rsidR="001B6A5A" w:rsidRPr="007631E5">
              <w:rPr>
                <w:rFonts w:ascii="Times New Roman" w:hAnsi="Times New Roman"/>
                <w:sz w:val="24"/>
                <w:szCs w:val="24"/>
              </w:rPr>
              <w:t xml:space="preserve"> (balanso tarp </w:t>
            </w:r>
            <w:r w:rsidR="00DE6E01" w:rsidRPr="007631E5">
              <w:rPr>
                <w:rFonts w:ascii="Times New Roman" w:hAnsi="Times New Roman"/>
                <w:sz w:val="24"/>
                <w:szCs w:val="24"/>
              </w:rPr>
              <w:t>šilumos</w:t>
            </w:r>
            <w:r w:rsidR="001B6A5A" w:rsidRPr="007631E5">
              <w:rPr>
                <w:rFonts w:ascii="Times New Roman" w:hAnsi="Times New Roman"/>
                <w:sz w:val="24"/>
                <w:szCs w:val="24"/>
              </w:rPr>
              <w:t xml:space="preserve"> tarifo ir naštos </w:t>
            </w:r>
            <w:r w:rsidR="00DE6E01" w:rsidRPr="007631E5">
              <w:rPr>
                <w:rFonts w:ascii="Times New Roman" w:hAnsi="Times New Roman"/>
                <w:sz w:val="24"/>
                <w:szCs w:val="24"/>
              </w:rPr>
              <w:t>šilumos</w:t>
            </w:r>
            <w:r w:rsidR="001B6A5A" w:rsidRPr="007631E5">
              <w:rPr>
                <w:rFonts w:ascii="Times New Roman" w:hAnsi="Times New Roman"/>
                <w:sz w:val="24"/>
                <w:szCs w:val="24"/>
              </w:rPr>
              <w:t xml:space="preserve"> vartotojams)</w:t>
            </w:r>
            <w:r w:rsidR="005B06CA" w:rsidRPr="007631E5">
              <w:rPr>
                <w:rFonts w:ascii="Times New Roman" w:hAnsi="Times New Roman"/>
                <w:sz w:val="24"/>
                <w:szCs w:val="24"/>
              </w:rPr>
              <w:t>,</w:t>
            </w:r>
            <w:r w:rsidR="00265C0B" w:rsidRPr="007631E5">
              <w:rPr>
                <w:rFonts w:ascii="Times New Roman" w:hAnsi="Times New Roman"/>
                <w:sz w:val="24"/>
                <w:szCs w:val="24"/>
              </w:rPr>
              <w:t xml:space="preserve"> </w:t>
            </w:r>
            <w:r w:rsidR="005B06CA" w:rsidRPr="007631E5">
              <w:rPr>
                <w:rFonts w:ascii="Times New Roman" w:hAnsi="Times New Roman"/>
                <w:sz w:val="24"/>
                <w:szCs w:val="24"/>
              </w:rPr>
              <w:t xml:space="preserve">neleis pasiekti </w:t>
            </w:r>
            <w:r w:rsidR="00374B00" w:rsidRPr="007631E5">
              <w:rPr>
                <w:rFonts w:ascii="Times New Roman" w:hAnsi="Times New Roman"/>
                <w:sz w:val="24"/>
                <w:szCs w:val="24"/>
              </w:rPr>
              <w:t>Nacionalinėje energetinės nepriklausomybės</w:t>
            </w:r>
            <w:r w:rsidR="00106125" w:rsidRPr="007631E5">
              <w:rPr>
                <w:rFonts w:ascii="Times New Roman" w:hAnsi="Times New Roman"/>
                <w:sz w:val="24"/>
                <w:szCs w:val="24"/>
              </w:rPr>
              <w:t xml:space="preserve"> strategijoje, Nacionalinėje pažangos programoje</w:t>
            </w:r>
            <w:r w:rsidR="001B6A5A" w:rsidRPr="007631E5">
              <w:rPr>
                <w:rFonts w:ascii="Times New Roman" w:hAnsi="Times New Roman"/>
                <w:sz w:val="24"/>
                <w:szCs w:val="24"/>
              </w:rPr>
              <w:t xml:space="preserve"> ir</w:t>
            </w:r>
            <w:r w:rsidR="00106125" w:rsidRPr="007631E5">
              <w:rPr>
                <w:rFonts w:ascii="Times New Roman" w:hAnsi="Times New Roman"/>
                <w:sz w:val="24"/>
                <w:szCs w:val="24"/>
              </w:rPr>
              <w:t xml:space="preserve"> veiksmų programoje nustatytų tikslų</w:t>
            </w:r>
            <w:r w:rsidR="00265C0B" w:rsidRPr="007631E5">
              <w:rPr>
                <w:rFonts w:ascii="Times New Roman" w:hAnsi="Times New Roman"/>
                <w:sz w:val="24"/>
                <w:szCs w:val="24"/>
              </w:rPr>
              <w:t xml:space="preserve">. </w:t>
            </w:r>
            <w:r w:rsidR="005B06CA" w:rsidRPr="007631E5">
              <w:rPr>
                <w:rFonts w:ascii="Times New Roman" w:hAnsi="Times New Roman"/>
                <w:sz w:val="24"/>
                <w:szCs w:val="24"/>
              </w:rPr>
              <w:t>Taip pat nėra aišku</w:t>
            </w:r>
            <w:r w:rsidR="00374B00" w:rsidRPr="007631E5">
              <w:rPr>
                <w:rFonts w:ascii="Times New Roman" w:hAnsi="Times New Roman"/>
                <w:sz w:val="24"/>
                <w:szCs w:val="24"/>
              </w:rPr>
              <w:t>,</w:t>
            </w:r>
            <w:r w:rsidR="005B06CA" w:rsidRPr="007631E5">
              <w:rPr>
                <w:rFonts w:ascii="Times New Roman" w:hAnsi="Times New Roman"/>
                <w:sz w:val="24"/>
                <w:szCs w:val="24"/>
              </w:rPr>
              <w:t xml:space="preserve"> ar </w:t>
            </w:r>
            <w:r w:rsidR="005B06CA" w:rsidRPr="007631E5">
              <w:rPr>
                <w:rStyle w:val="Strong"/>
                <w:rFonts w:ascii="Times New Roman" w:hAnsi="Times New Roman"/>
                <w:b w:val="0"/>
                <w:sz w:val="24"/>
                <w:szCs w:val="24"/>
              </w:rPr>
              <w:t>Valstybinei kainų ir energetikos kontrolės komisijai</w:t>
            </w:r>
            <w:r w:rsidR="00374B00" w:rsidRPr="007631E5">
              <w:rPr>
                <w:rStyle w:val="Strong"/>
                <w:rFonts w:ascii="Times New Roman" w:hAnsi="Times New Roman"/>
                <w:b w:val="0"/>
                <w:sz w:val="24"/>
                <w:szCs w:val="24"/>
              </w:rPr>
              <w:t>,</w:t>
            </w:r>
            <w:r w:rsidR="005B06CA" w:rsidRPr="007631E5">
              <w:rPr>
                <w:rFonts w:ascii="Times New Roman" w:hAnsi="Times New Roman"/>
                <w:sz w:val="24"/>
                <w:szCs w:val="24"/>
              </w:rPr>
              <w:t xml:space="preserve"> nustačius </w:t>
            </w:r>
            <w:r w:rsidR="00D82C8E" w:rsidRPr="007631E5">
              <w:rPr>
                <w:rFonts w:ascii="Times New Roman" w:hAnsi="Times New Roman"/>
                <w:sz w:val="24"/>
                <w:szCs w:val="24"/>
              </w:rPr>
              <w:t>šilumos</w:t>
            </w:r>
            <w:r w:rsidR="005B06CA" w:rsidRPr="007631E5">
              <w:rPr>
                <w:rFonts w:ascii="Times New Roman" w:hAnsi="Times New Roman"/>
                <w:sz w:val="24"/>
                <w:szCs w:val="24"/>
              </w:rPr>
              <w:t xml:space="preserve"> tarifą naujam reguliaciniam periodui, bus surenkama iš jo pakankamai lėšų </w:t>
            </w:r>
            <w:r w:rsidR="00DE6E01" w:rsidRPr="007631E5">
              <w:rPr>
                <w:rFonts w:ascii="Times New Roman" w:hAnsi="Times New Roman"/>
                <w:sz w:val="24"/>
                <w:szCs w:val="24"/>
              </w:rPr>
              <w:t>šilumos</w:t>
            </w:r>
            <w:r w:rsidR="005B06CA" w:rsidRPr="007631E5">
              <w:rPr>
                <w:rFonts w:ascii="Times New Roman" w:hAnsi="Times New Roman"/>
                <w:sz w:val="24"/>
                <w:szCs w:val="24"/>
              </w:rPr>
              <w:t xml:space="preserve"> perdavimo tinklo atstatymo projektams.</w:t>
            </w:r>
          </w:p>
          <w:p w14:paraId="04F33362" w14:textId="77777777" w:rsidR="00691257" w:rsidRDefault="00691257" w:rsidP="008B4412">
            <w:pPr>
              <w:keepNext/>
              <w:tabs>
                <w:tab w:val="left" w:pos="175"/>
              </w:tabs>
              <w:jc w:val="both"/>
              <w:rPr>
                <w:rFonts w:ascii="Times New Roman" w:hAnsi="Times New Roman"/>
                <w:sz w:val="24"/>
                <w:szCs w:val="24"/>
              </w:rPr>
            </w:pPr>
          </w:p>
          <w:p w14:paraId="0C9C67EE" w14:textId="77777777" w:rsidR="006533B5" w:rsidRDefault="006533B5" w:rsidP="006533B5">
            <w:pPr>
              <w:tabs>
                <w:tab w:val="left" w:pos="175"/>
              </w:tabs>
              <w:jc w:val="both"/>
              <w:rPr>
                <w:rFonts w:ascii="Times New Roman" w:hAnsi="Times New Roman"/>
                <w:sz w:val="24"/>
                <w:szCs w:val="24"/>
              </w:rPr>
            </w:pPr>
            <w:r>
              <w:rPr>
                <w:rFonts w:ascii="Times New Roman" w:hAnsi="Times New Roman"/>
                <w:sz w:val="24"/>
                <w:szCs w:val="24"/>
              </w:rPr>
              <w:t xml:space="preserve">- vertinant projektų vykdytojų galimybes gražinti dalį lėšų per nustatytą laikotarpį po projekto įgyvendinimo buvo nustatyta, kad pagal dabartinę kainodarą planuojamos priemonės veiklos negeneruoja pajamų, todėl gražinti dalį lėšų negalės, tačiau jie gali nuosavomis lėšomis prisidėti prie projekto veiklų įgyvendinimo. </w:t>
            </w:r>
          </w:p>
          <w:p w14:paraId="674BBAC6" w14:textId="77777777" w:rsidR="006533B5" w:rsidRPr="00735889" w:rsidRDefault="006533B5" w:rsidP="006533B5">
            <w:pPr>
              <w:tabs>
                <w:tab w:val="left" w:pos="175"/>
              </w:tabs>
              <w:jc w:val="both"/>
              <w:rPr>
                <w:rFonts w:ascii="Times New Roman" w:hAnsi="Times New Roman"/>
                <w:sz w:val="24"/>
                <w:szCs w:val="24"/>
              </w:rPr>
            </w:pPr>
          </w:p>
          <w:p w14:paraId="14C253FB" w14:textId="77777777" w:rsidR="006533B5" w:rsidRDefault="006533B5" w:rsidP="006533B5">
            <w:pPr>
              <w:tabs>
                <w:tab w:val="left" w:pos="175"/>
              </w:tabs>
              <w:jc w:val="both"/>
              <w:rPr>
                <w:rFonts w:ascii="Times New Roman" w:hAnsi="Times New Roman"/>
                <w:sz w:val="24"/>
                <w:szCs w:val="24"/>
              </w:rPr>
            </w:pPr>
            <w:r>
              <w:rPr>
                <w:rFonts w:ascii="Times New Roman" w:hAnsi="Times New Roman"/>
                <w:sz w:val="24"/>
                <w:szCs w:val="24"/>
              </w:rPr>
              <w:t>- vertinant galimybę paskatinti projektų vykdytojus siekti geresnių rezultatų buvo nustatyta, kad projektuose numatomos veiklos yra aiškiai apibrėžtos ir baigtinės, t.y. tikslas yra arba pasiekiamas 100 proc., ar visai nepasiekiamas, todėl paskatos nėra numatomos.</w:t>
            </w:r>
          </w:p>
          <w:p w14:paraId="244CE9E6" w14:textId="77777777" w:rsidR="006533B5" w:rsidRPr="00735889" w:rsidRDefault="006533B5" w:rsidP="006533B5">
            <w:pPr>
              <w:tabs>
                <w:tab w:val="left" w:pos="175"/>
              </w:tabs>
              <w:jc w:val="both"/>
              <w:rPr>
                <w:rFonts w:ascii="Times New Roman" w:hAnsi="Times New Roman"/>
                <w:sz w:val="24"/>
                <w:szCs w:val="24"/>
              </w:rPr>
            </w:pPr>
          </w:p>
          <w:p w14:paraId="35B5D607" w14:textId="76728EC6" w:rsidR="006533B5" w:rsidRDefault="006533B5" w:rsidP="006533B5">
            <w:pPr>
              <w:tabs>
                <w:tab w:val="left" w:pos="175"/>
              </w:tabs>
              <w:jc w:val="both"/>
              <w:rPr>
                <w:rFonts w:ascii="Times New Roman" w:hAnsi="Times New Roman"/>
                <w:sz w:val="24"/>
                <w:szCs w:val="24"/>
              </w:rPr>
            </w:pPr>
            <w:r w:rsidRPr="00735889">
              <w:rPr>
                <w:rFonts w:ascii="Times New Roman" w:hAnsi="Times New Roman"/>
                <w:sz w:val="24"/>
                <w:szCs w:val="24"/>
              </w:rPr>
              <w:t xml:space="preserve">- </w:t>
            </w:r>
            <w:r>
              <w:rPr>
                <w:rFonts w:ascii="Times New Roman" w:hAnsi="Times New Roman"/>
                <w:sz w:val="24"/>
                <w:szCs w:val="24"/>
              </w:rPr>
              <w:t>vertinant ar vykdant priemones veiklas yra galimi ženklūs sutaupymai, buvo nustatyta, kad kiekvienas projektas yra individualus bei veiklų tikslas nėra tik sutaupymai, t.y. gyvendinat veiklas bus siekiama užtikrinti šilumos tiekimo kokybę bei patikimumą.</w:t>
            </w:r>
          </w:p>
          <w:p w14:paraId="4B22778E" w14:textId="77777777" w:rsidR="00B55F32" w:rsidRPr="007528AB" w:rsidRDefault="00B55F32" w:rsidP="008B4412">
            <w:pPr>
              <w:keepNext/>
              <w:tabs>
                <w:tab w:val="left" w:pos="175"/>
              </w:tabs>
              <w:jc w:val="both"/>
              <w:rPr>
                <w:rFonts w:ascii="Times New Roman" w:hAnsi="Times New Roman"/>
                <w:sz w:val="24"/>
                <w:szCs w:val="24"/>
              </w:rPr>
            </w:pPr>
          </w:p>
          <w:p w14:paraId="0106ED4E" w14:textId="1ECF1A2F" w:rsidR="00AF3070" w:rsidRPr="007528AB" w:rsidRDefault="00E323DB" w:rsidP="00374B00">
            <w:pPr>
              <w:keepNext/>
              <w:tabs>
                <w:tab w:val="left" w:pos="175"/>
              </w:tabs>
              <w:jc w:val="both"/>
              <w:rPr>
                <w:rFonts w:ascii="Times New Roman" w:eastAsiaTheme="minorHAnsi" w:hAnsi="Times New Roman"/>
                <w:sz w:val="24"/>
                <w:szCs w:val="24"/>
              </w:rPr>
            </w:pPr>
            <w:r w:rsidRPr="007528AB">
              <w:rPr>
                <w:rFonts w:ascii="Times New Roman" w:hAnsi="Times New Roman"/>
                <w:sz w:val="24"/>
                <w:szCs w:val="24"/>
              </w:rPr>
              <w:t xml:space="preserve">Atsižvelgiant į aukščiau išvardintas priežastis, projektų įgyvendinimui </w:t>
            </w:r>
            <w:r w:rsidR="00374B00">
              <w:rPr>
                <w:rFonts w:ascii="Times New Roman" w:eastAsiaTheme="minorHAnsi" w:hAnsi="Times New Roman"/>
                <w:sz w:val="24"/>
                <w:szCs w:val="24"/>
              </w:rPr>
              <w:t>nebus taikoma grąžinamoji subsidija</w:t>
            </w:r>
            <w:r w:rsidRPr="007528AB">
              <w:rPr>
                <w:rFonts w:ascii="Times New Roman" w:eastAsiaTheme="minorHAnsi" w:hAnsi="Times New Roman"/>
                <w:sz w:val="24"/>
                <w:szCs w:val="24"/>
              </w:rPr>
              <w:t>.</w:t>
            </w:r>
          </w:p>
        </w:tc>
      </w:tr>
      <w:tr w:rsidR="007528AB" w:rsidRPr="007528AB" w14:paraId="2E7CF236" w14:textId="77777777" w:rsidTr="00A513FA">
        <w:tc>
          <w:tcPr>
            <w:tcW w:w="10348" w:type="dxa"/>
            <w:gridSpan w:val="3"/>
            <w:shd w:val="clear" w:color="auto" w:fill="F2F2F2" w:themeFill="background1" w:themeFillShade="F2"/>
          </w:tcPr>
          <w:p w14:paraId="4DD2E3E0" w14:textId="77777777" w:rsidR="00FB6137" w:rsidRPr="007528AB" w:rsidRDefault="00FB6137" w:rsidP="00D80DEB">
            <w:pPr>
              <w:tabs>
                <w:tab w:val="left" w:pos="567"/>
              </w:tabs>
              <w:ind w:left="34"/>
              <w:jc w:val="center"/>
              <w:rPr>
                <w:rFonts w:ascii="Times New Roman" w:hAnsi="Times New Roman"/>
                <w:sz w:val="24"/>
                <w:szCs w:val="24"/>
              </w:rPr>
            </w:pPr>
            <w:r w:rsidRPr="007528AB">
              <w:rPr>
                <w:rFonts w:ascii="Times New Roman" w:hAnsi="Times New Roman"/>
                <w:b/>
                <w:sz w:val="24"/>
                <w:szCs w:val="24"/>
              </w:rPr>
              <w:t>III. Atrankos būdas</w:t>
            </w:r>
          </w:p>
        </w:tc>
      </w:tr>
      <w:tr w:rsidR="007528AB" w:rsidRPr="007528AB" w14:paraId="31F2B5BC" w14:textId="77777777" w:rsidTr="00A513FA">
        <w:tc>
          <w:tcPr>
            <w:tcW w:w="567" w:type="dxa"/>
          </w:tcPr>
          <w:p w14:paraId="0A64C714" w14:textId="77777777" w:rsidR="00FB6137" w:rsidRPr="007528AB" w:rsidRDefault="00FB6137" w:rsidP="00FB6137">
            <w:pPr>
              <w:pStyle w:val="ListParagraph"/>
              <w:numPr>
                <w:ilvl w:val="0"/>
                <w:numId w:val="1"/>
              </w:numPr>
              <w:tabs>
                <w:tab w:val="left" w:pos="567"/>
              </w:tabs>
              <w:ind w:hanging="1046"/>
              <w:rPr>
                <w:rFonts w:ascii="Times New Roman" w:hAnsi="Times New Roman"/>
                <w:sz w:val="24"/>
                <w:szCs w:val="24"/>
              </w:rPr>
            </w:pPr>
          </w:p>
        </w:tc>
        <w:tc>
          <w:tcPr>
            <w:tcW w:w="2836" w:type="dxa"/>
            <w:shd w:val="clear" w:color="auto" w:fill="auto"/>
          </w:tcPr>
          <w:p w14:paraId="57360C5A" w14:textId="77777777" w:rsidR="00FB6137" w:rsidRPr="007528AB" w:rsidRDefault="00FB6137" w:rsidP="00D80DEB">
            <w:pPr>
              <w:tabs>
                <w:tab w:val="left" w:pos="567"/>
              </w:tabs>
              <w:rPr>
                <w:rFonts w:ascii="Times New Roman" w:hAnsi="Times New Roman"/>
                <w:sz w:val="24"/>
                <w:szCs w:val="24"/>
              </w:rPr>
            </w:pPr>
            <w:r w:rsidRPr="007528AB">
              <w:rPr>
                <w:rFonts w:ascii="Times New Roman" w:hAnsi="Times New Roman"/>
                <w:sz w:val="24"/>
                <w:szCs w:val="24"/>
              </w:rPr>
              <w:t xml:space="preserve">Projektų atrankos būdo pagrįstumas </w:t>
            </w:r>
          </w:p>
        </w:tc>
        <w:tc>
          <w:tcPr>
            <w:tcW w:w="6945" w:type="dxa"/>
          </w:tcPr>
          <w:p w14:paraId="4F84BA7A" w14:textId="6F27FD52" w:rsidR="00E1165A" w:rsidRPr="007528AB" w:rsidRDefault="00404877" w:rsidP="00706202">
            <w:pPr>
              <w:tabs>
                <w:tab w:val="left" w:pos="567"/>
              </w:tabs>
              <w:jc w:val="both"/>
              <w:rPr>
                <w:rFonts w:ascii="Times New Roman" w:eastAsia="Times New Roman" w:hAnsi="Times New Roman"/>
                <w:sz w:val="24"/>
                <w:szCs w:val="24"/>
                <w:shd w:val="clear" w:color="auto" w:fill="FFFFFF"/>
              </w:rPr>
            </w:pPr>
            <w:r w:rsidRPr="007528AB">
              <w:rPr>
                <w:rFonts w:ascii="Times New Roman" w:hAnsi="Times New Roman"/>
                <w:sz w:val="24"/>
                <w:szCs w:val="24"/>
              </w:rPr>
              <w:t xml:space="preserve">Siekiant </w:t>
            </w:r>
            <w:r w:rsidR="00DE6E01" w:rsidRPr="007528AB">
              <w:rPr>
                <w:rFonts w:ascii="Times New Roman" w:hAnsi="Times New Roman"/>
                <w:sz w:val="24"/>
                <w:szCs w:val="24"/>
              </w:rPr>
              <w:t>sudar</w:t>
            </w:r>
            <w:r w:rsidRPr="007528AB">
              <w:rPr>
                <w:rFonts w:ascii="Times New Roman" w:hAnsi="Times New Roman"/>
                <w:sz w:val="24"/>
                <w:szCs w:val="24"/>
              </w:rPr>
              <w:t>yti</w:t>
            </w:r>
            <w:r w:rsidR="00DE6E01" w:rsidRPr="007528AB">
              <w:rPr>
                <w:rFonts w:ascii="Times New Roman" w:hAnsi="Times New Roman"/>
                <w:sz w:val="24"/>
                <w:szCs w:val="24"/>
              </w:rPr>
              <w:t xml:space="preserve"> vienodas ir nediskriminacines sąlygas visiems tinkamiems pareiškėjams įgyti teisę pasinaudoti ES fondų teikiama parama</w:t>
            </w:r>
            <w:r w:rsidRPr="007528AB">
              <w:rPr>
                <w:rFonts w:ascii="Times New Roman" w:hAnsi="Times New Roman"/>
                <w:sz w:val="24"/>
                <w:szCs w:val="24"/>
              </w:rPr>
              <w:t xml:space="preserve"> pasirinktas projektų konkursas</w:t>
            </w:r>
            <w:r w:rsidR="00DE6E01" w:rsidRPr="007528AB">
              <w:rPr>
                <w:rFonts w:ascii="Times New Roman" w:hAnsi="Times New Roman"/>
                <w:sz w:val="24"/>
                <w:szCs w:val="24"/>
              </w:rPr>
              <w:t>. Šis projektų atrankos būdas</w:t>
            </w:r>
            <w:r w:rsidRPr="007528AB">
              <w:rPr>
                <w:rFonts w:ascii="Times New Roman" w:hAnsi="Times New Roman"/>
                <w:sz w:val="24"/>
                <w:szCs w:val="24"/>
              </w:rPr>
              <w:t xml:space="preserve"> taip pat</w:t>
            </w:r>
            <w:r w:rsidR="00DE6E01" w:rsidRPr="007528AB">
              <w:rPr>
                <w:rFonts w:ascii="Times New Roman" w:hAnsi="Times New Roman"/>
                <w:sz w:val="24"/>
                <w:szCs w:val="24"/>
              </w:rPr>
              <w:t xml:space="preserve"> užtikr</w:t>
            </w:r>
            <w:r w:rsidR="00EA5900" w:rsidRPr="007528AB">
              <w:rPr>
                <w:rFonts w:ascii="Times New Roman" w:hAnsi="Times New Roman"/>
                <w:sz w:val="24"/>
                <w:szCs w:val="24"/>
              </w:rPr>
              <w:t>ina lėšų panaudojimo efektyvumą bei</w:t>
            </w:r>
            <w:r w:rsidR="00DE6E01" w:rsidRPr="007528AB">
              <w:rPr>
                <w:rFonts w:ascii="Times New Roman" w:eastAsia="Times New Roman" w:hAnsi="Times New Roman"/>
                <w:sz w:val="24"/>
                <w:szCs w:val="24"/>
              </w:rPr>
              <w:t xml:space="preserve"> padės nustatyti, kuris pareiškėjas galėtų geriau</w:t>
            </w:r>
            <w:r w:rsidR="000C760C" w:rsidRPr="007528AB">
              <w:rPr>
                <w:rFonts w:ascii="Times New Roman" w:eastAsia="Times New Roman" w:hAnsi="Times New Roman"/>
                <w:sz w:val="24"/>
                <w:szCs w:val="24"/>
              </w:rPr>
              <w:t>siai</w:t>
            </w:r>
            <w:r w:rsidR="00DE6E01" w:rsidRPr="007528AB">
              <w:rPr>
                <w:rFonts w:ascii="Times New Roman" w:eastAsia="Times New Roman" w:hAnsi="Times New Roman"/>
                <w:sz w:val="24"/>
                <w:szCs w:val="24"/>
              </w:rPr>
              <w:t xml:space="preserve"> prisidėti prie veiksmų programos prioriteto konkretaus uždavinio įgyvendinimo.</w:t>
            </w:r>
          </w:p>
        </w:tc>
      </w:tr>
      <w:tr w:rsidR="007528AB" w:rsidRPr="007528AB" w14:paraId="7FC3F5C4" w14:textId="77777777" w:rsidTr="00A513FA">
        <w:tc>
          <w:tcPr>
            <w:tcW w:w="10348" w:type="dxa"/>
            <w:gridSpan w:val="3"/>
            <w:shd w:val="clear" w:color="auto" w:fill="F2F2F2" w:themeFill="background1" w:themeFillShade="F2"/>
          </w:tcPr>
          <w:p w14:paraId="4732B7DA" w14:textId="77777777" w:rsidR="00FB6137" w:rsidRPr="007528AB" w:rsidRDefault="00FB6137" w:rsidP="00D80DEB">
            <w:pPr>
              <w:tabs>
                <w:tab w:val="left" w:pos="567"/>
              </w:tabs>
              <w:ind w:left="34"/>
              <w:jc w:val="center"/>
              <w:rPr>
                <w:rFonts w:ascii="Times New Roman" w:hAnsi="Times New Roman"/>
                <w:b/>
                <w:sz w:val="24"/>
                <w:szCs w:val="24"/>
              </w:rPr>
            </w:pPr>
            <w:r w:rsidRPr="007528AB">
              <w:rPr>
                <w:rFonts w:ascii="Times New Roman" w:hAnsi="Times New Roman"/>
                <w:b/>
                <w:sz w:val="24"/>
                <w:szCs w:val="24"/>
              </w:rPr>
              <w:t>IV. Įgyvendinančioji institucija</w:t>
            </w:r>
          </w:p>
        </w:tc>
      </w:tr>
      <w:tr w:rsidR="007528AB" w:rsidRPr="007528AB" w14:paraId="0B2F1D63" w14:textId="77777777" w:rsidTr="00A513FA">
        <w:tc>
          <w:tcPr>
            <w:tcW w:w="567" w:type="dxa"/>
          </w:tcPr>
          <w:p w14:paraId="1BB85CA9" w14:textId="77777777" w:rsidR="00FB6137" w:rsidRPr="007528AB" w:rsidRDefault="00FB6137" w:rsidP="00FB6137">
            <w:pPr>
              <w:pStyle w:val="ListParagraph"/>
              <w:numPr>
                <w:ilvl w:val="0"/>
                <w:numId w:val="1"/>
              </w:numPr>
              <w:tabs>
                <w:tab w:val="left" w:pos="567"/>
              </w:tabs>
              <w:ind w:hanging="1046"/>
              <w:rPr>
                <w:rFonts w:ascii="Times New Roman" w:hAnsi="Times New Roman"/>
                <w:sz w:val="24"/>
                <w:szCs w:val="24"/>
              </w:rPr>
            </w:pPr>
          </w:p>
        </w:tc>
        <w:tc>
          <w:tcPr>
            <w:tcW w:w="2836" w:type="dxa"/>
          </w:tcPr>
          <w:p w14:paraId="0AC78DFF" w14:textId="77777777" w:rsidR="00FB6137" w:rsidRPr="007528AB" w:rsidRDefault="00FB6137" w:rsidP="00D80DEB">
            <w:pPr>
              <w:tabs>
                <w:tab w:val="left" w:pos="567"/>
              </w:tabs>
              <w:rPr>
                <w:rFonts w:ascii="Times New Roman" w:hAnsi="Times New Roman"/>
                <w:sz w:val="24"/>
                <w:szCs w:val="24"/>
              </w:rPr>
            </w:pPr>
            <w:r w:rsidRPr="007528AB">
              <w:rPr>
                <w:rFonts w:ascii="Times New Roman" w:hAnsi="Times New Roman"/>
                <w:sz w:val="24"/>
                <w:szCs w:val="24"/>
              </w:rPr>
              <w:t>Įgyvendinančiosios  institucijos pasirinkimas (jei taikoma)</w:t>
            </w:r>
          </w:p>
        </w:tc>
        <w:tc>
          <w:tcPr>
            <w:tcW w:w="6945" w:type="dxa"/>
          </w:tcPr>
          <w:p w14:paraId="249F37DF" w14:textId="196A2611" w:rsidR="0090359E" w:rsidRPr="007528AB" w:rsidRDefault="00875AB6" w:rsidP="00215786">
            <w:pPr>
              <w:tabs>
                <w:tab w:val="left" w:pos="178"/>
              </w:tabs>
              <w:jc w:val="both"/>
              <w:rPr>
                <w:rFonts w:ascii="Times New Roman" w:hAnsi="Times New Roman"/>
                <w:sz w:val="24"/>
                <w:szCs w:val="24"/>
              </w:rPr>
            </w:pPr>
            <w:r w:rsidRPr="007528AB">
              <w:rPr>
                <w:rFonts w:ascii="Times New Roman" w:hAnsi="Times New Roman"/>
                <w:sz w:val="24"/>
                <w:szCs w:val="24"/>
              </w:rPr>
              <w:t xml:space="preserve">VšĮ </w:t>
            </w:r>
            <w:r w:rsidR="0090359E" w:rsidRPr="007528AB">
              <w:rPr>
                <w:rFonts w:ascii="Times New Roman" w:hAnsi="Times New Roman"/>
                <w:sz w:val="24"/>
                <w:szCs w:val="24"/>
              </w:rPr>
              <w:t>L</w:t>
            </w:r>
            <w:r w:rsidRPr="007528AB">
              <w:rPr>
                <w:rFonts w:ascii="Times New Roman" w:hAnsi="Times New Roman"/>
                <w:sz w:val="24"/>
                <w:szCs w:val="24"/>
              </w:rPr>
              <w:t>ietuvos verslo paramos agentūra (toliau – LVPA)</w:t>
            </w:r>
            <w:r w:rsidR="008B2A40" w:rsidRPr="007528AB">
              <w:rPr>
                <w:rFonts w:ascii="Times New Roman" w:hAnsi="Times New Roman"/>
                <w:sz w:val="24"/>
                <w:szCs w:val="24"/>
              </w:rPr>
              <w:t xml:space="preserve"> pasirinkta </w:t>
            </w:r>
            <w:r w:rsidR="00215786" w:rsidRPr="007528AB">
              <w:rPr>
                <w:rFonts w:ascii="Times New Roman" w:hAnsi="Times New Roman"/>
                <w:sz w:val="24"/>
                <w:szCs w:val="24"/>
              </w:rPr>
              <w:t>vadovaujantis 2014 m. birželio 4 d. LR Vyriausybės nutarimu Nr. 528  patvirtintomis Atsakomybės ir funkcijų paskirstymo tarp institucijų, įgyvendinant 2014–2020 metų Europos Sąjungos struktūrinių fondų investicijų veiksmų programą, taisyklėmis</w:t>
            </w:r>
            <w:r w:rsidR="00215786">
              <w:rPr>
                <w:rFonts w:ascii="Times New Roman" w:hAnsi="Times New Roman"/>
                <w:sz w:val="24"/>
                <w:szCs w:val="24"/>
              </w:rPr>
              <w:t xml:space="preserve"> ir jų priedu bei atsižvelgiant į tai, kad LVPA</w:t>
            </w:r>
            <w:r w:rsidR="00215786" w:rsidRPr="00215786">
              <w:rPr>
                <w:rFonts w:ascii="Times New Roman" w:hAnsi="Times New Roman"/>
                <w:sz w:val="24"/>
                <w:szCs w:val="24"/>
              </w:rPr>
              <w:t xml:space="preserve"> administruoja </w:t>
            </w:r>
            <w:r w:rsidR="00215786">
              <w:rPr>
                <w:rFonts w:ascii="Times New Roman" w:hAnsi="Times New Roman"/>
                <w:sz w:val="24"/>
                <w:szCs w:val="24"/>
              </w:rPr>
              <w:t>ES paramos lėšas, skirtas</w:t>
            </w:r>
            <w:r w:rsidR="00215786" w:rsidRPr="00215786">
              <w:rPr>
                <w:rFonts w:ascii="Times New Roman" w:hAnsi="Times New Roman"/>
                <w:sz w:val="24"/>
                <w:szCs w:val="24"/>
              </w:rPr>
              <w:t xml:space="preserve"> energetikos sektoriams plėtoti.</w:t>
            </w:r>
          </w:p>
        </w:tc>
      </w:tr>
      <w:tr w:rsidR="007528AB" w:rsidRPr="007528AB" w14:paraId="3F315B55" w14:textId="77777777" w:rsidTr="00A513FA">
        <w:tc>
          <w:tcPr>
            <w:tcW w:w="10348" w:type="dxa"/>
            <w:gridSpan w:val="3"/>
            <w:shd w:val="clear" w:color="auto" w:fill="F2F2F2" w:themeFill="background1" w:themeFillShade="F2"/>
          </w:tcPr>
          <w:p w14:paraId="29871B5C" w14:textId="77777777" w:rsidR="00FB6137" w:rsidRPr="007528AB" w:rsidRDefault="00FB6137" w:rsidP="00D80DEB">
            <w:pPr>
              <w:tabs>
                <w:tab w:val="left" w:pos="567"/>
                <w:tab w:val="left" w:pos="709"/>
              </w:tabs>
              <w:ind w:left="34"/>
              <w:jc w:val="center"/>
              <w:rPr>
                <w:rFonts w:ascii="Times New Roman" w:hAnsi="Times New Roman"/>
                <w:b/>
                <w:sz w:val="24"/>
                <w:szCs w:val="24"/>
              </w:rPr>
            </w:pPr>
            <w:r w:rsidRPr="007528AB">
              <w:rPr>
                <w:rFonts w:ascii="Times New Roman" w:hAnsi="Times New Roman"/>
                <w:b/>
                <w:sz w:val="24"/>
                <w:szCs w:val="24"/>
              </w:rPr>
              <w:t>V.</w:t>
            </w:r>
            <w:r w:rsidRPr="007528AB">
              <w:rPr>
                <w:rFonts w:ascii="Times New Roman" w:hAnsi="Times New Roman"/>
                <w:b/>
                <w:bCs/>
                <w:sz w:val="24"/>
                <w:szCs w:val="24"/>
              </w:rPr>
              <w:t xml:space="preserve"> Reikalavimai, susiję su paramos pagal kitas iš ES finansuojamas programas ir kitą tarptautinę paramą atskyrimu</w:t>
            </w:r>
          </w:p>
        </w:tc>
      </w:tr>
      <w:tr w:rsidR="007528AB" w:rsidRPr="007528AB" w14:paraId="624A1D7C" w14:textId="77777777" w:rsidTr="00A513FA">
        <w:tc>
          <w:tcPr>
            <w:tcW w:w="567" w:type="dxa"/>
          </w:tcPr>
          <w:p w14:paraId="6389AD95" w14:textId="77777777" w:rsidR="00FB6137" w:rsidRPr="007528AB" w:rsidRDefault="00FB6137" w:rsidP="00FB6137">
            <w:pPr>
              <w:pStyle w:val="ListParagraph"/>
              <w:numPr>
                <w:ilvl w:val="0"/>
                <w:numId w:val="1"/>
              </w:numPr>
              <w:tabs>
                <w:tab w:val="left" w:pos="567"/>
              </w:tabs>
              <w:ind w:hanging="1046"/>
              <w:rPr>
                <w:rFonts w:ascii="Times New Roman" w:hAnsi="Times New Roman"/>
                <w:sz w:val="24"/>
                <w:szCs w:val="24"/>
              </w:rPr>
            </w:pPr>
          </w:p>
        </w:tc>
        <w:tc>
          <w:tcPr>
            <w:tcW w:w="2836" w:type="dxa"/>
            <w:shd w:val="clear" w:color="auto" w:fill="auto"/>
          </w:tcPr>
          <w:p w14:paraId="33D527F0" w14:textId="77777777" w:rsidR="00FB6137" w:rsidRPr="007528AB" w:rsidRDefault="00FB6137" w:rsidP="00D80DEB">
            <w:pPr>
              <w:tabs>
                <w:tab w:val="left" w:pos="567"/>
              </w:tabs>
              <w:rPr>
                <w:rFonts w:ascii="Times New Roman" w:hAnsi="Times New Roman"/>
                <w:sz w:val="24"/>
                <w:szCs w:val="24"/>
              </w:rPr>
            </w:pPr>
            <w:r w:rsidRPr="007528AB">
              <w:rPr>
                <w:rFonts w:ascii="Times New Roman" w:hAnsi="Times New Roman"/>
                <w:sz w:val="24"/>
                <w:szCs w:val="24"/>
              </w:rPr>
              <w:t xml:space="preserve">Priemonės sankirtų su kitomis veiksmų programos priemonėmis įvertinimas ir nustatymas </w:t>
            </w:r>
          </w:p>
        </w:tc>
        <w:tc>
          <w:tcPr>
            <w:tcW w:w="6945" w:type="dxa"/>
          </w:tcPr>
          <w:p w14:paraId="34CA5F56" w14:textId="0AB7F874" w:rsidR="00C738BF" w:rsidRDefault="005520E6" w:rsidP="00C738BF">
            <w:pPr>
              <w:pStyle w:val="CommentText"/>
              <w:jc w:val="both"/>
              <w:rPr>
                <w:rFonts w:ascii="Times New Roman" w:hAnsi="Times New Roman"/>
                <w:sz w:val="24"/>
                <w:szCs w:val="24"/>
              </w:rPr>
            </w:pPr>
            <w:r w:rsidRPr="005520E6">
              <w:rPr>
                <w:rFonts w:ascii="Times New Roman" w:hAnsi="Times New Roman"/>
                <w:sz w:val="24"/>
                <w:szCs w:val="24"/>
              </w:rPr>
              <w:t>G</w:t>
            </w:r>
            <w:r w:rsidR="00C85353">
              <w:rPr>
                <w:rFonts w:ascii="Times New Roman" w:hAnsi="Times New Roman"/>
                <w:sz w:val="24"/>
                <w:szCs w:val="24"/>
              </w:rPr>
              <w:t>alimų sankirtų analizė atlikta v</w:t>
            </w:r>
            <w:r w:rsidRPr="005520E6">
              <w:rPr>
                <w:rFonts w:ascii="Times New Roman" w:hAnsi="Times New Roman"/>
                <w:sz w:val="24"/>
                <w:szCs w:val="24"/>
              </w:rPr>
              <w:t xml:space="preserve">eiksmų programoje numatytų finansuotinų veiklų lygiu. </w:t>
            </w:r>
          </w:p>
          <w:p w14:paraId="5F938E39" w14:textId="77777777" w:rsidR="00803163" w:rsidRDefault="00803163" w:rsidP="00C738BF">
            <w:pPr>
              <w:pStyle w:val="CommentText"/>
              <w:jc w:val="both"/>
              <w:rPr>
                <w:rFonts w:ascii="Times New Roman" w:hAnsi="Times New Roman"/>
                <w:sz w:val="24"/>
                <w:szCs w:val="24"/>
              </w:rPr>
            </w:pPr>
          </w:p>
          <w:p w14:paraId="5E87BA07" w14:textId="76BD62E5" w:rsidR="00C738BF" w:rsidRDefault="00C738BF" w:rsidP="00C738BF">
            <w:pPr>
              <w:pStyle w:val="CommentText"/>
              <w:jc w:val="both"/>
              <w:rPr>
                <w:rFonts w:ascii="Times New Roman" w:hAnsi="Times New Roman"/>
                <w:sz w:val="24"/>
                <w:szCs w:val="24"/>
              </w:rPr>
            </w:pPr>
            <w:r>
              <w:rPr>
                <w:rFonts w:ascii="Times New Roman" w:hAnsi="Times New Roman"/>
                <w:sz w:val="24"/>
                <w:szCs w:val="24"/>
              </w:rPr>
              <w:t>Š</w:t>
            </w:r>
            <w:r w:rsidR="005520E6" w:rsidRPr="005520E6">
              <w:rPr>
                <w:rFonts w:ascii="Times New Roman" w:hAnsi="Times New Roman"/>
                <w:sz w:val="24"/>
                <w:szCs w:val="24"/>
              </w:rPr>
              <w:t>ios priemonės finansuotinų veiklų sankirt</w:t>
            </w:r>
            <w:r>
              <w:rPr>
                <w:rFonts w:ascii="Times New Roman" w:hAnsi="Times New Roman"/>
                <w:sz w:val="24"/>
                <w:szCs w:val="24"/>
              </w:rPr>
              <w:t>a</w:t>
            </w:r>
            <w:r w:rsidR="005520E6" w:rsidRPr="005520E6">
              <w:rPr>
                <w:rFonts w:ascii="Times New Roman" w:hAnsi="Times New Roman"/>
                <w:sz w:val="24"/>
                <w:szCs w:val="24"/>
              </w:rPr>
              <w:t xml:space="preserve"> </w:t>
            </w:r>
            <w:r>
              <w:rPr>
                <w:rFonts w:ascii="Times New Roman" w:hAnsi="Times New Roman"/>
                <w:sz w:val="24"/>
                <w:szCs w:val="24"/>
              </w:rPr>
              <w:t xml:space="preserve">galima su </w:t>
            </w:r>
            <w:r w:rsidRPr="00C738BF">
              <w:rPr>
                <w:rFonts w:ascii="Times New Roman" w:hAnsi="Times New Roman"/>
                <w:sz w:val="24"/>
                <w:szCs w:val="24"/>
              </w:rPr>
              <w:t>4 prioritet</w:t>
            </w:r>
            <w:r>
              <w:rPr>
                <w:rFonts w:ascii="Times New Roman" w:hAnsi="Times New Roman"/>
                <w:sz w:val="24"/>
                <w:szCs w:val="24"/>
              </w:rPr>
              <w:t>o</w:t>
            </w:r>
            <w:r w:rsidRPr="00C738BF">
              <w:rPr>
                <w:rFonts w:ascii="Times New Roman" w:hAnsi="Times New Roman"/>
                <w:sz w:val="24"/>
                <w:szCs w:val="24"/>
              </w:rPr>
              <w:t xml:space="preserve"> „Energijos efektyvumo ir atsinaujinančių išteklių energijos gamybos ir naudojim</w:t>
            </w:r>
            <w:r w:rsidR="00756722">
              <w:rPr>
                <w:rFonts w:ascii="Times New Roman" w:hAnsi="Times New Roman"/>
                <w:sz w:val="24"/>
                <w:szCs w:val="24"/>
              </w:rPr>
              <w:t>o skatinimas“</w:t>
            </w:r>
            <w:r w:rsidR="00AC6C4F">
              <w:rPr>
                <w:rFonts w:ascii="Times New Roman" w:hAnsi="Times New Roman"/>
                <w:sz w:val="24"/>
                <w:szCs w:val="24"/>
              </w:rPr>
              <w:t xml:space="preserve"> 4.2</w:t>
            </w:r>
            <w:r>
              <w:rPr>
                <w:rFonts w:ascii="Times New Roman" w:hAnsi="Times New Roman"/>
                <w:sz w:val="24"/>
                <w:szCs w:val="24"/>
              </w:rPr>
              <w:t xml:space="preserve"> investicinio</w:t>
            </w:r>
            <w:r w:rsidRPr="00C738BF">
              <w:rPr>
                <w:rFonts w:ascii="Times New Roman" w:hAnsi="Times New Roman"/>
                <w:sz w:val="24"/>
                <w:szCs w:val="24"/>
              </w:rPr>
              <w:t xml:space="preserve"> prioritet</w:t>
            </w:r>
            <w:r>
              <w:rPr>
                <w:rFonts w:ascii="Times New Roman" w:hAnsi="Times New Roman"/>
                <w:sz w:val="24"/>
                <w:szCs w:val="24"/>
              </w:rPr>
              <w:t>o</w:t>
            </w:r>
            <w:r w:rsidRPr="00C738BF">
              <w:rPr>
                <w:rFonts w:ascii="Times New Roman" w:hAnsi="Times New Roman"/>
                <w:sz w:val="24"/>
                <w:szCs w:val="24"/>
              </w:rPr>
              <w:t xml:space="preserve"> „Energijos vartojimo </w:t>
            </w:r>
            <w:r w:rsidRPr="00C738BF">
              <w:rPr>
                <w:rFonts w:ascii="Times New Roman" w:hAnsi="Times New Roman"/>
                <w:sz w:val="24"/>
                <w:szCs w:val="24"/>
              </w:rPr>
              <w:lastRenderedPageBreak/>
              <w:t>efektyvumo ir atsinaujinančių išteklių energijos vart</w:t>
            </w:r>
            <w:r w:rsidR="00AC6C4F">
              <w:rPr>
                <w:rFonts w:ascii="Times New Roman" w:hAnsi="Times New Roman"/>
                <w:sz w:val="24"/>
                <w:szCs w:val="24"/>
              </w:rPr>
              <w:t>ojimo įmonėse skatinimas“ 4.2.1</w:t>
            </w:r>
            <w:r w:rsidRPr="00C738BF">
              <w:rPr>
                <w:rFonts w:ascii="Times New Roman" w:hAnsi="Times New Roman"/>
                <w:sz w:val="24"/>
                <w:szCs w:val="24"/>
              </w:rPr>
              <w:t xml:space="preserve"> konkret</w:t>
            </w:r>
            <w:r w:rsidR="00F93C10">
              <w:rPr>
                <w:rFonts w:ascii="Times New Roman" w:hAnsi="Times New Roman"/>
                <w:sz w:val="24"/>
                <w:szCs w:val="24"/>
              </w:rPr>
              <w:t>a</w:t>
            </w:r>
            <w:r w:rsidRPr="00C738BF">
              <w:rPr>
                <w:rFonts w:ascii="Times New Roman" w:hAnsi="Times New Roman"/>
                <w:sz w:val="24"/>
                <w:szCs w:val="24"/>
              </w:rPr>
              <w:t>us uždavin</w:t>
            </w:r>
            <w:r>
              <w:rPr>
                <w:rFonts w:ascii="Times New Roman" w:hAnsi="Times New Roman"/>
                <w:sz w:val="24"/>
                <w:szCs w:val="24"/>
              </w:rPr>
              <w:t>io</w:t>
            </w:r>
            <w:r w:rsidRPr="00C738BF">
              <w:rPr>
                <w:rFonts w:ascii="Times New Roman" w:hAnsi="Times New Roman"/>
                <w:sz w:val="24"/>
                <w:szCs w:val="24"/>
              </w:rPr>
              <w:t xml:space="preserve"> „Sumažinti energijos vartojim</w:t>
            </w:r>
            <w:r>
              <w:rPr>
                <w:rFonts w:ascii="Times New Roman" w:hAnsi="Times New Roman"/>
                <w:sz w:val="24"/>
                <w:szCs w:val="24"/>
              </w:rPr>
              <w:t xml:space="preserve">o intensyvumą pramonės įmonėse“ priemone </w:t>
            </w:r>
            <w:r w:rsidR="00756722">
              <w:rPr>
                <w:rFonts w:ascii="Times New Roman" w:hAnsi="Times New Roman"/>
                <w:sz w:val="24"/>
                <w:szCs w:val="24"/>
              </w:rPr>
              <w:t>„RES pramonei</w:t>
            </w:r>
            <w:r>
              <w:rPr>
                <w:rFonts w:ascii="Times New Roman" w:hAnsi="Times New Roman"/>
                <w:sz w:val="24"/>
                <w:szCs w:val="24"/>
              </w:rPr>
              <w:t xml:space="preserve"> LT+“ </w:t>
            </w:r>
            <w:r w:rsidR="005520E6" w:rsidRPr="005520E6">
              <w:rPr>
                <w:rFonts w:ascii="Times New Roman" w:hAnsi="Times New Roman"/>
                <w:sz w:val="24"/>
                <w:szCs w:val="24"/>
              </w:rPr>
              <w:t>numatyt</w:t>
            </w:r>
            <w:r>
              <w:rPr>
                <w:rFonts w:ascii="Times New Roman" w:hAnsi="Times New Roman"/>
                <w:sz w:val="24"/>
                <w:szCs w:val="24"/>
              </w:rPr>
              <w:t>a</w:t>
            </w:r>
            <w:r w:rsidR="005520E6" w:rsidRPr="005520E6">
              <w:rPr>
                <w:rFonts w:ascii="Times New Roman" w:hAnsi="Times New Roman"/>
                <w:sz w:val="24"/>
                <w:szCs w:val="24"/>
              </w:rPr>
              <w:t xml:space="preserve"> finansuoti</w:t>
            </w:r>
            <w:r>
              <w:rPr>
                <w:rFonts w:ascii="Times New Roman" w:hAnsi="Times New Roman"/>
                <w:sz w:val="24"/>
                <w:szCs w:val="24"/>
              </w:rPr>
              <w:t>na</w:t>
            </w:r>
            <w:r w:rsidR="005520E6" w:rsidRPr="005520E6">
              <w:rPr>
                <w:rFonts w:ascii="Times New Roman" w:hAnsi="Times New Roman"/>
                <w:sz w:val="24"/>
                <w:szCs w:val="24"/>
              </w:rPr>
              <w:t xml:space="preserve"> veikl</w:t>
            </w:r>
            <w:r>
              <w:rPr>
                <w:rFonts w:ascii="Times New Roman" w:hAnsi="Times New Roman"/>
                <w:sz w:val="24"/>
                <w:szCs w:val="24"/>
              </w:rPr>
              <w:t>a</w:t>
            </w:r>
            <w:r w:rsidR="00C734DF">
              <w:rPr>
                <w:rFonts w:ascii="Times New Roman" w:hAnsi="Times New Roman"/>
                <w:sz w:val="24"/>
                <w:szCs w:val="24"/>
              </w:rPr>
              <w:t xml:space="preserve">, tačiau yra </w:t>
            </w:r>
            <w:r w:rsidR="00333E3F">
              <w:rPr>
                <w:rFonts w:ascii="Times New Roman" w:hAnsi="Times New Roman"/>
                <w:sz w:val="24"/>
                <w:szCs w:val="24"/>
              </w:rPr>
              <w:t xml:space="preserve">nustatyta </w:t>
            </w:r>
            <w:r w:rsidR="00C734DF">
              <w:rPr>
                <w:rFonts w:ascii="Times New Roman" w:hAnsi="Times New Roman"/>
                <w:sz w:val="24"/>
                <w:szCs w:val="24"/>
              </w:rPr>
              <w:t xml:space="preserve">takoskyra </w:t>
            </w:r>
            <w:r w:rsidR="00C734DF" w:rsidRPr="00C734DF">
              <w:rPr>
                <w:rFonts w:ascii="Times New Roman" w:hAnsi="Times New Roman"/>
                <w:sz w:val="24"/>
                <w:szCs w:val="24"/>
              </w:rPr>
              <w:t>paramos gavėjų lygiu</w:t>
            </w:r>
            <w:r w:rsidR="00C734DF">
              <w:rPr>
                <w:rFonts w:ascii="Times New Roman" w:hAnsi="Times New Roman"/>
                <w:sz w:val="24"/>
                <w:szCs w:val="24"/>
              </w:rPr>
              <w:t xml:space="preserve"> – pagal vieną priemonę paramą gali gauti tik pramonės įmonės, pagal kitą – </w:t>
            </w:r>
            <w:r w:rsidR="00C43C2B">
              <w:rPr>
                <w:rFonts w:ascii="Times New Roman" w:hAnsi="Times New Roman"/>
                <w:sz w:val="24"/>
                <w:szCs w:val="24"/>
              </w:rPr>
              <w:t xml:space="preserve">tik </w:t>
            </w:r>
            <w:r w:rsidR="00C734DF">
              <w:rPr>
                <w:rFonts w:ascii="Times New Roman" w:hAnsi="Times New Roman"/>
                <w:sz w:val="24"/>
                <w:szCs w:val="24"/>
              </w:rPr>
              <w:t>šilumos tiekimo įmonės</w:t>
            </w:r>
            <w:r>
              <w:rPr>
                <w:rFonts w:ascii="Times New Roman" w:hAnsi="Times New Roman"/>
                <w:sz w:val="24"/>
                <w:szCs w:val="24"/>
              </w:rPr>
              <w:t>.</w:t>
            </w:r>
          </w:p>
          <w:p w14:paraId="765ECA5D" w14:textId="77777777" w:rsidR="00C85353" w:rsidRDefault="00C85353" w:rsidP="00C738BF">
            <w:pPr>
              <w:pStyle w:val="CommentText"/>
              <w:jc w:val="both"/>
              <w:rPr>
                <w:rFonts w:ascii="Times New Roman" w:hAnsi="Times New Roman"/>
                <w:sz w:val="24"/>
                <w:szCs w:val="24"/>
              </w:rPr>
            </w:pPr>
          </w:p>
          <w:p w14:paraId="4CAC8D14" w14:textId="072769B3" w:rsidR="00AC6C4F" w:rsidRDefault="00AA2453" w:rsidP="00C738BF">
            <w:pPr>
              <w:pStyle w:val="CommentText"/>
              <w:jc w:val="both"/>
              <w:rPr>
                <w:rFonts w:ascii="Times New Roman" w:hAnsi="Times New Roman"/>
                <w:i/>
                <w:sz w:val="24"/>
                <w:szCs w:val="24"/>
              </w:rPr>
            </w:pPr>
            <w:r w:rsidRPr="00C85353">
              <w:rPr>
                <w:rFonts w:ascii="Times New Roman" w:hAnsi="Times New Roman"/>
                <w:sz w:val="24"/>
                <w:szCs w:val="24"/>
              </w:rPr>
              <w:t xml:space="preserve">Taip </w:t>
            </w:r>
            <w:r w:rsidRPr="00F75A27">
              <w:rPr>
                <w:rFonts w:ascii="Times New Roman" w:hAnsi="Times New Roman"/>
                <w:sz w:val="24"/>
                <w:szCs w:val="24"/>
              </w:rPr>
              <w:t xml:space="preserve">pat galima </w:t>
            </w:r>
            <w:r w:rsidR="00C85353" w:rsidRPr="00C85353">
              <w:rPr>
                <w:rFonts w:ascii="Times New Roman" w:hAnsi="Times New Roman"/>
                <w:sz w:val="24"/>
                <w:szCs w:val="24"/>
              </w:rPr>
              <w:t xml:space="preserve">finansuotinų veiklų </w:t>
            </w:r>
            <w:r w:rsidRPr="00F75A27">
              <w:rPr>
                <w:rFonts w:ascii="Times New Roman" w:hAnsi="Times New Roman"/>
                <w:sz w:val="24"/>
                <w:szCs w:val="24"/>
              </w:rPr>
              <w:t xml:space="preserve">sankirta su kita </w:t>
            </w:r>
            <w:r w:rsidR="00BE0F5E" w:rsidRPr="00BE0F5E">
              <w:rPr>
                <w:rFonts w:ascii="Times New Roman" w:hAnsi="Times New Roman"/>
                <w:sz w:val="24"/>
                <w:szCs w:val="24"/>
              </w:rPr>
              <w:t>4 prioriteto „Energijos efektyvumo ir atsinaujinančių išteklių energijos gamybos ir naud</w:t>
            </w:r>
            <w:r w:rsidR="00BE0F5E">
              <w:rPr>
                <w:rFonts w:ascii="Times New Roman" w:hAnsi="Times New Roman"/>
                <w:sz w:val="24"/>
                <w:szCs w:val="24"/>
              </w:rPr>
              <w:t>ojimo skatinimas“ 4</w:t>
            </w:r>
            <w:r w:rsidR="00BE0F5E" w:rsidRPr="00BE0F5E">
              <w:rPr>
                <w:rFonts w:ascii="Times New Roman" w:hAnsi="Times New Roman"/>
                <w:sz w:val="24"/>
                <w:szCs w:val="24"/>
              </w:rPr>
              <w:t xml:space="preserve"> investicinio prioriteto „AIE gamybos</w:t>
            </w:r>
            <w:r w:rsidR="00BE0F5E">
              <w:rPr>
                <w:rFonts w:ascii="Times New Roman" w:hAnsi="Times New Roman"/>
                <w:sz w:val="24"/>
                <w:szCs w:val="24"/>
              </w:rPr>
              <w:t xml:space="preserve"> ir skirstymo skatinimas“ 4.1.1</w:t>
            </w:r>
            <w:r w:rsidR="00BE0F5E" w:rsidRPr="00BE0F5E">
              <w:rPr>
                <w:rFonts w:ascii="Times New Roman" w:hAnsi="Times New Roman"/>
                <w:sz w:val="24"/>
                <w:szCs w:val="24"/>
              </w:rPr>
              <w:t xml:space="preserve"> konkretaus uždavinio „Padidinti atsinaujinančių išteklių energijos naudojimą“</w:t>
            </w:r>
            <w:r w:rsidR="00BE0F5E">
              <w:rPr>
                <w:rFonts w:ascii="Times New Roman" w:hAnsi="Times New Roman"/>
                <w:sz w:val="24"/>
                <w:szCs w:val="24"/>
              </w:rPr>
              <w:t xml:space="preserve"> </w:t>
            </w:r>
            <w:r w:rsidRPr="00F75A27">
              <w:rPr>
                <w:rFonts w:ascii="Times New Roman" w:hAnsi="Times New Roman"/>
                <w:sz w:val="24"/>
                <w:szCs w:val="24"/>
              </w:rPr>
              <w:t>priemone „Biokuro katilinių modernizavimas ir plėtra“</w:t>
            </w:r>
            <w:r w:rsidR="00F93C10">
              <w:rPr>
                <w:rFonts w:ascii="Times New Roman" w:hAnsi="Times New Roman"/>
                <w:i/>
                <w:sz w:val="24"/>
                <w:szCs w:val="24"/>
              </w:rPr>
              <w:t xml:space="preserve"> </w:t>
            </w:r>
            <w:proofErr w:type="gramStart"/>
            <w:r w:rsidR="00F93C10">
              <w:rPr>
                <w:rFonts w:ascii="Times New Roman" w:hAnsi="Times New Roman"/>
                <w:i/>
                <w:sz w:val="24"/>
                <w:szCs w:val="24"/>
              </w:rPr>
              <w:t>(</w:t>
            </w:r>
            <w:proofErr w:type="gramEnd"/>
            <w:r w:rsidR="00C85353">
              <w:rPr>
                <w:rFonts w:ascii="Times New Roman" w:hAnsi="Times New Roman"/>
                <w:i/>
                <w:sz w:val="24"/>
                <w:szCs w:val="24"/>
              </w:rPr>
              <w:t xml:space="preserve">teisės aktuose nėra tiksliai apibrėžtos sąvokos „Biokuro katilinė“ ir „Iškastinį kurą naudojanti katilinė“, o praktikoje galimas ir „mišrus variantas“, t. y,. toje pačioje katilinėje gali stovėti tiek biokuro, tiek gamtines dujas ar skystąjį kurą naudojantys katilai, </w:t>
            </w:r>
            <w:r w:rsidR="00AC6C4F">
              <w:rPr>
                <w:rFonts w:ascii="Times New Roman" w:hAnsi="Times New Roman"/>
                <w:i/>
                <w:sz w:val="24"/>
                <w:szCs w:val="24"/>
              </w:rPr>
              <w:t>tuomet tampa nebe aišku kaip tokią katilinę vadinti ar „biokuro“</w:t>
            </w:r>
            <w:r w:rsidR="008677D6">
              <w:rPr>
                <w:rFonts w:ascii="Times New Roman" w:hAnsi="Times New Roman"/>
                <w:i/>
                <w:sz w:val="24"/>
                <w:szCs w:val="24"/>
              </w:rPr>
              <w:t>,</w:t>
            </w:r>
            <w:r w:rsidR="00AC6C4F">
              <w:rPr>
                <w:rFonts w:ascii="Times New Roman" w:hAnsi="Times New Roman"/>
                <w:i/>
                <w:sz w:val="24"/>
                <w:szCs w:val="24"/>
              </w:rPr>
              <w:t xml:space="preserve"> ar „iškastinio kuro“?</w:t>
            </w:r>
          </w:p>
          <w:p w14:paraId="3AECE82D" w14:textId="3EC3209A" w:rsidR="00AA2453" w:rsidRDefault="00AC6C4F" w:rsidP="00C738BF">
            <w:pPr>
              <w:pStyle w:val="CommentText"/>
              <w:jc w:val="both"/>
              <w:rPr>
                <w:rFonts w:ascii="Times New Roman" w:hAnsi="Times New Roman"/>
                <w:i/>
                <w:sz w:val="24"/>
                <w:szCs w:val="24"/>
              </w:rPr>
            </w:pPr>
            <w:r>
              <w:rPr>
                <w:rFonts w:ascii="Times New Roman" w:hAnsi="Times New Roman"/>
                <w:i/>
                <w:sz w:val="24"/>
                <w:szCs w:val="24"/>
              </w:rPr>
              <w:t>Be t</w:t>
            </w:r>
            <w:r w:rsidR="00C85353">
              <w:rPr>
                <w:rFonts w:ascii="Times New Roman" w:hAnsi="Times New Roman"/>
                <w:i/>
                <w:sz w:val="24"/>
                <w:szCs w:val="24"/>
              </w:rPr>
              <w:t>o</w:t>
            </w:r>
            <w:r>
              <w:rPr>
                <w:rFonts w:ascii="Times New Roman" w:hAnsi="Times New Roman"/>
                <w:i/>
                <w:sz w:val="24"/>
                <w:szCs w:val="24"/>
              </w:rPr>
              <w:t>,</w:t>
            </w:r>
            <w:r w:rsidR="00C85353">
              <w:rPr>
                <w:rFonts w:ascii="Times New Roman" w:hAnsi="Times New Roman"/>
                <w:i/>
                <w:sz w:val="24"/>
                <w:szCs w:val="24"/>
              </w:rPr>
              <w:t xml:space="preserve"> </w:t>
            </w:r>
            <w:r w:rsidR="00F93C10">
              <w:rPr>
                <w:rFonts w:ascii="Times New Roman" w:hAnsi="Times New Roman"/>
                <w:i/>
                <w:sz w:val="24"/>
                <w:szCs w:val="24"/>
              </w:rPr>
              <w:t>priemonės pavadinime yra žodis „plėtra“, t</w:t>
            </w:r>
            <w:r w:rsidR="00C85353">
              <w:rPr>
                <w:rFonts w:ascii="Times New Roman" w:hAnsi="Times New Roman"/>
                <w:i/>
                <w:sz w:val="24"/>
                <w:szCs w:val="24"/>
              </w:rPr>
              <w:t>uomet</w:t>
            </w:r>
            <w:r w:rsidR="00F93C10">
              <w:rPr>
                <w:rFonts w:ascii="Times New Roman" w:hAnsi="Times New Roman"/>
                <w:i/>
                <w:sz w:val="24"/>
                <w:szCs w:val="24"/>
              </w:rPr>
              <w:t xml:space="preserve"> projekto rezultatas pagal </w:t>
            </w:r>
            <w:r w:rsidR="00C85353">
              <w:rPr>
                <w:rFonts w:ascii="Times New Roman" w:hAnsi="Times New Roman"/>
                <w:i/>
                <w:sz w:val="24"/>
                <w:szCs w:val="24"/>
              </w:rPr>
              <w:t xml:space="preserve">šias </w:t>
            </w:r>
            <w:r w:rsidR="00F93C10">
              <w:rPr>
                <w:rFonts w:ascii="Times New Roman" w:hAnsi="Times New Roman"/>
                <w:i/>
                <w:sz w:val="24"/>
                <w:szCs w:val="24"/>
              </w:rPr>
              <w:t xml:space="preserve">abi priemones gali būti </w:t>
            </w:r>
            <w:r w:rsidR="008677D6">
              <w:rPr>
                <w:rFonts w:ascii="Times New Roman" w:hAnsi="Times New Roman"/>
                <w:i/>
                <w:sz w:val="24"/>
                <w:szCs w:val="24"/>
              </w:rPr>
              <w:t xml:space="preserve">tik </w:t>
            </w:r>
            <w:r w:rsidR="00F93C10">
              <w:rPr>
                <w:rFonts w:ascii="Times New Roman" w:hAnsi="Times New Roman"/>
                <w:i/>
                <w:sz w:val="24"/>
                <w:szCs w:val="24"/>
              </w:rPr>
              <w:t xml:space="preserve">naujas biokuro katilas, jei nebus numatyti pareiškėjo įsipareigojimai išmontuoti iškastinį kurą naudojusį senąjį katilą,, </w:t>
            </w:r>
            <w:proofErr w:type="gramStart"/>
            <w:r w:rsidR="00F93C10">
              <w:rPr>
                <w:rFonts w:ascii="Times New Roman" w:hAnsi="Times New Roman"/>
                <w:i/>
                <w:sz w:val="24"/>
                <w:szCs w:val="24"/>
              </w:rPr>
              <w:t>pvz.</w:t>
            </w:r>
            <w:proofErr w:type="gramEnd"/>
            <w:r w:rsidR="00F93C10">
              <w:rPr>
                <w:rFonts w:ascii="Times New Roman" w:hAnsi="Times New Roman"/>
                <w:i/>
                <w:sz w:val="24"/>
                <w:szCs w:val="24"/>
              </w:rPr>
              <w:t xml:space="preserve"> pareiškėjas numatys </w:t>
            </w:r>
            <w:r w:rsidR="00C85353">
              <w:rPr>
                <w:rFonts w:ascii="Times New Roman" w:hAnsi="Times New Roman"/>
                <w:i/>
                <w:sz w:val="24"/>
                <w:szCs w:val="24"/>
              </w:rPr>
              <w:t xml:space="preserve">senąjį katilą </w:t>
            </w:r>
            <w:r w:rsidR="00F93C10">
              <w:rPr>
                <w:rFonts w:ascii="Times New Roman" w:hAnsi="Times New Roman"/>
                <w:i/>
                <w:sz w:val="24"/>
                <w:szCs w:val="24"/>
              </w:rPr>
              <w:t>palikti kaip rezervinį</w:t>
            </w:r>
            <w:r w:rsidR="00C85353">
              <w:rPr>
                <w:rFonts w:ascii="Times New Roman" w:hAnsi="Times New Roman"/>
                <w:i/>
                <w:sz w:val="24"/>
                <w:szCs w:val="24"/>
              </w:rPr>
              <w:t>, jo nekonservuodamas ir neišmontuodamas</w:t>
            </w:r>
            <w:r w:rsidR="00F93C10">
              <w:rPr>
                <w:rFonts w:ascii="Times New Roman" w:hAnsi="Times New Roman"/>
                <w:i/>
                <w:sz w:val="24"/>
                <w:szCs w:val="24"/>
              </w:rPr>
              <w:t>)</w:t>
            </w:r>
          </w:p>
          <w:p w14:paraId="324F8FD8" w14:textId="6E8766E2" w:rsidR="00091159" w:rsidRPr="00091159" w:rsidRDefault="00091159" w:rsidP="00C738BF">
            <w:pPr>
              <w:pStyle w:val="CommentText"/>
              <w:jc w:val="both"/>
              <w:rPr>
                <w:rFonts w:ascii="Times New Roman" w:hAnsi="Times New Roman"/>
                <w:sz w:val="24"/>
                <w:szCs w:val="24"/>
              </w:rPr>
            </w:pPr>
            <w:r>
              <w:rPr>
                <w:rFonts w:ascii="Times New Roman" w:hAnsi="Times New Roman"/>
                <w:sz w:val="24"/>
                <w:szCs w:val="24"/>
              </w:rPr>
              <w:t>Siūloma nustatyti takoskyrą priemonės PFSA numatant pareigą pareiškėjui pateikti</w:t>
            </w:r>
            <w:r w:rsidR="001C15C5">
              <w:rPr>
                <w:rFonts w:ascii="Times New Roman" w:hAnsi="Times New Roman"/>
                <w:sz w:val="24"/>
                <w:szCs w:val="24"/>
              </w:rPr>
              <w:t xml:space="preserve"> deklaraciją apie tai, kad dėl paramos projektui nesikreipė </w:t>
            </w:r>
            <w:r w:rsidR="00333E3F">
              <w:rPr>
                <w:rFonts w:ascii="Times New Roman" w:hAnsi="Times New Roman"/>
                <w:sz w:val="24"/>
                <w:szCs w:val="24"/>
              </w:rPr>
              <w:t xml:space="preserve">ir gavęs paramą projektui nesikreips </w:t>
            </w:r>
            <w:r w:rsidR="001C15C5">
              <w:rPr>
                <w:rFonts w:ascii="Times New Roman" w:hAnsi="Times New Roman"/>
                <w:sz w:val="24"/>
                <w:szCs w:val="24"/>
              </w:rPr>
              <w:t>į kitą instituciją</w:t>
            </w:r>
            <w:r w:rsidR="00333E3F">
              <w:t xml:space="preserve"> </w:t>
            </w:r>
            <w:r w:rsidR="00333E3F" w:rsidRPr="00333E3F">
              <w:rPr>
                <w:rFonts w:ascii="Times New Roman" w:hAnsi="Times New Roman"/>
                <w:sz w:val="24"/>
                <w:szCs w:val="24"/>
              </w:rPr>
              <w:t xml:space="preserve">dėl paramos </w:t>
            </w:r>
            <w:r w:rsidR="00333E3F">
              <w:rPr>
                <w:rFonts w:ascii="Times New Roman" w:hAnsi="Times New Roman"/>
                <w:sz w:val="24"/>
                <w:szCs w:val="24"/>
              </w:rPr>
              <w:t xml:space="preserve">tam pačiam </w:t>
            </w:r>
            <w:r w:rsidR="00333E3F" w:rsidRPr="00333E3F">
              <w:rPr>
                <w:rFonts w:ascii="Times New Roman" w:hAnsi="Times New Roman"/>
                <w:sz w:val="24"/>
                <w:szCs w:val="24"/>
              </w:rPr>
              <w:t>projektui</w:t>
            </w:r>
            <w:r w:rsidR="00333E3F">
              <w:rPr>
                <w:rFonts w:ascii="Times New Roman" w:hAnsi="Times New Roman"/>
                <w:sz w:val="24"/>
                <w:szCs w:val="24"/>
              </w:rPr>
              <w:t xml:space="preserve"> gavimo.</w:t>
            </w:r>
          </w:p>
          <w:p w14:paraId="1369F0DE" w14:textId="23036F05" w:rsidR="003F1869" w:rsidRPr="007528AB" w:rsidRDefault="003F1869" w:rsidP="00C738BF">
            <w:pPr>
              <w:pStyle w:val="CommentText"/>
              <w:jc w:val="both"/>
              <w:rPr>
                <w:rFonts w:ascii="Times New Roman" w:hAnsi="Times New Roman"/>
                <w:sz w:val="24"/>
                <w:szCs w:val="24"/>
              </w:rPr>
            </w:pPr>
          </w:p>
        </w:tc>
      </w:tr>
      <w:tr w:rsidR="007528AB" w:rsidRPr="007528AB" w14:paraId="18CB3D50" w14:textId="77777777" w:rsidTr="00A513FA">
        <w:tc>
          <w:tcPr>
            <w:tcW w:w="567" w:type="dxa"/>
          </w:tcPr>
          <w:p w14:paraId="5059F7A9" w14:textId="12AD0884" w:rsidR="00FB6137" w:rsidRPr="007528AB" w:rsidRDefault="00FB6137" w:rsidP="00FB6137">
            <w:pPr>
              <w:pStyle w:val="ListParagraph"/>
              <w:numPr>
                <w:ilvl w:val="0"/>
                <w:numId w:val="1"/>
              </w:numPr>
              <w:tabs>
                <w:tab w:val="left" w:pos="567"/>
              </w:tabs>
              <w:ind w:hanging="1046"/>
              <w:rPr>
                <w:rFonts w:ascii="Times New Roman" w:hAnsi="Times New Roman"/>
                <w:sz w:val="24"/>
                <w:szCs w:val="24"/>
              </w:rPr>
            </w:pPr>
          </w:p>
        </w:tc>
        <w:tc>
          <w:tcPr>
            <w:tcW w:w="2836" w:type="dxa"/>
            <w:shd w:val="clear" w:color="auto" w:fill="auto"/>
          </w:tcPr>
          <w:p w14:paraId="267EF187" w14:textId="77777777" w:rsidR="00FB6137" w:rsidRPr="007528AB" w:rsidRDefault="00FB6137" w:rsidP="00D80DEB">
            <w:pPr>
              <w:tabs>
                <w:tab w:val="left" w:pos="567"/>
              </w:tabs>
              <w:rPr>
                <w:rFonts w:ascii="Times New Roman" w:hAnsi="Times New Roman"/>
                <w:sz w:val="24"/>
                <w:szCs w:val="24"/>
              </w:rPr>
            </w:pPr>
            <w:r w:rsidRPr="007528AB">
              <w:rPr>
                <w:rFonts w:ascii="Times New Roman" w:hAnsi="Times New Roman"/>
                <w:sz w:val="24"/>
                <w:szCs w:val="24"/>
              </w:rPr>
              <w:t xml:space="preserve">Priemonės sankirtų su kitų ES struktūrinių fondų, kitos ES finansinės paramos ar kitos tarptautinės paramos priemonėmis įvertinimas ir nustatymas </w:t>
            </w:r>
          </w:p>
        </w:tc>
        <w:tc>
          <w:tcPr>
            <w:tcW w:w="6945" w:type="dxa"/>
          </w:tcPr>
          <w:p w14:paraId="72292512" w14:textId="007B4D05" w:rsidR="00C734DF" w:rsidRPr="00F75A27" w:rsidRDefault="00C734DF" w:rsidP="00C81F60">
            <w:pPr>
              <w:jc w:val="both"/>
              <w:rPr>
                <w:rFonts w:ascii="Times New Roman" w:hAnsi="Times New Roman"/>
                <w:sz w:val="24"/>
                <w:szCs w:val="24"/>
              </w:rPr>
            </w:pPr>
            <w:r w:rsidRPr="00333E3F">
              <w:rPr>
                <w:rFonts w:ascii="Times New Roman" w:hAnsi="Times New Roman"/>
                <w:sz w:val="24"/>
                <w:szCs w:val="24"/>
              </w:rPr>
              <w:t>Šios priemonės finansuotinų veiklų sankirta galima su</w:t>
            </w:r>
            <w:r w:rsidRPr="00333E3F">
              <w:t xml:space="preserve"> </w:t>
            </w:r>
            <w:r w:rsidR="00BE0F5E" w:rsidRPr="00F75A27">
              <w:rPr>
                <w:rFonts w:ascii="Times New Roman" w:hAnsi="Times New Roman"/>
                <w:sz w:val="24"/>
                <w:szCs w:val="24"/>
              </w:rPr>
              <w:t>Lietuvos aplinkos apsaugos investicijų</w:t>
            </w:r>
            <w:proofErr w:type="gramStart"/>
            <w:r w:rsidR="00BE0F5E" w:rsidRPr="00F75A27">
              <w:rPr>
                <w:rFonts w:ascii="Times New Roman" w:hAnsi="Times New Roman"/>
                <w:sz w:val="24"/>
                <w:szCs w:val="24"/>
              </w:rPr>
              <w:t xml:space="preserve">  </w:t>
            </w:r>
            <w:proofErr w:type="gramEnd"/>
            <w:r w:rsidR="00BE0F5E" w:rsidRPr="00F75A27">
              <w:rPr>
                <w:rFonts w:ascii="Times New Roman" w:hAnsi="Times New Roman"/>
                <w:sz w:val="24"/>
                <w:szCs w:val="24"/>
              </w:rPr>
              <w:t xml:space="preserve">fondas (toliau - LAAIF) </w:t>
            </w:r>
            <w:r w:rsidRPr="00333E3F">
              <w:rPr>
                <w:rFonts w:ascii="Times New Roman" w:hAnsi="Times New Roman"/>
                <w:sz w:val="24"/>
                <w:szCs w:val="24"/>
              </w:rPr>
              <w:t xml:space="preserve">Klimato kaitos specialiosios programos </w:t>
            </w:r>
            <w:r w:rsidR="001C15C5" w:rsidRPr="00F75A27">
              <w:rPr>
                <w:rFonts w:ascii="Times New Roman" w:hAnsi="Times New Roman"/>
                <w:sz w:val="24"/>
                <w:szCs w:val="24"/>
              </w:rPr>
              <w:t xml:space="preserve">priemonių grupės „Atsinaujinančių energijos šaltinių panaudojimo skatinimas, aplinkai palankių technologijų, tarp jų efektyvios energijos gamybos </w:t>
            </w:r>
            <w:proofErr w:type="spellStart"/>
            <w:r w:rsidR="001C15C5" w:rsidRPr="00F75A27">
              <w:rPr>
                <w:rFonts w:ascii="Times New Roman" w:hAnsi="Times New Roman"/>
                <w:sz w:val="24"/>
                <w:szCs w:val="24"/>
              </w:rPr>
              <w:t>kogeneracijos</w:t>
            </w:r>
            <w:proofErr w:type="spellEnd"/>
            <w:r w:rsidR="001C15C5" w:rsidRPr="00F75A27">
              <w:rPr>
                <w:rFonts w:ascii="Times New Roman" w:hAnsi="Times New Roman"/>
                <w:sz w:val="24"/>
                <w:szCs w:val="24"/>
              </w:rPr>
              <w:t xml:space="preserve"> būdu, diegimas“ </w:t>
            </w:r>
            <w:r w:rsidRPr="00333E3F">
              <w:rPr>
                <w:rFonts w:ascii="Times New Roman" w:hAnsi="Times New Roman"/>
                <w:sz w:val="24"/>
                <w:szCs w:val="24"/>
              </w:rPr>
              <w:t>priemone „Biokuro katilų įrengimas, pakeičiant nusidėvėjusius biokuro katilus naujais“</w:t>
            </w:r>
            <w:r w:rsidR="000545F0" w:rsidRPr="00333E3F">
              <w:rPr>
                <w:rFonts w:ascii="Times New Roman" w:hAnsi="Times New Roman"/>
                <w:sz w:val="24"/>
                <w:szCs w:val="24"/>
              </w:rPr>
              <w:t xml:space="preserve">, įtraukta į Klimato kaitos specialiosios programos lėšų naudojimo 2014 m. sąmatą detalizuojantį planą (2015 m. planas dar nepatvirtintas, planuojama patvirtinti balandžio mėnesį). Pagal abi priemones paramos gavėjai </w:t>
            </w:r>
            <w:r w:rsidR="00333E3F">
              <w:rPr>
                <w:rFonts w:ascii="Times New Roman" w:hAnsi="Times New Roman"/>
                <w:sz w:val="24"/>
                <w:szCs w:val="24"/>
              </w:rPr>
              <w:t>yra</w:t>
            </w:r>
            <w:r w:rsidR="000545F0" w:rsidRPr="00333E3F">
              <w:rPr>
                <w:rFonts w:ascii="Times New Roman" w:hAnsi="Times New Roman"/>
                <w:sz w:val="24"/>
                <w:szCs w:val="24"/>
              </w:rPr>
              <w:t xml:space="preserve"> šilumos tiekimo įmonės.</w:t>
            </w:r>
          </w:p>
          <w:p w14:paraId="1CC11571" w14:textId="6C7DC6DB" w:rsidR="00333E3F" w:rsidRDefault="00333E3F" w:rsidP="00C81F60">
            <w:pPr>
              <w:jc w:val="both"/>
              <w:rPr>
                <w:rFonts w:ascii="Times New Roman" w:hAnsi="Times New Roman"/>
                <w:sz w:val="24"/>
                <w:szCs w:val="24"/>
              </w:rPr>
            </w:pPr>
            <w:r w:rsidRPr="00F75A27">
              <w:rPr>
                <w:rFonts w:ascii="Times New Roman" w:hAnsi="Times New Roman"/>
                <w:sz w:val="24"/>
                <w:szCs w:val="24"/>
              </w:rPr>
              <w:t>Siūloma nustatyti takoskyrą</w:t>
            </w:r>
            <w:r w:rsidR="00BE0F5E">
              <w:rPr>
                <w:rFonts w:ascii="Times New Roman" w:hAnsi="Times New Roman"/>
                <w:sz w:val="24"/>
                <w:szCs w:val="24"/>
              </w:rPr>
              <w:t xml:space="preserve"> p</w:t>
            </w:r>
            <w:r w:rsidRPr="00F75A27">
              <w:rPr>
                <w:rFonts w:ascii="Times New Roman" w:hAnsi="Times New Roman"/>
                <w:sz w:val="24"/>
                <w:szCs w:val="24"/>
              </w:rPr>
              <w:t>riemonės PFSA numatant pareigą pareiškėjui pateikti deklaraciją apie tai, kad dėl paramos projektui nesikreipė į kitą instituciją</w:t>
            </w:r>
            <w:r>
              <w:t xml:space="preserve"> </w:t>
            </w:r>
            <w:r w:rsidRPr="00333E3F">
              <w:rPr>
                <w:rFonts w:ascii="Times New Roman" w:hAnsi="Times New Roman"/>
                <w:sz w:val="24"/>
                <w:szCs w:val="24"/>
              </w:rPr>
              <w:t>ir gavęs paramą projektui nesikreips į kitą instituciją dėl paramos tam pačiam projektui gavimo.</w:t>
            </w:r>
          </w:p>
          <w:p w14:paraId="488C7F74" w14:textId="5ED96BD8" w:rsidR="00333E3F" w:rsidRPr="00333E3F" w:rsidRDefault="00BE0F5E" w:rsidP="00C81F60">
            <w:pPr>
              <w:jc w:val="both"/>
              <w:rPr>
                <w:rFonts w:ascii="Times New Roman" w:hAnsi="Times New Roman"/>
                <w:sz w:val="24"/>
                <w:szCs w:val="24"/>
              </w:rPr>
            </w:pPr>
            <w:r>
              <w:rPr>
                <w:rFonts w:ascii="Times New Roman" w:hAnsi="Times New Roman"/>
                <w:sz w:val="24"/>
                <w:szCs w:val="24"/>
              </w:rPr>
              <w:t xml:space="preserve">Taip pat </w:t>
            </w:r>
            <w:r w:rsidR="00333E3F" w:rsidRPr="00333E3F">
              <w:rPr>
                <w:rFonts w:ascii="Times New Roman" w:hAnsi="Times New Roman"/>
                <w:sz w:val="24"/>
                <w:szCs w:val="24"/>
              </w:rPr>
              <w:t xml:space="preserve">priemonės PFSA </w:t>
            </w:r>
            <w:r w:rsidR="00E57814">
              <w:rPr>
                <w:rFonts w:ascii="Times New Roman" w:hAnsi="Times New Roman"/>
                <w:sz w:val="24"/>
                <w:szCs w:val="24"/>
              </w:rPr>
              <w:t>tikslinga</w:t>
            </w:r>
            <w:r>
              <w:rPr>
                <w:rFonts w:ascii="Times New Roman" w:hAnsi="Times New Roman"/>
                <w:sz w:val="24"/>
                <w:szCs w:val="24"/>
              </w:rPr>
              <w:t xml:space="preserve"> </w:t>
            </w:r>
            <w:r w:rsidR="00333E3F" w:rsidRPr="00333E3F">
              <w:rPr>
                <w:rFonts w:ascii="Times New Roman" w:hAnsi="Times New Roman"/>
                <w:sz w:val="24"/>
                <w:szCs w:val="24"/>
              </w:rPr>
              <w:t>nu</w:t>
            </w:r>
            <w:r>
              <w:rPr>
                <w:rFonts w:ascii="Times New Roman" w:hAnsi="Times New Roman"/>
                <w:sz w:val="24"/>
                <w:szCs w:val="24"/>
              </w:rPr>
              <w:t>statyti minimalią paramą vienam projektui 1 mln. eurų (</w:t>
            </w:r>
            <w:r w:rsidRPr="00BE0F5E">
              <w:rPr>
                <w:rFonts w:ascii="Times New Roman" w:hAnsi="Times New Roman"/>
                <w:sz w:val="24"/>
                <w:szCs w:val="24"/>
              </w:rPr>
              <w:t>LAAIF</w:t>
            </w:r>
            <w:r>
              <w:rPr>
                <w:rFonts w:ascii="Times New Roman" w:hAnsi="Times New Roman"/>
                <w:sz w:val="24"/>
                <w:szCs w:val="24"/>
              </w:rPr>
              <w:t xml:space="preserve"> teikiama maksimali parama 1 projektui 2014 m. buvo 3 mln. Lt (0,869 mln. eurų)</w:t>
            </w:r>
          </w:p>
          <w:p w14:paraId="0E817DFE" w14:textId="57CA1733" w:rsidR="00C76833" w:rsidRPr="00C81F60" w:rsidRDefault="00C76833" w:rsidP="00C81F60">
            <w:pPr>
              <w:jc w:val="both"/>
              <w:rPr>
                <w:rFonts w:ascii="Times New Roman" w:hAnsi="Times New Roman"/>
                <w:sz w:val="24"/>
                <w:szCs w:val="24"/>
              </w:rPr>
            </w:pPr>
          </w:p>
        </w:tc>
      </w:tr>
      <w:tr w:rsidR="007528AB" w:rsidRPr="007528AB" w14:paraId="4E0F03FF" w14:textId="77777777" w:rsidTr="00A513FA">
        <w:tc>
          <w:tcPr>
            <w:tcW w:w="567" w:type="dxa"/>
          </w:tcPr>
          <w:p w14:paraId="47FBD6D7" w14:textId="658B0047" w:rsidR="00FB6137" w:rsidRPr="007528AB" w:rsidRDefault="00FB6137" w:rsidP="00FB6137">
            <w:pPr>
              <w:pStyle w:val="ListParagraph"/>
              <w:numPr>
                <w:ilvl w:val="0"/>
                <w:numId w:val="1"/>
              </w:numPr>
              <w:tabs>
                <w:tab w:val="left" w:pos="567"/>
              </w:tabs>
              <w:ind w:hanging="1046"/>
              <w:rPr>
                <w:rFonts w:ascii="Times New Roman" w:hAnsi="Times New Roman"/>
                <w:sz w:val="24"/>
                <w:szCs w:val="24"/>
              </w:rPr>
            </w:pPr>
          </w:p>
        </w:tc>
        <w:tc>
          <w:tcPr>
            <w:tcW w:w="2836" w:type="dxa"/>
          </w:tcPr>
          <w:p w14:paraId="236DD976" w14:textId="77777777" w:rsidR="00FB6137" w:rsidRPr="007528AB" w:rsidRDefault="00FB6137" w:rsidP="00D80DEB">
            <w:pPr>
              <w:tabs>
                <w:tab w:val="left" w:pos="567"/>
              </w:tabs>
              <w:rPr>
                <w:rFonts w:ascii="Times New Roman" w:hAnsi="Times New Roman"/>
                <w:sz w:val="24"/>
                <w:szCs w:val="24"/>
              </w:rPr>
            </w:pPr>
            <w:r w:rsidRPr="007528AB">
              <w:rPr>
                <w:rFonts w:ascii="Times New Roman" w:hAnsi="Times New Roman"/>
                <w:sz w:val="24"/>
                <w:szCs w:val="24"/>
              </w:rPr>
              <w:t>Priemonės sankirtos su iš valstybės biudžeto programų finansuojamomis veiklomis</w:t>
            </w:r>
          </w:p>
        </w:tc>
        <w:tc>
          <w:tcPr>
            <w:tcW w:w="6945" w:type="dxa"/>
          </w:tcPr>
          <w:p w14:paraId="483C5829" w14:textId="55C6E96F" w:rsidR="0012518C" w:rsidRPr="007528AB" w:rsidRDefault="009E2B64" w:rsidP="00CF3EC8">
            <w:pPr>
              <w:tabs>
                <w:tab w:val="left" w:pos="567"/>
              </w:tabs>
              <w:jc w:val="both"/>
              <w:rPr>
                <w:rFonts w:ascii="Times New Roman" w:hAnsi="Times New Roman"/>
                <w:b/>
                <w:sz w:val="24"/>
                <w:szCs w:val="24"/>
              </w:rPr>
            </w:pPr>
            <w:r>
              <w:rPr>
                <w:rFonts w:ascii="Times New Roman" w:hAnsi="Times New Roman"/>
                <w:sz w:val="24"/>
                <w:szCs w:val="24"/>
              </w:rPr>
              <w:t>P</w:t>
            </w:r>
            <w:r w:rsidRPr="007432FF">
              <w:rPr>
                <w:rFonts w:ascii="Times New Roman" w:hAnsi="Times New Roman"/>
                <w:sz w:val="24"/>
                <w:szCs w:val="24"/>
              </w:rPr>
              <w:t xml:space="preserve">lanuojamos priemonės veiklos </w:t>
            </w:r>
            <w:r>
              <w:rPr>
                <w:rFonts w:ascii="Times New Roman" w:hAnsi="Times New Roman"/>
                <w:sz w:val="24"/>
                <w:szCs w:val="24"/>
              </w:rPr>
              <w:t>ne</w:t>
            </w:r>
            <w:r w:rsidRPr="007432FF">
              <w:rPr>
                <w:rFonts w:ascii="Times New Roman" w:hAnsi="Times New Roman"/>
                <w:sz w:val="24"/>
                <w:szCs w:val="24"/>
              </w:rPr>
              <w:t xml:space="preserve">papildo iš kitų valstybės biudžeto programų </w:t>
            </w:r>
            <w:r w:rsidR="00CF3EC8" w:rsidRPr="007432FF">
              <w:rPr>
                <w:rFonts w:ascii="Times New Roman" w:hAnsi="Times New Roman"/>
                <w:sz w:val="24"/>
                <w:szCs w:val="24"/>
              </w:rPr>
              <w:t>finansuojam</w:t>
            </w:r>
            <w:r w:rsidR="00CF3EC8">
              <w:rPr>
                <w:rFonts w:ascii="Times New Roman" w:hAnsi="Times New Roman"/>
                <w:sz w:val="24"/>
                <w:szCs w:val="24"/>
              </w:rPr>
              <w:t>ų</w:t>
            </w:r>
            <w:r w:rsidR="00CF3EC8" w:rsidRPr="007432FF">
              <w:rPr>
                <w:rFonts w:ascii="Times New Roman" w:hAnsi="Times New Roman"/>
                <w:sz w:val="24"/>
                <w:szCs w:val="24"/>
              </w:rPr>
              <w:t xml:space="preserve"> </w:t>
            </w:r>
            <w:r w:rsidRPr="007432FF">
              <w:rPr>
                <w:rFonts w:ascii="Times New Roman" w:hAnsi="Times New Roman"/>
                <w:sz w:val="24"/>
                <w:szCs w:val="24"/>
              </w:rPr>
              <w:t>veikl</w:t>
            </w:r>
            <w:r>
              <w:rPr>
                <w:rFonts w:ascii="Times New Roman" w:hAnsi="Times New Roman"/>
                <w:sz w:val="24"/>
                <w:szCs w:val="24"/>
              </w:rPr>
              <w:t xml:space="preserve">ų. </w:t>
            </w:r>
          </w:p>
        </w:tc>
      </w:tr>
      <w:tr w:rsidR="007528AB" w:rsidRPr="007528AB" w14:paraId="2CB04922" w14:textId="77777777" w:rsidTr="00A513FA">
        <w:tc>
          <w:tcPr>
            <w:tcW w:w="10348" w:type="dxa"/>
            <w:gridSpan w:val="3"/>
            <w:shd w:val="clear" w:color="auto" w:fill="F2F2F2" w:themeFill="background1" w:themeFillShade="F2"/>
          </w:tcPr>
          <w:p w14:paraId="31192514" w14:textId="77777777" w:rsidR="00FB6137" w:rsidRPr="007528AB" w:rsidRDefault="00FB6137" w:rsidP="00D80DEB">
            <w:pPr>
              <w:tabs>
                <w:tab w:val="left" w:pos="567"/>
              </w:tabs>
              <w:jc w:val="center"/>
              <w:rPr>
                <w:rFonts w:ascii="Times New Roman" w:hAnsi="Times New Roman"/>
                <w:sz w:val="24"/>
                <w:szCs w:val="24"/>
              </w:rPr>
            </w:pPr>
            <w:r w:rsidRPr="007528AB">
              <w:rPr>
                <w:rFonts w:ascii="Times New Roman" w:hAnsi="Times New Roman"/>
                <w:b/>
                <w:sz w:val="24"/>
                <w:szCs w:val="24"/>
              </w:rPr>
              <w:lastRenderedPageBreak/>
              <w:t>VI. P</w:t>
            </w:r>
            <w:r w:rsidRPr="007528AB">
              <w:rPr>
                <w:rFonts w:ascii="Times New Roman" w:hAnsi="Times New Roman"/>
                <w:b/>
                <w:bCs/>
                <w:sz w:val="24"/>
                <w:szCs w:val="24"/>
              </w:rPr>
              <w:t>riemonės įgyvendinimo stebėsenos rodikliai</w:t>
            </w:r>
          </w:p>
        </w:tc>
      </w:tr>
      <w:tr w:rsidR="007528AB" w:rsidRPr="007528AB" w14:paraId="0CC6D2F3" w14:textId="77777777" w:rsidTr="00A513FA">
        <w:tc>
          <w:tcPr>
            <w:tcW w:w="567" w:type="dxa"/>
          </w:tcPr>
          <w:p w14:paraId="01F2612A" w14:textId="77777777" w:rsidR="00FB6137" w:rsidRPr="007528AB" w:rsidRDefault="00FB6137" w:rsidP="00FB6137">
            <w:pPr>
              <w:pStyle w:val="ListParagraph"/>
              <w:numPr>
                <w:ilvl w:val="0"/>
                <w:numId w:val="1"/>
              </w:numPr>
              <w:tabs>
                <w:tab w:val="left" w:pos="567"/>
              </w:tabs>
              <w:ind w:hanging="1046"/>
              <w:rPr>
                <w:rFonts w:ascii="Times New Roman" w:hAnsi="Times New Roman"/>
                <w:sz w:val="24"/>
                <w:szCs w:val="24"/>
              </w:rPr>
            </w:pPr>
          </w:p>
        </w:tc>
        <w:tc>
          <w:tcPr>
            <w:tcW w:w="2836" w:type="dxa"/>
            <w:shd w:val="clear" w:color="auto" w:fill="auto"/>
          </w:tcPr>
          <w:p w14:paraId="4A864A7E" w14:textId="77777777" w:rsidR="00FB6137" w:rsidRPr="007528AB" w:rsidRDefault="00FB6137" w:rsidP="00D80DEB">
            <w:pPr>
              <w:tabs>
                <w:tab w:val="left" w:pos="567"/>
              </w:tabs>
              <w:rPr>
                <w:rFonts w:ascii="Times New Roman" w:hAnsi="Times New Roman"/>
                <w:sz w:val="24"/>
                <w:szCs w:val="24"/>
              </w:rPr>
            </w:pPr>
            <w:r w:rsidRPr="007528AB">
              <w:rPr>
                <w:rFonts w:ascii="Times New Roman" w:hAnsi="Times New Roman"/>
                <w:sz w:val="24"/>
                <w:szCs w:val="24"/>
              </w:rPr>
              <w:t>Nacionalinių stebėsenos rodiklių nustatymo poreikis</w:t>
            </w:r>
          </w:p>
        </w:tc>
        <w:tc>
          <w:tcPr>
            <w:tcW w:w="6945" w:type="dxa"/>
          </w:tcPr>
          <w:p w14:paraId="1CE4B37F" w14:textId="0F1E079E" w:rsidR="002F1DE0" w:rsidRPr="005E543C" w:rsidRDefault="005E543C" w:rsidP="0011429B">
            <w:pPr>
              <w:tabs>
                <w:tab w:val="left" w:pos="567"/>
              </w:tabs>
              <w:jc w:val="both"/>
              <w:rPr>
                <w:rFonts w:ascii="Times New Roman" w:hAnsi="Times New Roman"/>
                <w:sz w:val="24"/>
                <w:szCs w:val="24"/>
              </w:rPr>
            </w:pPr>
            <w:r w:rsidRPr="005E543C">
              <w:rPr>
                <w:rFonts w:ascii="Times New Roman" w:hAnsi="Times New Roman"/>
                <w:sz w:val="24"/>
                <w:szCs w:val="24"/>
              </w:rPr>
              <w:t xml:space="preserve">Šiai priemonei </w:t>
            </w:r>
            <w:r w:rsidR="0011429B">
              <w:rPr>
                <w:rFonts w:ascii="Times New Roman" w:hAnsi="Times New Roman"/>
                <w:sz w:val="24"/>
                <w:szCs w:val="24"/>
              </w:rPr>
              <w:t>nė</w:t>
            </w:r>
            <w:r w:rsidR="00C81F60">
              <w:rPr>
                <w:rFonts w:ascii="Times New Roman" w:hAnsi="Times New Roman"/>
                <w:sz w:val="24"/>
                <w:szCs w:val="24"/>
              </w:rPr>
              <w:t>ra</w:t>
            </w:r>
            <w:r w:rsidRPr="005E543C">
              <w:rPr>
                <w:rFonts w:ascii="Times New Roman" w:hAnsi="Times New Roman"/>
                <w:sz w:val="24"/>
                <w:szCs w:val="24"/>
              </w:rPr>
              <w:t xml:space="preserve"> planuojama</w:t>
            </w:r>
            <w:r w:rsidR="00006FAC" w:rsidRPr="005E543C">
              <w:rPr>
                <w:rFonts w:ascii="Times New Roman" w:hAnsi="Times New Roman"/>
                <w:sz w:val="24"/>
                <w:szCs w:val="24"/>
              </w:rPr>
              <w:t xml:space="preserve"> nustatyti </w:t>
            </w:r>
            <w:r w:rsidRPr="005E543C">
              <w:rPr>
                <w:rFonts w:ascii="Times New Roman" w:hAnsi="Times New Roman"/>
                <w:sz w:val="24"/>
                <w:szCs w:val="24"/>
              </w:rPr>
              <w:t>na</w:t>
            </w:r>
            <w:r w:rsidR="0011429B">
              <w:rPr>
                <w:rFonts w:ascii="Times New Roman" w:hAnsi="Times New Roman"/>
                <w:sz w:val="24"/>
                <w:szCs w:val="24"/>
              </w:rPr>
              <w:t>cionalinius stebėsenos rodiklius</w:t>
            </w:r>
            <w:r w:rsidRPr="00C81F60">
              <w:rPr>
                <w:rFonts w:ascii="Times New Roman" w:hAnsi="Times New Roman"/>
                <w:sz w:val="24"/>
                <w:szCs w:val="24"/>
              </w:rPr>
              <w:t>,</w:t>
            </w:r>
            <w:r w:rsidRPr="005E543C">
              <w:rPr>
                <w:rFonts w:ascii="Times New Roman" w:hAnsi="Times New Roman"/>
                <w:sz w:val="24"/>
                <w:szCs w:val="24"/>
              </w:rPr>
              <w:t xml:space="preserve"> nes </w:t>
            </w:r>
            <w:r w:rsidR="00006FAC" w:rsidRPr="005E543C">
              <w:rPr>
                <w:rFonts w:ascii="Times New Roman" w:hAnsi="Times New Roman"/>
                <w:sz w:val="24"/>
                <w:szCs w:val="24"/>
              </w:rPr>
              <w:t xml:space="preserve">veiksmų programoje </w:t>
            </w:r>
            <w:r w:rsidRPr="005E543C">
              <w:rPr>
                <w:rFonts w:ascii="Times New Roman" w:hAnsi="Times New Roman"/>
                <w:sz w:val="24"/>
                <w:szCs w:val="24"/>
              </w:rPr>
              <w:t xml:space="preserve">nustatytų stebėsenos rodiklių </w:t>
            </w:r>
            <w:r w:rsidR="00006FAC" w:rsidRPr="005E543C">
              <w:rPr>
                <w:rFonts w:ascii="Times New Roman" w:hAnsi="Times New Roman"/>
                <w:sz w:val="24"/>
                <w:szCs w:val="24"/>
              </w:rPr>
              <w:t>pakanka užtikrinti tinkamą ir kokybišką šios priemonės įgyvendinimo stebėseną.</w:t>
            </w:r>
          </w:p>
        </w:tc>
      </w:tr>
      <w:tr w:rsidR="007528AB" w:rsidRPr="007528AB" w14:paraId="47AA6F4F" w14:textId="77777777" w:rsidTr="00A513FA">
        <w:tc>
          <w:tcPr>
            <w:tcW w:w="10348" w:type="dxa"/>
            <w:gridSpan w:val="3"/>
            <w:shd w:val="clear" w:color="auto" w:fill="F2F2F2" w:themeFill="background1" w:themeFillShade="F2"/>
          </w:tcPr>
          <w:p w14:paraId="42977684" w14:textId="77777777" w:rsidR="00FB6137" w:rsidRPr="007528AB" w:rsidRDefault="00FB6137" w:rsidP="003135FE">
            <w:pPr>
              <w:tabs>
                <w:tab w:val="left" w:pos="567"/>
              </w:tabs>
              <w:ind w:left="34"/>
              <w:jc w:val="center"/>
              <w:rPr>
                <w:rFonts w:ascii="Times New Roman" w:hAnsi="Times New Roman"/>
                <w:b/>
                <w:sz w:val="24"/>
                <w:szCs w:val="24"/>
              </w:rPr>
            </w:pPr>
            <w:r w:rsidRPr="007528AB">
              <w:rPr>
                <w:rFonts w:ascii="Times New Roman" w:hAnsi="Times New Roman"/>
                <w:b/>
                <w:bCs/>
                <w:sz w:val="24"/>
                <w:szCs w:val="24"/>
              </w:rPr>
              <w:t>VII. Priemonės finansavimo šaltiniai</w:t>
            </w:r>
          </w:p>
        </w:tc>
      </w:tr>
      <w:tr w:rsidR="007528AB" w:rsidRPr="007528AB" w14:paraId="709B1B1E" w14:textId="77777777" w:rsidTr="00A513FA">
        <w:tc>
          <w:tcPr>
            <w:tcW w:w="567" w:type="dxa"/>
          </w:tcPr>
          <w:p w14:paraId="707CFCDE" w14:textId="77777777" w:rsidR="00FB6137" w:rsidRPr="007528AB" w:rsidRDefault="00FB6137" w:rsidP="008B4412">
            <w:pPr>
              <w:pStyle w:val="ListParagraph"/>
              <w:keepNext/>
              <w:numPr>
                <w:ilvl w:val="0"/>
                <w:numId w:val="1"/>
              </w:numPr>
              <w:tabs>
                <w:tab w:val="left" w:pos="567"/>
              </w:tabs>
              <w:ind w:hanging="1046"/>
              <w:rPr>
                <w:rFonts w:ascii="Times New Roman" w:hAnsi="Times New Roman"/>
                <w:sz w:val="24"/>
                <w:szCs w:val="24"/>
              </w:rPr>
            </w:pPr>
          </w:p>
        </w:tc>
        <w:tc>
          <w:tcPr>
            <w:tcW w:w="2836" w:type="dxa"/>
            <w:shd w:val="clear" w:color="auto" w:fill="auto"/>
          </w:tcPr>
          <w:p w14:paraId="05FDC252" w14:textId="77777777" w:rsidR="00FB6137" w:rsidRPr="007528AB" w:rsidRDefault="00FB6137" w:rsidP="008B4412">
            <w:pPr>
              <w:keepNext/>
              <w:tabs>
                <w:tab w:val="left" w:pos="567"/>
              </w:tabs>
              <w:rPr>
                <w:rFonts w:ascii="Times New Roman" w:hAnsi="Times New Roman"/>
                <w:sz w:val="24"/>
                <w:szCs w:val="24"/>
              </w:rPr>
            </w:pPr>
            <w:r w:rsidRPr="007528AB">
              <w:rPr>
                <w:rFonts w:ascii="Times New Roman" w:hAnsi="Times New Roman"/>
                <w:sz w:val="24"/>
                <w:szCs w:val="24"/>
              </w:rPr>
              <w:t>Priemonei skiriamo finansavimo sumos pagrindimas</w:t>
            </w:r>
          </w:p>
        </w:tc>
        <w:tc>
          <w:tcPr>
            <w:tcW w:w="6945" w:type="dxa"/>
          </w:tcPr>
          <w:p w14:paraId="73146607" w14:textId="5B1DEF77" w:rsidR="004A072F" w:rsidRPr="005E543C" w:rsidRDefault="00DE6E01" w:rsidP="00AC492A">
            <w:pPr>
              <w:keepNext/>
              <w:tabs>
                <w:tab w:val="left" w:pos="567"/>
              </w:tabs>
              <w:jc w:val="both"/>
              <w:rPr>
                <w:rFonts w:ascii="Times New Roman" w:hAnsi="Times New Roman"/>
                <w:sz w:val="24"/>
                <w:szCs w:val="24"/>
              </w:rPr>
            </w:pPr>
            <w:r w:rsidRPr="005E543C">
              <w:rPr>
                <w:rFonts w:ascii="Times New Roman" w:hAnsi="Times New Roman"/>
                <w:sz w:val="24"/>
                <w:szCs w:val="24"/>
              </w:rPr>
              <w:t xml:space="preserve">Šiai priemonei numatoma skirti </w:t>
            </w:r>
            <w:r w:rsidR="00F311E5" w:rsidRPr="005E543C">
              <w:rPr>
                <w:rFonts w:ascii="Times New Roman" w:hAnsi="Times New Roman"/>
                <w:sz w:val="24"/>
                <w:szCs w:val="24"/>
              </w:rPr>
              <w:t xml:space="preserve">iš 2014 – 2020 metų Europos Sąjungos fondų investicijų programos </w:t>
            </w:r>
            <w:r w:rsidR="00AC492A">
              <w:rPr>
                <w:rFonts w:ascii="Times New Roman" w:hAnsi="Times New Roman"/>
                <w:sz w:val="24"/>
                <w:szCs w:val="24"/>
              </w:rPr>
              <w:t>15.000.000</w:t>
            </w:r>
            <w:r w:rsidR="00D82C8E" w:rsidRPr="005E543C">
              <w:rPr>
                <w:rFonts w:ascii="Times New Roman" w:hAnsi="Times New Roman"/>
                <w:sz w:val="24"/>
                <w:szCs w:val="24"/>
              </w:rPr>
              <w:t xml:space="preserve"> EUR</w:t>
            </w:r>
            <w:r w:rsidR="00372FB6" w:rsidRPr="005E543C">
              <w:rPr>
                <w:rFonts w:ascii="Times New Roman" w:hAnsi="Times New Roman"/>
                <w:sz w:val="24"/>
                <w:szCs w:val="24"/>
              </w:rPr>
              <w:t>.</w:t>
            </w:r>
            <w:r w:rsidRPr="005E543C">
              <w:rPr>
                <w:rFonts w:ascii="Times New Roman" w:hAnsi="Times New Roman"/>
                <w:sz w:val="24"/>
                <w:szCs w:val="24"/>
              </w:rPr>
              <w:t xml:space="preserve"> Priemon</w:t>
            </w:r>
            <w:r w:rsidR="0033489B" w:rsidRPr="005E543C">
              <w:rPr>
                <w:rFonts w:ascii="Times New Roman" w:hAnsi="Times New Roman"/>
                <w:sz w:val="24"/>
                <w:szCs w:val="24"/>
              </w:rPr>
              <w:t>ei skiriamo finansavimo</w:t>
            </w:r>
            <w:r w:rsidRPr="005E543C">
              <w:rPr>
                <w:rFonts w:ascii="Times New Roman" w:hAnsi="Times New Roman"/>
                <w:sz w:val="24"/>
                <w:szCs w:val="24"/>
              </w:rPr>
              <w:t xml:space="preserve"> suma buvo nustatyta remiantis </w:t>
            </w:r>
            <w:r w:rsidR="00CA0B8A" w:rsidRPr="005E543C">
              <w:rPr>
                <w:rFonts w:ascii="Times New Roman" w:hAnsi="Times New Roman"/>
                <w:sz w:val="24"/>
                <w:szCs w:val="24"/>
              </w:rPr>
              <w:t xml:space="preserve">Lietuvos šilumos tiekėjų asociacijos duomenimis, </w:t>
            </w:r>
            <w:r w:rsidRPr="005E543C">
              <w:rPr>
                <w:rFonts w:ascii="Times New Roman" w:hAnsi="Times New Roman"/>
                <w:sz w:val="24"/>
                <w:szCs w:val="24"/>
              </w:rPr>
              <w:t>preliminariu NŠŪPP įvardintu poreikiu ir</w:t>
            </w:r>
            <w:r w:rsidR="00F37771" w:rsidRPr="005E543C">
              <w:rPr>
                <w:rFonts w:ascii="Times New Roman" w:hAnsi="Times New Roman"/>
                <w:sz w:val="24"/>
                <w:szCs w:val="24"/>
              </w:rPr>
              <w:t xml:space="preserve"> </w:t>
            </w:r>
            <w:r w:rsidRPr="005E543C">
              <w:rPr>
                <w:rFonts w:ascii="Times New Roman" w:hAnsi="Times New Roman"/>
                <w:sz w:val="24"/>
                <w:szCs w:val="24"/>
              </w:rPr>
              <w:t xml:space="preserve">įvertinus </w:t>
            </w:r>
            <w:r w:rsidR="0033489B" w:rsidRPr="005E543C">
              <w:rPr>
                <w:rFonts w:ascii="Times New Roman" w:hAnsi="Times New Roman"/>
                <w:sz w:val="24"/>
                <w:szCs w:val="24"/>
              </w:rPr>
              <w:t xml:space="preserve">veiksmų programos </w:t>
            </w:r>
            <w:r w:rsidRPr="005E543C">
              <w:rPr>
                <w:rFonts w:ascii="Times New Roman" w:hAnsi="Times New Roman"/>
                <w:sz w:val="24"/>
                <w:szCs w:val="24"/>
              </w:rPr>
              <w:t>4.</w:t>
            </w:r>
            <w:r w:rsidR="005E543C" w:rsidRPr="005E543C">
              <w:rPr>
                <w:rFonts w:ascii="Times New Roman" w:hAnsi="Times New Roman"/>
                <w:sz w:val="24"/>
                <w:szCs w:val="24"/>
              </w:rPr>
              <w:t>1.1.</w:t>
            </w:r>
            <w:r w:rsidRPr="005E543C">
              <w:rPr>
                <w:rFonts w:ascii="Times New Roman" w:hAnsi="Times New Roman"/>
                <w:sz w:val="24"/>
                <w:szCs w:val="24"/>
              </w:rPr>
              <w:t xml:space="preserve"> </w:t>
            </w:r>
            <w:r w:rsidR="00315899" w:rsidRPr="005E543C">
              <w:rPr>
                <w:rFonts w:ascii="Times New Roman" w:hAnsi="Times New Roman"/>
                <w:sz w:val="24"/>
                <w:szCs w:val="24"/>
              </w:rPr>
              <w:t xml:space="preserve">konkrečiam </w:t>
            </w:r>
            <w:r w:rsidRPr="005E543C">
              <w:rPr>
                <w:rFonts w:ascii="Times New Roman" w:hAnsi="Times New Roman"/>
                <w:sz w:val="24"/>
                <w:szCs w:val="24"/>
              </w:rPr>
              <w:t>uždaviniui numatytas lėšas.</w:t>
            </w:r>
          </w:p>
        </w:tc>
      </w:tr>
      <w:tr w:rsidR="007528AB" w:rsidRPr="007528AB" w14:paraId="0D6A3302" w14:textId="77777777" w:rsidTr="00A513FA">
        <w:tc>
          <w:tcPr>
            <w:tcW w:w="567" w:type="dxa"/>
          </w:tcPr>
          <w:p w14:paraId="096C426A" w14:textId="77777777" w:rsidR="00FB6137" w:rsidRPr="007528AB" w:rsidRDefault="00FB6137" w:rsidP="00FB6137">
            <w:pPr>
              <w:pStyle w:val="ListParagraph"/>
              <w:numPr>
                <w:ilvl w:val="0"/>
                <w:numId w:val="1"/>
              </w:numPr>
              <w:tabs>
                <w:tab w:val="left" w:pos="567"/>
              </w:tabs>
              <w:ind w:hanging="1046"/>
              <w:rPr>
                <w:rFonts w:ascii="Times New Roman" w:hAnsi="Times New Roman"/>
                <w:sz w:val="24"/>
                <w:szCs w:val="24"/>
              </w:rPr>
            </w:pPr>
          </w:p>
        </w:tc>
        <w:tc>
          <w:tcPr>
            <w:tcW w:w="2836" w:type="dxa"/>
            <w:shd w:val="clear" w:color="auto" w:fill="auto"/>
          </w:tcPr>
          <w:p w14:paraId="193CA15F" w14:textId="77777777" w:rsidR="00FB6137" w:rsidRPr="007528AB" w:rsidDel="00A8791D" w:rsidRDefault="00FB6137" w:rsidP="00D80DEB">
            <w:pPr>
              <w:tabs>
                <w:tab w:val="left" w:pos="567"/>
              </w:tabs>
              <w:rPr>
                <w:rFonts w:ascii="Times New Roman" w:hAnsi="Times New Roman"/>
                <w:sz w:val="24"/>
                <w:szCs w:val="24"/>
              </w:rPr>
            </w:pPr>
            <w:r w:rsidRPr="007528AB">
              <w:rPr>
                <w:rFonts w:ascii="Times New Roman" w:hAnsi="Times New Roman"/>
                <w:sz w:val="24"/>
                <w:szCs w:val="24"/>
              </w:rPr>
              <w:t>Priemonei skiriamų ES struktūrinių fondų lėšų pagrindimas</w:t>
            </w:r>
          </w:p>
        </w:tc>
        <w:tc>
          <w:tcPr>
            <w:tcW w:w="6945" w:type="dxa"/>
          </w:tcPr>
          <w:p w14:paraId="46076A37" w14:textId="77777777" w:rsidR="00512DDD" w:rsidRPr="007528AB" w:rsidRDefault="00512DDD" w:rsidP="00512DDD">
            <w:pPr>
              <w:jc w:val="both"/>
              <w:rPr>
                <w:rFonts w:ascii="Times New Roman" w:hAnsi="Times New Roman"/>
                <w:sz w:val="24"/>
                <w:szCs w:val="24"/>
              </w:rPr>
            </w:pPr>
            <w:r w:rsidRPr="007528AB">
              <w:rPr>
                <w:rFonts w:ascii="Times New Roman" w:hAnsi="Times New Roman"/>
                <w:sz w:val="24"/>
                <w:szCs w:val="24"/>
              </w:rPr>
              <w:t>Priemonei skiriamų ES struktūrinių fondų lėšų santykis su priemonei numatyta bendra tinkamų finansuoti išlaidų verte buvo nustatytas:</w:t>
            </w:r>
          </w:p>
          <w:p w14:paraId="25829C5E" w14:textId="77777777" w:rsidR="00512DDD" w:rsidRPr="007528AB" w:rsidRDefault="00512DDD" w:rsidP="001658F4">
            <w:pPr>
              <w:pStyle w:val="ListParagraph"/>
              <w:numPr>
                <w:ilvl w:val="0"/>
                <w:numId w:val="6"/>
              </w:numPr>
              <w:ind w:left="0" w:firstLine="360"/>
              <w:jc w:val="both"/>
              <w:rPr>
                <w:rFonts w:ascii="Times New Roman" w:hAnsi="Times New Roman"/>
                <w:sz w:val="24"/>
                <w:szCs w:val="24"/>
              </w:rPr>
            </w:pPr>
            <w:r w:rsidRPr="007528AB">
              <w:rPr>
                <w:rFonts w:ascii="Times New Roman" w:hAnsi="Times New Roman"/>
                <w:sz w:val="24"/>
                <w:szCs w:val="24"/>
              </w:rPr>
              <w:t>siekiant užtikrinti Nacionalinėje energetikos strategijoje, Nacionalinėje pažangos programoje</w:t>
            </w:r>
            <w:r w:rsidR="00DE6E01" w:rsidRPr="007528AB">
              <w:rPr>
                <w:rFonts w:ascii="Times New Roman" w:hAnsi="Times New Roman"/>
                <w:sz w:val="24"/>
                <w:szCs w:val="24"/>
              </w:rPr>
              <w:t>, NŠŪPP</w:t>
            </w:r>
            <w:r w:rsidRPr="007528AB">
              <w:rPr>
                <w:rFonts w:ascii="Times New Roman" w:hAnsi="Times New Roman"/>
                <w:sz w:val="24"/>
                <w:szCs w:val="24"/>
              </w:rPr>
              <w:t xml:space="preserve"> ir veiksmų programoje nustatytų tikslų įgyvendinimą; </w:t>
            </w:r>
          </w:p>
          <w:p w14:paraId="1EB59A91" w14:textId="77777777" w:rsidR="00512DDD" w:rsidRPr="007528AB" w:rsidRDefault="00512DDD" w:rsidP="001658F4">
            <w:pPr>
              <w:pStyle w:val="ListParagraph"/>
              <w:numPr>
                <w:ilvl w:val="0"/>
                <w:numId w:val="6"/>
              </w:numPr>
              <w:ind w:left="0" w:firstLine="360"/>
              <w:jc w:val="both"/>
              <w:rPr>
                <w:rFonts w:ascii="Times New Roman" w:hAnsi="Times New Roman"/>
                <w:sz w:val="24"/>
                <w:szCs w:val="24"/>
              </w:rPr>
            </w:pPr>
            <w:r w:rsidRPr="007528AB">
              <w:rPr>
                <w:rFonts w:ascii="Times New Roman" w:hAnsi="Times New Roman"/>
                <w:sz w:val="24"/>
                <w:szCs w:val="24"/>
              </w:rPr>
              <w:t xml:space="preserve">atsižvelgiant į </w:t>
            </w:r>
            <w:r w:rsidR="009C1ABD" w:rsidRPr="007528AB">
              <w:rPr>
                <w:rFonts w:ascii="Times New Roman" w:hAnsi="Times New Roman"/>
                <w:sz w:val="24"/>
                <w:szCs w:val="24"/>
              </w:rPr>
              <w:t xml:space="preserve">tokių projektų įgyvendinimo </w:t>
            </w:r>
            <w:r w:rsidRPr="007528AB">
              <w:rPr>
                <w:rFonts w:ascii="Times New Roman" w:hAnsi="Times New Roman"/>
                <w:sz w:val="24"/>
                <w:szCs w:val="24"/>
              </w:rPr>
              <w:t>patirtį</w:t>
            </w:r>
            <w:r w:rsidR="009C1ABD" w:rsidRPr="007528AB">
              <w:rPr>
                <w:rFonts w:ascii="Times New Roman" w:hAnsi="Times New Roman"/>
                <w:sz w:val="24"/>
                <w:szCs w:val="24"/>
              </w:rPr>
              <w:t xml:space="preserve"> </w:t>
            </w:r>
            <w:r w:rsidR="0005008C" w:rsidRPr="007528AB">
              <w:rPr>
                <w:rFonts w:ascii="Times New Roman" w:hAnsi="Times New Roman"/>
                <w:sz w:val="24"/>
                <w:szCs w:val="24"/>
              </w:rPr>
              <w:t>2007-2013 m. finansavimo laikotarpi</w:t>
            </w:r>
            <w:r w:rsidR="009C1ABD" w:rsidRPr="007528AB">
              <w:rPr>
                <w:rFonts w:ascii="Times New Roman" w:hAnsi="Times New Roman"/>
                <w:sz w:val="24"/>
                <w:szCs w:val="24"/>
              </w:rPr>
              <w:t>u</w:t>
            </w:r>
            <w:r w:rsidRPr="007528AB">
              <w:rPr>
                <w:rFonts w:ascii="Times New Roman" w:hAnsi="Times New Roman"/>
                <w:sz w:val="24"/>
                <w:szCs w:val="24"/>
              </w:rPr>
              <w:t>;</w:t>
            </w:r>
            <w:r w:rsidR="004249D4" w:rsidRPr="007528AB">
              <w:rPr>
                <w:rFonts w:ascii="Times New Roman" w:hAnsi="Times New Roman"/>
                <w:sz w:val="24"/>
                <w:szCs w:val="24"/>
              </w:rPr>
              <w:t xml:space="preserve"> </w:t>
            </w:r>
          </w:p>
          <w:p w14:paraId="37F76D0A" w14:textId="350A3704" w:rsidR="00512DDD" w:rsidRPr="007528AB" w:rsidRDefault="00647639" w:rsidP="001658F4">
            <w:pPr>
              <w:pStyle w:val="ListParagraph"/>
              <w:numPr>
                <w:ilvl w:val="0"/>
                <w:numId w:val="6"/>
              </w:numPr>
              <w:ind w:left="0" w:firstLine="360"/>
              <w:jc w:val="both"/>
              <w:rPr>
                <w:rFonts w:ascii="Times New Roman" w:hAnsi="Times New Roman"/>
                <w:sz w:val="24"/>
                <w:szCs w:val="24"/>
              </w:rPr>
            </w:pPr>
            <w:r w:rsidRPr="007528AB">
              <w:rPr>
                <w:rFonts w:ascii="Times New Roman" w:hAnsi="Times New Roman"/>
                <w:sz w:val="24"/>
                <w:szCs w:val="24"/>
              </w:rPr>
              <w:t xml:space="preserve">įvertinus </w:t>
            </w:r>
            <w:r w:rsidR="00315899">
              <w:rPr>
                <w:rFonts w:ascii="Times New Roman" w:hAnsi="Times New Roman"/>
                <w:sz w:val="24"/>
                <w:szCs w:val="24"/>
              </w:rPr>
              <w:t xml:space="preserve">veiksmų programos </w:t>
            </w:r>
            <w:r w:rsidR="007631E5">
              <w:rPr>
                <w:rFonts w:ascii="Times New Roman" w:hAnsi="Times New Roman"/>
                <w:sz w:val="24"/>
                <w:szCs w:val="24"/>
              </w:rPr>
              <w:t>4.1.1.</w:t>
            </w:r>
            <w:r w:rsidRPr="007528AB">
              <w:rPr>
                <w:rFonts w:ascii="Times New Roman" w:hAnsi="Times New Roman"/>
                <w:sz w:val="24"/>
                <w:szCs w:val="24"/>
              </w:rPr>
              <w:t xml:space="preserve"> </w:t>
            </w:r>
            <w:r w:rsidR="00315899">
              <w:rPr>
                <w:rFonts w:ascii="Times New Roman" w:hAnsi="Times New Roman"/>
                <w:sz w:val="24"/>
                <w:szCs w:val="24"/>
              </w:rPr>
              <w:t xml:space="preserve">konkrečiam </w:t>
            </w:r>
            <w:r w:rsidRPr="007528AB">
              <w:rPr>
                <w:rFonts w:ascii="Times New Roman" w:hAnsi="Times New Roman"/>
                <w:sz w:val="24"/>
                <w:szCs w:val="24"/>
              </w:rPr>
              <w:t>uždaviniui numatytų lėšų ir planuojamų finansuoti projektų san</w:t>
            </w:r>
            <w:r w:rsidR="00512DDD" w:rsidRPr="007528AB">
              <w:rPr>
                <w:rFonts w:ascii="Times New Roman" w:hAnsi="Times New Roman"/>
                <w:sz w:val="24"/>
                <w:szCs w:val="24"/>
              </w:rPr>
              <w:t>tykį;</w:t>
            </w:r>
          </w:p>
          <w:p w14:paraId="2A1EF399" w14:textId="77777777" w:rsidR="0069604C" w:rsidRPr="007528AB" w:rsidRDefault="00512DDD" w:rsidP="001658F4">
            <w:pPr>
              <w:pStyle w:val="ListParagraph"/>
              <w:numPr>
                <w:ilvl w:val="0"/>
                <w:numId w:val="6"/>
              </w:numPr>
              <w:ind w:left="0" w:firstLine="360"/>
              <w:jc w:val="both"/>
              <w:rPr>
                <w:rFonts w:ascii="Times New Roman" w:hAnsi="Times New Roman"/>
                <w:sz w:val="24"/>
                <w:szCs w:val="24"/>
              </w:rPr>
            </w:pPr>
            <w:r w:rsidRPr="007528AB">
              <w:rPr>
                <w:rFonts w:ascii="Times New Roman" w:hAnsi="Times New Roman"/>
                <w:sz w:val="24"/>
                <w:szCs w:val="24"/>
              </w:rPr>
              <w:t>vadovaujantis</w:t>
            </w:r>
            <w:r w:rsidR="007D470A" w:rsidRPr="007528AB">
              <w:rPr>
                <w:rFonts w:ascii="Times New Roman" w:hAnsi="Times New Roman"/>
                <w:sz w:val="24"/>
                <w:szCs w:val="24"/>
              </w:rPr>
              <w:t xml:space="preserve"> </w:t>
            </w:r>
            <w:r w:rsidR="00414168" w:rsidRPr="007528AB">
              <w:rPr>
                <w:rFonts w:ascii="Times New Roman" w:hAnsi="Times New Roman"/>
                <w:sz w:val="24"/>
                <w:szCs w:val="24"/>
              </w:rPr>
              <w:t>reguliuojamos veiklos kainodaros principų taikym</w:t>
            </w:r>
            <w:r w:rsidRPr="007528AB">
              <w:rPr>
                <w:rFonts w:ascii="Times New Roman" w:hAnsi="Times New Roman"/>
                <w:sz w:val="24"/>
                <w:szCs w:val="24"/>
              </w:rPr>
              <w:t>u</w:t>
            </w:r>
            <w:r w:rsidR="009C1ABD" w:rsidRPr="007528AB">
              <w:rPr>
                <w:rFonts w:ascii="Times New Roman" w:hAnsi="Times New Roman"/>
                <w:sz w:val="24"/>
                <w:szCs w:val="24"/>
              </w:rPr>
              <w:t xml:space="preserve"> </w:t>
            </w:r>
            <w:r w:rsidR="00FD2CD2" w:rsidRPr="007528AB">
              <w:rPr>
                <w:rFonts w:ascii="Times New Roman" w:hAnsi="Times New Roman"/>
                <w:sz w:val="24"/>
                <w:szCs w:val="24"/>
              </w:rPr>
              <w:t>bei balans</w:t>
            </w:r>
            <w:r w:rsidR="00250D8C" w:rsidRPr="007528AB">
              <w:rPr>
                <w:rFonts w:ascii="Times New Roman" w:hAnsi="Times New Roman"/>
                <w:sz w:val="24"/>
                <w:szCs w:val="24"/>
              </w:rPr>
              <w:t>o</w:t>
            </w:r>
            <w:r w:rsidR="00FD2CD2" w:rsidRPr="007528AB">
              <w:rPr>
                <w:rFonts w:ascii="Times New Roman" w:hAnsi="Times New Roman"/>
                <w:sz w:val="24"/>
                <w:szCs w:val="24"/>
              </w:rPr>
              <w:t xml:space="preserve"> tarp </w:t>
            </w:r>
            <w:r w:rsidR="00123FCB" w:rsidRPr="007528AB">
              <w:rPr>
                <w:rFonts w:ascii="Times New Roman" w:hAnsi="Times New Roman"/>
                <w:sz w:val="24"/>
                <w:szCs w:val="24"/>
              </w:rPr>
              <w:t>šilumos</w:t>
            </w:r>
            <w:r w:rsidR="00FD2CD2" w:rsidRPr="007528AB">
              <w:rPr>
                <w:rFonts w:ascii="Times New Roman" w:hAnsi="Times New Roman"/>
                <w:sz w:val="24"/>
                <w:szCs w:val="24"/>
              </w:rPr>
              <w:t xml:space="preserve"> tarifo ir naštos </w:t>
            </w:r>
            <w:r w:rsidR="00123FCB" w:rsidRPr="007528AB">
              <w:rPr>
                <w:rFonts w:ascii="Times New Roman" w:hAnsi="Times New Roman"/>
                <w:sz w:val="24"/>
                <w:szCs w:val="24"/>
              </w:rPr>
              <w:t>šilumos</w:t>
            </w:r>
            <w:r w:rsidR="00972397" w:rsidRPr="007528AB">
              <w:rPr>
                <w:rFonts w:ascii="Times New Roman" w:hAnsi="Times New Roman"/>
                <w:sz w:val="24"/>
                <w:szCs w:val="24"/>
              </w:rPr>
              <w:t xml:space="preserve"> </w:t>
            </w:r>
            <w:r w:rsidR="00FD2CD2" w:rsidRPr="007528AB">
              <w:rPr>
                <w:rFonts w:ascii="Times New Roman" w:hAnsi="Times New Roman"/>
                <w:sz w:val="24"/>
                <w:szCs w:val="24"/>
              </w:rPr>
              <w:t>vartotojams</w:t>
            </w:r>
            <w:r w:rsidR="00250D8C" w:rsidRPr="007528AB">
              <w:rPr>
                <w:rFonts w:ascii="Times New Roman" w:hAnsi="Times New Roman"/>
                <w:sz w:val="24"/>
                <w:szCs w:val="24"/>
              </w:rPr>
              <w:t xml:space="preserve"> užtikrinimu</w:t>
            </w:r>
            <w:r w:rsidR="00FD2CD2" w:rsidRPr="007528AB">
              <w:rPr>
                <w:rFonts w:ascii="Times New Roman" w:hAnsi="Times New Roman"/>
                <w:sz w:val="24"/>
                <w:szCs w:val="24"/>
              </w:rPr>
              <w:t>.</w:t>
            </w:r>
          </w:p>
          <w:p w14:paraId="7C8B773C" w14:textId="313B8CE3" w:rsidR="00E61CC6" w:rsidRPr="007528AB" w:rsidDel="00A8791D" w:rsidRDefault="00C70028" w:rsidP="000576B6">
            <w:pPr>
              <w:jc w:val="both"/>
              <w:rPr>
                <w:rFonts w:ascii="Times New Roman" w:hAnsi="Times New Roman"/>
                <w:sz w:val="24"/>
                <w:szCs w:val="24"/>
              </w:rPr>
            </w:pPr>
            <w:r>
              <w:rPr>
                <w:rFonts w:ascii="Times New Roman" w:hAnsi="Times New Roman"/>
                <w:sz w:val="24"/>
                <w:szCs w:val="24"/>
              </w:rPr>
              <w:t>P</w:t>
            </w:r>
            <w:r w:rsidRPr="008E6B42">
              <w:rPr>
                <w:rFonts w:ascii="Times New Roman" w:hAnsi="Times New Roman"/>
                <w:sz w:val="24"/>
                <w:szCs w:val="24"/>
              </w:rPr>
              <w:t>aramos</w:t>
            </w:r>
            <w:r w:rsidRPr="008E6B42">
              <w:rPr>
                <w:rFonts w:ascii="Times New Roman" w:eastAsiaTheme="minorHAnsi" w:hAnsi="Times New Roman"/>
                <w:sz w:val="24"/>
                <w:szCs w:val="24"/>
              </w:rPr>
              <w:t xml:space="preserve"> suma neviršija tinkamų finansuoti išlaidų ir veiklos pelno skirtumo</w:t>
            </w:r>
            <w:r>
              <w:rPr>
                <w:rFonts w:ascii="Times New Roman" w:eastAsiaTheme="minorHAnsi" w:hAnsi="Times New Roman"/>
                <w:sz w:val="24"/>
                <w:szCs w:val="24"/>
              </w:rPr>
              <w:t xml:space="preserve">, bet ne didesnė negu </w:t>
            </w:r>
            <w:r w:rsidR="000576B6">
              <w:rPr>
                <w:rFonts w:ascii="Times New Roman" w:eastAsiaTheme="minorHAnsi" w:hAnsi="Times New Roman"/>
                <w:sz w:val="24"/>
                <w:szCs w:val="24"/>
              </w:rPr>
              <w:t xml:space="preserve">50 </w:t>
            </w:r>
            <w:r>
              <w:rPr>
                <w:rFonts w:ascii="Times New Roman" w:eastAsiaTheme="minorHAnsi" w:hAnsi="Times New Roman"/>
                <w:sz w:val="24"/>
                <w:szCs w:val="24"/>
              </w:rPr>
              <w:t>proc. tinkamų finansuoti išlaidų sumos</w:t>
            </w:r>
            <w:r w:rsidR="008E6B42" w:rsidRPr="007528AB">
              <w:rPr>
                <w:rFonts w:ascii="Times New Roman" w:eastAsiaTheme="minorHAnsi" w:hAnsi="Times New Roman"/>
                <w:sz w:val="24"/>
                <w:szCs w:val="24"/>
              </w:rPr>
              <w:t>.</w:t>
            </w:r>
          </w:p>
        </w:tc>
      </w:tr>
      <w:tr w:rsidR="005E543C" w:rsidRPr="007528AB" w14:paraId="5DED199B" w14:textId="77777777" w:rsidTr="00A513FA">
        <w:tc>
          <w:tcPr>
            <w:tcW w:w="567" w:type="dxa"/>
          </w:tcPr>
          <w:p w14:paraId="3E339CA2" w14:textId="77777777" w:rsidR="005E543C" w:rsidRPr="007528AB" w:rsidRDefault="005E543C" w:rsidP="005E543C">
            <w:pPr>
              <w:pStyle w:val="ListParagraph"/>
              <w:numPr>
                <w:ilvl w:val="0"/>
                <w:numId w:val="1"/>
              </w:numPr>
              <w:tabs>
                <w:tab w:val="left" w:pos="567"/>
              </w:tabs>
              <w:ind w:hanging="1046"/>
              <w:rPr>
                <w:rFonts w:ascii="Times New Roman" w:hAnsi="Times New Roman"/>
                <w:sz w:val="24"/>
                <w:szCs w:val="24"/>
              </w:rPr>
            </w:pPr>
          </w:p>
        </w:tc>
        <w:tc>
          <w:tcPr>
            <w:tcW w:w="2836" w:type="dxa"/>
          </w:tcPr>
          <w:p w14:paraId="5D0CC293" w14:textId="77777777" w:rsidR="005E543C" w:rsidRPr="007528AB" w:rsidRDefault="005E543C" w:rsidP="005E543C">
            <w:pPr>
              <w:tabs>
                <w:tab w:val="left" w:pos="567"/>
              </w:tabs>
              <w:rPr>
                <w:rFonts w:ascii="Times New Roman" w:hAnsi="Times New Roman"/>
                <w:sz w:val="24"/>
                <w:szCs w:val="24"/>
              </w:rPr>
            </w:pPr>
            <w:r w:rsidRPr="007528AB">
              <w:rPr>
                <w:rFonts w:ascii="Times New Roman" w:hAnsi="Times New Roman"/>
                <w:sz w:val="24"/>
                <w:szCs w:val="24"/>
              </w:rPr>
              <w:t>Priemonės finansavimo iš Lietuvos Respublikos valstybės biudžeto poreikio pagrindimas (jei taikoma)</w:t>
            </w:r>
          </w:p>
        </w:tc>
        <w:tc>
          <w:tcPr>
            <w:tcW w:w="6945" w:type="dxa"/>
          </w:tcPr>
          <w:p w14:paraId="4D91656E" w14:textId="6F1F8D2E" w:rsidR="005E543C" w:rsidRPr="007528AB" w:rsidRDefault="005E543C" w:rsidP="005E543C">
            <w:pPr>
              <w:tabs>
                <w:tab w:val="left" w:pos="567"/>
              </w:tabs>
              <w:jc w:val="both"/>
              <w:rPr>
                <w:rFonts w:ascii="Times New Roman" w:hAnsi="Times New Roman"/>
                <w:b/>
                <w:sz w:val="24"/>
                <w:szCs w:val="24"/>
              </w:rPr>
            </w:pPr>
            <w:r w:rsidRPr="006C5379">
              <w:rPr>
                <w:rFonts w:ascii="Times New Roman" w:hAnsi="Times New Roman"/>
                <w:sz w:val="24"/>
                <w:szCs w:val="24"/>
              </w:rPr>
              <w:t xml:space="preserve">Netaikoma, nes </w:t>
            </w:r>
            <w:r>
              <w:rPr>
                <w:rFonts w:ascii="Times New Roman" w:hAnsi="Times New Roman"/>
                <w:sz w:val="24"/>
                <w:szCs w:val="24"/>
              </w:rPr>
              <w:t>pagal priemonę įgyvendinamos veiklos nebus</w:t>
            </w:r>
            <w:r w:rsidRPr="006C5379">
              <w:rPr>
                <w:rFonts w:ascii="Times New Roman" w:hAnsi="Times New Roman"/>
                <w:sz w:val="24"/>
                <w:szCs w:val="24"/>
              </w:rPr>
              <w:t xml:space="preserve"> </w:t>
            </w:r>
            <w:r>
              <w:rPr>
                <w:rFonts w:ascii="Times New Roman" w:hAnsi="Times New Roman"/>
                <w:sz w:val="24"/>
                <w:szCs w:val="24"/>
              </w:rPr>
              <w:t>finansuojamos</w:t>
            </w:r>
            <w:r w:rsidRPr="006C5379">
              <w:rPr>
                <w:rFonts w:ascii="Times New Roman" w:hAnsi="Times New Roman"/>
                <w:sz w:val="24"/>
                <w:szCs w:val="24"/>
              </w:rPr>
              <w:t xml:space="preserve"> iš valstybės biudžeto lėšų</w:t>
            </w:r>
            <w:r w:rsidRPr="006C5379">
              <w:rPr>
                <w:rFonts w:ascii="Times New Roman" w:hAnsi="Times New Roman"/>
                <w:b/>
                <w:sz w:val="24"/>
                <w:szCs w:val="24"/>
              </w:rPr>
              <w:t>.</w:t>
            </w:r>
          </w:p>
        </w:tc>
      </w:tr>
      <w:tr w:rsidR="005E543C" w:rsidRPr="007528AB" w14:paraId="246680AE" w14:textId="77777777" w:rsidTr="00A513FA">
        <w:tc>
          <w:tcPr>
            <w:tcW w:w="567" w:type="dxa"/>
          </w:tcPr>
          <w:p w14:paraId="6BFC37AE" w14:textId="77777777" w:rsidR="005E543C" w:rsidRPr="007528AB" w:rsidRDefault="005E543C" w:rsidP="005E543C">
            <w:pPr>
              <w:pStyle w:val="ListParagraph"/>
              <w:numPr>
                <w:ilvl w:val="0"/>
                <w:numId w:val="1"/>
              </w:numPr>
              <w:tabs>
                <w:tab w:val="left" w:pos="567"/>
              </w:tabs>
              <w:ind w:hanging="1046"/>
              <w:rPr>
                <w:rFonts w:ascii="Times New Roman" w:hAnsi="Times New Roman"/>
                <w:sz w:val="24"/>
                <w:szCs w:val="24"/>
              </w:rPr>
            </w:pPr>
          </w:p>
        </w:tc>
        <w:tc>
          <w:tcPr>
            <w:tcW w:w="2836" w:type="dxa"/>
          </w:tcPr>
          <w:p w14:paraId="45F10F63" w14:textId="77777777" w:rsidR="005E543C" w:rsidRPr="007528AB" w:rsidRDefault="005E543C" w:rsidP="005E543C">
            <w:pPr>
              <w:tabs>
                <w:tab w:val="left" w:pos="567"/>
              </w:tabs>
              <w:rPr>
                <w:rFonts w:ascii="Times New Roman" w:hAnsi="Times New Roman"/>
                <w:sz w:val="24"/>
                <w:szCs w:val="24"/>
              </w:rPr>
            </w:pPr>
            <w:r w:rsidRPr="007528AB">
              <w:rPr>
                <w:rFonts w:ascii="Times New Roman" w:hAnsi="Times New Roman"/>
                <w:sz w:val="24"/>
                <w:szCs w:val="24"/>
              </w:rPr>
              <w:t>Priemonės finansavimo iš savivaldybių biudžetų poreikio pagrindimas (jei taikoma)</w:t>
            </w:r>
          </w:p>
        </w:tc>
        <w:tc>
          <w:tcPr>
            <w:tcW w:w="6945" w:type="dxa"/>
          </w:tcPr>
          <w:p w14:paraId="4BE8287F" w14:textId="1F85B558" w:rsidR="005E543C" w:rsidRPr="007528AB" w:rsidRDefault="005E543C" w:rsidP="005E543C">
            <w:pPr>
              <w:tabs>
                <w:tab w:val="left" w:pos="567"/>
              </w:tabs>
              <w:jc w:val="both"/>
              <w:rPr>
                <w:rFonts w:ascii="Times New Roman" w:hAnsi="Times New Roman"/>
                <w:b/>
                <w:sz w:val="24"/>
                <w:szCs w:val="24"/>
              </w:rPr>
            </w:pPr>
            <w:r w:rsidRPr="006C5379">
              <w:rPr>
                <w:rFonts w:ascii="Times New Roman" w:hAnsi="Times New Roman"/>
                <w:sz w:val="24"/>
                <w:szCs w:val="24"/>
              </w:rPr>
              <w:t xml:space="preserve">Netaikoma, nes </w:t>
            </w:r>
            <w:r>
              <w:rPr>
                <w:rFonts w:ascii="Times New Roman" w:hAnsi="Times New Roman"/>
                <w:sz w:val="24"/>
                <w:szCs w:val="24"/>
              </w:rPr>
              <w:t>pagal priemonę įgyvendinamos veiklos nebus</w:t>
            </w:r>
            <w:r w:rsidRPr="006C5379">
              <w:rPr>
                <w:rFonts w:ascii="Times New Roman" w:hAnsi="Times New Roman"/>
                <w:sz w:val="24"/>
                <w:szCs w:val="24"/>
              </w:rPr>
              <w:t xml:space="preserve"> </w:t>
            </w:r>
            <w:r>
              <w:rPr>
                <w:rFonts w:ascii="Times New Roman" w:hAnsi="Times New Roman"/>
                <w:sz w:val="24"/>
                <w:szCs w:val="24"/>
              </w:rPr>
              <w:t>finansuojamos</w:t>
            </w:r>
            <w:r w:rsidRPr="006C5379">
              <w:rPr>
                <w:rFonts w:ascii="Times New Roman" w:hAnsi="Times New Roman"/>
                <w:sz w:val="24"/>
                <w:szCs w:val="24"/>
              </w:rPr>
              <w:t xml:space="preserve"> iš savivaldybių biudžetų lėšų</w:t>
            </w:r>
            <w:r w:rsidRPr="006C5379">
              <w:rPr>
                <w:rFonts w:ascii="Times New Roman" w:hAnsi="Times New Roman"/>
                <w:b/>
                <w:sz w:val="24"/>
                <w:szCs w:val="24"/>
              </w:rPr>
              <w:t>.</w:t>
            </w:r>
          </w:p>
        </w:tc>
      </w:tr>
      <w:tr w:rsidR="006B12AD" w:rsidRPr="007528AB" w14:paraId="113352AF" w14:textId="77777777" w:rsidTr="00A513FA">
        <w:tc>
          <w:tcPr>
            <w:tcW w:w="567" w:type="dxa"/>
          </w:tcPr>
          <w:p w14:paraId="0B63664F" w14:textId="77777777" w:rsidR="006B12AD" w:rsidRPr="007528AB" w:rsidRDefault="006B12AD" w:rsidP="00FB6137">
            <w:pPr>
              <w:pStyle w:val="ListParagraph"/>
              <w:numPr>
                <w:ilvl w:val="0"/>
                <w:numId w:val="1"/>
              </w:numPr>
              <w:tabs>
                <w:tab w:val="left" w:pos="567"/>
              </w:tabs>
              <w:ind w:hanging="1046"/>
              <w:rPr>
                <w:rFonts w:ascii="Times New Roman" w:hAnsi="Times New Roman"/>
                <w:sz w:val="24"/>
                <w:szCs w:val="24"/>
              </w:rPr>
            </w:pPr>
          </w:p>
        </w:tc>
        <w:tc>
          <w:tcPr>
            <w:tcW w:w="2836" w:type="dxa"/>
          </w:tcPr>
          <w:p w14:paraId="7F58A908" w14:textId="77777777" w:rsidR="006B12AD" w:rsidRPr="007528AB" w:rsidRDefault="006B12AD" w:rsidP="00D80DEB">
            <w:pPr>
              <w:tabs>
                <w:tab w:val="left" w:pos="567"/>
              </w:tabs>
              <w:rPr>
                <w:rFonts w:ascii="Times New Roman" w:hAnsi="Times New Roman"/>
                <w:sz w:val="24"/>
                <w:szCs w:val="24"/>
              </w:rPr>
            </w:pPr>
            <w:r w:rsidRPr="007528AB">
              <w:rPr>
                <w:rFonts w:ascii="Times New Roman" w:hAnsi="Times New Roman"/>
                <w:sz w:val="24"/>
                <w:szCs w:val="24"/>
              </w:rPr>
              <w:t>Priemonės finansavimo iš projektų vykdytojų ir (arba) partnerių lėšų, finansuojamų iš valstybės biudžeto arba viešųjų lėšų, poreikio pagrindimas (jei taikoma)</w:t>
            </w:r>
          </w:p>
        </w:tc>
        <w:tc>
          <w:tcPr>
            <w:tcW w:w="6945" w:type="dxa"/>
          </w:tcPr>
          <w:p w14:paraId="3ED10E21" w14:textId="4AF49383" w:rsidR="006B12AD" w:rsidRDefault="006B12AD" w:rsidP="00423BDD">
            <w:pPr>
              <w:tabs>
                <w:tab w:val="left" w:pos="0"/>
                <w:tab w:val="left" w:pos="1735"/>
              </w:tabs>
              <w:contextualSpacing/>
              <w:jc w:val="both"/>
            </w:pPr>
            <w:r w:rsidRPr="00F8539E">
              <w:rPr>
                <w:rFonts w:ascii="Times New Roman" w:hAnsi="Times New Roman"/>
                <w:sz w:val="24"/>
                <w:szCs w:val="24"/>
              </w:rPr>
              <w:t xml:space="preserve">Priemonės galimi pareiškėjai – </w:t>
            </w:r>
            <w:r w:rsidR="00831C49">
              <w:rPr>
                <w:rFonts w:ascii="Times New Roman" w:hAnsi="Times New Roman"/>
                <w:sz w:val="24"/>
                <w:szCs w:val="24"/>
              </w:rPr>
              <w:t xml:space="preserve">juridiniai </w:t>
            </w:r>
            <w:r>
              <w:rPr>
                <w:rFonts w:ascii="Times New Roman" w:hAnsi="Times New Roman"/>
                <w:sz w:val="24"/>
                <w:szCs w:val="24"/>
              </w:rPr>
              <w:t>asmenys</w:t>
            </w:r>
            <w:r w:rsidRPr="00F8539E">
              <w:rPr>
                <w:rFonts w:ascii="Times New Roman" w:hAnsi="Times New Roman"/>
                <w:sz w:val="24"/>
                <w:szCs w:val="24"/>
              </w:rPr>
              <w:t xml:space="preserve">, </w:t>
            </w:r>
            <w:r w:rsidR="004460B4">
              <w:rPr>
                <w:rFonts w:ascii="Times New Roman" w:hAnsi="Times New Roman"/>
                <w:sz w:val="24"/>
                <w:szCs w:val="24"/>
              </w:rPr>
              <w:t>kurie gauna paramą iš ES struktūrini</w:t>
            </w:r>
            <w:bookmarkStart w:id="9" w:name="_GoBack"/>
            <w:bookmarkEnd w:id="9"/>
            <w:r w:rsidR="004460B4">
              <w:rPr>
                <w:rFonts w:ascii="Times New Roman" w:hAnsi="Times New Roman"/>
                <w:sz w:val="24"/>
                <w:szCs w:val="24"/>
              </w:rPr>
              <w:t>ų fondų, todėl j</w:t>
            </w:r>
            <w:r>
              <w:rPr>
                <w:rFonts w:ascii="Times New Roman" w:hAnsi="Times New Roman"/>
                <w:sz w:val="24"/>
                <w:szCs w:val="24"/>
              </w:rPr>
              <w:t>ų</w:t>
            </w:r>
            <w:r w:rsidRPr="008602DE">
              <w:rPr>
                <w:rFonts w:ascii="Times New Roman" w:hAnsi="Times New Roman"/>
                <w:sz w:val="24"/>
                <w:szCs w:val="24"/>
              </w:rPr>
              <w:t xml:space="preserve"> veiklą reguliuoja VKEKK</w:t>
            </w:r>
            <w:r w:rsidR="00B32251">
              <w:rPr>
                <w:rFonts w:ascii="Times New Roman" w:hAnsi="Times New Roman"/>
                <w:sz w:val="24"/>
                <w:szCs w:val="24"/>
              </w:rPr>
              <w:t xml:space="preserve"> arba savivaldybės, jei perduodamas šilumos kiekis ne viršija 10 </w:t>
            </w:r>
            <w:proofErr w:type="spellStart"/>
            <w:r w:rsidR="00B32251">
              <w:rPr>
                <w:rFonts w:ascii="Times New Roman" w:hAnsi="Times New Roman"/>
                <w:sz w:val="24"/>
                <w:szCs w:val="24"/>
              </w:rPr>
              <w:t>GWh</w:t>
            </w:r>
            <w:proofErr w:type="spellEnd"/>
            <w:r w:rsidR="00B32251">
              <w:rPr>
                <w:rFonts w:ascii="Times New Roman" w:hAnsi="Times New Roman"/>
                <w:sz w:val="24"/>
                <w:szCs w:val="24"/>
              </w:rPr>
              <w:t xml:space="preserve"> per metus. Šios institucijos</w:t>
            </w:r>
            <w:r w:rsidRPr="008602DE">
              <w:rPr>
                <w:rFonts w:ascii="Times New Roman" w:hAnsi="Times New Roman"/>
                <w:sz w:val="24"/>
                <w:szCs w:val="24"/>
              </w:rPr>
              <w:t xml:space="preserve"> rengia ir tvirtina </w:t>
            </w:r>
            <w:r w:rsidR="00B32251">
              <w:rPr>
                <w:rFonts w:ascii="Times New Roman" w:hAnsi="Times New Roman"/>
                <w:sz w:val="24"/>
                <w:szCs w:val="24"/>
              </w:rPr>
              <w:t>šilumos</w:t>
            </w:r>
            <w:r w:rsidRPr="008602DE">
              <w:rPr>
                <w:rFonts w:ascii="Times New Roman" w:hAnsi="Times New Roman"/>
                <w:sz w:val="24"/>
                <w:szCs w:val="24"/>
              </w:rPr>
              <w:t xml:space="preserve"> kainų nustatymo metodiką, nustato (koreguoja) ir tvirtina reguliuojamos veiklos kainų viršutines ribas. Energetikos įstatymas numato pareigą VKEKK vertinti energetikos įmonių investicijų pagrįstumą. Jeigu investicijos nėra suderintos su VKEKK, jos negali būti pripažintos pagrįstomis ir nėra įskaičiuojamos į kainų viršutines</w:t>
            </w:r>
            <w:r>
              <w:rPr>
                <w:rFonts w:ascii="Times New Roman" w:hAnsi="Times New Roman"/>
                <w:sz w:val="24"/>
                <w:szCs w:val="24"/>
              </w:rPr>
              <w:t xml:space="preserve"> ribas.</w:t>
            </w:r>
          </w:p>
          <w:p w14:paraId="7517E280" w14:textId="77777777" w:rsidR="006B12AD" w:rsidRPr="0015187A" w:rsidRDefault="006B12AD" w:rsidP="00423BDD">
            <w:pPr>
              <w:tabs>
                <w:tab w:val="left" w:pos="0"/>
                <w:tab w:val="left" w:pos="1735"/>
              </w:tabs>
              <w:contextualSpacing/>
              <w:jc w:val="both"/>
              <w:rPr>
                <w:rFonts w:ascii="Times New Roman" w:hAnsi="Times New Roman"/>
                <w:sz w:val="24"/>
                <w:szCs w:val="24"/>
              </w:rPr>
            </w:pPr>
          </w:p>
          <w:p w14:paraId="30593286" w14:textId="40702E2A" w:rsidR="006B12AD" w:rsidRDefault="006B12AD" w:rsidP="00423BDD">
            <w:pPr>
              <w:jc w:val="both"/>
              <w:rPr>
                <w:rFonts w:ascii="Times New Roman" w:hAnsi="Times New Roman"/>
                <w:sz w:val="24"/>
                <w:szCs w:val="24"/>
              </w:rPr>
            </w:pPr>
            <w:r>
              <w:rPr>
                <w:rFonts w:ascii="Times New Roman" w:hAnsi="Times New Roman"/>
                <w:sz w:val="24"/>
                <w:szCs w:val="24"/>
              </w:rPr>
              <w:t xml:space="preserve">Finansų ministerijos užsakytame </w:t>
            </w:r>
            <w:r w:rsidRPr="00982278">
              <w:rPr>
                <w:rFonts w:ascii="Times New Roman" w:hAnsi="Times New Roman"/>
                <w:sz w:val="24"/>
                <w:szCs w:val="24"/>
              </w:rPr>
              <w:t>Viešosios infrastruktūros finansini</w:t>
            </w:r>
            <w:r>
              <w:rPr>
                <w:rFonts w:ascii="Times New Roman" w:hAnsi="Times New Roman"/>
                <w:sz w:val="24"/>
                <w:szCs w:val="24"/>
              </w:rPr>
              <w:t xml:space="preserve">ų instrumentų </w:t>
            </w:r>
            <w:proofErr w:type="spellStart"/>
            <w:r>
              <w:rPr>
                <w:rFonts w:ascii="Times New Roman" w:hAnsi="Times New Roman"/>
                <w:sz w:val="24"/>
                <w:szCs w:val="24"/>
              </w:rPr>
              <w:t>ex-ante</w:t>
            </w:r>
            <w:proofErr w:type="spellEnd"/>
            <w:r>
              <w:rPr>
                <w:rFonts w:ascii="Times New Roman" w:hAnsi="Times New Roman"/>
                <w:sz w:val="24"/>
                <w:szCs w:val="24"/>
              </w:rPr>
              <w:t xml:space="preserve"> vertinimo </w:t>
            </w:r>
            <w:r w:rsidR="00831C49">
              <w:rPr>
                <w:rFonts w:ascii="Times New Roman" w:hAnsi="Times New Roman"/>
                <w:sz w:val="24"/>
                <w:szCs w:val="24"/>
              </w:rPr>
              <w:t xml:space="preserve">1 dalies </w:t>
            </w:r>
            <w:r>
              <w:rPr>
                <w:rFonts w:ascii="Times New Roman" w:hAnsi="Times New Roman"/>
                <w:sz w:val="24"/>
                <w:szCs w:val="24"/>
              </w:rPr>
              <w:t xml:space="preserve">projekte (galutinė </w:t>
            </w:r>
            <w:r w:rsidR="00644405">
              <w:rPr>
                <w:rFonts w:ascii="Times New Roman" w:hAnsi="Times New Roman"/>
                <w:sz w:val="24"/>
                <w:szCs w:val="24"/>
              </w:rPr>
              <w:t xml:space="preserve">1 dalies </w:t>
            </w:r>
            <w:r>
              <w:rPr>
                <w:rFonts w:ascii="Times New Roman" w:hAnsi="Times New Roman"/>
                <w:sz w:val="24"/>
                <w:szCs w:val="24"/>
              </w:rPr>
              <w:t xml:space="preserve">versija turėtų būti pristatyta iki </w:t>
            </w:r>
            <w:r w:rsidR="00831C49" w:rsidRPr="00084000">
              <w:rPr>
                <w:rFonts w:ascii="Times New Roman" w:hAnsi="Times New Roman"/>
                <w:sz w:val="24"/>
                <w:szCs w:val="24"/>
              </w:rPr>
              <w:t xml:space="preserve">2015 </w:t>
            </w:r>
            <w:r w:rsidRPr="00084000">
              <w:rPr>
                <w:rFonts w:ascii="Times New Roman" w:hAnsi="Times New Roman"/>
                <w:sz w:val="24"/>
                <w:szCs w:val="24"/>
              </w:rPr>
              <w:t>m.</w:t>
            </w:r>
            <w:r w:rsidR="00831C49" w:rsidRPr="00084000">
              <w:rPr>
                <w:rFonts w:ascii="Times New Roman" w:hAnsi="Times New Roman"/>
                <w:sz w:val="24"/>
                <w:szCs w:val="24"/>
              </w:rPr>
              <w:t xml:space="preserve"> sausio</w:t>
            </w:r>
            <w:r w:rsidRPr="00084000">
              <w:rPr>
                <w:rFonts w:ascii="Times New Roman" w:hAnsi="Times New Roman"/>
                <w:sz w:val="24"/>
                <w:szCs w:val="24"/>
              </w:rPr>
              <w:t xml:space="preserve"> </w:t>
            </w:r>
            <w:r w:rsidRPr="00C57791">
              <w:rPr>
                <w:rFonts w:ascii="Times New Roman" w:hAnsi="Times New Roman"/>
                <w:sz w:val="24"/>
                <w:szCs w:val="24"/>
              </w:rPr>
              <w:t>pabaigos</w:t>
            </w:r>
            <w:r>
              <w:rPr>
                <w:rFonts w:ascii="Times New Roman" w:hAnsi="Times New Roman"/>
                <w:sz w:val="24"/>
                <w:szCs w:val="24"/>
              </w:rPr>
              <w:t xml:space="preserve">), išsamiai aprašytos palankios komercinių bankų ir tarptautinių finansinių institucijų energijos sektoriaus finansavimo galimybės. </w:t>
            </w:r>
          </w:p>
          <w:p w14:paraId="68F4196A" w14:textId="77777777" w:rsidR="006B12AD" w:rsidRPr="00982278" w:rsidRDefault="006B12AD" w:rsidP="00423BDD">
            <w:pPr>
              <w:jc w:val="both"/>
              <w:rPr>
                <w:rFonts w:ascii="Times New Roman" w:hAnsi="Times New Roman"/>
                <w:sz w:val="24"/>
                <w:szCs w:val="24"/>
              </w:rPr>
            </w:pPr>
          </w:p>
          <w:p w14:paraId="07598AED" w14:textId="6DA48944" w:rsidR="006B12AD" w:rsidRPr="007528AB" w:rsidRDefault="007631E5" w:rsidP="00B32251">
            <w:pPr>
              <w:tabs>
                <w:tab w:val="left" w:pos="567"/>
              </w:tabs>
              <w:jc w:val="both"/>
              <w:rPr>
                <w:rFonts w:ascii="Times New Roman" w:hAnsi="Times New Roman"/>
                <w:b/>
                <w:sz w:val="24"/>
                <w:szCs w:val="24"/>
              </w:rPr>
            </w:pPr>
            <w:r>
              <w:rPr>
                <w:rFonts w:ascii="Times New Roman" w:hAnsi="Times New Roman"/>
                <w:sz w:val="24"/>
                <w:szCs w:val="24"/>
              </w:rPr>
              <w:t>I</w:t>
            </w:r>
            <w:r w:rsidRPr="007631E5">
              <w:rPr>
                <w:rFonts w:ascii="Times New Roman" w:hAnsi="Times New Roman"/>
                <w:sz w:val="24"/>
                <w:szCs w:val="24"/>
              </w:rPr>
              <w:t xml:space="preserve">škastinį kurą naudojančių katilinių </w:t>
            </w:r>
            <w:r>
              <w:rPr>
                <w:rFonts w:ascii="Times New Roman" w:hAnsi="Times New Roman"/>
                <w:sz w:val="24"/>
                <w:szCs w:val="24"/>
              </w:rPr>
              <w:t>modernizavimo</w:t>
            </w:r>
            <w:r w:rsidRPr="0015187A">
              <w:rPr>
                <w:rFonts w:ascii="Times New Roman" w:hAnsi="Times New Roman"/>
                <w:sz w:val="24"/>
                <w:szCs w:val="24"/>
              </w:rPr>
              <w:t xml:space="preserve"> </w:t>
            </w:r>
            <w:r w:rsidR="006B12AD" w:rsidRPr="0015187A">
              <w:rPr>
                <w:rFonts w:ascii="Times New Roman" w:hAnsi="Times New Roman"/>
                <w:sz w:val="24"/>
                <w:szCs w:val="24"/>
              </w:rPr>
              <w:t>projektams bus naudoja</w:t>
            </w:r>
            <w:r w:rsidR="006B12AD">
              <w:rPr>
                <w:rFonts w:ascii="Times New Roman" w:hAnsi="Times New Roman"/>
                <w:sz w:val="24"/>
                <w:szCs w:val="24"/>
              </w:rPr>
              <w:t xml:space="preserve">mos nuosavos </w:t>
            </w:r>
            <w:r w:rsidR="006B12AD" w:rsidRPr="0015187A">
              <w:rPr>
                <w:rFonts w:ascii="Times New Roman" w:hAnsi="Times New Roman"/>
                <w:sz w:val="24"/>
                <w:szCs w:val="24"/>
              </w:rPr>
              <w:t xml:space="preserve">(amortizacijos sąnaudų kompensavimo dedamoji </w:t>
            </w:r>
            <w:r w:rsidR="00B32251">
              <w:rPr>
                <w:rFonts w:ascii="Times New Roman" w:hAnsi="Times New Roman"/>
                <w:sz w:val="24"/>
                <w:szCs w:val="24"/>
              </w:rPr>
              <w:t>šilumos</w:t>
            </w:r>
            <w:r w:rsidR="006B12AD" w:rsidRPr="0015187A">
              <w:rPr>
                <w:rFonts w:ascii="Times New Roman" w:hAnsi="Times New Roman"/>
                <w:sz w:val="24"/>
                <w:szCs w:val="24"/>
              </w:rPr>
              <w:t xml:space="preserve"> tarife)</w:t>
            </w:r>
            <w:r w:rsidR="006B12AD">
              <w:rPr>
                <w:rFonts w:ascii="Times New Roman" w:hAnsi="Times New Roman"/>
                <w:sz w:val="24"/>
                <w:szCs w:val="24"/>
              </w:rPr>
              <w:t xml:space="preserve"> ir skolintos lėšos. </w:t>
            </w:r>
          </w:p>
        </w:tc>
      </w:tr>
      <w:tr w:rsidR="006B12AD" w:rsidRPr="007528AB" w14:paraId="52A65A5A" w14:textId="77777777" w:rsidTr="00A513FA">
        <w:tc>
          <w:tcPr>
            <w:tcW w:w="10348" w:type="dxa"/>
            <w:gridSpan w:val="3"/>
            <w:shd w:val="clear" w:color="auto" w:fill="F2F2F2" w:themeFill="background1" w:themeFillShade="F2"/>
          </w:tcPr>
          <w:p w14:paraId="78F7B9F8" w14:textId="77777777" w:rsidR="006B12AD" w:rsidRPr="007528AB" w:rsidRDefault="006B12AD" w:rsidP="00D80DEB">
            <w:pPr>
              <w:tabs>
                <w:tab w:val="left" w:pos="567"/>
              </w:tabs>
              <w:ind w:left="34"/>
              <w:jc w:val="center"/>
              <w:rPr>
                <w:rFonts w:ascii="Times New Roman" w:hAnsi="Times New Roman"/>
                <w:b/>
                <w:sz w:val="24"/>
                <w:szCs w:val="24"/>
              </w:rPr>
            </w:pPr>
            <w:r w:rsidRPr="007528AB">
              <w:rPr>
                <w:rFonts w:ascii="Times New Roman" w:hAnsi="Times New Roman"/>
                <w:b/>
                <w:sz w:val="24"/>
                <w:szCs w:val="24"/>
              </w:rPr>
              <w:lastRenderedPageBreak/>
              <w:t>Papildoma informacija</w:t>
            </w:r>
          </w:p>
        </w:tc>
      </w:tr>
      <w:tr w:rsidR="006B12AD" w:rsidRPr="007528AB" w14:paraId="165F5A96" w14:textId="77777777" w:rsidTr="00A513FA">
        <w:tc>
          <w:tcPr>
            <w:tcW w:w="567" w:type="dxa"/>
          </w:tcPr>
          <w:p w14:paraId="52E500E4" w14:textId="77777777" w:rsidR="006B12AD" w:rsidRPr="007528AB" w:rsidRDefault="006B12AD" w:rsidP="00FB6137">
            <w:pPr>
              <w:pStyle w:val="ListParagraph"/>
              <w:numPr>
                <w:ilvl w:val="0"/>
                <w:numId w:val="1"/>
              </w:numPr>
              <w:tabs>
                <w:tab w:val="left" w:pos="567"/>
              </w:tabs>
              <w:ind w:hanging="1046"/>
              <w:rPr>
                <w:rFonts w:ascii="Times New Roman" w:hAnsi="Times New Roman"/>
                <w:sz w:val="24"/>
                <w:szCs w:val="24"/>
              </w:rPr>
            </w:pPr>
          </w:p>
        </w:tc>
        <w:tc>
          <w:tcPr>
            <w:tcW w:w="2836" w:type="dxa"/>
          </w:tcPr>
          <w:p w14:paraId="36600EA2" w14:textId="77777777" w:rsidR="006B12AD" w:rsidRPr="007528AB" w:rsidRDefault="006B12AD" w:rsidP="00D80DEB">
            <w:pPr>
              <w:tabs>
                <w:tab w:val="left" w:pos="567"/>
              </w:tabs>
              <w:rPr>
                <w:rFonts w:ascii="Times New Roman" w:hAnsi="Times New Roman"/>
                <w:sz w:val="24"/>
                <w:szCs w:val="24"/>
              </w:rPr>
            </w:pPr>
            <w:r w:rsidRPr="007528AB">
              <w:rPr>
                <w:rFonts w:ascii="Times New Roman" w:hAnsi="Times New Roman"/>
                <w:sz w:val="24"/>
                <w:szCs w:val="24"/>
              </w:rPr>
              <w:t>Priemonės suderinimas su kitomis institucijomis</w:t>
            </w:r>
          </w:p>
        </w:tc>
        <w:tc>
          <w:tcPr>
            <w:tcW w:w="6945" w:type="dxa"/>
          </w:tcPr>
          <w:p w14:paraId="1E1E3498" w14:textId="77777777" w:rsidR="006B12AD" w:rsidRPr="007631E5" w:rsidRDefault="006B12AD" w:rsidP="00BF7550">
            <w:pPr>
              <w:jc w:val="both"/>
              <w:rPr>
                <w:rFonts w:ascii="Times New Roman" w:hAnsi="Times New Roman"/>
                <w:color w:val="FF0000"/>
                <w:sz w:val="24"/>
                <w:szCs w:val="24"/>
              </w:rPr>
            </w:pPr>
            <w:r w:rsidRPr="007631E5">
              <w:rPr>
                <w:rFonts w:ascii="Times New Roman" w:hAnsi="Times New Roman"/>
                <w:color w:val="FF0000"/>
                <w:sz w:val="24"/>
                <w:szCs w:val="24"/>
              </w:rPr>
              <w:t>Informacija apie priemonę yra suderinta su:</w:t>
            </w:r>
          </w:p>
          <w:p w14:paraId="07D47999" w14:textId="53E8202F" w:rsidR="006B12AD" w:rsidRPr="007631E5" w:rsidRDefault="006B12AD" w:rsidP="00BF7550">
            <w:pPr>
              <w:pStyle w:val="ListParagraph"/>
              <w:numPr>
                <w:ilvl w:val="0"/>
                <w:numId w:val="7"/>
              </w:numPr>
              <w:ind w:left="317" w:right="362" w:hanging="283"/>
              <w:rPr>
                <w:rFonts w:ascii="Times New Roman" w:hAnsi="Times New Roman"/>
                <w:color w:val="FF0000"/>
                <w:sz w:val="24"/>
                <w:szCs w:val="24"/>
              </w:rPr>
            </w:pPr>
            <w:r w:rsidRPr="007631E5">
              <w:rPr>
                <w:rFonts w:ascii="Times New Roman" w:hAnsi="Times New Roman"/>
                <w:color w:val="FF0000"/>
                <w:sz w:val="24"/>
                <w:szCs w:val="24"/>
              </w:rPr>
              <w:t>Lietuvos Respublikos ūkio ministerija;</w:t>
            </w:r>
          </w:p>
          <w:p w14:paraId="7D4995E8" w14:textId="0830DF04" w:rsidR="006B12AD" w:rsidRPr="007631E5" w:rsidRDefault="006B12AD" w:rsidP="00BF7550">
            <w:pPr>
              <w:pStyle w:val="ListParagraph"/>
              <w:numPr>
                <w:ilvl w:val="0"/>
                <w:numId w:val="7"/>
              </w:numPr>
              <w:ind w:left="317" w:right="362" w:hanging="283"/>
              <w:rPr>
                <w:rFonts w:ascii="Times New Roman" w:hAnsi="Times New Roman"/>
                <w:color w:val="FF0000"/>
                <w:sz w:val="24"/>
                <w:szCs w:val="24"/>
              </w:rPr>
            </w:pPr>
            <w:r w:rsidRPr="007631E5">
              <w:rPr>
                <w:rFonts w:ascii="Times New Roman" w:hAnsi="Times New Roman"/>
                <w:color w:val="FF0000"/>
                <w:sz w:val="24"/>
                <w:szCs w:val="24"/>
              </w:rPr>
              <w:t>Lietuvos Respublikos aplinkos ministerija;</w:t>
            </w:r>
          </w:p>
          <w:p w14:paraId="0B08CF62" w14:textId="4E34F947" w:rsidR="006B12AD" w:rsidRPr="007631E5" w:rsidRDefault="006B12AD" w:rsidP="00BF7550">
            <w:pPr>
              <w:pStyle w:val="ListParagraph"/>
              <w:numPr>
                <w:ilvl w:val="0"/>
                <w:numId w:val="7"/>
              </w:numPr>
              <w:ind w:left="317" w:right="362" w:hanging="283"/>
              <w:rPr>
                <w:rFonts w:ascii="Times New Roman" w:hAnsi="Times New Roman"/>
                <w:color w:val="FF0000"/>
                <w:sz w:val="24"/>
                <w:szCs w:val="24"/>
              </w:rPr>
            </w:pPr>
            <w:r w:rsidRPr="007631E5">
              <w:rPr>
                <w:rFonts w:ascii="Times New Roman" w:hAnsi="Times New Roman"/>
                <w:color w:val="FF0000"/>
                <w:sz w:val="24"/>
                <w:szCs w:val="24"/>
              </w:rPr>
              <w:t>Lietuvos Respublikos susisiekimo ministerija;</w:t>
            </w:r>
          </w:p>
          <w:p w14:paraId="6C089DDE" w14:textId="60147F5C" w:rsidR="006B12AD" w:rsidRPr="007631E5" w:rsidRDefault="006B12AD" w:rsidP="00BF7550">
            <w:pPr>
              <w:pStyle w:val="ListParagraph"/>
              <w:numPr>
                <w:ilvl w:val="0"/>
                <w:numId w:val="7"/>
              </w:numPr>
              <w:ind w:left="317" w:right="362" w:hanging="283"/>
              <w:rPr>
                <w:rFonts w:ascii="Times New Roman" w:hAnsi="Times New Roman"/>
                <w:color w:val="FF0000"/>
                <w:sz w:val="24"/>
                <w:szCs w:val="24"/>
              </w:rPr>
            </w:pPr>
            <w:r w:rsidRPr="007631E5">
              <w:rPr>
                <w:rFonts w:ascii="Times New Roman" w:hAnsi="Times New Roman"/>
                <w:color w:val="FF0000"/>
                <w:sz w:val="24"/>
                <w:szCs w:val="24"/>
              </w:rPr>
              <w:t>Lietuvos Respublikos kultūros ministerija;</w:t>
            </w:r>
          </w:p>
          <w:p w14:paraId="219D417D" w14:textId="3FCD1097" w:rsidR="006B12AD" w:rsidRPr="007631E5" w:rsidRDefault="006B12AD" w:rsidP="00BF7550">
            <w:pPr>
              <w:pStyle w:val="ListParagraph"/>
              <w:numPr>
                <w:ilvl w:val="0"/>
                <w:numId w:val="7"/>
              </w:numPr>
              <w:ind w:left="317" w:right="362" w:hanging="283"/>
              <w:rPr>
                <w:rFonts w:ascii="Times New Roman" w:hAnsi="Times New Roman"/>
                <w:color w:val="FF0000"/>
                <w:sz w:val="24"/>
                <w:szCs w:val="24"/>
              </w:rPr>
            </w:pPr>
            <w:r w:rsidRPr="007631E5">
              <w:rPr>
                <w:rFonts w:ascii="Times New Roman" w:hAnsi="Times New Roman"/>
                <w:color w:val="FF0000"/>
                <w:sz w:val="24"/>
                <w:szCs w:val="24"/>
              </w:rPr>
              <w:t>Lietuvos Respublikos vidaus reikalų ministerija;</w:t>
            </w:r>
          </w:p>
          <w:p w14:paraId="28E62B5C" w14:textId="29A78CF0" w:rsidR="006B12AD" w:rsidRPr="007631E5" w:rsidRDefault="006B12AD" w:rsidP="00BF7550">
            <w:pPr>
              <w:pStyle w:val="ListParagraph"/>
              <w:numPr>
                <w:ilvl w:val="0"/>
                <w:numId w:val="7"/>
              </w:numPr>
              <w:ind w:left="317" w:right="362" w:hanging="283"/>
              <w:rPr>
                <w:rFonts w:ascii="Times New Roman" w:hAnsi="Times New Roman"/>
                <w:color w:val="FF0000"/>
                <w:sz w:val="24"/>
                <w:szCs w:val="24"/>
              </w:rPr>
            </w:pPr>
            <w:r w:rsidRPr="007631E5">
              <w:rPr>
                <w:rFonts w:ascii="Times New Roman" w:hAnsi="Times New Roman"/>
                <w:color w:val="FF0000"/>
                <w:sz w:val="24"/>
                <w:szCs w:val="24"/>
              </w:rPr>
              <w:t>Lietuvos Respublikos sveikatos apsaugos ministerija;</w:t>
            </w:r>
          </w:p>
          <w:p w14:paraId="211A1ED2" w14:textId="1500BF7F" w:rsidR="006B12AD" w:rsidRPr="007631E5" w:rsidRDefault="006B12AD" w:rsidP="00BF7550">
            <w:pPr>
              <w:pStyle w:val="ListParagraph"/>
              <w:numPr>
                <w:ilvl w:val="0"/>
                <w:numId w:val="7"/>
              </w:numPr>
              <w:ind w:left="317" w:right="362" w:hanging="283"/>
              <w:rPr>
                <w:rFonts w:ascii="Times New Roman" w:hAnsi="Times New Roman"/>
                <w:color w:val="FF0000"/>
                <w:sz w:val="24"/>
                <w:szCs w:val="24"/>
              </w:rPr>
            </w:pPr>
            <w:r w:rsidRPr="007631E5">
              <w:rPr>
                <w:rFonts w:ascii="Times New Roman" w:hAnsi="Times New Roman"/>
                <w:color w:val="FF0000"/>
                <w:sz w:val="24"/>
                <w:szCs w:val="24"/>
              </w:rPr>
              <w:t>Lietuvos Respublikos švietimo ir mokslo ministerija;</w:t>
            </w:r>
          </w:p>
          <w:p w14:paraId="021D3330" w14:textId="363D07C3" w:rsidR="006B12AD" w:rsidRPr="007631E5" w:rsidRDefault="006B12AD" w:rsidP="00BF7550">
            <w:pPr>
              <w:pStyle w:val="ListParagraph"/>
              <w:numPr>
                <w:ilvl w:val="0"/>
                <w:numId w:val="7"/>
              </w:numPr>
              <w:ind w:left="317" w:right="362" w:hanging="283"/>
              <w:rPr>
                <w:rFonts w:ascii="Times New Roman" w:hAnsi="Times New Roman"/>
                <w:color w:val="FF0000"/>
                <w:sz w:val="24"/>
                <w:szCs w:val="24"/>
              </w:rPr>
            </w:pPr>
            <w:r w:rsidRPr="007631E5">
              <w:rPr>
                <w:rFonts w:ascii="Times New Roman" w:hAnsi="Times New Roman"/>
                <w:color w:val="FF0000"/>
                <w:sz w:val="24"/>
                <w:szCs w:val="24"/>
              </w:rPr>
              <w:t>Lietuvos Respublikos socialinės apsaugos ir darbo ministerija;</w:t>
            </w:r>
          </w:p>
          <w:p w14:paraId="2A1F85DE" w14:textId="291CE60C" w:rsidR="006B12AD" w:rsidRPr="007631E5" w:rsidRDefault="006B12AD" w:rsidP="001C71A4">
            <w:pPr>
              <w:pStyle w:val="ListParagraph"/>
              <w:numPr>
                <w:ilvl w:val="0"/>
                <w:numId w:val="7"/>
              </w:numPr>
              <w:ind w:left="317" w:right="362" w:hanging="283"/>
              <w:rPr>
                <w:rFonts w:ascii="Times New Roman" w:hAnsi="Times New Roman"/>
                <w:i/>
                <w:color w:val="FF0000"/>
                <w:sz w:val="24"/>
                <w:szCs w:val="24"/>
              </w:rPr>
            </w:pPr>
            <w:r w:rsidRPr="007631E5">
              <w:rPr>
                <w:rStyle w:val="st"/>
                <w:rFonts w:ascii="Times New Roman" w:hAnsi="Times New Roman"/>
                <w:color w:val="FF0000"/>
                <w:sz w:val="24"/>
                <w:szCs w:val="24"/>
              </w:rPr>
              <w:t>VšĮ Lietuvos verslo paramos agentūra;.</w:t>
            </w:r>
          </w:p>
        </w:tc>
      </w:tr>
      <w:tr w:rsidR="006B12AD" w:rsidRPr="007528AB" w14:paraId="76EEE6CC" w14:textId="77777777" w:rsidTr="00A513FA">
        <w:tc>
          <w:tcPr>
            <w:tcW w:w="567" w:type="dxa"/>
          </w:tcPr>
          <w:p w14:paraId="6322E429" w14:textId="77777777" w:rsidR="006B12AD" w:rsidRPr="007528AB" w:rsidRDefault="006B12AD" w:rsidP="00FB6137">
            <w:pPr>
              <w:pStyle w:val="ListParagraph"/>
              <w:numPr>
                <w:ilvl w:val="0"/>
                <w:numId w:val="1"/>
              </w:numPr>
              <w:tabs>
                <w:tab w:val="left" w:pos="567"/>
              </w:tabs>
              <w:ind w:hanging="1046"/>
              <w:rPr>
                <w:rFonts w:ascii="Times New Roman" w:hAnsi="Times New Roman"/>
                <w:sz w:val="24"/>
                <w:szCs w:val="24"/>
              </w:rPr>
            </w:pPr>
          </w:p>
        </w:tc>
        <w:tc>
          <w:tcPr>
            <w:tcW w:w="2836" w:type="dxa"/>
          </w:tcPr>
          <w:p w14:paraId="4C97F786" w14:textId="77777777" w:rsidR="006B12AD" w:rsidRPr="007528AB" w:rsidRDefault="006B12AD" w:rsidP="00D80DEB">
            <w:pPr>
              <w:tabs>
                <w:tab w:val="left" w:pos="567"/>
              </w:tabs>
              <w:rPr>
                <w:rFonts w:ascii="Times New Roman" w:hAnsi="Times New Roman"/>
                <w:sz w:val="24"/>
                <w:szCs w:val="24"/>
              </w:rPr>
            </w:pPr>
            <w:r w:rsidRPr="007528AB">
              <w:rPr>
                <w:rFonts w:ascii="Times New Roman" w:hAnsi="Times New Roman"/>
                <w:sz w:val="24"/>
                <w:szCs w:val="24"/>
              </w:rPr>
              <w:t>Kita</w:t>
            </w:r>
          </w:p>
        </w:tc>
        <w:tc>
          <w:tcPr>
            <w:tcW w:w="6945" w:type="dxa"/>
          </w:tcPr>
          <w:p w14:paraId="7CFFA877" w14:textId="77777777" w:rsidR="006B12AD" w:rsidRPr="007528AB" w:rsidRDefault="006B12AD" w:rsidP="00D80DEB">
            <w:pPr>
              <w:tabs>
                <w:tab w:val="left" w:pos="567"/>
              </w:tabs>
              <w:jc w:val="both"/>
              <w:rPr>
                <w:rFonts w:ascii="Times New Roman" w:hAnsi="Times New Roman"/>
                <w:i/>
                <w:sz w:val="24"/>
                <w:szCs w:val="24"/>
              </w:rPr>
            </w:pPr>
            <w:r w:rsidRPr="007528AB">
              <w:rPr>
                <w:rFonts w:ascii="Times New Roman" w:hAnsi="Times New Roman"/>
                <w:sz w:val="24"/>
                <w:szCs w:val="24"/>
              </w:rPr>
              <w:t>Netaikoma</w:t>
            </w:r>
            <w:r w:rsidRPr="007528AB">
              <w:rPr>
                <w:rFonts w:ascii="Times New Roman" w:hAnsi="Times New Roman"/>
                <w:b/>
                <w:sz w:val="24"/>
                <w:szCs w:val="24"/>
              </w:rPr>
              <w:t>.</w:t>
            </w:r>
          </w:p>
        </w:tc>
      </w:tr>
    </w:tbl>
    <w:p w14:paraId="46190CD5" w14:textId="77777777" w:rsidR="00D80DEB" w:rsidRPr="007528AB" w:rsidRDefault="00D80DEB" w:rsidP="003135FE">
      <w:pPr>
        <w:rPr>
          <w:rFonts w:ascii="Times New Roman" w:hAnsi="Times New Roman"/>
        </w:rPr>
      </w:pPr>
    </w:p>
    <w:sectPr w:rsidR="00D80DEB" w:rsidRPr="007528AB" w:rsidSect="00933330">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62D73"/>
    <w:multiLevelType w:val="hybridMultilevel"/>
    <w:tmpl w:val="7F5E9D78"/>
    <w:lvl w:ilvl="0" w:tplc="A8AA304C">
      <w:start w:val="1"/>
      <w:numFmt w:val="decimal"/>
      <w:lvlText w:val="%1."/>
      <w:lvlJc w:val="left"/>
      <w:pPr>
        <w:ind w:left="2945" w:hanging="960"/>
      </w:pPr>
      <w:rPr>
        <w:rFonts w:ascii="Times New Roman" w:hAnsi="Times New Roman" w:cs="Times New Roman" w:hint="default"/>
        <w:b w:val="0"/>
        <w:color w:val="auto"/>
        <w:sz w:val="24"/>
        <w:szCs w:val="24"/>
      </w:rPr>
    </w:lvl>
    <w:lvl w:ilvl="1" w:tplc="B824B744">
      <w:start w:val="1"/>
      <w:numFmt w:val="decimal"/>
      <w:lvlText w:val="22.%2"/>
      <w:lvlJc w:val="left"/>
      <w:pPr>
        <w:ind w:left="1235" w:hanging="360"/>
      </w:pPr>
      <w:rPr>
        <w:rFonts w:hint="default"/>
      </w:rPr>
    </w:lvl>
    <w:lvl w:ilvl="2" w:tplc="0427001B" w:tentative="1">
      <w:start w:val="1"/>
      <w:numFmt w:val="lowerRoman"/>
      <w:lvlText w:val="%3."/>
      <w:lvlJc w:val="right"/>
      <w:pPr>
        <w:ind w:left="1955" w:hanging="180"/>
      </w:pPr>
    </w:lvl>
    <w:lvl w:ilvl="3" w:tplc="0427000F" w:tentative="1">
      <w:start w:val="1"/>
      <w:numFmt w:val="decimal"/>
      <w:lvlText w:val="%4."/>
      <w:lvlJc w:val="left"/>
      <w:pPr>
        <w:ind w:left="2675" w:hanging="360"/>
      </w:pPr>
    </w:lvl>
    <w:lvl w:ilvl="4" w:tplc="04270019" w:tentative="1">
      <w:start w:val="1"/>
      <w:numFmt w:val="lowerLetter"/>
      <w:lvlText w:val="%5."/>
      <w:lvlJc w:val="left"/>
      <w:pPr>
        <w:ind w:left="3395" w:hanging="360"/>
      </w:pPr>
    </w:lvl>
    <w:lvl w:ilvl="5" w:tplc="0427001B" w:tentative="1">
      <w:start w:val="1"/>
      <w:numFmt w:val="lowerRoman"/>
      <w:lvlText w:val="%6."/>
      <w:lvlJc w:val="right"/>
      <w:pPr>
        <w:ind w:left="4115" w:hanging="180"/>
      </w:pPr>
    </w:lvl>
    <w:lvl w:ilvl="6" w:tplc="0427000F" w:tentative="1">
      <w:start w:val="1"/>
      <w:numFmt w:val="decimal"/>
      <w:lvlText w:val="%7."/>
      <w:lvlJc w:val="left"/>
      <w:pPr>
        <w:ind w:left="4835" w:hanging="360"/>
      </w:pPr>
    </w:lvl>
    <w:lvl w:ilvl="7" w:tplc="04270019" w:tentative="1">
      <w:start w:val="1"/>
      <w:numFmt w:val="lowerLetter"/>
      <w:lvlText w:val="%8."/>
      <w:lvlJc w:val="left"/>
      <w:pPr>
        <w:ind w:left="5555" w:hanging="360"/>
      </w:pPr>
    </w:lvl>
    <w:lvl w:ilvl="8" w:tplc="0427001B" w:tentative="1">
      <w:start w:val="1"/>
      <w:numFmt w:val="lowerRoman"/>
      <w:lvlText w:val="%9."/>
      <w:lvlJc w:val="right"/>
      <w:pPr>
        <w:ind w:left="6275" w:hanging="180"/>
      </w:pPr>
    </w:lvl>
  </w:abstractNum>
  <w:abstractNum w:abstractNumId="1" w15:restartNumberingAfterBreak="0">
    <w:nsid w:val="18AB0A2B"/>
    <w:multiLevelType w:val="hybridMultilevel"/>
    <w:tmpl w:val="A27E2B40"/>
    <w:lvl w:ilvl="0" w:tplc="6A3A94DE">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46328CD"/>
    <w:multiLevelType w:val="hybridMultilevel"/>
    <w:tmpl w:val="C8C6CAF0"/>
    <w:lvl w:ilvl="0" w:tplc="9BD246D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7916A1"/>
    <w:multiLevelType w:val="hybridMultilevel"/>
    <w:tmpl w:val="4E9E802A"/>
    <w:lvl w:ilvl="0" w:tplc="3AFC3E52">
      <w:start w:val="5"/>
      <w:numFmt w:val="bullet"/>
      <w:lvlText w:val="-"/>
      <w:lvlJc w:val="left"/>
      <w:pPr>
        <w:ind w:left="869" w:hanging="360"/>
      </w:pPr>
      <w:rPr>
        <w:rFonts w:ascii="Times New Roman" w:eastAsia="Calibri" w:hAnsi="Times New Roman" w:cs="Times New Roman" w:hint="default"/>
      </w:rPr>
    </w:lvl>
    <w:lvl w:ilvl="1" w:tplc="04270003" w:tentative="1">
      <w:start w:val="1"/>
      <w:numFmt w:val="bullet"/>
      <w:lvlText w:val="o"/>
      <w:lvlJc w:val="left"/>
      <w:pPr>
        <w:ind w:left="1589" w:hanging="360"/>
      </w:pPr>
      <w:rPr>
        <w:rFonts w:ascii="Courier New" w:hAnsi="Courier New" w:cs="Courier New" w:hint="default"/>
      </w:rPr>
    </w:lvl>
    <w:lvl w:ilvl="2" w:tplc="04270005" w:tentative="1">
      <w:start w:val="1"/>
      <w:numFmt w:val="bullet"/>
      <w:lvlText w:val=""/>
      <w:lvlJc w:val="left"/>
      <w:pPr>
        <w:ind w:left="2309" w:hanging="360"/>
      </w:pPr>
      <w:rPr>
        <w:rFonts w:ascii="Wingdings" w:hAnsi="Wingdings" w:hint="default"/>
      </w:rPr>
    </w:lvl>
    <w:lvl w:ilvl="3" w:tplc="04270001" w:tentative="1">
      <w:start w:val="1"/>
      <w:numFmt w:val="bullet"/>
      <w:lvlText w:val=""/>
      <w:lvlJc w:val="left"/>
      <w:pPr>
        <w:ind w:left="3029" w:hanging="360"/>
      </w:pPr>
      <w:rPr>
        <w:rFonts w:ascii="Symbol" w:hAnsi="Symbol" w:hint="default"/>
      </w:rPr>
    </w:lvl>
    <w:lvl w:ilvl="4" w:tplc="04270003" w:tentative="1">
      <w:start w:val="1"/>
      <w:numFmt w:val="bullet"/>
      <w:lvlText w:val="o"/>
      <w:lvlJc w:val="left"/>
      <w:pPr>
        <w:ind w:left="3749" w:hanging="360"/>
      </w:pPr>
      <w:rPr>
        <w:rFonts w:ascii="Courier New" w:hAnsi="Courier New" w:cs="Courier New" w:hint="default"/>
      </w:rPr>
    </w:lvl>
    <w:lvl w:ilvl="5" w:tplc="04270005" w:tentative="1">
      <w:start w:val="1"/>
      <w:numFmt w:val="bullet"/>
      <w:lvlText w:val=""/>
      <w:lvlJc w:val="left"/>
      <w:pPr>
        <w:ind w:left="4469" w:hanging="360"/>
      </w:pPr>
      <w:rPr>
        <w:rFonts w:ascii="Wingdings" w:hAnsi="Wingdings" w:hint="default"/>
      </w:rPr>
    </w:lvl>
    <w:lvl w:ilvl="6" w:tplc="04270001" w:tentative="1">
      <w:start w:val="1"/>
      <w:numFmt w:val="bullet"/>
      <w:lvlText w:val=""/>
      <w:lvlJc w:val="left"/>
      <w:pPr>
        <w:ind w:left="5189" w:hanging="360"/>
      </w:pPr>
      <w:rPr>
        <w:rFonts w:ascii="Symbol" w:hAnsi="Symbol" w:hint="default"/>
      </w:rPr>
    </w:lvl>
    <w:lvl w:ilvl="7" w:tplc="04270003" w:tentative="1">
      <w:start w:val="1"/>
      <w:numFmt w:val="bullet"/>
      <w:lvlText w:val="o"/>
      <w:lvlJc w:val="left"/>
      <w:pPr>
        <w:ind w:left="5909" w:hanging="360"/>
      </w:pPr>
      <w:rPr>
        <w:rFonts w:ascii="Courier New" w:hAnsi="Courier New" w:cs="Courier New" w:hint="default"/>
      </w:rPr>
    </w:lvl>
    <w:lvl w:ilvl="8" w:tplc="04270005" w:tentative="1">
      <w:start w:val="1"/>
      <w:numFmt w:val="bullet"/>
      <w:lvlText w:val=""/>
      <w:lvlJc w:val="left"/>
      <w:pPr>
        <w:ind w:left="6629" w:hanging="360"/>
      </w:pPr>
      <w:rPr>
        <w:rFonts w:ascii="Wingdings" w:hAnsi="Wingdings" w:hint="default"/>
      </w:rPr>
    </w:lvl>
  </w:abstractNum>
  <w:abstractNum w:abstractNumId="4" w15:restartNumberingAfterBreak="0">
    <w:nsid w:val="32C44E89"/>
    <w:multiLevelType w:val="hybridMultilevel"/>
    <w:tmpl w:val="670217F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363718EC"/>
    <w:multiLevelType w:val="hybridMultilevel"/>
    <w:tmpl w:val="E604E5DC"/>
    <w:lvl w:ilvl="0" w:tplc="0B10B14A">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6E70082"/>
    <w:multiLevelType w:val="hybridMultilevel"/>
    <w:tmpl w:val="8E90CD1E"/>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1604663"/>
    <w:multiLevelType w:val="hybridMultilevel"/>
    <w:tmpl w:val="69DEE988"/>
    <w:lvl w:ilvl="0" w:tplc="5726C594">
      <w:start w:val="12"/>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5366BFA"/>
    <w:multiLevelType w:val="hybridMultilevel"/>
    <w:tmpl w:val="028E82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4B60659"/>
    <w:multiLevelType w:val="hybridMultilevel"/>
    <w:tmpl w:val="9920108C"/>
    <w:lvl w:ilvl="0" w:tplc="6A3A94DE">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D747F24"/>
    <w:multiLevelType w:val="hybridMultilevel"/>
    <w:tmpl w:val="9B4C21C8"/>
    <w:lvl w:ilvl="0" w:tplc="C01ED43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DA42BDB"/>
    <w:multiLevelType w:val="hybridMultilevel"/>
    <w:tmpl w:val="04F81806"/>
    <w:lvl w:ilvl="0" w:tplc="0427000F">
      <w:start w:val="1"/>
      <w:numFmt w:val="decimal"/>
      <w:lvlText w:val="%1."/>
      <w:lvlJc w:val="left"/>
      <w:pPr>
        <w:ind w:left="1061"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8F12791"/>
    <w:multiLevelType w:val="multilevel"/>
    <w:tmpl w:val="430CA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6E690B98"/>
    <w:multiLevelType w:val="hybridMultilevel"/>
    <w:tmpl w:val="78245A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9471F1"/>
    <w:multiLevelType w:val="hybridMultilevel"/>
    <w:tmpl w:val="A14A432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9"/>
  </w:num>
  <w:num w:numId="3">
    <w:abstractNumId w:val="10"/>
  </w:num>
  <w:num w:numId="4">
    <w:abstractNumId w:val="0"/>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
  </w:num>
  <w:num w:numId="8">
    <w:abstractNumId w:val="2"/>
  </w:num>
  <w:num w:numId="9">
    <w:abstractNumId w:val="7"/>
  </w:num>
  <w:num w:numId="10">
    <w:abstractNumId w:val="6"/>
  </w:num>
  <w:num w:numId="11">
    <w:abstractNumId w:val="14"/>
  </w:num>
  <w:num w:numId="12">
    <w:abstractNumId w:val="8"/>
  </w:num>
  <w:num w:numId="13">
    <w:abstractNumId w:val="3"/>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137"/>
    <w:rsid w:val="00002C84"/>
    <w:rsid w:val="00003331"/>
    <w:rsid w:val="00004826"/>
    <w:rsid w:val="00005688"/>
    <w:rsid w:val="000069C6"/>
    <w:rsid w:val="00006D6B"/>
    <w:rsid w:val="00006FAC"/>
    <w:rsid w:val="00010686"/>
    <w:rsid w:val="00014D97"/>
    <w:rsid w:val="000162D8"/>
    <w:rsid w:val="00017D42"/>
    <w:rsid w:val="000215FF"/>
    <w:rsid w:val="00023568"/>
    <w:rsid w:val="00026AD0"/>
    <w:rsid w:val="000276E0"/>
    <w:rsid w:val="0002771D"/>
    <w:rsid w:val="000410C7"/>
    <w:rsid w:val="00041FCD"/>
    <w:rsid w:val="0005008C"/>
    <w:rsid w:val="000545F0"/>
    <w:rsid w:val="000576B6"/>
    <w:rsid w:val="000606D5"/>
    <w:rsid w:val="00070B3A"/>
    <w:rsid w:val="00072BBF"/>
    <w:rsid w:val="00080DC1"/>
    <w:rsid w:val="000814BB"/>
    <w:rsid w:val="00084000"/>
    <w:rsid w:val="000846B4"/>
    <w:rsid w:val="00087697"/>
    <w:rsid w:val="00091159"/>
    <w:rsid w:val="000924D2"/>
    <w:rsid w:val="00092D49"/>
    <w:rsid w:val="00093336"/>
    <w:rsid w:val="00094D62"/>
    <w:rsid w:val="00096054"/>
    <w:rsid w:val="000973D4"/>
    <w:rsid w:val="000A2B87"/>
    <w:rsid w:val="000A39C1"/>
    <w:rsid w:val="000A4803"/>
    <w:rsid w:val="000A72EE"/>
    <w:rsid w:val="000B08E4"/>
    <w:rsid w:val="000B7277"/>
    <w:rsid w:val="000C16B3"/>
    <w:rsid w:val="000C1A02"/>
    <w:rsid w:val="000C222C"/>
    <w:rsid w:val="000C292E"/>
    <w:rsid w:val="000C46FF"/>
    <w:rsid w:val="000C5892"/>
    <w:rsid w:val="000C760C"/>
    <w:rsid w:val="000C7E3B"/>
    <w:rsid w:val="000D01B9"/>
    <w:rsid w:val="000D2E70"/>
    <w:rsid w:val="000D3671"/>
    <w:rsid w:val="000D6C01"/>
    <w:rsid w:val="000E48A8"/>
    <w:rsid w:val="000E7317"/>
    <w:rsid w:val="000F04FF"/>
    <w:rsid w:val="000F59D7"/>
    <w:rsid w:val="000F66E9"/>
    <w:rsid w:val="000F6A72"/>
    <w:rsid w:val="000F7611"/>
    <w:rsid w:val="00101FA8"/>
    <w:rsid w:val="00103229"/>
    <w:rsid w:val="00105C01"/>
    <w:rsid w:val="00106125"/>
    <w:rsid w:val="001128D3"/>
    <w:rsid w:val="00113EDB"/>
    <w:rsid w:val="0011429B"/>
    <w:rsid w:val="0011497D"/>
    <w:rsid w:val="00115814"/>
    <w:rsid w:val="00120ABD"/>
    <w:rsid w:val="00123FCB"/>
    <w:rsid w:val="0012518C"/>
    <w:rsid w:val="0013143A"/>
    <w:rsid w:val="001324A6"/>
    <w:rsid w:val="00132AD1"/>
    <w:rsid w:val="00133A60"/>
    <w:rsid w:val="00141C67"/>
    <w:rsid w:val="001625A6"/>
    <w:rsid w:val="001658F4"/>
    <w:rsid w:val="001676F1"/>
    <w:rsid w:val="00175D92"/>
    <w:rsid w:val="001803AF"/>
    <w:rsid w:val="00185A1C"/>
    <w:rsid w:val="001A1713"/>
    <w:rsid w:val="001B3D49"/>
    <w:rsid w:val="001B6436"/>
    <w:rsid w:val="001B6A5A"/>
    <w:rsid w:val="001C15C5"/>
    <w:rsid w:val="001C3FF6"/>
    <w:rsid w:val="001C4F37"/>
    <w:rsid w:val="001C5442"/>
    <w:rsid w:val="001C615D"/>
    <w:rsid w:val="001C6A8E"/>
    <w:rsid w:val="001C71A4"/>
    <w:rsid w:val="001D0613"/>
    <w:rsid w:val="001D1C8B"/>
    <w:rsid w:val="001D25BB"/>
    <w:rsid w:val="001D7CE7"/>
    <w:rsid w:val="001E0B7C"/>
    <w:rsid w:val="001E1576"/>
    <w:rsid w:val="001E1B1F"/>
    <w:rsid w:val="001E5E90"/>
    <w:rsid w:val="001F14C7"/>
    <w:rsid w:val="001F1E34"/>
    <w:rsid w:val="001F2B6F"/>
    <w:rsid w:val="00202395"/>
    <w:rsid w:val="00203431"/>
    <w:rsid w:val="00205108"/>
    <w:rsid w:val="00215786"/>
    <w:rsid w:val="00220640"/>
    <w:rsid w:val="00222200"/>
    <w:rsid w:val="00226E43"/>
    <w:rsid w:val="0022700F"/>
    <w:rsid w:val="00232A35"/>
    <w:rsid w:val="002354E6"/>
    <w:rsid w:val="00240CB9"/>
    <w:rsid w:val="002463EB"/>
    <w:rsid w:val="00246E40"/>
    <w:rsid w:val="0025072E"/>
    <w:rsid w:val="00250BB1"/>
    <w:rsid w:val="00250D8C"/>
    <w:rsid w:val="00257DD1"/>
    <w:rsid w:val="00261C64"/>
    <w:rsid w:val="00262BCD"/>
    <w:rsid w:val="0026365D"/>
    <w:rsid w:val="00265C0B"/>
    <w:rsid w:val="00266661"/>
    <w:rsid w:val="00271B03"/>
    <w:rsid w:val="00274453"/>
    <w:rsid w:val="002762B4"/>
    <w:rsid w:val="00276903"/>
    <w:rsid w:val="0028625F"/>
    <w:rsid w:val="00291E81"/>
    <w:rsid w:val="002923B5"/>
    <w:rsid w:val="002925C4"/>
    <w:rsid w:val="00296D34"/>
    <w:rsid w:val="00297CCA"/>
    <w:rsid w:val="00297FE2"/>
    <w:rsid w:val="002A1B39"/>
    <w:rsid w:val="002A53E2"/>
    <w:rsid w:val="002B511B"/>
    <w:rsid w:val="002B5E67"/>
    <w:rsid w:val="002B6A16"/>
    <w:rsid w:val="002B71F6"/>
    <w:rsid w:val="002C19FA"/>
    <w:rsid w:val="002C6774"/>
    <w:rsid w:val="002D0C61"/>
    <w:rsid w:val="002D20DE"/>
    <w:rsid w:val="002D7B92"/>
    <w:rsid w:val="002E2986"/>
    <w:rsid w:val="002E6165"/>
    <w:rsid w:val="002F1577"/>
    <w:rsid w:val="002F1DE0"/>
    <w:rsid w:val="002F4FA0"/>
    <w:rsid w:val="002F654A"/>
    <w:rsid w:val="00310250"/>
    <w:rsid w:val="00310EB2"/>
    <w:rsid w:val="003135FE"/>
    <w:rsid w:val="0031366D"/>
    <w:rsid w:val="00315899"/>
    <w:rsid w:val="00320B1C"/>
    <w:rsid w:val="00322484"/>
    <w:rsid w:val="003232EA"/>
    <w:rsid w:val="00325D1B"/>
    <w:rsid w:val="00330823"/>
    <w:rsid w:val="00333E3F"/>
    <w:rsid w:val="0033489B"/>
    <w:rsid w:val="00335450"/>
    <w:rsid w:val="00337683"/>
    <w:rsid w:val="00337F4F"/>
    <w:rsid w:val="00340522"/>
    <w:rsid w:val="0034354D"/>
    <w:rsid w:val="0034420F"/>
    <w:rsid w:val="003458CE"/>
    <w:rsid w:val="00345CD7"/>
    <w:rsid w:val="00346084"/>
    <w:rsid w:val="003542D3"/>
    <w:rsid w:val="0035516E"/>
    <w:rsid w:val="00365BEC"/>
    <w:rsid w:val="003707A5"/>
    <w:rsid w:val="003708D2"/>
    <w:rsid w:val="00370DB6"/>
    <w:rsid w:val="00372FB6"/>
    <w:rsid w:val="00373B96"/>
    <w:rsid w:val="00374286"/>
    <w:rsid w:val="00374B00"/>
    <w:rsid w:val="003768CE"/>
    <w:rsid w:val="003856DA"/>
    <w:rsid w:val="003873D0"/>
    <w:rsid w:val="00387BBB"/>
    <w:rsid w:val="003910D0"/>
    <w:rsid w:val="003968F7"/>
    <w:rsid w:val="003A59A1"/>
    <w:rsid w:val="003A76C8"/>
    <w:rsid w:val="003B08A6"/>
    <w:rsid w:val="003B0DDC"/>
    <w:rsid w:val="003B2C9E"/>
    <w:rsid w:val="003B504E"/>
    <w:rsid w:val="003C0A76"/>
    <w:rsid w:val="003C28CB"/>
    <w:rsid w:val="003C2D2C"/>
    <w:rsid w:val="003C3E2C"/>
    <w:rsid w:val="003D12D6"/>
    <w:rsid w:val="003D37FE"/>
    <w:rsid w:val="003D5691"/>
    <w:rsid w:val="003E2D8F"/>
    <w:rsid w:val="003F1869"/>
    <w:rsid w:val="003F6DB0"/>
    <w:rsid w:val="0040180F"/>
    <w:rsid w:val="004023F5"/>
    <w:rsid w:val="00404877"/>
    <w:rsid w:val="004103F1"/>
    <w:rsid w:val="0041186B"/>
    <w:rsid w:val="00412DF4"/>
    <w:rsid w:val="00414168"/>
    <w:rsid w:val="00416384"/>
    <w:rsid w:val="00417541"/>
    <w:rsid w:val="004249D4"/>
    <w:rsid w:val="00433B49"/>
    <w:rsid w:val="00436745"/>
    <w:rsid w:val="00444E51"/>
    <w:rsid w:val="004460B4"/>
    <w:rsid w:val="004467CB"/>
    <w:rsid w:val="004474B1"/>
    <w:rsid w:val="00454629"/>
    <w:rsid w:val="00456FA0"/>
    <w:rsid w:val="004630F2"/>
    <w:rsid w:val="004643C8"/>
    <w:rsid w:val="004644B3"/>
    <w:rsid w:val="00467030"/>
    <w:rsid w:val="00470109"/>
    <w:rsid w:val="004703B4"/>
    <w:rsid w:val="00471EC0"/>
    <w:rsid w:val="004745A2"/>
    <w:rsid w:val="004756CC"/>
    <w:rsid w:val="004763FB"/>
    <w:rsid w:val="0047705C"/>
    <w:rsid w:val="004811E2"/>
    <w:rsid w:val="004874E4"/>
    <w:rsid w:val="00491D81"/>
    <w:rsid w:val="004920BA"/>
    <w:rsid w:val="004931CA"/>
    <w:rsid w:val="0049585B"/>
    <w:rsid w:val="004A072F"/>
    <w:rsid w:val="004A07B6"/>
    <w:rsid w:val="004A539F"/>
    <w:rsid w:val="004A5FB1"/>
    <w:rsid w:val="004A78AE"/>
    <w:rsid w:val="004B0AC7"/>
    <w:rsid w:val="004B49C5"/>
    <w:rsid w:val="004B67C0"/>
    <w:rsid w:val="004B7A99"/>
    <w:rsid w:val="004C1813"/>
    <w:rsid w:val="004C2BA9"/>
    <w:rsid w:val="004D1E54"/>
    <w:rsid w:val="004D369B"/>
    <w:rsid w:val="004E1CEA"/>
    <w:rsid w:val="004E3A36"/>
    <w:rsid w:val="004E68B7"/>
    <w:rsid w:val="004F12A2"/>
    <w:rsid w:val="004F4A72"/>
    <w:rsid w:val="004F726C"/>
    <w:rsid w:val="00511842"/>
    <w:rsid w:val="00512DDD"/>
    <w:rsid w:val="00515BCC"/>
    <w:rsid w:val="005164DE"/>
    <w:rsid w:val="00535B10"/>
    <w:rsid w:val="005404EB"/>
    <w:rsid w:val="0054088F"/>
    <w:rsid w:val="00545375"/>
    <w:rsid w:val="005460C6"/>
    <w:rsid w:val="00547BD4"/>
    <w:rsid w:val="005520E6"/>
    <w:rsid w:val="00560241"/>
    <w:rsid w:val="00561F42"/>
    <w:rsid w:val="005739C9"/>
    <w:rsid w:val="00576134"/>
    <w:rsid w:val="00577756"/>
    <w:rsid w:val="00583112"/>
    <w:rsid w:val="0059314A"/>
    <w:rsid w:val="00597455"/>
    <w:rsid w:val="00597DB8"/>
    <w:rsid w:val="005A033D"/>
    <w:rsid w:val="005A6754"/>
    <w:rsid w:val="005B06CA"/>
    <w:rsid w:val="005B5317"/>
    <w:rsid w:val="005B7B88"/>
    <w:rsid w:val="005C4780"/>
    <w:rsid w:val="005C529C"/>
    <w:rsid w:val="005D3F16"/>
    <w:rsid w:val="005E0DB3"/>
    <w:rsid w:val="005E3756"/>
    <w:rsid w:val="005E43D5"/>
    <w:rsid w:val="005E543C"/>
    <w:rsid w:val="005E5EBC"/>
    <w:rsid w:val="005F3F7C"/>
    <w:rsid w:val="005F77AA"/>
    <w:rsid w:val="00600636"/>
    <w:rsid w:val="00601EAA"/>
    <w:rsid w:val="00603616"/>
    <w:rsid w:val="00603D99"/>
    <w:rsid w:val="00605E94"/>
    <w:rsid w:val="006076B5"/>
    <w:rsid w:val="00607AA3"/>
    <w:rsid w:val="0061339B"/>
    <w:rsid w:val="00613493"/>
    <w:rsid w:val="00624DFB"/>
    <w:rsid w:val="00627E40"/>
    <w:rsid w:val="00632C4A"/>
    <w:rsid w:val="00635CF2"/>
    <w:rsid w:val="00641E3B"/>
    <w:rsid w:val="00644405"/>
    <w:rsid w:val="006457B8"/>
    <w:rsid w:val="00647639"/>
    <w:rsid w:val="006533B5"/>
    <w:rsid w:val="00664C1F"/>
    <w:rsid w:val="00671921"/>
    <w:rsid w:val="00671F59"/>
    <w:rsid w:val="0067223D"/>
    <w:rsid w:val="0067269F"/>
    <w:rsid w:val="00682B3E"/>
    <w:rsid w:val="00684410"/>
    <w:rsid w:val="00684562"/>
    <w:rsid w:val="00691257"/>
    <w:rsid w:val="00692094"/>
    <w:rsid w:val="00694D35"/>
    <w:rsid w:val="006957EB"/>
    <w:rsid w:val="0069604C"/>
    <w:rsid w:val="00696054"/>
    <w:rsid w:val="006977F3"/>
    <w:rsid w:val="006A7DAE"/>
    <w:rsid w:val="006B0004"/>
    <w:rsid w:val="006B0096"/>
    <w:rsid w:val="006B0A76"/>
    <w:rsid w:val="006B12AD"/>
    <w:rsid w:val="006B2E9D"/>
    <w:rsid w:val="006C5089"/>
    <w:rsid w:val="006D2BF0"/>
    <w:rsid w:val="006D3059"/>
    <w:rsid w:val="006D32D2"/>
    <w:rsid w:val="006D3346"/>
    <w:rsid w:val="006D3959"/>
    <w:rsid w:val="006D53BF"/>
    <w:rsid w:val="006D7830"/>
    <w:rsid w:val="006E1920"/>
    <w:rsid w:val="006E4557"/>
    <w:rsid w:val="00703FA4"/>
    <w:rsid w:val="0070408F"/>
    <w:rsid w:val="00705574"/>
    <w:rsid w:val="00706202"/>
    <w:rsid w:val="0071042C"/>
    <w:rsid w:val="0071340D"/>
    <w:rsid w:val="00715152"/>
    <w:rsid w:val="00717383"/>
    <w:rsid w:val="0072115E"/>
    <w:rsid w:val="00721A98"/>
    <w:rsid w:val="007224F1"/>
    <w:rsid w:val="007230FE"/>
    <w:rsid w:val="00725172"/>
    <w:rsid w:val="00725575"/>
    <w:rsid w:val="0072567A"/>
    <w:rsid w:val="00727621"/>
    <w:rsid w:val="00735D60"/>
    <w:rsid w:val="00737CAE"/>
    <w:rsid w:val="00737CB0"/>
    <w:rsid w:val="00740A89"/>
    <w:rsid w:val="007432FF"/>
    <w:rsid w:val="00743BC5"/>
    <w:rsid w:val="007450D6"/>
    <w:rsid w:val="0074566B"/>
    <w:rsid w:val="00745F81"/>
    <w:rsid w:val="00747DAC"/>
    <w:rsid w:val="007528AB"/>
    <w:rsid w:val="00756722"/>
    <w:rsid w:val="007631E5"/>
    <w:rsid w:val="00767DE5"/>
    <w:rsid w:val="00776617"/>
    <w:rsid w:val="00780350"/>
    <w:rsid w:val="0078130F"/>
    <w:rsid w:val="0078328F"/>
    <w:rsid w:val="00783956"/>
    <w:rsid w:val="00786E03"/>
    <w:rsid w:val="00787D0B"/>
    <w:rsid w:val="007A12B9"/>
    <w:rsid w:val="007A45A5"/>
    <w:rsid w:val="007A4E54"/>
    <w:rsid w:val="007A5A93"/>
    <w:rsid w:val="007B09DD"/>
    <w:rsid w:val="007B175B"/>
    <w:rsid w:val="007B465A"/>
    <w:rsid w:val="007B4CC7"/>
    <w:rsid w:val="007C1C1C"/>
    <w:rsid w:val="007C2D13"/>
    <w:rsid w:val="007C4583"/>
    <w:rsid w:val="007C58E0"/>
    <w:rsid w:val="007C651B"/>
    <w:rsid w:val="007D0244"/>
    <w:rsid w:val="007D17B9"/>
    <w:rsid w:val="007D32FD"/>
    <w:rsid w:val="007D470A"/>
    <w:rsid w:val="007D5B24"/>
    <w:rsid w:val="007E170A"/>
    <w:rsid w:val="007E2513"/>
    <w:rsid w:val="007E27B9"/>
    <w:rsid w:val="007E2C61"/>
    <w:rsid w:val="007E76A5"/>
    <w:rsid w:val="007F2D13"/>
    <w:rsid w:val="007F2EEE"/>
    <w:rsid w:val="007F55CC"/>
    <w:rsid w:val="007F741A"/>
    <w:rsid w:val="007F75C9"/>
    <w:rsid w:val="007F7B5D"/>
    <w:rsid w:val="00803163"/>
    <w:rsid w:val="0080359E"/>
    <w:rsid w:val="00806433"/>
    <w:rsid w:val="00807707"/>
    <w:rsid w:val="008109EF"/>
    <w:rsid w:val="008132B9"/>
    <w:rsid w:val="00813B21"/>
    <w:rsid w:val="008140C2"/>
    <w:rsid w:val="00814EB9"/>
    <w:rsid w:val="0081684E"/>
    <w:rsid w:val="008245D1"/>
    <w:rsid w:val="00825DA2"/>
    <w:rsid w:val="008307C0"/>
    <w:rsid w:val="00831C49"/>
    <w:rsid w:val="00840FE4"/>
    <w:rsid w:val="00841C6D"/>
    <w:rsid w:val="008448C2"/>
    <w:rsid w:val="008475DE"/>
    <w:rsid w:val="008478F9"/>
    <w:rsid w:val="00852EDA"/>
    <w:rsid w:val="00853328"/>
    <w:rsid w:val="0085386B"/>
    <w:rsid w:val="008540AA"/>
    <w:rsid w:val="008541AB"/>
    <w:rsid w:val="0086175E"/>
    <w:rsid w:val="00861DB0"/>
    <w:rsid w:val="00866F1A"/>
    <w:rsid w:val="00867349"/>
    <w:rsid w:val="008677D6"/>
    <w:rsid w:val="008712CE"/>
    <w:rsid w:val="00873D3B"/>
    <w:rsid w:val="00875AB6"/>
    <w:rsid w:val="008766BF"/>
    <w:rsid w:val="00876862"/>
    <w:rsid w:val="008776BB"/>
    <w:rsid w:val="008811AD"/>
    <w:rsid w:val="00881CA1"/>
    <w:rsid w:val="0088222B"/>
    <w:rsid w:val="00894828"/>
    <w:rsid w:val="008969C3"/>
    <w:rsid w:val="008A2F4C"/>
    <w:rsid w:val="008A6610"/>
    <w:rsid w:val="008B1063"/>
    <w:rsid w:val="008B2A40"/>
    <w:rsid w:val="008B4412"/>
    <w:rsid w:val="008B7F8A"/>
    <w:rsid w:val="008C0118"/>
    <w:rsid w:val="008C1473"/>
    <w:rsid w:val="008C6B31"/>
    <w:rsid w:val="008D23C2"/>
    <w:rsid w:val="008D5321"/>
    <w:rsid w:val="008D758A"/>
    <w:rsid w:val="008E3090"/>
    <w:rsid w:val="008E4BEE"/>
    <w:rsid w:val="008E53B2"/>
    <w:rsid w:val="008E6B42"/>
    <w:rsid w:val="008E6C1C"/>
    <w:rsid w:val="008F741C"/>
    <w:rsid w:val="008F74A1"/>
    <w:rsid w:val="008F75F5"/>
    <w:rsid w:val="00900E9D"/>
    <w:rsid w:val="0090359E"/>
    <w:rsid w:val="00905B21"/>
    <w:rsid w:val="009128CE"/>
    <w:rsid w:val="009131DB"/>
    <w:rsid w:val="00923385"/>
    <w:rsid w:val="00927041"/>
    <w:rsid w:val="00933330"/>
    <w:rsid w:val="00933868"/>
    <w:rsid w:val="009348E6"/>
    <w:rsid w:val="00936B5D"/>
    <w:rsid w:val="009505FF"/>
    <w:rsid w:val="009539AF"/>
    <w:rsid w:val="009540CF"/>
    <w:rsid w:val="00955C52"/>
    <w:rsid w:val="00955CEF"/>
    <w:rsid w:val="00956A92"/>
    <w:rsid w:val="00964432"/>
    <w:rsid w:val="00965B0F"/>
    <w:rsid w:val="009675A3"/>
    <w:rsid w:val="00967C9F"/>
    <w:rsid w:val="00970531"/>
    <w:rsid w:val="00972397"/>
    <w:rsid w:val="00976672"/>
    <w:rsid w:val="009806D7"/>
    <w:rsid w:val="009877F3"/>
    <w:rsid w:val="00987838"/>
    <w:rsid w:val="009906FB"/>
    <w:rsid w:val="00990D72"/>
    <w:rsid w:val="009A459C"/>
    <w:rsid w:val="009B41FA"/>
    <w:rsid w:val="009B540C"/>
    <w:rsid w:val="009C1ABD"/>
    <w:rsid w:val="009C6C09"/>
    <w:rsid w:val="009D0662"/>
    <w:rsid w:val="009D20C5"/>
    <w:rsid w:val="009D76A8"/>
    <w:rsid w:val="009E0DF0"/>
    <w:rsid w:val="009E2B64"/>
    <w:rsid w:val="009E330C"/>
    <w:rsid w:val="009E3F55"/>
    <w:rsid w:val="009E6080"/>
    <w:rsid w:val="009F50E9"/>
    <w:rsid w:val="009F7734"/>
    <w:rsid w:val="00A04FCD"/>
    <w:rsid w:val="00A07C73"/>
    <w:rsid w:val="00A128B6"/>
    <w:rsid w:val="00A1408D"/>
    <w:rsid w:val="00A14DF5"/>
    <w:rsid w:val="00A2005C"/>
    <w:rsid w:val="00A24805"/>
    <w:rsid w:val="00A379C6"/>
    <w:rsid w:val="00A479E8"/>
    <w:rsid w:val="00A513FA"/>
    <w:rsid w:val="00A55388"/>
    <w:rsid w:val="00A64064"/>
    <w:rsid w:val="00A71487"/>
    <w:rsid w:val="00A74120"/>
    <w:rsid w:val="00A77C8F"/>
    <w:rsid w:val="00A83778"/>
    <w:rsid w:val="00A906A8"/>
    <w:rsid w:val="00A95923"/>
    <w:rsid w:val="00AA169A"/>
    <w:rsid w:val="00AA2239"/>
    <w:rsid w:val="00AA2453"/>
    <w:rsid w:val="00AB3891"/>
    <w:rsid w:val="00AB7F6F"/>
    <w:rsid w:val="00AC1A2C"/>
    <w:rsid w:val="00AC22C2"/>
    <w:rsid w:val="00AC2354"/>
    <w:rsid w:val="00AC492A"/>
    <w:rsid w:val="00AC6539"/>
    <w:rsid w:val="00AC6C4F"/>
    <w:rsid w:val="00AC76A3"/>
    <w:rsid w:val="00AC789B"/>
    <w:rsid w:val="00AC7F16"/>
    <w:rsid w:val="00AD2E85"/>
    <w:rsid w:val="00AF0BE4"/>
    <w:rsid w:val="00AF3070"/>
    <w:rsid w:val="00AF5C29"/>
    <w:rsid w:val="00B0037B"/>
    <w:rsid w:val="00B00F42"/>
    <w:rsid w:val="00B0559B"/>
    <w:rsid w:val="00B10E1B"/>
    <w:rsid w:val="00B11476"/>
    <w:rsid w:val="00B1254F"/>
    <w:rsid w:val="00B12DFC"/>
    <w:rsid w:val="00B17930"/>
    <w:rsid w:val="00B24C85"/>
    <w:rsid w:val="00B25B24"/>
    <w:rsid w:val="00B32251"/>
    <w:rsid w:val="00B35899"/>
    <w:rsid w:val="00B3638D"/>
    <w:rsid w:val="00B37F05"/>
    <w:rsid w:val="00B45C04"/>
    <w:rsid w:val="00B50973"/>
    <w:rsid w:val="00B533BF"/>
    <w:rsid w:val="00B53BF5"/>
    <w:rsid w:val="00B5515F"/>
    <w:rsid w:val="00B55F32"/>
    <w:rsid w:val="00B57B5C"/>
    <w:rsid w:val="00B64CB0"/>
    <w:rsid w:val="00B65BBB"/>
    <w:rsid w:val="00B66B84"/>
    <w:rsid w:val="00B66CA7"/>
    <w:rsid w:val="00B718F4"/>
    <w:rsid w:val="00B7229B"/>
    <w:rsid w:val="00B77BF6"/>
    <w:rsid w:val="00B77C5B"/>
    <w:rsid w:val="00B81076"/>
    <w:rsid w:val="00B909BA"/>
    <w:rsid w:val="00BA0750"/>
    <w:rsid w:val="00BA43A9"/>
    <w:rsid w:val="00BA50EB"/>
    <w:rsid w:val="00BA58D9"/>
    <w:rsid w:val="00BB0B65"/>
    <w:rsid w:val="00BB23EF"/>
    <w:rsid w:val="00BB5BCE"/>
    <w:rsid w:val="00BB7503"/>
    <w:rsid w:val="00BD069C"/>
    <w:rsid w:val="00BD1010"/>
    <w:rsid w:val="00BD4A59"/>
    <w:rsid w:val="00BE0F5E"/>
    <w:rsid w:val="00BE707C"/>
    <w:rsid w:val="00BE71C2"/>
    <w:rsid w:val="00BE74F1"/>
    <w:rsid w:val="00BF3D58"/>
    <w:rsid w:val="00BF5057"/>
    <w:rsid w:val="00BF7550"/>
    <w:rsid w:val="00C02C9E"/>
    <w:rsid w:val="00C05A1A"/>
    <w:rsid w:val="00C10BDA"/>
    <w:rsid w:val="00C1131C"/>
    <w:rsid w:val="00C119FA"/>
    <w:rsid w:val="00C1290D"/>
    <w:rsid w:val="00C1344C"/>
    <w:rsid w:val="00C15D63"/>
    <w:rsid w:val="00C15FB7"/>
    <w:rsid w:val="00C23165"/>
    <w:rsid w:val="00C30D60"/>
    <w:rsid w:val="00C30DBA"/>
    <w:rsid w:val="00C3325A"/>
    <w:rsid w:val="00C34A54"/>
    <w:rsid w:val="00C35876"/>
    <w:rsid w:val="00C37DE1"/>
    <w:rsid w:val="00C40014"/>
    <w:rsid w:val="00C41551"/>
    <w:rsid w:val="00C41CCC"/>
    <w:rsid w:val="00C43C2B"/>
    <w:rsid w:val="00C441D4"/>
    <w:rsid w:val="00C448BB"/>
    <w:rsid w:val="00C44AE6"/>
    <w:rsid w:val="00C464D2"/>
    <w:rsid w:val="00C501FF"/>
    <w:rsid w:val="00C507A5"/>
    <w:rsid w:val="00C60487"/>
    <w:rsid w:val="00C61A6C"/>
    <w:rsid w:val="00C627E9"/>
    <w:rsid w:val="00C70028"/>
    <w:rsid w:val="00C71348"/>
    <w:rsid w:val="00C716D9"/>
    <w:rsid w:val="00C71865"/>
    <w:rsid w:val="00C734DF"/>
    <w:rsid w:val="00C738BF"/>
    <w:rsid w:val="00C7437B"/>
    <w:rsid w:val="00C76833"/>
    <w:rsid w:val="00C81F60"/>
    <w:rsid w:val="00C8487B"/>
    <w:rsid w:val="00C85353"/>
    <w:rsid w:val="00C85B47"/>
    <w:rsid w:val="00CA029F"/>
    <w:rsid w:val="00CA05D0"/>
    <w:rsid w:val="00CA0892"/>
    <w:rsid w:val="00CA0B8A"/>
    <w:rsid w:val="00CA1B8C"/>
    <w:rsid w:val="00CA7A6E"/>
    <w:rsid w:val="00CB3846"/>
    <w:rsid w:val="00CB433F"/>
    <w:rsid w:val="00CB4D39"/>
    <w:rsid w:val="00CB6A2B"/>
    <w:rsid w:val="00CB7BC6"/>
    <w:rsid w:val="00CC0587"/>
    <w:rsid w:val="00CC11AB"/>
    <w:rsid w:val="00CC1FE2"/>
    <w:rsid w:val="00CC22ED"/>
    <w:rsid w:val="00CC3C18"/>
    <w:rsid w:val="00CC676A"/>
    <w:rsid w:val="00CD0465"/>
    <w:rsid w:val="00CD28C1"/>
    <w:rsid w:val="00CD2954"/>
    <w:rsid w:val="00CE4821"/>
    <w:rsid w:val="00CE60E5"/>
    <w:rsid w:val="00CE7D1A"/>
    <w:rsid w:val="00CF179E"/>
    <w:rsid w:val="00CF364A"/>
    <w:rsid w:val="00CF3EC8"/>
    <w:rsid w:val="00D00FBE"/>
    <w:rsid w:val="00D02273"/>
    <w:rsid w:val="00D063BC"/>
    <w:rsid w:val="00D1199B"/>
    <w:rsid w:val="00D17C77"/>
    <w:rsid w:val="00D17D26"/>
    <w:rsid w:val="00D269F9"/>
    <w:rsid w:val="00D4274E"/>
    <w:rsid w:val="00D50671"/>
    <w:rsid w:val="00D52903"/>
    <w:rsid w:val="00D532A7"/>
    <w:rsid w:val="00D56558"/>
    <w:rsid w:val="00D56C0F"/>
    <w:rsid w:val="00D669D1"/>
    <w:rsid w:val="00D705A5"/>
    <w:rsid w:val="00D70B69"/>
    <w:rsid w:val="00D711DF"/>
    <w:rsid w:val="00D72126"/>
    <w:rsid w:val="00D77C50"/>
    <w:rsid w:val="00D80DEB"/>
    <w:rsid w:val="00D82C8E"/>
    <w:rsid w:val="00D85F5A"/>
    <w:rsid w:val="00D92F42"/>
    <w:rsid w:val="00D93F7A"/>
    <w:rsid w:val="00D94177"/>
    <w:rsid w:val="00D96D29"/>
    <w:rsid w:val="00DA0F51"/>
    <w:rsid w:val="00DA2083"/>
    <w:rsid w:val="00DA29D3"/>
    <w:rsid w:val="00DA3365"/>
    <w:rsid w:val="00DA4B1D"/>
    <w:rsid w:val="00DA5109"/>
    <w:rsid w:val="00DB03A6"/>
    <w:rsid w:val="00DB0825"/>
    <w:rsid w:val="00DB4DD8"/>
    <w:rsid w:val="00DC1C65"/>
    <w:rsid w:val="00DD1164"/>
    <w:rsid w:val="00DD468F"/>
    <w:rsid w:val="00DE28BE"/>
    <w:rsid w:val="00DE3DB7"/>
    <w:rsid w:val="00DE69DE"/>
    <w:rsid w:val="00DE6E01"/>
    <w:rsid w:val="00DF20EB"/>
    <w:rsid w:val="00DF26CE"/>
    <w:rsid w:val="00DF45D9"/>
    <w:rsid w:val="00DF4CE4"/>
    <w:rsid w:val="00E019BD"/>
    <w:rsid w:val="00E1165A"/>
    <w:rsid w:val="00E11F97"/>
    <w:rsid w:val="00E13C8F"/>
    <w:rsid w:val="00E15BA9"/>
    <w:rsid w:val="00E16763"/>
    <w:rsid w:val="00E171C8"/>
    <w:rsid w:val="00E22A81"/>
    <w:rsid w:val="00E244ED"/>
    <w:rsid w:val="00E3036C"/>
    <w:rsid w:val="00E323DB"/>
    <w:rsid w:val="00E40BDB"/>
    <w:rsid w:val="00E411BD"/>
    <w:rsid w:val="00E4160F"/>
    <w:rsid w:val="00E50993"/>
    <w:rsid w:val="00E512CA"/>
    <w:rsid w:val="00E52F4F"/>
    <w:rsid w:val="00E5444C"/>
    <w:rsid w:val="00E55B6F"/>
    <w:rsid w:val="00E57814"/>
    <w:rsid w:val="00E61CC6"/>
    <w:rsid w:val="00E63A0E"/>
    <w:rsid w:val="00E63D7E"/>
    <w:rsid w:val="00E66B1A"/>
    <w:rsid w:val="00E66E64"/>
    <w:rsid w:val="00E71FDC"/>
    <w:rsid w:val="00E85784"/>
    <w:rsid w:val="00E87B4E"/>
    <w:rsid w:val="00E96708"/>
    <w:rsid w:val="00EA1077"/>
    <w:rsid w:val="00EA5900"/>
    <w:rsid w:val="00EA7B88"/>
    <w:rsid w:val="00EB19F9"/>
    <w:rsid w:val="00EB51A7"/>
    <w:rsid w:val="00EC2C32"/>
    <w:rsid w:val="00EC4BB4"/>
    <w:rsid w:val="00EC5008"/>
    <w:rsid w:val="00EC6BAD"/>
    <w:rsid w:val="00ED0795"/>
    <w:rsid w:val="00ED50E9"/>
    <w:rsid w:val="00EF0688"/>
    <w:rsid w:val="00EF70C1"/>
    <w:rsid w:val="00F0029A"/>
    <w:rsid w:val="00F00340"/>
    <w:rsid w:val="00F02ADC"/>
    <w:rsid w:val="00F03651"/>
    <w:rsid w:val="00F07951"/>
    <w:rsid w:val="00F1194C"/>
    <w:rsid w:val="00F1514F"/>
    <w:rsid w:val="00F24FEC"/>
    <w:rsid w:val="00F300F6"/>
    <w:rsid w:val="00F311E5"/>
    <w:rsid w:val="00F31FEE"/>
    <w:rsid w:val="00F32993"/>
    <w:rsid w:val="00F35C06"/>
    <w:rsid w:val="00F37771"/>
    <w:rsid w:val="00F37AD8"/>
    <w:rsid w:val="00F40D3D"/>
    <w:rsid w:val="00F45DE1"/>
    <w:rsid w:val="00F477C5"/>
    <w:rsid w:val="00F47F67"/>
    <w:rsid w:val="00F62955"/>
    <w:rsid w:val="00F725B6"/>
    <w:rsid w:val="00F73870"/>
    <w:rsid w:val="00F75A27"/>
    <w:rsid w:val="00F76CEC"/>
    <w:rsid w:val="00F835C6"/>
    <w:rsid w:val="00F877BD"/>
    <w:rsid w:val="00F87D9C"/>
    <w:rsid w:val="00F93C10"/>
    <w:rsid w:val="00F979B5"/>
    <w:rsid w:val="00FA1C63"/>
    <w:rsid w:val="00FA526E"/>
    <w:rsid w:val="00FB46CD"/>
    <w:rsid w:val="00FB57A4"/>
    <w:rsid w:val="00FB6137"/>
    <w:rsid w:val="00FB6580"/>
    <w:rsid w:val="00FC0948"/>
    <w:rsid w:val="00FC2D66"/>
    <w:rsid w:val="00FC5295"/>
    <w:rsid w:val="00FD2CD2"/>
    <w:rsid w:val="00FD52D0"/>
    <w:rsid w:val="00FD58CA"/>
    <w:rsid w:val="00FF18B4"/>
    <w:rsid w:val="00FF34BD"/>
    <w:rsid w:val="00FF76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E82C2"/>
  <w15:docId w15:val="{0522FE16-6E1B-4E07-A541-EE284A642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13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6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6137"/>
    <w:pPr>
      <w:ind w:left="720"/>
      <w:contextualSpacing/>
    </w:pPr>
  </w:style>
  <w:style w:type="character" w:styleId="CommentReference">
    <w:name w:val="annotation reference"/>
    <w:basedOn w:val="DefaultParagraphFont"/>
    <w:uiPriority w:val="99"/>
    <w:unhideWhenUsed/>
    <w:rsid w:val="00FB6137"/>
    <w:rPr>
      <w:sz w:val="16"/>
      <w:szCs w:val="16"/>
    </w:rPr>
  </w:style>
  <w:style w:type="paragraph" w:styleId="CommentText">
    <w:name w:val="annotation text"/>
    <w:basedOn w:val="Normal"/>
    <w:link w:val="CommentTextChar"/>
    <w:uiPriority w:val="99"/>
    <w:unhideWhenUsed/>
    <w:rsid w:val="00FB6137"/>
    <w:pPr>
      <w:spacing w:line="240" w:lineRule="auto"/>
    </w:pPr>
    <w:rPr>
      <w:sz w:val="20"/>
      <w:szCs w:val="20"/>
    </w:rPr>
  </w:style>
  <w:style w:type="character" w:customStyle="1" w:styleId="CommentTextChar">
    <w:name w:val="Comment Text Char"/>
    <w:basedOn w:val="DefaultParagraphFont"/>
    <w:link w:val="CommentText"/>
    <w:uiPriority w:val="99"/>
    <w:rsid w:val="00FB613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61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137"/>
    <w:rPr>
      <w:rFonts w:ascii="Tahoma" w:eastAsia="Calibri" w:hAnsi="Tahoma" w:cs="Tahoma"/>
      <w:sz w:val="16"/>
      <w:szCs w:val="16"/>
    </w:rPr>
  </w:style>
  <w:style w:type="paragraph" w:customStyle="1" w:styleId="Default">
    <w:name w:val="Default"/>
    <w:rsid w:val="004644B3"/>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560241"/>
    <w:pPr>
      <w:spacing w:after="0" w:line="240" w:lineRule="auto"/>
      <w:jc w:val="center"/>
    </w:pPr>
    <w:rPr>
      <w:rFonts w:ascii="Times New Roman" w:eastAsia="Times New Roman" w:hAnsi="Times New Roman"/>
      <w:b/>
      <w:bCs/>
      <w:sz w:val="28"/>
      <w:szCs w:val="24"/>
    </w:rPr>
  </w:style>
  <w:style w:type="character" w:customStyle="1" w:styleId="BodyTextChar">
    <w:name w:val="Body Text Char"/>
    <w:basedOn w:val="DefaultParagraphFont"/>
    <w:link w:val="BodyText"/>
    <w:rsid w:val="00560241"/>
    <w:rPr>
      <w:rFonts w:ascii="Times New Roman" w:eastAsia="Times New Roman" w:hAnsi="Times New Roman" w:cs="Times New Roman"/>
      <w:b/>
      <w:bCs/>
      <w:sz w:val="28"/>
      <w:szCs w:val="24"/>
    </w:rPr>
  </w:style>
  <w:style w:type="paragraph" w:styleId="CommentSubject">
    <w:name w:val="annotation subject"/>
    <w:basedOn w:val="CommentText"/>
    <w:next w:val="CommentText"/>
    <w:link w:val="CommentSubjectChar"/>
    <w:uiPriority w:val="99"/>
    <w:semiHidden/>
    <w:unhideWhenUsed/>
    <w:rsid w:val="00867349"/>
    <w:rPr>
      <w:b/>
      <w:bCs/>
    </w:rPr>
  </w:style>
  <w:style w:type="character" w:customStyle="1" w:styleId="CommentSubjectChar">
    <w:name w:val="Comment Subject Char"/>
    <w:basedOn w:val="CommentTextChar"/>
    <w:link w:val="CommentSubject"/>
    <w:uiPriority w:val="99"/>
    <w:semiHidden/>
    <w:rsid w:val="00867349"/>
    <w:rPr>
      <w:rFonts w:ascii="Calibri" w:eastAsia="Calibri" w:hAnsi="Calibri" w:cs="Times New Roman"/>
      <w:b/>
      <w:bCs/>
      <w:sz w:val="20"/>
      <w:szCs w:val="20"/>
    </w:rPr>
  </w:style>
  <w:style w:type="paragraph" w:customStyle="1" w:styleId="CharChar">
    <w:name w:val="Char Char"/>
    <w:basedOn w:val="Normal"/>
    <w:rsid w:val="00D85F5A"/>
    <w:pPr>
      <w:spacing w:after="160" w:line="240" w:lineRule="exact"/>
    </w:pPr>
    <w:rPr>
      <w:rFonts w:ascii="Tahoma" w:eastAsia="Times New Roman" w:hAnsi="Tahoma"/>
      <w:sz w:val="20"/>
      <w:szCs w:val="20"/>
      <w:lang w:val="en-US"/>
    </w:rPr>
  </w:style>
  <w:style w:type="character" w:styleId="Strong">
    <w:name w:val="Strong"/>
    <w:basedOn w:val="DefaultParagraphFont"/>
    <w:uiPriority w:val="22"/>
    <w:qFormat/>
    <w:rsid w:val="005B06CA"/>
    <w:rPr>
      <w:b/>
      <w:bCs/>
    </w:rPr>
  </w:style>
  <w:style w:type="character" w:styleId="Emphasis">
    <w:name w:val="Emphasis"/>
    <w:basedOn w:val="DefaultParagraphFont"/>
    <w:uiPriority w:val="20"/>
    <w:qFormat/>
    <w:rsid w:val="00B10E1B"/>
    <w:rPr>
      <w:b/>
      <w:bCs/>
      <w:i w:val="0"/>
      <w:iCs w:val="0"/>
    </w:rPr>
  </w:style>
  <w:style w:type="character" w:styleId="Hyperlink">
    <w:name w:val="Hyperlink"/>
    <w:basedOn w:val="DefaultParagraphFont"/>
    <w:uiPriority w:val="99"/>
    <w:semiHidden/>
    <w:unhideWhenUsed/>
    <w:rsid w:val="000C760C"/>
    <w:rPr>
      <w:color w:val="0000FF"/>
      <w:u w:val="single"/>
    </w:rPr>
  </w:style>
  <w:style w:type="character" w:customStyle="1" w:styleId="st">
    <w:name w:val="st"/>
    <w:basedOn w:val="DefaultParagraphFont"/>
    <w:rsid w:val="00BF7550"/>
  </w:style>
  <w:style w:type="character" w:styleId="FollowedHyperlink">
    <w:name w:val="FollowedHyperlink"/>
    <w:basedOn w:val="DefaultParagraphFont"/>
    <w:uiPriority w:val="99"/>
    <w:semiHidden/>
    <w:unhideWhenUsed/>
    <w:rsid w:val="00577756"/>
    <w:rPr>
      <w:color w:val="800080" w:themeColor="followedHyperlink"/>
      <w:u w:val="single"/>
    </w:rPr>
  </w:style>
  <w:style w:type="character" w:customStyle="1" w:styleId="apple-converted-space">
    <w:name w:val="apple-converted-space"/>
    <w:basedOn w:val="DefaultParagraphFont"/>
    <w:rsid w:val="007C1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333111">
      <w:bodyDiv w:val="1"/>
      <w:marLeft w:val="0"/>
      <w:marRight w:val="0"/>
      <w:marTop w:val="0"/>
      <w:marBottom w:val="0"/>
      <w:divBdr>
        <w:top w:val="none" w:sz="0" w:space="0" w:color="auto"/>
        <w:left w:val="none" w:sz="0" w:space="0" w:color="auto"/>
        <w:bottom w:val="none" w:sz="0" w:space="0" w:color="auto"/>
        <w:right w:val="none" w:sz="0" w:space="0" w:color="auto"/>
      </w:divBdr>
      <w:divsChild>
        <w:div w:id="921061320">
          <w:marLeft w:val="0"/>
          <w:marRight w:val="0"/>
          <w:marTop w:val="0"/>
          <w:marBottom w:val="0"/>
          <w:divBdr>
            <w:top w:val="none" w:sz="0" w:space="0" w:color="auto"/>
            <w:left w:val="none" w:sz="0" w:space="0" w:color="auto"/>
            <w:bottom w:val="none" w:sz="0" w:space="0" w:color="auto"/>
            <w:right w:val="none" w:sz="0" w:space="0" w:color="auto"/>
          </w:divBdr>
        </w:div>
        <w:div w:id="1530797407">
          <w:marLeft w:val="0"/>
          <w:marRight w:val="0"/>
          <w:marTop w:val="0"/>
          <w:marBottom w:val="0"/>
          <w:divBdr>
            <w:top w:val="none" w:sz="0" w:space="0" w:color="auto"/>
            <w:left w:val="none" w:sz="0" w:space="0" w:color="auto"/>
            <w:bottom w:val="none" w:sz="0" w:space="0" w:color="auto"/>
            <w:right w:val="none" w:sz="0" w:space="0" w:color="auto"/>
          </w:divBdr>
        </w:div>
        <w:div w:id="1288707909">
          <w:marLeft w:val="0"/>
          <w:marRight w:val="0"/>
          <w:marTop w:val="0"/>
          <w:marBottom w:val="0"/>
          <w:divBdr>
            <w:top w:val="none" w:sz="0" w:space="0" w:color="auto"/>
            <w:left w:val="none" w:sz="0" w:space="0" w:color="auto"/>
            <w:bottom w:val="none" w:sz="0" w:space="0" w:color="auto"/>
            <w:right w:val="none" w:sz="0" w:space="0" w:color="auto"/>
          </w:divBdr>
        </w:div>
        <w:div w:id="901595175">
          <w:marLeft w:val="0"/>
          <w:marRight w:val="0"/>
          <w:marTop w:val="0"/>
          <w:marBottom w:val="0"/>
          <w:divBdr>
            <w:top w:val="none" w:sz="0" w:space="0" w:color="auto"/>
            <w:left w:val="none" w:sz="0" w:space="0" w:color="auto"/>
            <w:bottom w:val="none" w:sz="0" w:space="0" w:color="auto"/>
            <w:right w:val="none" w:sz="0" w:space="0" w:color="auto"/>
          </w:divBdr>
        </w:div>
        <w:div w:id="630787591">
          <w:marLeft w:val="0"/>
          <w:marRight w:val="0"/>
          <w:marTop w:val="0"/>
          <w:marBottom w:val="0"/>
          <w:divBdr>
            <w:top w:val="none" w:sz="0" w:space="0" w:color="auto"/>
            <w:left w:val="none" w:sz="0" w:space="0" w:color="auto"/>
            <w:bottom w:val="none" w:sz="0" w:space="0" w:color="auto"/>
            <w:right w:val="none" w:sz="0" w:space="0" w:color="auto"/>
          </w:divBdr>
        </w:div>
        <w:div w:id="544878227">
          <w:marLeft w:val="0"/>
          <w:marRight w:val="0"/>
          <w:marTop w:val="0"/>
          <w:marBottom w:val="0"/>
          <w:divBdr>
            <w:top w:val="none" w:sz="0" w:space="0" w:color="auto"/>
            <w:left w:val="none" w:sz="0" w:space="0" w:color="auto"/>
            <w:bottom w:val="none" w:sz="0" w:space="0" w:color="auto"/>
            <w:right w:val="none" w:sz="0" w:space="0" w:color="auto"/>
          </w:divBdr>
        </w:div>
        <w:div w:id="1476339260">
          <w:marLeft w:val="0"/>
          <w:marRight w:val="0"/>
          <w:marTop w:val="0"/>
          <w:marBottom w:val="0"/>
          <w:divBdr>
            <w:top w:val="none" w:sz="0" w:space="0" w:color="auto"/>
            <w:left w:val="none" w:sz="0" w:space="0" w:color="auto"/>
            <w:bottom w:val="none" w:sz="0" w:space="0" w:color="auto"/>
            <w:right w:val="none" w:sz="0" w:space="0" w:color="auto"/>
          </w:divBdr>
        </w:div>
        <w:div w:id="1381323702">
          <w:marLeft w:val="0"/>
          <w:marRight w:val="0"/>
          <w:marTop w:val="0"/>
          <w:marBottom w:val="0"/>
          <w:divBdr>
            <w:top w:val="none" w:sz="0" w:space="0" w:color="auto"/>
            <w:left w:val="none" w:sz="0" w:space="0" w:color="auto"/>
            <w:bottom w:val="none" w:sz="0" w:space="0" w:color="auto"/>
            <w:right w:val="none" w:sz="0" w:space="0" w:color="auto"/>
          </w:divBdr>
        </w:div>
      </w:divsChild>
    </w:div>
    <w:div w:id="526678982">
      <w:bodyDiv w:val="1"/>
      <w:marLeft w:val="0"/>
      <w:marRight w:val="0"/>
      <w:marTop w:val="0"/>
      <w:marBottom w:val="0"/>
      <w:divBdr>
        <w:top w:val="none" w:sz="0" w:space="0" w:color="auto"/>
        <w:left w:val="none" w:sz="0" w:space="0" w:color="auto"/>
        <w:bottom w:val="none" w:sz="0" w:space="0" w:color="auto"/>
        <w:right w:val="none" w:sz="0" w:space="0" w:color="auto"/>
      </w:divBdr>
      <w:divsChild>
        <w:div w:id="823426698">
          <w:marLeft w:val="0"/>
          <w:marRight w:val="0"/>
          <w:marTop w:val="0"/>
          <w:marBottom w:val="0"/>
          <w:divBdr>
            <w:top w:val="none" w:sz="0" w:space="0" w:color="auto"/>
            <w:left w:val="none" w:sz="0" w:space="0" w:color="auto"/>
            <w:bottom w:val="none" w:sz="0" w:space="0" w:color="auto"/>
            <w:right w:val="none" w:sz="0" w:space="0" w:color="auto"/>
          </w:divBdr>
        </w:div>
        <w:div w:id="721827334">
          <w:marLeft w:val="0"/>
          <w:marRight w:val="0"/>
          <w:marTop w:val="0"/>
          <w:marBottom w:val="0"/>
          <w:divBdr>
            <w:top w:val="none" w:sz="0" w:space="0" w:color="auto"/>
            <w:left w:val="none" w:sz="0" w:space="0" w:color="auto"/>
            <w:bottom w:val="none" w:sz="0" w:space="0" w:color="auto"/>
            <w:right w:val="none" w:sz="0" w:space="0" w:color="auto"/>
          </w:divBdr>
        </w:div>
        <w:div w:id="741948576">
          <w:marLeft w:val="0"/>
          <w:marRight w:val="0"/>
          <w:marTop w:val="0"/>
          <w:marBottom w:val="0"/>
          <w:divBdr>
            <w:top w:val="none" w:sz="0" w:space="0" w:color="auto"/>
            <w:left w:val="none" w:sz="0" w:space="0" w:color="auto"/>
            <w:bottom w:val="none" w:sz="0" w:space="0" w:color="auto"/>
            <w:right w:val="none" w:sz="0" w:space="0" w:color="auto"/>
          </w:divBdr>
        </w:div>
        <w:div w:id="1867521580">
          <w:marLeft w:val="0"/>
          <w:marRight w:val="0"/>
          <w:marTop w:val="0"/>
          <w:marBottom w:val="0"/>
          <w:divBdr>
            <w:top w:val="none" w:sz="0" w:space="0" w:color="auto"/>
            <w:left w:val="none" w:sz="0" w:space="0" w:color="auto"/>
            <w:bottom w:val="none" w:sz="0" w:space="0" w:color="auto"/>
            <w:right w:val="none" w:sz="0" w:space="0" w:color="auto"/>
          </w:divBdr>
        </w:div>
        <w:div w:id="2125733885">
          <w:marLeft w:val="0"/>
          <w:marRight w:val="0"/>
          <w:marTop w:val="0"/>
          <w:marBottom w:val="0"/>
          <w:divBdr>
            <w:top w:val="none" w:sz="0" w:space="0" w:color="auto"/>
            <w:left w:val="none" w:sz="0" w:space="0" w:color="auto"/>
            <w:bottom w:val="none" w:sz="0" w:space="0" w:color="auto"/>
            <w:right w:val="none" w:sz="0" w:space="0" w:color="auto"/>
          </w:divBdr>
        </w:div>
        <w:div w:id="832987188">
          <w:marLeft w:val="0"/>
          <w:marRight w:val="0"/>
          <w:marTop w:val="0"/>
          <w:marBottom w:val="0"/>
          <w:divBdr>
            <w:top w:val="none" w:sz="0" w:space="0" w:color="auto"/>
            <w:left w:val="none" w:sz="0" w:space="0" w:color="auto"/>
            <w:bottom w:val="none" w:sz="0" w:space="0" w:color="auto"/>
            <w:right w:val="none" w:sz="0" w:space="0" w:color="auto"/>
          </w:divBdr>
        </w:div>
        <w:div w:id="1125269023">
          <w:marLeft w:val="0"/>
          <w:marRight w:val="0"/>
          <w:marTop w:val="0"/>
          <w:marBottom w:val="0"/>
          <w:divBdr>
            <w:top w:val="none" w:sz="0" w:space="0" w:color="auto"/>
            <w:left w:val="none" w:sz="0" w:space="0" w:color="auto"/>
            <w:bottom w:val="none" w:sz="0" w:space="0" w:color="auto"/>
            <w:right w:val="none" w:sz="0" w:space="0" w:color="auto"/>
          </w:divBdr>
        </w:div>
        <w:div w:id="1386023907">
          <w:marLeft w:val="0"/>
          <w:marRight w:val="0"/>
          <w:marTop w:val="0"/>
          <w:marBottom w:val="0"/>
          <w:divBdr>
            <w:top w:val="none" w:sz="0" w:space="0" w:color="auto"/>
            <w:left w:val="none" w:sz="0" w:space="0" w:color="auto"/>
            <w:bottom w:val="none" w:sz="0" w:space="0" w:color="auto"/>
            <w:right w:val="none" w:sz="0" w:space="0" w:color="auto"/>
          </w:divBdr>
        </w:div>
      </w:divsChild>
    </w:div>
    <w:div w:id="1073965013">
      <w:bodyDiv w:val="1"/>
      <w:marLeft w:val="0"/>
      <w:marRight w:val="0"/>
      <w:marTop w:val="0"/>
      <w:marBottom w:val="0"/>
      <w:divBdr>
        <w:top w:val="none" w:sz="0" w:space="0" w:color="auto"/>
        <w:left w:val="none" w:sz="0" w:space="0" w:color="auto"/>
        <w:bottom w:val="none" w:sz="0" w:space="0" w:color="auto"/>
        <w:right w:val="none" w:sz="0" w:space="0" w:color="auto"/>
      </w:divBdr>
      <w:divsChild>
        <w:div w:id="1605840550">
          <w:marLeft w:val="0"/>
          <w:marRight w:val="0"/>
          <w:marTop w:val="0"/>
          <w:marBottom w:val="0"/>
          <w:divBdr>
            <w:top w:val="none" w:sz="0" w:space="0" w:color="auto"/>
            <w:left w:val="none" w:sz="0" w:space="0" w:color="auto"/>
            <w:bottom w:val="none" w:sz="0" w:space="0" w:color="auto"/>
            <w:right w:val="none" w:sz="0" w:space="0" w:color="auto"/>
          </w:divBdr>
        </w:div>
        <w:div w:id="834763812">
          <w:marLeft w:val="0"/>
          <w:marRight w:val="0"/>
          <w:marTop w:val="0"/>
          <w:marBottom w:val="0"/>
          <w:divBdr>
            <w:top w:val="none" w:sz="0" w:space="0" w:color="auto"/>
            <w:left w:val="none" w:sz="0" w:space="0" w:color="auto"/>
            <w:bottom w:val="none" w:sz="0" w:space="0" w:color="auto"/>
            <w:right w:val="none" w:sz="0" w:space="0" w:color="auto"/>
          </w:divBdr>
        </w:div>
        <w:div w:id="452987636">
          <w:marLeft w:val="0"/>
          <w:marRight w:val="0"/>
          <w:marTop w:val="0"/>
          <w:marBottom w:val="0"/>
          <w:divBdr>
            <w:top w:val="none" w:sz="0" w:space="0" w:color="auto"/>
            <w:left w:val="none" w:sz="0" w:space="0" w:color="auto"/>
            <w:bottom w:val="none" w:sz="0" w:space="0" w:color="auto"/>
            <w:right w:val="none" w:sz="0" w:space="0" w:color="auto"/>
          </w:divBdr>
        </w:div>
      </w:divsChild>
    </w:div>
    <w:div w:id="1352685636">
      <w:bodyDiv w:val="1"/>
      <w:marLeft w:val="0"/>
      <w:marRight w:val="0"/>
      <w:marTop w:val="0"/>
      <w:marBottom w:val="0"/>
      <w:divBdr>
        <w:top w:val="none" w:sz="0" w:space="0" w:color="auto"/>
        <w:left w:val="none" w:sz="0" w:space="0" w:color="auto"/>
        <w:bottom w:val="none" w:sz="0" w:space="0" w:color="auto"/>
        <w:right w:val="none" w:sz="0" w:space="0" w:color="auto"/>
      </w:divBdr>
    </w:div>
    <w:div w:id="1469859615">
      <w:bodyDiv w:val="1"/>
      <w:marLeft w:val="0"/>
      <w:marRight w:val="0"/>
      <w:marTop w:val="0"/>
      <w:marBottom w:val="0"/>
      <w:divBdr>
        <w:top w:val="none" w:sz="0" w:space="0" w:color="auto"/>
        <w:left w:val="none" w:sz="0" w:space="0" w:color="auto"/>
        <w:bottom w:val="none" w:sz="0" w:space="0" w:color="auto"/>
        <w:right w:val="none" w:sz="0" w:space="0" w:color="auto"/>
      </w:divBdr>
      <w:divsChild>
        <w:div w:id="668094770">
          <w:marLeft w:val="0"/>
          <w:marRight w:val="0"/>
          <w:marTop w:val="0"/>
          <w:marBottom w:val="0"/>
          <w:divBdr>
            <w:top w:val="none" w:sz="0" w:space="0" w:color="auto"/>
            <w:left w:val="none" w:sz="0" w:space="0" w:color="auto"/>
            <w:bottom w:val="none" w:sz="0" w:space="0" w:color="auto"/>
            <w:right w:val="none" w:sz="0" w:space="0" w:color="auto"/>
          </w:divBdr>
        </w:div>
        <w:div w:id="27148270">
          <w:marLeft w:val="0"/>
          <w:marRight w:val="0"/>
          <w:marTop w:val="0"/>
          <w:marBottom w:val="0"/>
          <w:divBdr>
            <w:top w:val="none" w:sz="0" w:space="0" w:color="auto"/>
            <w:left w:val="none" w:sz="0" w:space="0" w:color="auto"/>
            <w:bottom w:val="none" w:sz="0" w:space="0" w:color="auto"/>
            <w:right w:val="none" w:sz="0" w:space="0" w:color="auto"/>
          </w:divBdr>
        </w:div>
        <w:div w:id="546450758">
          <w:marLeft w:val="0"/>
          <w:marRight w:val="0"/>
          <w:marTop w:val="0"/>
          <w:marBottom w:val="0"/>
          <w:divBdr>
            <w:top w:val="none" w:sz="0" w:space="0" w:color="auto"/>
            <w:left w:val="none" w:sz="0" w:space="0" w:color="auto"/>
            <w:bottom w:val="none" w:sz="0" w:space="0" w:color="auto"/>
            <w:right w:val="none" w:sz="0" w:space="0" w:color="auto"/>
          </w:divBdr>
        </w:div>
        <w:div w:id="1555046730">
          <w:marLeft w:val="0"/>
          <w:marRight w:val="0"/>
          <w:marTop w:val="0"/>
          <w:marBottom w:val="0"/>
          <w:divBdr>
            <w:top w:val="none" w:sz="0" w:space="0" w:color="auto"/>
            <w:left w:val="none" w:sz="0" w:space="0" w:color="auto"/>
            <w:bottom w:val="none" w:sz="0" w:space="0" w:color="auto"/>
            <w:right w:val="none" w:sz="0" w:space="0" w:color="auto"/>
          </w:divBdr>
        </w:div>
        <w:div w:id="924385505">
          <w:marLeft w:val="0"/>
          <w:marRight w:val="0"/>
          <w:marTop w:val="0"/>
          <w:marBottom w:val="0"/>
          <w:divBdr>
            <w:top w:val="none" w:sz="0" w:space="0" w:color="auto"/>
            <w:left w:val="none" w:sz="0" w:space="0" w:color="auto"/>
            <w:bottom w:val="none" w:sz="0" w:space="0" w:color="auto"/>
            <w:right w:val="none" w:sz="0" w:space="0" w:color="auto"/>
          </w:divBdr>
        </w:div>
        <w:div w:id="1269577972">
          <w:marLeft w:val="0"/>
          <w:marRight w:val="0"/>
          <w:marTop w:val="0"/>
          <w:marBottom w:val="0"/>
          <w:divBdr>
            <w:top w:val="none" w:sz="0" w:space="0" w:color="auto"/>
            <w:left w:val="none" w:sz="0" w:space="0" w:color="auto"/>
            <w:bottom w:val="none" w:sz="0" w:space="0" w:color="auto"/>
            <w:right w:val="none" w:sz="0" w:space="0" w:color="auto"/>
          </w:divBdr>
        </w:div>
        <w:div w:id="1905482650">
          <w:marLeft w:val="0"/>
          <w:marRight w:val="0"/>
          <w:marTop w:val="0"/>
          <w:marBottom w:val="0"/>
          <w:divBdr>
            <w:top w:val="none" w:sz="0" w:space="0" w:color="auto"/>
            <w:left w:val="none" w:sz="0" w:space="0" w:color="auto"/>
            <w:bottom w:val="none" w:sz="0" w:space="0" w:color="auto"/>
            <w:right w:val="none" w:sz="0" w:space="0" w:color="auto"/>
          </w:divBdr>
        </w:div>
      </w:divsChild>
    </w:div>
    <w:div w:id="1482230771">
      <w:bodyDiv w:val="1"/>
      <w:marLeft w:val="0"/>
      <w:marRight w:val="0"/>
      <w:marTop w:val="0"/>
      <w:marBottom w:val="0"/>
      <w:divBdr>
        <w:top w:val="none" w:sz="0" w:space="0" w:color="auto"/>
        <w:left w:val="none" w:sz="0" w:space="0" w:color="auto"/>
        <w:bottom w:val="none" w:sz="0" w:space="0" w:color="auto"/>
        <w:right w:val="none" w:sz="0" w:space="0" w:color="auto"/>
      </w:divBdr>
      <w:divsChild>
        <w:div w:id="1644500767">
          <w:marLeft w:val="0"/>
          <w:marRight w:val="0"/>
          <w:marTop w:val="0"/>
          <w:marBottom w:val="0"/>
          <w:divBdr>
            <w:top w:val="none" w:sz="0" w:space="0" w:color="auto"/>
            <w:left w:val="none" w:sz="0" w:space="0" w:color="auto"/>
            <w:bottom w:val="none" w:sz="0" w:space="0" w:color="auto"/>
            <w:right w:val="none" w:sz="0" w:space="0" w:color="auto"/>
          </w:divBdr>
        </w:div>
        <w:div w:id="2083674710">
          <w:marLeft w:val="0"/>
          <w:marRight w:val="0"/>
          <w:marTop w:val="0"/>
          <w:marBottom w:val="0"/>
          <w:divBdr>
            <w:top w:val="none" w:sz="0" w:space="0" w:color="auto"/>
            <w:left w:val="none" w:sz="0" w:space="0" w:color="auto"/>
            <w:bottom w:val="none" w:sz="0" w:space="0" w:color="auto"/>
            <w:right w:val="none" w:sz="0" w:space="0" w:color="auto"/>
          </w:divBdr>
        </w:div>
        <w:div w:id="972098079">
          <w:marLeft w:val="0"/>
          <w:marRight w:val="0"/>
          <w:marTop w:val="0"/>
          <w:marBottom w:val="0"/>
          <w:divBdr>
            <w:top w:val="none" w:sz="0" w:space="0" w:color="auto"/>
            <w:left w:val="none" w:sz="0" w:space="0" w:color="auto"/>
            <w:bottom w:val="none" w:sz="0" w:space="0" w:color="auto"/>
            <w:right w:val="none" w:sz="0" w:space="0" w:color="auto"/>
          </w:divBdr>
        </w:div>
        <w:div w:id="1405682581">
          <w:marLeft w:val="0"/>
          <w:marRight w:val="0"/>
          <w:marTop w:val="0"/>
          <w:marBottom w:val="0"/>
          <w:divBdr>
            <w:top w:val="none" w:sz="0" w:space="0" w:color="auto"/>
            <w:left w:val="none" w:sz="0" w:space="0" w:color="auto"/>
            <w:bottom w:val="none" w:sz="0" w:space="0" w:color="auto"/>
            <w:right w:val="none" w:sz="0" w:space="0" w:color="auto"/>
          </w:divBdr>
        </w:div>
        <w:div w:id="1792092786">
          <w:marLeft w:val="0"/>
          <w:marRight w:val="0"/>
          <w:marTop w:val="0"/>
          <w:marBottom w:val="0"/>
          <w:divBdr>
            <w:top w:val="none" w:sz="0" w:space="0" w:color="auto"/>
            <w:left w:val="none" w:sz="0" w:space="0" w:color="auto"/>
            <w:bottom w:val="none" w:sz="0" w:space="0" w:color="auto"/>
            <w:right w:val="none" w:sz="0" w:space="0" w:color="auto"/>
          </w:divBdr>
        </w:div>
        <w:div w:id="1620799099">
          <w:marLeft w:val="0"/>
          <w:marRight w:val="0"/>
          <w:marTop w:val="0"/>
          <w:marBottom w:val="0"/>
          <w:divBdr>
            <w:top w:val="none" w:sz="0" w:space="0" w:color="auto"/>
            <w:left w:val="none" w:sz="0" w:space="0" w:color="auto"/>
            <w:bottom w:val="none" w:sz="0" w:space="0" w:color="auto"/>
            <w:right w:val="none" w:sz="0" w:space="0" w:color="auto"/>
          </w:divBdr>
        </w:div>
        <w:div w:id="506142302">
          <w:marLeft w:val="0"/>
          <w:marRight w:val="0"/>
          <w:marTop w:val="0"/>
          <w:marBottom w:val="0"/>
          <w:divBdr>
            <w:top w:val="none" w:sz="0" w:space="0" w:color="auto"/>
            <w:left w:val="none" w:sz="0" w:space="0" w:color="auto"/>
            <w:bottom w:val="none" w:sz="0" w:space="0" w:color="auto"/>
            <w:right w:val="none" w:sz="0" w:space="0" w:color="auto"/>
          </w:divBdr>
        </w:div>
        <w:div w:id="175391676">
          <w:marLeft w:val="0"/>
          <w:marRight w:val="0"/>
          <w:marTop w:val="0"/>
          <w:marBottom w:val="0"/>
          <w:divBdr>
            <w:top w:val="none" w:sz="0" w:space="0" w:color="auto"/>
            <w:left w:val="none" w:sz="0" w:space="0" w:color="auto"/>
            <w:bottom w:val="none" w:sz="0" w:space="0" w:color="auto"/>
            <w:right w:val="none" w:sz="0" w:space="0" w:color="auto"/>
          </w:divBdr>
        </w:div>
        <w:div w:id="680592081">
          <w:marLeft w:val="0"/>
          <w:marRight w:val="0"/>
          <w:marTop w:val="0"/>
          <w:marBottom w:val="0"/>
          <w:divBdr>
            <w:top w:val="none" w:sz="0" w:space="0" w:color="auto"/>
            <w:left w:val="none" w:sz="0" w:space="0" w:color="auto"/>
            <w:bottom w:val="none" w:sz="0" w:space="0" w:color="auto"/>
            <w:right w:val="none" w:sz="0" w:space="0" w:color="auto"/>
          </w:divBdr>
        </w:div>
        <w:div w:id="567304483">
          <w:marLeft w:val="0"/>
          <w:marRight w:val="0"/>
          <w:marTop w:val="0"/>
          <w:marBottom w:val="0"/>
          <w:divBdr>
            <w:top w:val="none" w:sz="0" w:space="0" w:color="auto"/>
            <w:left w:val="none" w:sz="0" w:space="0" w:color="auto"/>
            <w:bottom w:val="none" w:sz="0" w:space="0" w:color="auto"/>
            <w:right w:val="none" w:sz="0" w:space="0" w:color="auto"/>
          </w:divBdr>
        </w:div>
        <w:div w:id="333921557">
          <w:marLeft w:val="0"/>
          <w:marRight w:val="0"/>
          <w:marTop w:val="0"/>
          <w:marBottom w:val="0"/>
          <w:divBdr>
            <w:top w:val="none" w:sz="0" w:space="0" w:color="auto"/>
            <w:left w:val="none" w:sz="0" w:space="0" w:color="auto"/>
            <w:bottom w:val="none" w:sz="0" w:space="0" w:color="auto"/>
            <w:right w:val="none" w:sz="0" w:space="0" w:color="auto"/>
          </w:divBdr>
        </w:div>
        <w:div w:id="1584798723">
          <w:marLeft w:val="0"/>
          <w:marRight w:val="0"/>
          <w:marTop w:val="0"/>
          <w:marBottom w:val="0"/>
          <w:divBdr>
            <w:top w:val="none" w:sz="0" w:space="0" w:color="auto"/>
            <w:left w:val="none" w:sz="0" w:space="0" w:color="auto"/>
            <w:bottom w:val="none" w:sz="0" w:space="0" w:color="auto"/>
            <w:right w:val="none" w:sz="0" w:space="0" w:color="auto"/>
          </w:divBdr>
        </w:div>
        <w:div w:id="774401034">
          <w:marLeft w:val="0"/>
          <w:marRight w:val="0"/>
          <w:marTop w:val="0"/>
          <w:marBottom w:val="0"/>
          <w:divBdr>
            <w:top w:val="none" w:sz="0" w:space="0" w:color="auto"/>
            <w:left w:val="none" w:sz="0" w:space="0" w:color="auto"/>
            <w:bottom w:val="none" w:sz="0" w:space="0" w:color="auto"/>
            <w:right w:val="none" w:sz="0" w:space="0" w:color="auto"/>
          </w:divBdr>
        </w:div>
        <w:div w:id="1734964823">
          <w:marLeft w:val="0"/>
          <w:marRight w:val="0"/>
          <w:marTop w:val="0"/>
          <w:marBottom w:val="0"/>
          <w:divBdr>
            <w:top w:val="none" w:sz="0" w:space="0" w:color="auto"/>
            <w:left w:val="none" w:sz="0" w:space="0" w:color="auto"/>
            <w:bottom w:val="none" w:sz="0" w:space="0" w:color="auto"/>
            <w:right w:val="none" w:sz="0" w:space="0" w:color="auto"/>
          </w:divBdr>
        </w:div>
        <w:div w:id="80102115">
          <w:marLeft w:val="0"/>
          <w:marRight w:val="0"/>
          <w:marTop w:val="0"/>
          <w:marBottom w:val="0"/>
          <w:divBdr>
            <w:top w:val="none" w:sz="0" w:space="0" w:color="auto"/>
            <w:left w:val="none" w:sz="0" w:space="0" w:color="auto"/>
            <w:bottom w:val="none" w:sz="0" w:space="0" w:color="auto"/>
            <w:right w:val="none" w:sz="0" w:space="0" w:color="auto"/>
          </w:divBdr>
        </w:div>
        <w:div w:id="681129920">
          <w:marLeft w:val="0"/>
          <w:marRight w:val="0"/>
          <w:marTop w:val="0"/>
          <w:marBottom w:val="0"/>
          <w:divBdr>
            <w:top w:val="none" w:sz="0" w:space="0" w:color="auto"/>
            <w:left w:val="none" w:sz="0" w:space="0" w:color="auto"/>
            <w:bottom w:val="none" w:sz="0" w:space="0" w:color="auto"/>
            <w:right w:val="none" w:sz="0" w:space="0" w:color="auto"/>
          </w:divBdr>
        </w:div>
      </w:divsChild>
    </w:div>
    <w:div w:id="1913855900">
      <w:bodyDiv w:val="1"/>
      <w:marLeft w:val="0"/>
      <w:marRight w:val="0"/>
      <w:marTop w:val="0"/>
      <w:marBottom w:val="0"/>
      <w:divBdr>
        <w:top w:val="none" w:sz="0" w:space="0" w:color="auto"/>
        <w:left w:val="none" w:sz="0" w:space="0" w:color="auto"/>
        <w:bottom w:val="none" w:sz="0" w:space="0" w:color="auto"/>
        <w:right w:val="none" w:sz="0" w:space="0" w:color="auto"/>
      </w:divBdr>
    </w:div>
    <w:div w:id="213151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kmin.lt/uploads/documents/imported/lt/veikla/veiklos_sritys/es_strukturiniai_fondai/2007-2013/Vertinimas/Sektoriu_Galutine%20vertinimo%20ataskaita.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AC4F0-0961-4962-9CBA-413DC1F18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14121</Words>
  <Characters>8050</Characters>
  <Application>Microsoft Office Word</Application>
  <DocSecurity>0</DocSecurity>
  <Lines>67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22127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Kriščiūnaitė-Kačiuškienė</dc:creator>
  <cp:lastModifiedBy>Laimonas Švabauskas</cp:lastModifiedBy>
  <cp:revision>6</cp:revision>
  <cp:lastPrinted>2015-01-21T08:59:00Z</cp:lastPrinted>
  <dcterms:created xsi:type="dcterms:W3CDTF">2015-03-31T04:20:00Z</dcterms:created>
  <dcterms:modified xsi:type="dcterms:W3CDTF">2015-07-21T06:32:00Z</dcterms:modified>
</cp:coreProperties>
</file>