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C" w:rsidRDefault="004C07DC" w:rsidP="0075736C">
      <w:pPr>
        <w:tabs>
          <w:tab w:val="center" w:pos="4819"/>
          <w:tab w:val="right" w:pos="9638"/>
        </w:tabs>
        <w:rPr>
          <w:rFonts w:ascii="TimesLT" w:hAnsi="TimesLT"/>
          <w:b/>
          <w:noProof/>
          <w:szCs w:val="24"/>
          <w:lang w:eastAsia="lt-LT"/>
        </w:rPr>
      </w:pPr>
      <w:r>
        <w:rPr>
          <w:rFonts w:ascii="TimesLT" w:hAnsi="TimesLT"/>
          <w:b/>
          <w:noProof/>
          <w:szCs w:val="24"/>
          <w:lang w:eastAsia="lt-LT"/>
        </w:rPr>
        <w:tab/>
        <w:t xml:space="preserve">                                                                                                    </w:t>
      </w:r>
      <w:r w:rsidR="0059331B" w:rsidRPr="007F23C7">
        <w:rPr>
          <w:rFonts w:ascii="TimesLT" w:hAnsi="TimesLT"/>
          <w:b/>
          <w:noProof/>
          <w:szCs w:val="24"/>
          <w:lang w:eastAsia="lt-LT"/>
        </w:rPr>
        <w:t>Projekto</w:t>
      </w:r>
      <w:r w:rsidR="0059331B">
        <w:rPr>
          <w:rFonts w:ascii="TimesLT" w:hAnsi="TimesLT"/>
          <w:b/>
          <w:noProof/>
          <w:szCs w:val="24"/>
          <w:lang w:eastAsia="lt-LT"/>
        </w:rPr>
        <w:t xml:space="preserve"> </w:t>
      </w:r>
    </w:p>
    <w:p w:rsidR="0059331B" w:rsidRPr="007F23C7" w:rsidRDefault="0059331B" w:rsidP="0059331B">
      <w:pPr>
        <w:tabs>
          <w:tab w:val="center" w:pos="4819"/>
          <w:tab w:val="right" w:pos="9638"/>
        </w:tabs>
        <w:jc w:val="right"/>
        <w:rPr>
          <w:rFonts w:ascii="TimesLT" w:hAnsi="TimesLT"/>
          <w:b/>
          <w:noProof/>
          <w:szCs w:val="24"/>
          <w:lang w:eastAsia="lt-LT"/>
        </w:rPr>
      </w:pPr>
      <w:r w:rsidRPr="007F23C7">
        <w:rPr>
          <w:rFonts w:ascii="TimesLT" w:hAnsi="TimesLT"/>
          <w:b/>
          <w:noProof/>
          <w:szCs w:val="24"/>
          <w:lang w:eastAsia="lt-LT"/>
        </w:rPr>
        <w:t>lyginamasis variantas</w:t>
      </w:r>
    </w:p>
    <w:p w:rsidR="0059331B" w:rsidRDefault="0059331B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noProof/>
          <w:sz w:val="20"/>
          <w:lang w:eastAsia="lt-LT"/>
        </w:rPr>
      </w:pPr>
    </w:p>
    <w:p w:rsidR="00B14388" w:rsidRDefault="003569F2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61FC702F" wp14:editId="2C68AD1E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1B" w:rsidRDefault="0059331B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</w:p>
    <w:p w:rsidR="00136B59" w:rsidRDefault="00136B59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</w:p>
    <w:p w:rsidR="00B14388" w:rsidRDefault="003569F2" w:rsidP="008644E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:rsidR="00B14388" w:rsidRDefault="003569F2" w:rsidP="008644E6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:rsidR="00807391" w:rsidRDefault="00807391" w:rsidP="008644E6">
      <w:pPr>
        <w:spacing w:line="276" w:lineRule="auto"/>
        <w:jc w:val="center"/>
        <w:rPr>
          <w:szCs w:val="24"/>
        </w:rPr>
      </w:pPr>
    </w:p>
    <w:p w:rsidR="00B14388" w:rsidRDefault="003569F2" w:rsidP="008644E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:rsidR="00B14388" w:rsidRDefault="003569F2" w:rsidP="00B857D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DĖL SOCIALINĖS</w:t>
      </w:r>
      <w:r w:rsidR="0082769E">
        <w:rPr>
          <w:b/>
          <w:szCs w:val="24"/>
        </w:rPr>
        <w:t xml:space="preserve"> APSAUGOS IR DARBO MINISTRO 2015</w:t>
      </w:r>
      <w:r>
        <w:rPr>
          <w:b/>
          <w:szCs w:val="24"/>
        </w:rPr>
        <w:t> M.</w:t>
      </w:r>
      <w:r w:rsidR="0082769E">
        <w:rPr>
          <w:b/>
          <w:szCs w:val="24"/>
        </w:rPr>
        <w:t xml:space="preserve"> BIRŽELIO </w:t>
      </w:r>
      <w:r w:rsidR="0082769E">
        <w:rPr>
          <w:b/>
          <w:szCs w:val="24"/>
          <w:lang w:val="en-US"/>
        </w:rPr>
        <w:t>8</w:t>
      </w:r>
      <w:r w:rsidR="0082769E">
        <w:rPr>
          <w:b/>
          <w:szCs w:val="24"/>
        </w:rPr>
        <w:t xml:space="preserve"> D. ĮSAKYMO NR. A1-320</w:t>
      </w:r>
      <w:r>
        <w:rPr>
          <w:b/>
          <w:szCs w:val="24"/>
        </w:rPr>
        <w:t xml:space="preserve"> „</w:t>
      </w:r>
      <w:r w:rsidR="0082769E">
        <w:rPr>
          <w:b/>
          <w:bCs/>
        </w:rPr>
        <w:t>DĖL 2014–2020 METŲ EUROPOS SĄJUNGOS FONDŲ INVESTICIJŲ VEIKSMŲ PROGRAMOS 7 PRIORITETO „KOKYBIŠKO UŽIMTUMO IR DALYVAVIMO DARBO RINKOJE SKATINIMAS“ ĮGYVENDINIMO PRIEMONĖS NR.</w:t>
      </w:r>
      <w:r w:rsidR="00381C24" w:rsidRPr="00251BD5">
        <w:t> </w:t>
      </w:r>
      <w:r w:rsidR="0082769E">
        <w:rPr>
          <w:b/>
          <w:bCs/>
        </w:rPr>
        <w:t xml:space="preserve"> 07.3.2-ESFA-V-403 „LIETUVOS DARBO BIRŽOS ADMINISTRACINIŲ GEBĖJIMŲ UGDYMAS“ PROJEKTŲ FINANSAVIMO SĄLYGŲ APRAŠO NR. 2 PATVIRTINIMO</w:t>
      </w:r>
      <w:r>
        <w:rPr>
          <w:b/>
          <w:szCs w:val="24"/>
        </w:rPr>
        <w:t>“ PAKEITIMO</w:t>
      </w:r>
    </w:p>
    <w:p w:rsidR="007148F0" w:rsidRDefault="007148F0" w:rsidP="0075736C">
      <w:pPr>
        <w:spacing w:line="276" w:lineRule="auto"/>
        <w:jc w:val="center"/>
        <w:rPr>
          <w:b/>
          <w:caps/>
          <w:szCs w:val="24"/>
        </w:rPr>
      </w:pPr>
    </w:p>
    <w:p w:rsidR="00B857D2" w:rsidRDefault="00B857D2" w:rsidP="0075736C">
      <w:pPr>
        <w:spacing w:line="276" w:lineRule="auto"/>
        <w:jc w:val="center"/>
        <w:rPr>
          <w:b/>
          <w:caps/>
          <w:szCs w:val="24"/>
        </w:rPr>
      </w:pPr>
    </w:p>
    <w:p w:rsidR="00B14388" w:rsidRDefault="00AA185A" w:rsidP="0075736C">
      <w:pPr>
        <w:spacing w:line="276" w:lineRule="auto"/>
        <w:jc w:val="center"/>
        <w:rPr>
          <w:szCs w:val="24"/>
        </w:rPr>
      </w:pPr>
      <w:r>
        <w:rPr>
          <w:szCs w:val="24"/>
        </w:rPr>
        <w:t>Nr.</w:t>
      </w:r>
    </w:p>
    <w:p w:rsidR="00B14388" w:rsidRDefault="003569F2" w:rsidP="0075736C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:rsidR="00B14388" w:rsidRDefault="00B14388" w:rsidP="0075736C">
      <w:pPr>
        <w:spacing w:line="276" w:lineRule="auto"/>
        <w:rPr>
          <w:szCs w:val="24"/>
        </w:rPr>
      </w:pPr>
    </w:p>
    <w:p w:rsidR="00B14388" w:rsidRDefault="003569F2" w:rsidP="00B857D2">
      <w:pPr>
        <w:spacing w:line="276" w:lineRule="auto"/>
        <w:ind w:firstLine="1298"/>
        <w:jc w:val="both"/>
        <w:rPr>
          <w:szCs w:val="24"/>
        </w:rPr>
      </w:pPr>
      <w:r w:rsidRPr="00AA185A">
        <w:rPr>
          <w:szCs w:val="24"/>
        </w:rPr>
        <w:t xml:space="preserve">P a k e i č i u </w:t>
      </w:r>
      <w:r w:rsidR="00DC48C1">
        <w:rPr>
          <w:szCs w:val="24"/>
        </w:rPr>
        <w:t xml:space="preserve"> </w:t>
      </w:r>
      <w:r w:rsidR="0082769E">
        <w:t>2014–2020 metų Europos Sąjungos fondų investicijų veiksmų programos 7 prioriteto „Kokybiško užimtumo ir dalyvavimo darbo rinkoje skatinimas“ įgyvendinimo priemonės Nr. 07.3.2-ESFA-V-403 „Lietuvos darbo biržos administracinių gebėjimų ugdymas“ projektų finansavimo sąlygų aprašą Nr. 2</w:t>
      </w:r>
      <w:r w:rsidRPr="00AA185A">
        <w:rPr>
          <w:szCs w:val="24"/>
        </w:rPr>
        <w:t>, patvirtintą Lietuvos Respublikos socialinės</w:t>
      </w:r>
      <w:r w:rsidR="0082769E">
        <w:rPr>
          <w:szCs w:val="24"/>
        </w:rPr>
        <w:t xml:space="preserve"> apsaugos ir darbo ministro 2015</w:t>
      </w:r>
      <w:r w:rsidRPr="00AA185A">
        <w:rPr>
          <w:szCs w:val="24"/>
        </w:rPr>
        <w:t xml:space="preserve"> m. </w:t>
      </w:r>
      <w:r w:rsidR="0082769E">
        <w:rPr>
          <w:szCs w:val="24"/>
        </w:rPr>
        <w:t xml:space="preserve">birželio </w:t>
      </w:r>
      <w:r w:rsidR="0082769E">
        <w:rPr>
          <w:szCs w:val="24"/>
          <w:lang w:val="en-US"/>
        </w:rPr>
        <w:t>8</w:t>
      </w:r>
      <w:r w:rsidRPr="00AA185A">
        <w:rPr>
          <w:szCs w:val="24"/>
        </w:rPr>
        <w:t xml:space="preserve"> d. įsakymu Nr. A1-</w:t>
      </w:r>
      <w:r w:rsidR="0082769E">
        <w:rPr>
          <w:szCs w:val="24"/>
        </w:rPr>
        <w:t>320</w:t>
      </w:r>
      <w:r w:rsidRPr="00AA185A">
        <w:rPr>
          <w:szCs w:val="24"/>
        </w:rPr>
        <w:t xml:space="preserve"> „Dėl </w:t>
      </w:r>
      <w:r w:rsidR="0082769E">
        <w:t xml:space="preserve">2014–2020 metų Europos Sąjungos fondų investicijų veiksmų programos 7 prioriteto „Kokybiško užimtumo ir dalyvavimo darbo rinkoje skatinimas“ įgyvendinimo priemonės Nr. 07.3.2-ESFA-V-403 „Lietuvos darbo biržos administracinių gebėjimų ugdymas“ projektų finansavimo sąlygų aprašo Nr. 2 </w:t>
      </w:r>
      <w:r w:rsidRPr="00AA185A">
        <w:rPr>
          <w:szCs w:val="24"/>
        </w:rPr>
        <w:t>patvirtinimo“:</w:t>
      </w:r>
    </w:p>
    <w:p w:rsidR="00157972" w:rsidRPr="00807391" w:rsidRDefault="00157972" w:rsidP="008644E6">
      <w:pPr>
        <w:spacing w:line="276" w:lineRule="auto"/>
        <w:ind w:firstLine="1298"/>
        <w:jc w:val="both"/>
      </w:pPr>
      <w:r w:rsidRPr="00807391">
        <w:t>1. Pakeičiu 2.1 papunktį ir jį išdėstau taip:</w:t>
      </w:r>
    </w:p>
    <w:p w:rsidR="00157972" w:rsidRPr="00807391" w:rsidRDefault="00157972" w:rsidP="008644E6">
      <w:pPr>
        <w:spacing w:line="276" w:lineRule="auto"/>
        <w:ind w:firstLine="1298"/>
        <w:jc w:val="both"/>
      </w:pPr>
      <w:r w:rsidRPr="00807391">
        <w:rPr>
          <w:lang w:eastAsia="lt-LT"/>
        </w:rPr>
        <w:t>„</w:t>
      </w:r>
      <w:r w:rsidR="0091323A">
        <w:rPr>
          <w:szCs w:val="24"/>
        </w:rPr>
        <w:t>2.1. 2012 m. lapkričio 26 d. Komisijos įgyvendinimo sprendimu, kuriuo įgyvendinamos Europos Parlamento ir Tarybos įgyvendinimo reglamento (ES) Nr. 492/2011 nuostatos dėl laisvų darbo vietų ir darbo ieškančių asmenų nustatymo ir EURES pertv</w:t>
      </w:r>
      <w:r w:rsidR="00A509DD">
        <w:rPr>
          <w:szCs w:val="24"/>
        </w:rPr>
        <w:t>arkymo</w:t>
      </w:r>
      <w:r w:rsidR="00954B80">
        <w:rPr>
          <w:szCs w:val="24"/>
        </w:rPr>
        <w:t xml:space="preserve"> </w:t>
      </w:r>
      <w:r w:rsidR="00954B80" w:rsidRPr="00954B80">
        <w:rPr>
          <w:strike/>
          <w:szCs w:val="24"/>
        </w:rPr>
        <w:t>(OL 2012 L 328, p. 21–26)</w:t>
      </w:r>
      <w:r w:rsidR="0091323A">
        <w:rPr>
          <w:szCs w:val="24"/>
        </w:rPr>
        <w:t>;</w:t>
      </w:r>
      <w:r w:rsidR="00DC48C1">
        <w:t>“</w:t>
      </w:r>
      <w:r w:rsidR="0018379E">
        <w:t>.</w:t>
      </w:r>
    </w:p>
    <w:p w:rsidR="00157972" w:rsidRPr="00807391" w:rsidRDefault="00A509DD" w:rsidP="008644E6">
      <w:pPr>
        <w:spacing w:line="276" w:lineRule="auto"/>
        <w:ind w:firstLine="1298"/>
        <w:jc w:val="both"/>
      </w:pPr>
      <w:r>
        <w:t>2. Pakeičiu 17</w:t>
      </w:r>
      <w:r w:rsidR="00157972" w:rsidRPr="00807391">
        <w:t xml:space="preserve"> punktą ir jį išdėstau taip:</w:t>
      </w:r>
    </w:p>
    <w:p w:rsidR="00157972" w:rsidRDefault="00157972" w:rsidP="008644E6">
      <w:pPr>
        <w:spacing w:line="276" w:lineRule="auto"/>
        <w:ind w:firstLine="1298"/>
        <w:jc w:val="both"/>
      </w:pPr>
      <w:r w:rsidRPr="00807391">
        <w:rPr>
          <w:lang w:eastAsia="lt-LT"/>
        </w:rPr>
        <w:t>„</w:t>
      </w:r>
      <w:r w:rsidR="00A509DD">
        <w:rPr>
          <w:color w:val="000000"/>
          <w:lang w:val="en-GB"/>
        </w:rPr>
        <w:t>17</w:t>
      </w:r>
      <w:r w:rsidRPr="00807391">
        <w:t xml:space="preserve">. </w:t>
      </w:r>
      <w:r w:rsidR="00A509DD">
        <w:rPr>
          <w:szCs w:val="24"/>
        </w:rPr>
        <w:t>Dėl objektyvių priežasčių, kurių projekto vykdytojas negalėjo numatyti paraiškos pateikimo ir vertinimo metu, projekto vykdymo laikotarpis gali būti pratęstas Projektų taisyklių nustatyta tvarka</w:t>
      </w:r>
      <w:r w:rsidR="00954B80" w:rsidRPr="00954B80">
        <w:rPr>
          <w:strike/>
          <w:szCs w:val="24"/>
        </w:rPr>
        <w:t>, bet ne vėliau kaip iki 2021 m. rugsėjo 1 d</w:t>
      </w:r>
      <w:r w:rsidR="00A509DD">
        <w:rPr>
          <w:szCs w:val="24"/>
        </w:rPr>
        <w:t>.“</w:t>
      </w:r>
    </w:p>
    <w:p w:rsidR="00640768" w:rsidRDefault="005B3379" w:rsidP="00EC3122">
      <w:pPr>
        <w:spacing w:line="276" w:lineRule="auto"/>
        <w:ind w:left="1298"/>
        <w:jc w:val="both"/>
        <w:rPr>
          <w:szCs w:val="24"/>
        </w:rPr>
      </w:pPr>
      <w:r>
        <w:rPr>
          <w:szCs w:val="24"/>
        </w:rPr>
        <w:t xml:space="preserve">3. </w:t>
      </w:r>
      <w:r w:rsidR="00444C5D">
        <w:t>Pakeičiu 24</w:t>
      </w:r>
      <w:r w:rsidR="00444C5D" w:rsidRPr="00807391">
        <w:t xml:space="preserve"> punktą ir jį išdėstau taip:</w:t>
      </w:r>
    </w:p>
    <w:p w:rsidR="00444C5D" w:rsidRDefault="00444C5D" w:rsidP="00444C5D">
      <w:pPr>
        <w:ind w:firstLine="1298"/>
        <w:jc w:val="both"/>
        <w:rPr>
          <w:rFonts w:eastAsia="Calibri"/>
          <w:szCs w:val="24"/>
        </w:rPr>
      </w:pPr>
      <w:r>
        <w:rPr>
          <w:szCs w:val="24"/>
        </w:rPr>
        <w:t>„</w:t>
      </w:r>
      <w:r>
        <w:rPr>
          <w:rFonts w:eastAsia="Calibri"/>
          <w:szCs w:val="24"/>
        </w:rPr>
        <w:t xml:space="preserve">24. Pagal Aprašą valstybės pagalba, kaip ji apibrėžta Sutarties dėl Europos Sąjungos veikimo </w:t>
      </w:r>
      <w:r w:rsidR="008F0309" w:rsidRPr="008F0309">
        <w:rPr>
          <w:rFonts w:eastAsia="Calibri"/>
          <w:strike/>
          <w:szCs w:val="24"/>
        </w:rPr>
        <w:t>(OL 2010 C 83, p. 47)</w:t>
      </w:r>
      <w:r w:rsidR="008F030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107 straipsnyje, ir </w:t>
      </w:r>
      <w:r>
        <w:rPr>
          <w:rFonts w:eastAsia="Calibri"/>
          <w:i/>
          <w:szCs w:val="24"/>
        </w:rPr>
        <w:t>de minimis</w:t>
      </w:r>
      <w:r>
        <w:rPr>
          <w:rFonts w:eastAsia="Calibri"/>
          <w:szCs w:val="24"/>
        </w:rPr>
        <w:t xml:space="preserve"> pagalba, kuri atitinka 2013 m. gruodžio 18 d. Komisijos reglamento (ES) Nr. 1407/2013 dėl Sutarties dėl Europos Sąjungos veikimo 107 ir 108 straipsnių taikymo </w:t>
      </w:r>
      <w:r>
        <w:rPr>
          <w:rFonts w:eastAsia="Calibri"/>
          <w:i/>
          <w:szCs w:val="24"/>
        </w:rPr>
        <w:t>de minimis</w:t>
      </w:r>
      <w:r>
        <w:rPr>
          <w:rFonts w:eastAsia="Calibri"/>
          <w:szCs w:val="24"/>
        </w:rPr>
        <w:t xml:space="preserve"> pagalbai</w:t>
      </w:r>
      <w:r w:rsidR="008F0309">
        <w:rPr>
          <w:rFonts w:eastAsia="Calibri"/>
          <w:szCs w:val="24"/>
        </w:rPr>
        <w:t xml:space="preserve"> </w:t>
      </w:r>
      <w:r w:rsidR="008F0309" w:rsidRPr="008F0309">
        <w:rPr>
          <w:rFonts w:eastAsia="Calibri"/>
          <w:strike/>
          <w:szCs w:val="24"/>
        </w:rPr>
        <w:t xml:space="preserve">(OL 2013 L 352, p. 1) </w:t>
      </w:r>
      <w:r>
        <w:rPr>
          <w:rFonts w:eastAsia="Calibri"/>
          <w:szCs w:val="24"/>
        </w:rPr>
        <w:t>nuostatas, neteikiama.“</w:t>
      </w:r>
    </w:p>
    <w:p w:rsidR="003569F2" w:rsidRDefault="003569F2" w:rsidP="008644E6">
      <w:pPr>
        <w:spacing w:line="276" w:lineRule="auto"/>
        <w:rPr>
          <w:szCs w:val="24"/>
        </w:rPr>
      </w:pPr>
    </w:p>
    <w:p w:rsidR="00DB326F" w:rsidRDefault="00DB326F" w:rsidP="008644E6">
      <w:pPr>
        <w:spacing w:line="276" w:lineRule="auto"/>
        <w:rPr>
          <w:szCs w:val="24"/>
        </w:rPr>
      </w:pPr>
    </w:p>
    <w:p w:rsidR="00DB326F" w:rsidRDefault="00DB326F" w:rsidP="008644E6">
      <w:pPr>
        <w:spacing w:line="276" w:lineRule="auto"/>
        <w:rPr>
          <w:szCs w:val="24"/>
        </w:rPr>
      </w:pPr>
    </w:p>
    <w:p w:rsidR="003569F2" w:rsidRDefault="00444C5D" w:rsidP="008644E6">
      <w:pPr>
        <w:tabs>
          <w:tab w:val="left" w:pos="7371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3569F2">
        <w:rPr>
          <w:szCs w:val="24"/>
          <w:lang w:eastAsia="lt-LT"/>
        </w:rPr>
        <w:t>ocialinės apsaugos ir darbo ministr</w:t>
      </w:r>
      <w:r>
        <w:rPr>
          <w:szCs w:val="24"/>
          <w:lang w:eastAsia="lt-LT"/>
        </w:rPr>
        <w:t>ė</w:t>
      </w:r>
      <w:r w:rsidR="00136B59">
        <w:rPr>
          <w:szCs w:val="24"/>
          <w:lang w:eastAsia="lt-LT"/>
        </w:rPr>
        <w:tab/>
      </w:r>
      <w:r>
        <w:rPr>
          <w:szCs w:val="24"/>
          <w:lang w:eastAsia="lt-LT"/>
        </w:rPr>
        <w:t>Monika Navickienė</w:t>
      </w:r>
    </w:p>
    <w:p w:rsidR="00444C5D" w:rsidRDefault="00444C5D" w:rsidP="008644E6">
      <w:pPr>
        <w:tabs>
          <w:tab w:val="left" w:pos="7371"/>
        </w:tabs>
        <w:spacing w:line="276" w:lineRule="auto"/>
        <w:rPr>
          <w:szCs w:val="24"/>
          <w:lang w:eastAsia="lt-LT"/>
        </w:rPr>
      </w:pPr>
    </w:p>
    <w:p w:rsidR="00DB326F" w:rsidRDefault="00DB326F" w:rsidP="008644E6">
      <w:pPr>
        <w:tabs>
          <w:tab w:val="left" w:pos="7371"/>
        </w:tabs>
        <w:spacing w:line="276" w:lineRule="auto"/>
        <w:rPr>
          <w:szCs w:val="24"/>
          <w:lang w:eastAsia="lt-LT"/>
        </w:rPr>
      </w:pPr>
    </w:p>
    <w:p w:rsidR="00DB326F" w:rsidRDefault="00DB326F" w:rsidP="008644E6">
      <w:pPr>
        <w:tabs>
          <w:tab w:val="left" w:pos="7371"/>
        </w:tabs>
        <w:spacing w:line="276" w:lineRule="auto"/>
        <w:rPr>
          <w:szCs w:val="24"/>
          <w:lang w:eastAsia="lt-LT"/>
        </w:rPr>
      </w:pPr>
    </w:p>
    <w:p w:rsidR="00B14388" w:rsidRPr="008644E6" w:rsidRDefault="003569F2" w:rsidP="008644E6">
      <w:pPr>
        <w:spacing w:line="276" w:lineRule="auto"/>
        <w:rPr>
          <w:szCs w:val="24"/>
        </w:rPr>
      </w:pPr>
      <w:r w:rsidRPr="008644E6">
        <w:rPr>
          <w:szCs w:val="24"/>
        </w:rPr>
        <w:t>SUDERINTA</w:t>
      </w:r>
    </w:p>
    <w:p w:rsidR="00B14388" w:rsidRPr="008644E6" w:rsidRDefault="003569F2" w:rsidP="008644E6">
      <w:pPr>
        <w:spacing w:line="276" w:lineRule="auto"/>
        <w:rPr>
          <w:szCs w:val="24"/>
        </w:rPr>
      </w:pPr>
      <w:r w:rsidRPr="008644E6">
        <w:rPr>
          <w:szCs w:val="24"/>
        </w:rPr>
        <w:t>Europos socialinio fondo agentūros</w:t>
      </w:r>
    </w:p>
    <w:p w:rsidR="00B14388" w:rsidRPr="008644E6" w:rsidRDefault="00444C5D" w:rsidP="008644E6">
      <w:pPr>
        <w:spacing w:line="276" w:lineRule="auto"/>
        <w:rPr>
          <w:szCs w:val="24"/>
        </w:rPr>
      </w:pPr>
      <w:r>
        <w:rPr>
          <w:szCs w:val="24"/>
        </w:rPr>
        <w:t>202</w:t>
      </w:r>
      <w:r>
        <w:rPr>
          <w:szCs w:val="24"/>
          <w:lang w:val="en-US"/>
        </w:rPr>
        <w:t>1</w:t>
      </w:r>
      <w:r w:rsidR="00AA185A" w:rsidRPr="008644E6">
        <w:rPr>
          <w:szCs w:val="24"/>
        </w:rPr>
        <w:t xml:space="preserve"> m. </w:t>
      </w:r>
      <w:r w:rsidR="0059331B">
        <w:rPr>
          <w:szCs w:val="24"/>
        </w:rPr>
        <w:t xml:space="preserve">             </w:t>
      </w:r>
      <w:r w:rsidR="008644E6" w:rsidRPr="008644E6">
        <w:rPr>
          <w:szCs w:val="24"/>
        </w:rPr>
        <w:t xml:space="preserve"> d. </w:t>
      </w:r>
      <w:r w:rsidR="00AA185A" w:rsidRPr="008644E6">
        <w:rPr>
          <w:szCs w:val="24"/>
        </w:rPr>
        <w:t xml:space="preserve">raštu Nr. </w:t>
      </w:r>
      <w:r w:rsidR="0059331B">
        <w:rPr>
          <w:szCs w:val="24"/>
        </w:rPr>
        <w:t xml:space="preserve"> </w:t>
      </w:r>
    </w:p>
    <w:sectPr w:rsidR="00B14388" w:rsidRPr="008644E6" w:rsidSect="003569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25" w:rsidRDefault="00BF202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:rsidR="00BF2025" w:rsidRDefault="00BF202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25" w:rsidRDefault="00BF202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:rsidR="00BF2025" w:rsidRDefault="00BF202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3569F2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3569F2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 w:rsidR="0075736C">
      <w:rPr>
        <w:rFonts w:ascii="TimesLT" w:hAnsi="TimesLT"/>
        <w:noProof/>
        <w:sz w:val="20"/>
        <w:lang w:val="en-GB"/>
      </w:rPr>
      <w:t>2</w:t>
    </w:r>
    <w:r>
      <w:rPr>
        <w:rFonts w:ascii="TimesLT" w:hAnsi="TimesLT"/>
        <w:sz w:val="20"/>
        <w:lang w:val="en-GB"/>
      </w:rPr>
      <w:fldChar w:fldCharType="end"/>
    </w:r>
  </w:p>
  <w:p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4A20"/>
    <w:multiLevelType w:val="hybridMultilevel"/>
    <w:tmpl w:val="ECB8DDF6"/>
    <w:lvl w:ilvl="0" w:tplc="C4BA9AA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61636237"/>
    <w:multiLevelType w:val="hybridMultilevel"/>
    <w:tmpl w:val="27FC59E8"/>
    <w:lvl w:ilvl="0" w:tplc="8A2677C4">
      <w:start w:val="3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7C25"/>
    <w:rsid w:val="00022257"/>
    <w:rsid w:val="00075A61"/>
    <w:rsid w:val="00111407"/>
    <w:rsid w:val="0013656A"/>
    <w:rsid w:val="00136B59"/>
    <w:rsid w:val="00157972"/>
    <w:rsid w:val="00172158"/>
    <w:rsid w:val="0018379E"/>
    <w:rsid w:val="00186570"/>
    <w:rsid w:val="001C7E3A"/>
    <w:rsid w:val="00200736"/>
    <w:rsid w:val="00253AE6"/>
    <w:rsid w:val="003569F2"/>
    <w:rsid w:val="00381C24"/>
    <w:rsid w:val="003A1CD4"/>
    <w:rsid w:val="003A5D69"/>
    <w:rsid w:val="003D0BAD"/>
    <w:rsid w:val="003D0ED1"/>
    <w:rsid w:val="003F0E5C"/>
    <w:rsid w:val="003F413E"/>
    <w:rsid w:val="004069DD"/>
    <w:rsid w:val="004435CA"/>
    <w:rsid w:val="00444C5D"/>
    <w:rsid w:val="00462AEB"/>
    <w:rsid w:val="004900CD"/>
    <w:rsid w:val="004A4393"/>
    <w:rsid w:val="004C07DC"/>
    <w:rsid w:val="00502ABD"/>
    <w:rsid w:val="0059331B"/>
    <w:rsid w:val="005B3379"/>
    <w:rsid w:val="0060266D"/>
    <w:rsid w:val="00606DDD"/>
    <w:rsid w:val="00640768"/>
    <w:rsid w:val="006655D2"/>
    <w:rsid w:val="006A3D0E"/>
    <w:rsid w:val="006B3183"/>
    <w:rsid w:val="007148F0"/>
    <w:rsid w:val="0075736C"/>
    <w:rsid w:val="007C28BC"/>
    <w:rsid w:val="007F23C7"/>
    <w:rsid w:val="00807391"/>
    <w:rsid w:val="0082769E"/>
    <w:rsid w:val="008644E6"/>
    <w:rsid w:val="00881801"/>
    <w:rsid w:val="008F0309"/>
    <w:rsid w:val="0091323A"/>
    <w:rsid w:val="009141D7"/>
    <w:rsid w:val="00954B80"/>
    <w:rsid w:val="009D3CF6"/>
    <w:rsid w:val="009D76A9"/>
    <w:rsid w:val="009E1EA7"/>
    <w:rsid w:val="00A23004"/>
    <w:rsid w:val="00A509DD"/>
    <w:rsid w:val="00A51590"/>
    <w:rsid w:val="00A71479"/>
    <w:rsid w:val="00AA185A"/>
    <w:rsid w:val="00AE1D7A"/>
    <w:rsid w:val="00B04684"/>
    <w:rsid w:val="00B11F77"/>
    <w:rsid w:val="00B14388"/>
    <w:rsid w:val="00B62365"/>
    <w:rsid w:val="00B857D2"/>
    <w:rsid w:val="00BF2025"/>
    <w:rsid w:val="00C371BC"/>
    <w:rsid w:val="00CC0D2E"/>
    <w:rsid w:val="00D2613F"/>
    <w:rsid w:val="00D37CB0"/>
    <w:rsid w:val="00D66FFE"/>
    <w:rsid w:val="00DB326F"/>
    <w:rsid w:val="00DC48C1"/>
    <w:rsid w:val="00DD56E4"/>
    <w:rsid w:val="00E164BD"/>
    <w:rsid w:val="00EA7821"/>
    <w:rsid w:val="00EC3122"/>
    <w:rsid w:val="00EF7927"/>
    <w:rsid w:val="00F15305"/>
    <w:rsid w:val="00F42D6A"/>
    <w:rsid w:val="00F53E20"/>
    <w:rsid w:val="00F64FCA"/>
    <w:rsid w:val="00F9537B"/>
    <w:rsid w:val="00FA2E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9F2"/>
    <w:rPr>
      <w:color w:val="808080"/>
    </w:rPr>
  </w:style>
  <w:style w:type="paragraph" w:styleId="Debesliotekstas">
    <w:name w:val="Balloon Text"/>
    <w:basedOn w:val="prastasis"/>
    <w:link w:val="DebesliotekstasDiagrama"/>
    <w:rsid w:val="00AA18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A185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AA18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185A"/>
    <w:rPr>
      <w:color w:val="0000FF" w:themeColor="hyperlink"/>
      <w:u w:val="single"/>
    </w:rPr>
  </w:style>
  <w:style w:type="table" w:styleId="Lentelstinklelis">
    <w:name w:val="Table Grid"/>
    <w:basedOn w:val="prastojilentel"/>
    <w:rsid w:val="006B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4A43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439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439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A43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4393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9F2"/>
    <w:rPr>
      <w:color w:val="808080"/>
    </w:rPr>
  </w:style>
  <w:style w:type="paragraph" w:styleId="Debesliotekstas">
    <w:name w:val="Balloon Text"/>
    <w:basedOn w:val="prastasis"/>
    <w:link w:val="DebesliotekstasDiagrama"/>
    <w:rsid w:val="00AA18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A185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AA18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185A"/>
    <w:rPr>
      <w:color w:val="0000FF" w:themeColor="hyperlink"/>
      <w:u w:val="single"/>
    </w:rPr>
  </w:style>
  <w:style w:type="table" w:styleId="Lentelstinklelis">
    <w:name w:val="Table Grid"/>
    <w:basedOn w:val="prastojilentel"/>
    <w:rsid w:val="006B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4A43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439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439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A43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439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BA0FC-EB95-4F63-9FF3-5C7FF73E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2503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Donatas Petroka</cp:lastModifiedBy>
  <cp:revision>5</cp:revision>
  <cp:lastPrinted>2019-08-26T05:50:00Z</cp:lastPrinted>
  <dcterms:created xsi:type="dcterms:W3CDTF">2020-12-22T09:53:00Z</dcterms:created>
  <dcterms:modified xsi:type="dcterms:W3CDTF">2020-12-22T13:05:00Z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-1316824074</vt:i4>
  </property>
  <property fmtid="{D5CDD505-2E9C-101B-9397-08002B2CF9AE}" pid="3" name="_NewReviewCycle">
    <vt:lpwstr/>
  </property>
  <property fmtid="{D5CDD505-2E9C-101B-9397-08002B2CF9AE}" pid="4" name="_EmailSubject">
    <vt:lpwstr>Siunčiama: Isakymas-PFSA+Nr.2_12_22_lyg.docx, Isakymas-PFSA+Nr.2_12_22.docx</vt:lpwstr>
  </property>
  <property fmtid="{D5CDD505-2E9C-101B-9397-08002B2CF9AE}" pid="5" name="_AuthorEmail">
    <vt:lpwstr>Vilmante.Miskinyte@socmin.lt</vt:lpwstr>
  </property>
  <property fmtid="{D5CDD505-2E9C-101B-9397-08002B2CF9AE}" pid="6" name="_AuthorEmailDisplayName">
    <vt:lpwstr>Vilmantė Miškinytė</vt:lpwstr>
  </property>
  <property fmtid="{D5CDD505-2E9C-101B-9397-08002B2CF9AE}" pid="7" name="_PreviousAdHocReviewCycleID">
    <vt:i4>-693605328</vt:i4>
  </property>
  <property fmtid="{D5CDD505-2E9C-101B-9397-08002B2CF9AE}" pid="8" name="_ReviewingToolsShownOnce">
    <vt:lpwstr/>
  </property>
</Properties>
</file>