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EA0A2" w14:textId="77777777" w:rsidR="005766B9" w:rsidRPr="00FA5AE7" w:rsidRDefault="005766B9" w:rsidP="005766B9">
      <w:pPr>
        <w:tabs>
          <w:tab w:val="center" w:pos="4153"/>
          <w:tab w:val="right" w:pos="8306"/>
        </w:tabs>
        <w:spacing w:after="0" w:line="240" w:lineRule="auto"/>
        <w:jc w:val="right"/>
        <w:rPr>
          <w:rFonts w:ascii="Times New Roman" w:eastAsia="Times New Roman" w:hAnsi="Times New Roman" w:cs="Times New Roman"/>
          <w:b/>
          <w:bCs/>
          <w:noProof/>
          <w:sz w:val="24"/>
          <w:szCs w:val="24"/>
        </w:rPr>
      </w:pPr>
      <w:r w:rsidRPr="00FA5AE7">
        <w:rPr>
          <w:rFonts w:ascii="Times New Roman" w:eastAsia="Times New Roman" w:hAnsi="Times New Roman" w:cs="Times New Roman"/>
          <w:noProof/>
          <w:sz w:val="24"/>
          <w:szCs w:val="24"/>
        </w:rPr>
        <w:tab/>
      </w:r>
      <w:r w:rsidRPr="00FA5AE7">
        <w:rPr>
          <w:rFonts w:ascii="Times New Roman" w:eastAsia="Times New Roman" w:hAnsi="Times New Roman" w:cs="Times New Roman"/>
          <w:b/>
          <w:bCs/>
          <w:noProof/>
          <w:sz w:val="24"/>
          <w:szCs w:val="24"/>
        </w:rPr>
        <w:t>Projekto lyginamasis varinatas</w:t>
      </w:r>
    </w:p>
    <w:p w14:paraId="17F53FA5" w14:textId="4056FA60" w:rsidR="005766B9"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63D00A4B" w14:textId="77777777" w:rsidR="00DA06D9" w:rsidRPr="00FA5AE7" w:rsidRDefault="00DA06D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369759C9"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LIETUVOS RESPUBLIKOS SVEIKATOS APSAUGOS MINISTRAS</w:t>
      </w:r>
    </w:p>
    <w:p w14:paraId="675C3A60"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58386438" w14:textId="77777777" w:rsidR="005766B9" w:rsidRPr="00FA5AE7" w:rsidRDefault="005766B9" w:rsidP="005766B9">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FA5AE7">
        <w:rPr>
          <w:rFonts w:ascii="Times New Roman" w:eastAsia="Times New Roman" w:hAnsi="Times New Roman" w:cs="Times New Roman"/>
          <w:b/>
          <w:bCs/>
          <w:color w:val="000000" w:themeColor="text1"/>
          <w:sz w:val="24"/>
          <w:szCs w:val="24"/>
        </w:rPr>
        <w:t>ĮSAKYMAS</w:t>
      </w:r>
    </w:p>
    <w:p w14:paraId="06698F0A" w14:textId="77777777" w:rsidR="005766B9" w:rsidRPr="00FA5AE7" w:rsidRDefault="005766B9" w:rsidP="005766B9">
      <w:pPr>
        <w:spacing w:after="0" w:line="240" w:lineRule="auto"/>
        <w:jc w:val="center"/>
        <w:rPr>
          <w:rFonts w:ascii="Times New Roman" w:eastAsia="Calibri" w:hAnsi="Times New Roman" w:cs="Times New Roman"/>
          <w:b/>
          <w:color w:val="000000" w:themeColor="text1"/>
          <w:sz w:val="24"/>
          <w:szCs w:val="24"/>
        </w:rPr>
      </w:pPr>
      <w:r w:rsidRPr="00FA5AE7">
        <w:rPr>
          <w:rFonts w:ascii="Times New Roman" w:eastAsia="Calibri" w:hAnsi="Times New Roman" w:cs="Times New Roman"/>
          <w:b/>
          <w:bCs/>
          <w:color w:val="000000" w:themeColor="text1"/>
          <w:sz w:val="24"/>
          <w:szCs w:val="24"/>
        </w:rPr>
        <w:t xml:space="preserve">DĖL </w:t>
      </w:r>
      <w:r w:rsidRPr="00FA5AE7">
        <w:rPr>
          <w:rFonts w:ascii="Times New Roman" w:eastAsia="Calibri" w:hAnsi="Times New Roman" w:cs="Times New Roman"/>
          <w:b/>
          <w:color w:val="000000" w:themeColor="text1"/>
          <w:sz w:val="24"/>
          <w:szCs w:val="24"/>
        </w:rPr>
        <w:t xml:space="preserve">LIETUVOS RESPUBLIKOS SVEIKATOS APSAUGOS MINISTRO 2015 M. BIRŽELIO 22 D. ĮSAKYMO NR. V-783 „DĖL </w:t>
      </w:r>
      <w:r w:rsidRPr="00FA5AE7">
        <w:rPr>
          <w:rFonts w:ascii="Times New Roman" w:eastAsia="Calibri" w:hAnsi="Times New Roman" w:cs="Times New Roman"/>
          <w:b/>
          <w:color w:val="000000" w:themeColor="text1"/>
          <w:sz w:val="24"/>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1AA12C2E" w14:textId="77777777" w:rsidR="005766B9" w:rsidRPr="00FA5AE7" w:rsidRDefault="005766B9" w:rsidP="005766B9">
      <w:pPr>
        <w:spacing w:after="0" w:line="240" w:lineRule="auto"/>
        <w:jc w:val="center"/>
        <w:rPr>
          <w:rFonts w:ascii="Times New Roman" w:eastAsia="Times New Roman" w:hAnsi="Times New Roman" w:cs="Times New Roman"/>
          <w:b/>
          <w:color w:val="000000" w:themeColor="text1"/>
          <w:sz w:val="24"/>
          <w:szCs w:val="24"/>
        </w:rPr>
      </w:pPr>
    </w:p>
    <w:p w14:paraId="3428A75F" w14:textId="598D2DB4" w:rsidR="005766B9" w:rsidRPr="00FA5AE7" w:rsidRDefault="005766B9" w:rsidP="005766B9">
      <w:pPr>
        <w:spacing w:after="0" w:line="240" w:lineRule="auto"/>
        <w:jc w:val="center"/>
        <w:rPr>
          <w:rFonts w:ascii="Times New Roman" w:eastAsia="Times New Roman" w:hAnsi="Times New Roman" w:cs="Times New Roman"/>
          <w:color w:val="000000" w:themeColor="text1"/>
          <w:sz w:val="24"/>
          <w:szCs w:val="24"/>
        </w:rPr>
      </w:pPr>
      <w:r w:rsidRPr="00FA5AE7">
        <w:rPr>
          <w:rFonts w:ascii="Times New Roman" w:eastAsia="Times New Roman" w:hAnsi="Times New Roman" w:cs="Times New Roman"/>
          <w:color w:val="000000" w:themeColor="text1"/>
          <w:sz w:val="24"/>
          <w:szCs w:val="24"/>
        </w:rPr>
        <w:t>202</w:t>
      </w:r>
      <w:r w:rsidR="00195292">
        <w:rPr>
          <w:rFonts w:ascii="Times New Roman" w:eastAsia="Times New Roman" w:hAnsi="Times New Roman" w:cs="Times New Roman"/>
          <w:color w:val="000000" w:themeColor="text1"/>
          <w:sz w:val="24"/>
          <w:szCs w:val="24"/>
        </w:rPr>
        <w:t>1</w:t>
      </w:r>
      <w:r w:rsidRPr="00FA5AE7">
        <w:rPr>
          <w:rFonts w:ascii="Times New Roman" w:eastAsia="Times New Roman" w:hAnsi="Times New Roman" w:cs="Times New Roman"/>
          <w:color w:val="000000" w:themeColor="text1"/>
          <w:sz w:val="24"/>
          <w:szCs w:val="24"/>
        </w:rPr>
        <w:t xml:space="preserve"> m.</w:t>
      </w:r>
      <w:r w:rsidRPr="00FA5AE7">
        <w:rPr>
          <w:rFonts w:ascii="Times New Roman" w:eastAsia="Times New Roman" w:hAnsi="Times New Roman" w:cs="Times New Roman"/>
          <w:color w:val="000000" w:themeColor="text1"/>
          <w:spacing w:val="-9"/>
          <w:sz w:val="24"/>
          <w:szCs w:val="24"/>
        </w:rPr>
        <w:t xml:space="preserve">                              </w:t>
      </w:r>
      <w:r w:rsidRPr="00FA5AE7">
        <w:rPr>
          <w:rFonts w:ascii="Times New Roman" w:eastAsia="Times New Roman" w:hAnsi="Times New Roman" w:cs="Times New Roman"/>
          <w:color w:val="000000" w:themeColor="text1"/>
          <w:sz w:val="24"/>
          <w:szCs w:val="24"/>
        </w:rPr>
        <w:t xml:space="preserve">    d. Nr. V-</w:t>
      </w:r>
    </w:p>
    <w:p w14:paraId="16A9A601" w14:textId="77777777" w:rsidR="005766B9" w:rsidRPr="00FA5AE7" w:rsidRDefault="005766B9" w:rsidP="005766B9">
      <w:pPr>
        <w:spacing w:after="0" w:line="240" w:lineRule="auto"/>
        <w:jc w:val="center"/>
        <w:rPr>
          <w:rFonts w:ascii="Times New Roman" w:eastAsia="Times New Roman" w:hAnsi="Times New Roman" w:cs="Times New Roman"/>
          <w:color w:val="000000" w:themeColor="text1"/>
          <w:sz w:val="24"/>
          <w:szCs w:val="24"/>
        </w:rPr>
      </w:pPr>
      <w:r w:rsidRPr="00FA5AE7">
        <w:rPr>
          <w:rFonts w:ascii="Times New Roman" w:eastAsia="Times New Roman" w:hAnsi="Times New Roman" w:cs="Times New Roman"/>
          <w:color w:val="000000" w:themeColor="text1"/>
          <w:sz w:val="24"/>
          <w:szCs w:val="24"/>
        </w:rPr>
        <w:t>Vilnius</w:t>
      </w:r>
    </w:p>
    <w:p w14:paraId="05523A93" w14:textId="77777777" w:rsidR="005766B9" w:rsidRPr="00FA5AE7" w:rsidRDefault="005766B9" w:rsidP="005766B9">
      <w:pPr>
        <w:spacing w:after="0" w:line="240" w:lineRule="auto"/>
        <w:rPr>
          <w:rFonts w:ascii="Times New Roman" w:eastAsia="Times New Roman" w:hAnsi="Times New Roman" w:cs="Times New Roman"/>
          <w:color w:val="000000" w:themeColor="text1"/>
          <w:sz w:val="24"/>
          <w:szCs w:val="24"/>
        </w:rPr>
      </w:pPr>
    </w:p>
    <w:p w14:paraId="3E9DD472" w14:textId="77777777" w:rsidR="005766B9" w:rsidRPr="00FA5AE7" w:rsidRDefault="005766B9" w:rsidP="005766B9">
      <w:pPr>
        <w:spacing w:after="0"/>
        <w:ind w:firstLine="851"/>
        <w:jc w:val="both"/>
        <w:rPr>
          <w:rFonts w:ascii="Times New Roman" w:eastAsia="Calibri" w:hAnsi="Times New Roman" w:cs="Times New Roman"/>
          <w:color w:val="000000" w:themeColor="text1"/>
          <w:sz w:val="24"/>
          <w:szCs w:val="24"/>
        </w:rPr>
      </w:pPr>
      <w:r w:rsidRPr="00FA5AE7">
        <w:rPr>
          <w:rFonts w:ascii="Times New Roman" w:eastAsia="Calibri" w:hAnsi="Times New Roman" w:cs="Times New Roman"/>
          <w:color w:val="000000" w:themeColor="text1"/>
          <w:sz w:val="24"/>
          <w:szCs w:val="24"/>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FA5AE7">
        <w:rPr>
          <w:rFonts w:ascii="Times New Roman" w:eastAsia="Calibri" w:hAnsi="Times New Roman" w:cs="Times New Roman"/>
          <w:color w:val="000000" w:themeColor="text1"/>
          <w:sz w:val="24"/>
          <w:szCs w:val="24"/>
        </w:rPr>
        <w:t>įtraukties</w:t>
      </w:r>
      <w:proofErr w:type="spellEnd"/>
      <w:r w:rsidRPr="00FA5AE7">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p>
    <w:p w14:paraId="4A705203" w14:textId="77777777" w:rsidR="00436617" w:rsidRPr="00436617" w:rsidRDefault="005766B9" w:rsidP="005766B9">
      <w:pPr>
        <w:pStyle w:val="Sraopastraipa"/>
        <w:numPr>
          <w:ilvl w:val="0"/>
          <w:numId w:val="1"/>
        </w:numPr>
        <w:spacing w:after="0"/>
        <w:ind w:left="0" w:firstLine="851"/>
        <w:jc w:val="both"/>
        <w:rPr>
          <w:rFonts w:ascii="Times New Roman" w:eastAsia="Calibri" w:hAnsi="Times New Roman" w:cs="Times New Roman"/>
          <w:color w:val="000000"/>
          <w:sz w:val="24"/>
          <w:szCs w:val="24"/>
          <w:lang w:eastAsia="lt-LT"/>
        </w:rPr>
      </w:pPr>
      <w:r w:rsidRPr="00FA5AE7">
        <w:rPr>
          <w:rFonts w:ascii="Times New Roman" w:hAnsi="Times New Roman" w:cs="Times New Roman"/>
          <w:color w:val="000000"/>
          <w:sz w:val="24"/>
          <w:szCs w:val="24"/>
          <w:lang w:eastAsia="lt-LT"/>
        </w:rPr>
        <w:t xml:space="preserve">Pakeičiu nurodytu įsakymu patvirtintą 2014–2020 metų Europos Sąjungos fondų investicijų veiksmų programos, patvirtintos 2014 m. rugsėjo 8 d. Europos Komisijos sprendimu, 8 prioriteto „Socialinės </w:t>
      </w:r>
      <w:proofErr w:type="spellStart"/>
      <w:r w:rsidRPr="00FA5AE7">
        <w:rPr>
          <w:rFonts w:ascii="Times New Roman" w:hAnsi="Times New Roman" w:cs="Times New Roman"/>
          <w:color w:val="000000"/>
          <w:sz w:val="24"/>
          <w:szCs w:val="24"/>
          <w:lang w:eastAsia="lt-LT"/>
        </w:rPr>
        <w:t>įtraukties</w:t>
      </w:r>
      <w:proofErr w:type="spellEnd"/>
      <w:r w:rsidRPr="00FA5AE7">
        <w:rPr>
          <w:rFonts w:ascii="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r w:rsidR="00436617">
        <w:rPr>
          <w:rFonts w:ascii="Times New Roman" w:hAnsi="Times New Roman" w:cs="Times New Roman"/>
          <w:color w:val="000000"/>
          <w:sz w:val="24"/>
          <w:szCs w:val="24"/>
          <w:lang w:eastAsia="lt-LT"/>
        </w:rPr>
        <w:t xml:space="preserve"> ir ketvirto skirsnio </w:t>
      </w:r>
      <w:r w:rsidR="00436617">
        <w:rPr>
          <w:rFonts w:ascii="Times New Roman" w:hAnsi="Times New Roman" w:cs="Times New Roman"/>
          <w:color w:val="000000"/>
          <w:sz w:val="24"/>
          <w:szCs w:val="24"/>
          <w:lang w:val="en-US" w:eastAsia="lt-LT"/>
        </w:rPr>
        <w:t xml:space="preserve">6 </w:t>
      </w:r>
      <w:proofErr w:type="spellStart"/>
      <w:r w:rsidR="00436617">
        <w:rPr>
          <w:rFonts w:ascii="Times New Roman" w:hAnsi="Times New Roman" w:cs="Times New Roman"/>
          <w:color w:val="000000"/>
          <w:sz w:val="24"/>
          <w:szCs w:val="24"/>
          <w:lang w:val="en-US" w:eastAsia="lt-LT"/>
        </w:rPr>
        <w:t>punkt</w:t>
      </w:r>
      <w:proofErr w:type="spellEnd"/>
      <w:r w:rsidR="00436617">
        <w:rPr>
          <w:rFonts w:ascii="Times New Roman" w:hAnsi="Times New Roman" w:cs="Times New Roman"/>
          <w:color w:val="000000"/>
          <w:sz w:val="24"/>
          <w:szCs w:val="24"/>
          <w:lang w:eastAsia="lt-LT"/>
        </w:rPr>
        <w:t>ą išdėstau taip:</w:t>
      </w:r>
    </w:p>
    <w:p w14:paraId="03716841" w14:textId="77777777" w:rsidR="00195292" w:rsidRDefault="00195292" w:rsidP="00DC7C8A">
      <w:pPr>
        <w:spacing w:after="0" w:line="240" w:lineRule="auto"/>
        <w:ind w:firstLine="851"/>
        <w:jc w:val="both"/>
        <w:rPr>
          <w:rFonts w:ascii="Times New Roman" w:eastAsia="Times New Roman" w:hAnsi="Times New Roman" w:cs="Times New Roman"/>
          <w:sz w:val="24"/>
          <w:szCs w:val="24"/>
          <w:lang w:eastAsia="lt-LT"/>
        </w:rPr>
      </w:pPr>
    </w:p>
    <w:p w14:paraId="4AF2CE7F" w14:textId="77777777" w:rsidR="00195292" w:rsidRDefault="00195292" w:rsidP="00DC7C8A">
      <w:pPr>
        <w:spacing w:after="0" w:line="240" w:lineRule="auto"/>
        <w:ind w:firstLine="851"/>
        <w:jc w:val="both"/>
        <w:rPr>
          <w:rFonts w:ascii="Times New Roman" w:eastAsia="Times New Roman" w:hAnsi="Times New Roman" w:cs="Times New Roman"/>
          <w:sz w:val="24"/>
          <w:szCs w:val="24"/>
          <w:lang w:eastAsia="lt-LT"/>
        </w:rPr>
      </w:pPr>
    </w:p>
    <w:p w14:paraId="5C52C9FF" w14:textId="30B92CA7" w:rsidR="00436617" w:rsidRPr="00436617" w:rsidRDefault="00DC7C8A" w:rsidP="00DC7C8A">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w:t>
      </w:r>
      <w:r w:rsidR="00436617" w:rsidRPr="00436617">
        <w:rPr>
          <w:rFonts w:ascii="Times New Roman" w:eastAsia="Times New Roman" w:hAnsi="Times New Roman" w:cs="Times New Roman"/>
          <w:sz w:val="24"/>
          <w:szCs w:val="24"/>
          <w:lang w:eastAsia="lt-LT"/>
        </w:rPr>
        <w:t>6. Priemonės įgyvendinimo stebėsenos rodikliai</w:t>
      </w: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4320"/>
        <w:gridCol w:w="1843"/>
        <w:gridCol w:w="1843"/>
        <w:gridCol w:w="1843"/>
      </w:tblGrid>
      <w:tr w:rsidR="00436617" w:rsidRPr="00436617" w14:paraId="75C4AAD2" w14:textId="77777777" w:rsidTr="004C7788">
        <w:tc>
          <w:tcPr>
            <w:tcW w:w="1345" w:type="dxa"/>
            <w:tcMar>
              <w:top w:w="0" w:type="dxa"/>
              <w:left w:w="108" w:type="dxa"/>
              <w:bottom w:w="0" w:type="dxa"/>
              <w:right w:w="108" w:type="dxa"/>
            </w:tcMar>
            <w:hideMark/>
          </w:tcPr>
          <w:p w14:paraId="6F1C3146"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279B2B04" w14:textId="77777777" w:rsidR="00436617" w:rsidRPr="00436617" w:rsidRDefault="00436617" w:rsidP="00436617">
            <w:pPr>
              <w:spacing w:after="0" w:line="240" w:lineRule="auto"/>
              <w:ind w:firstLine="62"/>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Stebėsenos rodiklio kodas</w:t>
            </w:r>
          </w:p>
        </w:tc>
        <w:tc>
          <w:tcPr>
            <w:tcW w:w="4320" w:type="dxa"/>
            <w:tcMar>
              <w:top w:w="0" w:type="dxa"/>
              <w:left w:w="108" w:type="dxa"/>
              <w:bottom w:w="0" w:type="dxa"/>
              <w:right w:w="108" w:type="dxa"/>
            </w:tcMar>
            <w:hideMark/>
          </w:tcPr>
          <w:p w14:paraId="06CDF12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25AA1215"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Stebėsenos rodiklio pavadinimas</w:t>
            </w:r>
          </w:p>
        </w:tc>
        <w:tc>
          <w:tcPr>
            <w:tcW w:w="1843" w:type="dxa"/>
            <w:tcMar>
              <w:top w:w="0" w:type="dxa"/>
              <w:left w:w="108" w:type="dxa"/>
              <w:bottom w:w="0" w:type="dxa"/>
              <w:right w:w="108" w:type="dxa"/>
            </w:tcMar>
            <w:hideMark/>
          </w:tcPr>
          <w:p w14:paraId="08847517"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C8CB57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Matavimo vienetas</w:t>
            </w:r>
          </w:p>
        </w:tc>
        <w:tc>
          <w:tcPr>
            <w:tcW w:w="1843" w:type="dxa"/>
            <w:tcMar>
              <w:top w:w="0" w:type="dxa"/>
              <w:left w:w="108" w:type="dxa"/>
              <w:bottom w:w="0" w:type="dxa"/>
              <w:right w:w="108" w:type="dxa"/>
            </w:tcMar>
            <w:hideMark/>
          </w:tcPr>
          <w:p w14:paraId="1D1991D6"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78FC73CA"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Tarpinė reikšmė 2018 m. gruodžio 31 d.</w:t>
            </w:r>
          </w:p>
        </w:tc>
        <w:tc>
          <w:tcPr>
            <w:tcW w:w="1843" w:type="dxa"/>
            <w:tcMar>
              <w:top w:w="0" w:type="dxa"/>
              <w:left w:w="108" w:type="dxa"/>
              <w:bottom w:w="0" w:type="dxa"/>
              <w:right w:w="108" w:type="dxa"/>
            </w:tcMar>
            <w:hideMark/>
          </w:tcPr>
          <w:p w14:paraId="07F2FD4E"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FEC42A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Galutinė reikšmė 2023 m. gruodžio 31 d.</w:t>
            </w:r>
          </w:p>
        </w:tc>
      </w:tr>
      <w:tr w:rsidR="00436617" w:rsidRPr="00436617" w14:paraId="70ED4F06" w14:textId="77777777" w:rsidTr="004C7788">
        <w:tc>
          <w:tcPr>
            <w:tcW w:w="1345" w:type="dxa"/>
            <w:tcMar>
              <w:top w:w="0" w:type="dxa"/>
              <w:left w:w="108" w:type="dxa"/>
              <w:bottom w:w="0" w:type="dxa"/>
              <w:right w:w="108" w:type="dxa"/>
            </w:tcMar>
            <w:hideMark/>
          </w:tcPr>
          <w:p w14:paraId="14DA2B0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0B2A02A"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R.N.601</w:t>
            </w:r>
          </w:p>
        </w:tc>
        <w:tc>
          <w:tcPr>
            <w:tcW w:w="4320" w:type="dxa"/>
            <w:tcMar>
              <w:top w:w="0" w:type="dxa"/>
              <w:left w:w="108" w:type="dxa"/>
              <w:bottom w:w="0" w:type="dxa"/>
              <w:right w:w="108" w:type="dxa"/>
            </w:tcMar>
            <w:hideMark/>
          </w:tcPr>
          <w:p w14:paraId="20DAB02F" w14:textId="1C3ADAFE"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color w:val="000000"/>
                <w:sz w:val="24"/>
                <w:szCs w:val="24"/>
                <w:lang w:eastAsia="lt-LT"/>
              </w:rPr>
              <w:t>„Pacientai, kuriems pagerinta sveikatos priežiūros paslaugų kokybė ir prieinamumas“</w:t>
            </w:r>
          </w:p>
        </w:tc>
        <w:tc>
          <w:tcPr>
            <w:tcW w:w="1843" w:type="dxa"/>
            <w:tcMar>
              <w:top w:w="0" w:type="dxa"/>
              <w:left w:w="108" w:type="dxa"/>
              <w:bottom w:w="0" w:type="dxa"/>
              <w:right w:w="108" w:type="dxa"/>
            </w:tcMar>
            <w:hideMark/>
          </w:tcPr>
          <w:p w14:paraId="00A5C3C2"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7253A44B"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Skaičius</w:t>
            </w:r>
          </w:p>
        </w:tc>
        <w:tc>
          <w:tcPr>
            <w:tcW w:w="1843" w:type="dxa"/>
            <w:tcMar>
              <w:top w:w="0" w:type="dxa"/>
              <w:left w:w="108" w:type="dxa"/>
              <w:bottom w:w="0" w:type="dxa"/>
              <w:right w:w="108" w:type="dxa"/>
            </w:tcMar>
            <w:hideMark/>
          </w:tcPr>
          <w:p w14:paraId="0DD2C1A5"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695B8146"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2600</w:t>
            </w:r>
          </w:p>
        </w:tc>
        <w:tc>
          <w:tcPr>
            <w:tcW w:w="1843" w:type="dxa"/>
            <w:tcMar>
              <w:top w:w="0" w:type="dxa"/>
              <w:left w:w="108" w:type="dxa"/>
              <w:bottom w:w="0" w:type="dxa"/>
              <w:right w:w="108" w:type="dxa"/>
            </w:tcMar>
            <w:hideMark/>
          </w:tcPr>
          <w:p w14:paraId="767B4C51"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732BC339"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3200</w:t>
            </w:r>
          </w:p>
        </w:tc>
      </w:tr>
      <w:tr w:rsidR="00436617" w:rsidRPr="00436617" w14:paraId="64E5CE8E" w14:textId="77777777" w:rsidTr="004C7788">
        <w:tc>
          <w:tcPr>
            <w:tcW w:w="1345" w:type="dxa"/>
            <w:tcMar>
              <w:top w:w="0" w:type="dxa"/>
              <w:left w:w="108" w:type="dxa"/>
              <w:bottom w:w="0" w:type="dxa"/>
              <w:right w:w="108" w:type="dxa"/>
            </w:tcMar>
            <w:hideMark/>
          </w:tcPr>
          <w:p w14:paraId="5AFD99FB"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E09155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R.N.611 </w:t>
            </w:r>
          </w:p>
        </w:tc>
        <w:tc>
          <w:tcPr>
            <w:tcW w:w="4320" w:type="dxa"/>
            <w:tcMar>
              <w:top w:w="0" w:type="dxa"/>
              <w:left w:w="108" w:type="dxa"/>
              <w:bottom w:w="0" w:type="dxa"/>
              <w:right w:w="108" w:type="dxa"/>
            </w:tcMar>
            <w:hideMark/>
          </w:tcPr>
          <w:p w14:paraId="4D8383D1"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964B607"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„Mirtingumas nuo tuberkuliozės“</w:t>
            </w:r>
          </w:p>
        </w:tc>
        <w:tc>
          <w:tcPr>
            <w:tcW w:w="1843" w:type="dxa"/>
            <w:tcMar>
              <w:top w:w="0" w:type="dxa"/>
              <w:left w:w="108" w:type="dxa"/>
              <w:bottom w:w="0" w:type="dxa"/>
              <w:right w:w="108" w:type="dxa"/>
            </w:tcMar>
            <w:hideMark/>
          </w:tcPr>
          <w:p w14:paraId="37A800DC"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335DB5A"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Atvejų skaičius 100 000 gyv.</w:t>
            </w:r>
          </w:p>
        </w:tc>
        <w:tc>
          <w:tcPr>
            <w:tcW w:w="1843" w:type="dxa"/>
            <w:tcMar>
              <w:top w:w="0" w:type="dxa"/>
              <w:left w:w="108" w:type="dxa"/>
              <w:bottom w:w="0" w:type="dxa"/>
              <w:right w:w="108" w:type="dxa"/>
            </w:tcMar>
            <w:hideMark/>
          </w:tcPr>
          <w:p w14:paraId="042CE6F6"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9A527FC"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4</w:t>
            </w:r>
          </w:p>
        </w:tc>
        <w:tc>
          <w:tcPr>
            <w:tcW w:w="1843" w:type="dxa"/>
            <w:tcMar>
              <w:top w:w="0" w:type="dxa"/>
              <w:left w:w="108" w:type="dxa"/>
              <w:bottom w:w="0" w:type="dxa"/>
              <w:right w:w="108" w:type="dxa"/>
            </w:tcMar>
            <w:hideMark/>
          </w:tcPr>
          <w:p w14:paraId="5FFBC65C"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8F5B32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2</w:t>
            </w:r>
          </w:p>
        </w:tc>
      </w:tr>
      <w:tr w:rsidR="00436617" w:rsidRPr="00436617" w14:paraId="283D6CE9" w14:textId="77777777" w:rsidTr="004C7788">
        <w:tc>
          <w:tcPr>
            <w:tcW w:w="1345" w:type="dxa"/>
            <w:tcMar>
              <w:top w:w="0" w:type="dxa"/>
              <w:left w:w="108" w:type="dxa"/>
              <w:bottom w:w="0" w:type="dxa"/>
              <w:right w:w="108" w:type="dxa"/>
            </w:tcMar>
            <w:hideMark/>
          </w:tcPr>
          <w:p w14:paraId="5F32080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D6C059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R.N.612</w:t>
            </w:r>
          </w:p>
        </w:tc>
        <w:tc>
          <w:tcPr>
            <w:tcW w:w="4320" w:type="dxa"/>
            <w:tcMar>
              <w:top w:w="0" w:type="dxa"/>
              <w:left w:w="108" w:type="dxa"/>
              <w:bottom w:w="0" w:type="dxa"/>
              <w:right w:w="108" w:type="dxa"/>
            </w:tcMar>
            <w:hideMark/>
          </w:tcPr>
          <w:p w14:paraId="541E1E2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2278C5B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„Sergamumas tuberkulioze (nauji tuberkuliozės atvejai)“</w:t>
            </w:r>
          </w:p>
        </w:tc>
        <w:tc>
          <w:tcPr>
            <w:tcW w:w="1843" w:type="dxa"/>
            <w:tcMar>
              <w:top w:w="0" w:type="dxa"/>
              <w:left w:w="108" w:type="dxa"/>
              <w:bottom w:w="0" w:type="dxa"/>
              <w:right w:w="108" w:type="dxa"/>
            </w:tcMar>
            <w:hideMark/>
          </w:tcPr>
          <w:p w14:paraId="0E46ED9B"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2161625"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Atvejų skaičius 100 000 gyv.</w:t>
            </w:r>
          </w:p>
        </w:tc>
        <w:tc>
          <w:tcPr>
            <w:tcW w:w="1843" w:type="dxa"/>
            <w:tcMar>
              <w:top w:w="0" w:type="dxa"/>
              <w:left w:w="108" w:type="dxa"/>
              <w:bottom w:w="0" w:type="dxa"/>
              <w:right w:w="108" w:type="dxa"/>
            </w:tcMar>
            <w:hideMark/>
          </w:tcPr>
          <w:p w14:paraId="345C642E"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77C1146"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38 </w:t>
            </w:r>
          </w:p>
        </w:tc>
        <w:tc>
          <w:tcPr>
            <w:tcW w:w="1843" w:type="dxa"/>
            <w:tcMar>
              <w:top w:w="0" w:type="dxa"/>
              <w:left w:w="108" w:type="dxa"/>
              <w:bottom w:w="0" w:type="dxa"/>
              <w:right w:w="108" w:type="dxa"/>
            </w:tcMar>
            <w:hideMark/>
          </w:tcPr>
          <w:p w14:paraId="4DAF9F1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65772E7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15 </w:t>
            </w:r>
          </w:p>
        </w:tc>
      </w:tr>
      <w:tr w:rsidR="00436617" w:rsidRPr="00436617" w14:paraId="0BAAB12A" w14:textId="77777777" w:rsidTr="004C7788">
        <w:tc>
          <w:tcPr>
            <w:tcW w:w="1345" w:type="dxa"/>
            <w:tcMar>
              <w:top w:w="0" w:type="dxa"/>
              <w:left w:w="108" w:type="dxa"/>
              <w:bottom w:w="0" w:type="dxa"/>
              <w:right w:w="108" w:type="dxa"/>
            </w:tcMar>
            <w:hideMark/>
          </w:tcPr>
          <w:p w14:paraId="5787E189"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2E43C22"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R.N.613</w:t>
            </w:r>
          </w:p>
        </w:tc>
        <w:tc>
          <w:tcPr>
            <w:tcW w:w="4320" w:type="dxa"/>
            <w:tcMar>
              <w:top w:w="0" w:type="dxa"/>
              <w:left w:w="108" w:type="dxa"/>
              <w:bottom w:w="0" w:type="dxa"/>
              <w:right w:w="108" w:type="dxa"/>
            </w:tcMar>
            <w:hideMark/>
          </w:tcPr>
          <w:p w14:paraId="58E3A563"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304CBA4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„Vaikų sergamumas tuberkulioze (nauji tuberkuliozės atvejai)“</w:t>
            </w:r>
          </w:p>
        </w:tc>
        <w:tc>
          <w:tcPr>
            <w:tcW w:w="1843" w:type="dxa"/>
            <w:tcMar>
              <w:top w:w="0" w:type="dxa"/>
              <w:left w:w="108" w:type="dxa"/>
              <w:bottom w:w="0" w:type="dxa"/>
              <w:right w:w="108" w:type="dxa"/>
            </w:tcMar>
            <w:hideMark/>
          </w:tcPr>
          <w:p w14:paraId="0A93248A"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9ED877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Atvejų skaičius 100 000 gyv.</w:t>
            </w:r>
          </w:p>
        </w:tc>
        <w:tc>
          <w:tcPr>
            <w:tcW w:w="1843" w:type="dxa"/>
            <w:tcMar>
              <w:top w:w="0" w:type="dxa"/>
              <w:left w:w="108" w:type="dxa"/>
              <w:bottom w:w="0" w:type="dxa"/>
              <w:right w:w="108" w:type="dxa"/>
            </w:tcMar>
            <w:hideMark/>
          </w:tcPr>
          <w:p w14:paraId="3871D491"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1F4825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4</w:t>
            </w:r>
          </w:p>
        </w:tc>
        <w:tc>
          <w:tcPr>
            <w:tcW w:w="1843" w:type="dxa"/>
            <w:tcMar>
              <w:top w:w="0" w:type="dxa"/>
              <w:left w:w="108" w:type="dxa"/>
              <w:bottom w:w="0" w:type="dxa"/>
              <w:right w:w="108" w:type="dxa"/>
            </w:tcMar>
            <w:hideMark/>
          </w:tcPr>
          <w:p w14:paraId="1C38F7E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08B50E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2</w:t>
            </w:r>
          </w:p>
        </w:tc>
      </w:tr>
      <w:tr w:rsidR="00436617" w:rsidRPr="00436617" w14:paraId="0DD96B28" w14:textId="77777777" w:rsidTr="004C7788">
        <w:tc>
          <w:tcPr>
            <w:tcW w:w="1345" w:type="dxa"/>
            <w:tcMar>
              <w:top w:w="0" w:type="dxa"/>
              <w:left w:w="108" w:type="dxa"/>
              <w:bottom w:w="0" w:type="dxa"/>
              <w:right w:w="108" w:type="dxa"/>
            </w:tcMar>
            <w:hideMark/>
          </w:tcPr>
          <w:p w14:paraId="2E5B618A"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2B9B75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R.N.614</w:t>
            </w:r>
          </w:p>
        </w:tc>
        <w:tc>
          <w:tcPr>
            <w:tcW w:w="4320" w:type="dxa"/>
            <w:tcMar>
              <w:top w:w="0" w:type="dxa"/>
              <w:left w:w="108" w:type="dxa"/>
              <w:bottom w:w="0" w:type="dxa"/>
              <w:right w:w="108" w:type="dxa"/>
            </w:tcMar>
            <w:hideMark/>
          </w:tcPr>
          <w:p w14:paraId="29BB2DAB"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CD3C14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„Sergamumas plaučių tuberkulioze (nauji atvejai)“</w:t>
            </w:r>
          </w:p>
        </w:tc>
        <w:tc>
          <w:tcPr>
            <w:tcW w:w="1843" w:type="dxa"/>
            <w:tcMar>
              <w:top w:w="0" w:type="dxa"/>
              <w:left w:w="108" w:type="dxa"/>
              <w:bottom w:w="0" w:type="dxa"/>
              <w:right w:w="108" w:type="dxa"/>
            </w:tcMar>
            <w:hideMark/>
          </w:tcPr>
          <w:p w14:paraId="32AAAE90"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8F7A81F"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Atvejų skaičius 100 000 gyv.</w:t>
            </w:r>
          </w:p>
        </w:tc>
        <w:tc>
          <w:tcPr>
            <w:tcW w:w="1843" w:type="dxa"/>
            <w:tcMar>
              <w:top w:w="0" w:type="dxa"/>
              <w:left w:w="108" w:type="dxa"/>
              <w:bottom w:w="0" w:type="dxa"/>
              <w:right w:w="108" w:type="dxa"/>
            </w:tcMar>
            <w:hideMark/>
          </w:tcPr>
          <w:p w14:paraId="2FF996F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52226B4"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28</w:t>
            </w:r>
          </w:p>
        </w:tc>
        <w:tc>
          <w:tcPr>
            <w:tcW w:w="1843" w:type="dxa"/>
            <w:tcMar>
              <w:top w:w="0" w:type="dxa"/>
              <w:left w:w="108" w:type="dxa"/>
              <w:bottom w:w="0" w:type="dxa"/>
              <w:right w:w="108" w:type="dxa"/>
            </w:tcMar>
            <w:hideMark/>
          </w:tcPr>
          <w:p w14:paraId="5A33831B"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5399A19"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10</w:t>
            </w:r>
          </w:p>
        </w:tc>
      </w:tr>
      <w:tr w:rsidR="00436617" w:rsidRPr="00436617" w14:paraId="6E7882D3" w14:textId="77777777" w:rsidTr="004C7788">
        <w:tc>
          <w:tcPr>
            <w:tcW w:w="1345" w:type="dxa"/>
            <w:tcMar>
              <w:top w:w="0" w:type="dxa"/>
              <w:left w:w="108" w:type="dxa"/>
              <w:bottom w:w="0" w:type="dxa"/>
              <w:right w:w="108" w:type="dxa"/>
            </w:tcMar>
            <w:hideMark/>
          </w:tcPr>
          <w:p w14:paraId="68F0883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6EA77A8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R.N.615</w:t>
            </w:r>
          </w:p>
        </w:tc>
        <w:tc>
          <w:tcPr>
            <w:tcW w:w="4320" w:type="dxa"/>
            <w:tcMar>
              <w:top w:w="0" w:type="dxa"/>
              <w:left w:w="108" w:type="dxa"/>
              <w:bottom w:w="0" w:type="dxa"/>
              <w:right w:w="108" w:type="dxa"/>
            </w:tcMar>
            <w:hideMark/>
          </w:tcPr>
          <w:p w14:paraId="6EEEF8EA" w14:textId="18F01585"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color w:val="000000"/>
                <w:sz w:val="24"/>
                <w:szCs w:val="24"/>
                <w:lang w:eastAsia="lt-LT"/>
              </w:rPr>
              <w:t>„Dauginio atsparumo vaistams tuberkuliozės atvejai, nuo visų naujų tuberkuliozės atvejų“</w:t>
            </w:r>
          </w:p>
        </w:tc>
        <w:tc>
          <w:tcPr>
            <w:tcW w:w="1843" w:type="dxa"/>
            <w:tcMar>
              <w:top w:w="0" w:type="dxa"/>
              <w:left w:w="108" w:type="dxa"/>
              <w:bottom w:w="0" w:type="dxa"/>
              <w:right w:w="108" w:type="dxa"/>
            </w:tcMar>
            <w:hideMark/>
          </w:tcPr>
          <w:p w14:paraId="60D0112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292F17F4"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Procentai </w:t>
            </w:r>
          </w:p>
        </w:tc>
        <w:tc>
          <w:tcPr>
            <w:tcW w:w="1843" w:type="dxa"/>
            <w:tcMar>
              <w:top w:w="0" w:type="dxa"/>
              <w:left w:w="108" w:type="dxa"/>
              <w:bottom w:w="0" w:type="dxa"/>
              <w:right w:w="108" w:type="dxa"/>
            </w:tcMar>
            <w:hideMark/>
          </w:tcPr>
          <w:p w14:paraId="0EB6BF1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3CE7C5A"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 xml:space="preserve">17 </w:t>
            </w:r>
          </w:p>
        </w:tc>
        <w:tc>
          <w:tcPr>
            <w:tcW w:w="1843" w:type="dxa"/>
            <w:tcMar>
              <w:top w:w="0" w:type="dxa"/>
              <w:left w:w="108" w:type="dxa"/>
              <w:bottom w:w="0" w:type="dxa"/>
              <w:right w:w="108" w:type="dxa"/>
            </w:tcMar>
            <w:hideMark/>
          </w:tcPr>
          <w:p w14:paraId="738540B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A118DC4"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10</w:t>
            </w:r>
          </w:p>
        </w:tc>
      </w:tr>
      <w:tr w:rsidR="00436617" w:rsidRPr="00436617" w14:paraId="128AF01E" w14:textId="77777777" w:rsidTr="004C7788">
        <w:tc>
          <w:tcPr>
            <w:tcW w:w="1345" w:type="dxa"/>
            <w:tcMar>
              <w:top w:w="0" w:type="dxa"/>
              <w:left w:w="108" w:type="dxa"/>
              <w:bottom w:w="0" w:type="dxa"/>
              <w:right w:w="108" w:type="dxa"/>
            </w:tcMar>
            <w:hideMark/>
          </w:tcPr>
          <w:p w14:paraId="203FC4B4"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969DE2B"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R.N.617</w:t>
            </w:r>
          </w:p>
        </w:tc>
        <w:tc>
          <w:tcPr>
            <w:tcW w:w="4320" w:type="dxa"/>
            <w:tcMar>
              <w:top w:w="0" w:type="dxa"/>
              <w:left w:w="108" w:type="dxa"/>
              <w:bottom w:w="0" w:type="dxa"/>
              <w:right w:w="108" w:type="dxa"/>
            </w:tcMar>
            <w:hideMark/>
          </w:tcPr>
          <w:p w14:paraId="3EB51D1D" w14:textId="4D766196"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sz w:val="24"/>
                <w:szCs w:val="24"/>
                <w:lang w:eastAsia="lt-LT"/>
              </w:rPr>
              <w:t>„Naujai susirgusių plaučių tuberkulioze asmenų nutraukto gydymo atvejų dalis“</w:t>
            </w:r>
          </w:p>
        </w:tc>
        <w:tc>
          <w:tcPr>
            <w:tcW w:w="1843" w:type="dxa"/>
            <w:tcMar>
              <w:top w:w="0" w:type="dxa"/>
              <w:left w:w="108" w:type="dxa"/>
              <w:bottom w:w="0" w:type="dxa"/>
              <w:right w:w="108" w:type="dxa"/>
            </w:tcMar>
            <w:hideMark/>
          </w:tcPr>
          <w:p w14:paraId="452AC8B6"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562CC88"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 xml:space="preserve">Procentai </w:t>
            </w:r>
          </w:p>
        </w:tc>
        <w:tc>
          <w:tcPr>
            <w:tcW w:w="1843" w:type="dxa"/>
            <w:tcMar>
              <w:top w:w="0" w:type="dxa"/>
              <w:left w:w="108" w:type="dxa"/>
              <w:bottom w:w="0" w:type="dxa"/>
              <w:right w:w="108" w:type="dxa"/>
            </w:tcMar>
            <w:hideMark/>
          </w:tcPr>
          <w:p w14:paraId="0A4D2BCA"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D95A89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w:t>
            </w:r>
          </w:p>
        </w:tc>
        <w:tc>
          <w:tcPr>
            <w:tcW w:w="1843" w:type="dxa"/>
            <w:tcMar>
              <w:top w:w="0" w:type="dxa"/>
              <w:left w:w="108" w:type="dxa"/>
              <w:bottom w:w="0" w:type="dxa"/>
              <w:right w:w="108" w:type="dxa"/>
            </w:tcMar>
            <w:hideMark/>
          </w:tcPr>
          <w:p w14:paraId="0170A7C2"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9E0723A"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0,75</w:t>
            </w:r>
          </w:p>
        </w:tc>
      </w:tr>
      <w:tr w:rsidR="00436617" w:rsidRPr="00436617" w14:paraId="55769D41" w14:textId="77777777" w:rsidTr="004C7788">
        <w:tc>
          <w:tcPr>
            <w:tcW w:w="1345" w:type="dxa"/>
            <w:tcMar>
              <w:top w:w="0" w:type="dxa"/>
              <w:left w:w="108" w:type="dxa"/>
              <w:bottom w:w="0" w:type="dxa"/>
              <w:right w:w="108" w:type="dxa"/>
            </w:tcMar>
            <w:hideMark/>
          </w:tcPr>
          <w:p w14:paraId="772A740E"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32B3300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R.N.618</w:t>
            </w:r>
          </w:p>
        </w:tc>
        <w:tc>
          <w:tcPr>
            <w:tcW w:w="4320" w:type="dxa"/>
            <w:tcMar>
              <w:top w:w="0" w:type="dxa"/>
              <w:left w:w="108" w:type="dxa"/>
              <w:bottom w:w="0" w:type="dxa"/>
              <w:right w:w="108" w:type="dxa"/>
            </w:tcMar>
            <w:hideMark/>
          </w:tcPr>
          <w:p w14:paraId="665BD711" w14:textId="518AA244"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sz w:val="24"/>
                <w:szCs w:val="24"/>
                <w:lang w:eastAsia="lt-LT"/>
              </w:rPr>
              <w:t>„Sėkmingai išgydytų naujų bakteriologiškai patvirtintų plaučių tuberkuliozės atvejų dalis“</w:t>
            </w:r>
          </w:p>
        </w:tc>
        <w:tc>
          <w:tcPr>
            <w:tcW w:w="1843" w:type="dxa"/>
            <w:tcMar>
              <w:top w:w="0" w:type="dxa"/>
              <w:left w:w="108" w:type="dxa"/>
              <w:bottom w:w="0" w:type="dxa"/>
              <w:right w:w="108" w:type="dxa"/>
            </w:tcMar>
            <w:hideMark/>
          </w:tcPr>
          <w:p w14:paraId="6C569DE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1F5D634"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Procentai</w:t>
            </w:r>
          </w:p>
        </w:tc>
        <w:tc>
          <w:tcPr>
            <w:tcW w:w="1843" w:type="dxa"/>
            <w:tcMar>
              <w:top w:w="0" w:type="dxa"/>
              <w:left w:w="108" w:type="dxa"/>
              <w:bottom w:w="0" w:type="dxa"/>
              <w:right w:w="108" w:type="dxa"/>
            </w:tcMar>
            <w:hideMark/>
          </w:tcPr>
          <w:p w14:paraId="5F2776C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805CEF3"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83</w:t>
            </w:r>
          </w:p>
        </w:tc>
        <w:tc>
          <w:tcPr>
            <w:tcW w:w="1843" w:type="dxa"/>
            <w:tcMar>
              <w:top w:w="0" w:type="dxa"/>
              <w:left w:w="108" w:type="dxa"/>
              <w:bottom w:w="0" w:type="dxa"/>
              <w:right w:w="108" w:type="dxa"/>
            </w:tcMar>
            <w:hideMark/>
          </w:tcPr>
          <w:p w14:paraId="61E0FB65"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F193799"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85</w:t>
            </w:r>
          </w:p>
        </w:tc>
      </w:tr>
      <w:tr w:rsidR="00436617" w:rsidRPr="00436617" w14:paraId="1F2800C7" w14:textId="77777777" w:rsidTr="004C7788">
        <w:tc>
          <w:tcPr>
            <w:tcW w:w="1345" w:type="dxa"/>
            <w:tcMar>
              <w:top w:w="0" w:type="dxa"/>
              <w:left w:w="108" w:type="dxa"/>
              <w:bottom w:w="0" w:type="dxa"/>
              <w:right w:w="108" w:type="dxa"/>
            </w:tcMar>
            <w:hideMark/>
          </w:tcPr>
          <w:p w14:paraId="427BBB0D"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FC3C5E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P.S.372</w:t>
            </w:r>
          </w:p>
        </w:tc>
        <w:tc>
          <w:tcPr>
            <w:tcW w:w="4320" w:type="dxa"/>
            <w:tcMar>
              <w:top w:w="0" w:type="dxa"/>
              <w:left w:w="108" w:type="dxa"/>
              <w:bottom w:w="0" w:type="dxa"/>
              <w:right w:w="108" w:type="dxa"/>
            </w:tcMar>
            <w:hideMark/>
          </w:tcPr>
          <w:p w14:paraId="7A6135D8" w14:textId="4E7FDE53"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color w:val="000000"/>
                <w:sz w:val="24"/>
                <w:szCs w:val="24"/>
                <w:lang w:eastAsia="lt-LT"/>
              </w:rPr>
              <w:t xml:space="preserve">„Tikslinių grupių asmenys, kurie dalyvavo informavimo, švietimo ir mokymo renginiuose bei sveikatos raštingumą didinančiose veiklose“ </w:t>
            </w:r>
          </w:p>
        </w:tc>
        <w:tc>
          <w:tcPr>
            <w:tcW w:w="1843" w:type="dxa"/>
            <w:tcMar>
              <w:top w:w="0" w:type="dxa"/>
              <w:left w:w="108" w:type="dxa"/>
              <w:bottom w:w="0" w:type="dxa"/>
              <w:right w:w="108" w:type="dxa"/>
            </w:tcMar>
            <w:hideMark/>
          </w:tcPr>
          <w:p w14:paraId="7E5BA164"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C4B7856"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Skaičius</w:t>
            </w:r>
          </w:p>
        </w:tc>
        <w:tc>
          <w:tcPr>
            <w:tcW w:w="1843" w:type="dxa"/>
            <w:tcMar>
              <w:top w:w="0" w:type="dxa"/>
              <w:left w:w="108" w:type="dxa"/>
              <w:bottom w:w="0" w:type="dxa"/>
              <w:right w:w="108" w:type="dxa"/>
            </w:tcMar>
            <w:hideMark/>
          </w:tcPr>
          <w:p w14:paraId="16542A3A"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35E4A24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1250</w:t>
            </w:r>
          </w:p>
        </w:tc>
        <w:tc>
          <w:tcPr>
            <w:tcW w:w="1843" w:type="dxa"/>
            <w:tcMar>
              <w:top w:w="0" w:type="dxa"/>
              <w:left w:w="108" w:type="dxa"/>
              <w:bottom w:w="0" w:type="dxa"/>
              <w:right w:w="108" w:type="dxa"/>
            </w:tcMar>
            <w:hideMark/>
          </w:tcPr>
          <w:p w14:paraId="1F3241E8"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66171907"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2500</w:t>
            </w:r>
          </w:p>
        </w:tc>
      </w:tr>
      <w:tr w:rsidR="00436617" w:rsidRPr="00436617" w14:paraId="606DDCC2" w14:textId="77777777" w:rsidTr="004C7788">
        <w:tc>
          <w:tcPr>
            <w:tcW w:w="1345" w:type="dxa"/>
            <w:tcMar>
              <w:top w:w="0" w:type="dxa"/>
              <w:left w:w="108" w:type="dxa"/>
              <w:bottom w:w="0" w:type="dxa"/>
              <w:right w:w="108" w:type="dxa"/>
            </w:tcMar>
            <w:hideMark/>
          </w:tcPr>
          <w:p w14:paraId="5CB2A6F6"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CBC0EF2"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P.N.602</w:t>
            </w:r>
          </w:p>
        </w:tc>
        <w:tc>
          <w:tcPr>
            <w:tcW w:w="4320" w:type="dxa"/>
            <w:tcMar>
              <w:top w:w="0" w:type="dxa"/>
              <w:left w:w="108" w:type="dxa"/>
              <w:bottom w:w="0" w:type="dxa"/>
              <w:right w:w="108" w:type="dxa"/>
            </w:tcMar>
            <w:hideMark/>
          </w:tcPr>
          <w:p w14:paraId="50998A46" w14:textId="62BD88ED"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sz w:val="24"/>
                <w:szCs w:val="24"/>
                <w:lang w:eastAsia="lt-LT"/>
              </w:rPr>
              <w:t>„Mokymuose dalyvavę sveikatos priežiūros ir kiti specialistai“</w:t>
            </w:r>
          </w:p>
        </w:tc>
        <w:tc>
          <w:tcPr>
            <w:tcW w:w="1843" w:type="dxa"/>
            <w:tcMar>
              <w:top w:w="0" w:type="dxa"/>
              <w:left w:w="108" w:type="dxa"/>
              <w:bottom w:w="0" w:type="dxa"/>
              <w:right w:w="108" w:type="dxa"/>
            </w:tcMar>
            <w:hideMark/>
          </w:tcPr>
          <w:p w14:paraId="2D5A77F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02BA3FF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Skaičius</w:t>
            </w:r>
          </w:p>
        </w:tc>
        <w:tc>
          <w:tcPr>
            <w:tcW w:w="1843" w:type="dxa"/>
            <w:tcMar>
              <w:top w:w="0" w:type="dxa"/>
              <w:left w:w="108" w:type="dxa"/>
              <w:bottom w:w="0" w:type="dxa"/>
              <w:right w:w="108" w:type="dxa"/>
            </w:tcMar>
            <w:hideMark/>
          </w:tcPr>
          <w:p w14:paraId="3E33ACE9"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0</w:t>
            </w:r>
          </w:p>
        </w:tc>
        <w:tc>
          <w:tcPr>
            <w:tcW w:w="1843" w:type="dxa"/>
            <w:hideMark/>
          </w:tcPr>
          <w:p w14:paraId="5F7D2E8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3070</w:t>
            </w:r>
          </w:p>
        </w:tc>
      </w:tr>
      <w:tr w:rsidR="00436617" w:rsidRPr="00436617" w14:paraId="4CA295F7" w14:textId="77777777" w:rsidTr="004C7788">
        <w:tc>
          <w:tcPr>
            <w:tcW w:w="1345" w:type="dxa"/>
            <w:tcMar>
              <w:top w:w="0" w:type="dxa"/>
              <w:left w:w="108" w:type="dxa"/>
              <w:bottom w:w="0" w:type="dxa"/>
              <w:right w:w="108" w:type="dxa"/>
            </w:tcMar>
            <w:hideMark/>
          </w:tcPr>
          <w:p w14:paraId="71BAECC5"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lastRenderedPageBreak/>
              <w:t> </w:t>
            </w:r>
          </w:p>
          <w:p w14:paraId="2B1A29CB"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P.N. 605</w:t>
            </w:r>
          </w:p>
        </w:tc>
        <w:tc>
          <w:tcPr>
            <w:tcW w:w="4320" w:type="dxa"/>
            <w:tcMar>
              <w:top w:w="0" w:type="dxa"/>
              <w:left w:w="108" w:type="dxa"/>
              <w:bottom w:w="0" w:type="dxa"/>
              <w:right w:w="108" w:type="dxa"/>
            </w:tcMar>
            <w:hideMark/>
          </w:tcPr>
          <w:p w14:paraId="25C21DB3" w14:textId="77777777" w:rsidR="00436617" w:rsidRPr="00436617" w:rsidRDefault="00436617" w:rsidP="00436617">
            <w:pPr>
              <w:spacing w:after="0" w:line="256" w:lineRule="auto"/>
              <w:ind w:firstLine="62"/>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„Įsigytų asmeninės apsaugos priemonių vertė“</w:t>
            </w:r>
          </w:p>
        </w:tc>
        <w:tc>
          <w:tcPr>
            <w:tcW w:w="1843" w:type="dxa"/>
            <w:tcMar>
              <w:top w:w="0" w:type="dxa"/>
              <w:left w:w="108" w:type="dxa"/>
              <w:bottom w:w="0" w:type="dxa"/>
              <w:right w:w="108" w:type="dxa"/>
            </w:tcMar>
            <w:hideMark/>
          </w:tcPr>
          <w:p w14:paraId="22FA2469"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71539573"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Eurai</w:t>
            </w:r>
          </w:p>
        </w:tc>
        <w:tc>
          <w:tcPr>
            <w:tcW w:w="1843" w:type="dxa"/>
            <w:tcMar>
              <w:top w:w="0" w:type="dxa"/>
              <w:left w:w="108" w:type="dxa"/>
              <w:bottom w:w="0" w:type="dxa"/>
              <w:right w:w="108" w:type="dxa"/>
            </w:tcMar>
            <w:hideMark/>
          </w:tcPr>
          <w:p w14:paraId="2E995DA8"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0</w:t>
            </w:r>
          </w:p>
        </w:tc>
        <w:tc>
          <w:tcPr>
            <w:tcW w:w="1843" w:type="dxa"/>
            <w:hideMark/>
          </w:tcPr>
          <w:p w14:paraId="4CAAB9B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15 502 180</w:t>
            </w:r>
          </w:p>
        </w:tc>
      </w:tr>
      <w:tr w:rsidR="00436617" w:rsidRPr="00436617" w14:paraId="7DE939BA" w14:textId="77777777" w:rsidTr="004C7788">
        <w:tc>
          <w:tcPr>
            <w:tcW w:w="1345" w:type="dxa"/>
            <w:tcMar>
              <w:top w:w="0" w:type="dxa"/>
              <w:left w:w="108" w:type="dxa"/>
              <w:bottom w:w="0" w:type="dxa"/>
              <w:right w:w="108" w:type="dxa"/>
            </w:tcMar>
            <w:hideMark/>
          </w:tcPr>
          <w:p w14:paraId="145FF655"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4079C6F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P.N.606</w:t>
            </w:r>
          </w:p>
        </w:tc>
        <w:tc>
          <w:tcPr>
            <w:tcW w:w="4320" w:type="dxa"/>
            <w:tcMar>
              <w:top w:w="0" w:type="dxa"/>
              <w:left w:w="108" w:type="dxa"/>
              <w:bottom w:w="0" w:type="dxa"/>
              <w:right w:w="108" w:type="dxa"/>
            </w:tcMar>
            <w:hideMark/>
          </w:tcPr>
          <w:p w14:paraId="1AD1B789" w14:textId="77777777" w:rsidR="00436617" w:rsidRPr="00436617" w:rsidRDefault="00436617" w:rsidP="00436617">
            <w:pPr>
              <w:spacing w:after="0" w:line="256"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„Asmeninės apsaugos priemonės“</w:t>
            </w:r>
          </w:p>
        </w:tc>
        <w:tc>
          <w:tcPr>
            <w:tcW w:w="1843" w:type="dxa"/>
            <w:tcMar>
              <w:top w:w="0" w:type="dxa"/>
              <w:left w:w="108" w:type="dxa"/>
              <w:bottom w:w="0" w:type="dxa"/>
              <w:right w:w="108" w:type="dxa"/>
            </w:tcMar>
            <w:hideMark/>
          </w:tcPr>
          <w:p w14:paraId="7A7ACE25"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443574D"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Skaičius</w:t>
            </w:r>
          </w:p>
        </w:tc>
        <w:tc>
          <w:tcPr>
            <w:tcW w:w="1843" w:type="dxa"/>
            <w:tcMar>
              <w:top w:w="0" w:type="dxa"/>
              <w:left w:w="108" w:type="dxa"/>
              <w:bottom w:w="0" w:type="dxa"/>
              <w:right w:w="108" w:type="dxa"/>
            </w:tcMar>
            <w:hideMark/>
          </w:tcPr>
          <w:p w14:paraId="36791A89"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0</w:t>
            </w:r>
          </w:p>
        </w:tc>
        <w:tc>
          <w:tcPr>
            <w:tcW w:w="1843" w:type="dxa"/>
            <w:hideMark/>
          </w:tcPr>
          <w:p w14:paraId="5EFBD362" w14:textId="54FB4D7D"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 xml:space="preserve">29 777 </w:t>
            </w:r>
            <w:r w:rsidR="001719B5">
              <w:rPr>
                <w:rFonts w:ascii="Times New Roman" w:eastAsia="Times New Roman" w:hAnsi="Times New Roman" w:cs="Times New Roman"/>
                <w:sz w:val="24"/>
                <w:szCs w:val="24"/>
                <w:lang w:eastAsia="lt-LT"/>
              </w:rPr>
              <w:t xml:space="preserve"> </w:t>
            </w:r>
            <w:r w:rsidRPr="00436617">
              <w:rPr>
                <w:rFonts w:ascii="Times New Roman" w:eastAsia="Times New Roman" w:hAnsi="Times New Roman" w:cs="Times New Roman"/>
                <w:sz w:val="24"/>
                <w:szCs w:val="24"/>
                <w:lang w:eastAsia="lt-LT"/>
              </w:rPr>
              <w:t>000</w:t>
            </w:r>
          </w:p>
        </w:tc>
      </w:tr>
      <w:tr w:rsidR="00436617" w:rsidRPr="00436617" w14:paraId="200438CE" w14:textId="77777777" w:rsidTr="004C7788">
        <w:tc>
          <w:tcPr>
            <w:tcW w:w="1345" w:type="dxa"/>
            <w:tcMar>
              <w:top w:w="0" w:type="dxa"/>
              <w:left w:w="108" w:type="dxa"/>
              <w:bottom w:w="0" w:type="dxa"/>
              <w:right w:w="108" w:type="dxa"/>
            </w:tcMar>
            <w:hideMark/>
          </w:tcPr>
          <w:p w14:paraId="7758A0AF"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1E194D31"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P.N.607</w:t>
            </w:r>
          </w:p>
        </w:tc>
        <w:tc>
          <w:tcPr>
            <w:tcW w:w="4320" w:type="dxa"/>
            <w:tcMar>
              <w:top w:w="0" w:type="dxa"/>
              <w:left w:w="108" w:type="dxa"/>
              <w:bottom w:w="0" w:type="dxa"/>
              <w:right w:w="108" w:type="dxa"/>
            </w:tcMar>
            <w:hideMark/>
          </w:tcPr>
          <w:p w14:paraId="2F4A575C" w14:textId="1A80E4E8" w:rsidR="00436617" w:rsidRPr="00436617" w:rsidRDefault="00436617" w:rsidP="004C7788">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r w:rsidRPr="00436617">
              <w:rPr>
                <w:rFonts w:ascii="Times New Roman" w:eastAsia="Times New Roman" w:hAnsi="Times New Roman" w:cs="Times New Roman"/>
                <w:sz w:val="24"/>
                <w:szCs w:val="24"/>
                <w:lang w:eastAsia="lt-LT"/>
              </w:rPr>
              <w:t>„ESF veiksmų, skirtų COVID-19 pandemijos padariniams sumažinti, vertė“</w:t>
            </w:r>
          </w:p>
        </w:tc>
        <w:tc>
          <w:tcPr>
            <w:tcW w:w="1843" w:type="dxa"/>
            <w:tcMar>
              <w:top w:w="0" w:type="dxa"/>
              <w:left w:w="108" w:type="dxa"/>
              <w:bottom w:w="0" w:type="dxa"/>
              <w:right w:w="108" w:type="dxa"/>
            </w:tcMar>
            <w:hideMark/>
          </w:tcPr>
          <w:p w14:paraId="52063C50" w14:textId="77777777" w:rsidR="00436617" w:rsidRPr="00436617" w:rsidRDefault="00436617" w:rsidP="00436617">
            <w:pPr>
              <w:spacing w:after="0" w:line="240" w:lineRule="auto"/>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8"/>
                <w:szCs w:val="8"/>
                <w:lang w:eastAsia="lt-LT"/>
              </w:rPr>
              <w:t> </w:t>
            </w:r>
          </w:p>
          <w:p w14:paraId="5444A560"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Eurai</w:t>
            </w:r>
          </w:p>
        </w:tc>
        <w:tc>
          <w:tcPr>
            <w:tcW w:w="1843" w:type="dxa"/>
            <w:tcMar>
              <w:top w:w="0" w:type="dxa"/>
              <w:left w:w="108" w:type="dxa"/>
              <w:bottom w:w="0" w:type="dxa"/>
              <w:right w:w="108" w:type="dxa"/>
            </w:tcMar>
            <w:hideMark/>
          </w:tcPr>
          <w:p w14:paraId="68892552" w14:textId="77777777" w:rsidR="00436617" w:rsidRPr="00436617" w:rsidRDefault="00436617" w:rsidP="00436617">
            <w:pPr>
              <w:spacing w:after="0" w:line="240" w:lineRule="auto"/>
              <w:jc w:val="center"/>
              <w:rPr>
                <w:rFonts w:ascii="Times New Roman" w:eastAsia="Times New Roman" w:hAnsi="Times New Roman" w:cs="Times New Roman"/>
                <w:sz w:val="24"/>
                <w:szCs w:val="24"/>
                <w:lang w:eastAsia="lt-LT"/>
              </w:rPr>
            </w:pPr>
            <w:r w:rsidRPr="00436617">
              <w:rPr>
                <w:rFonts w:ascii="Times New Roman" w:eastAsia="Times New Roman" w:hAnsi="Times New Roman" w:cs="Times New Roman"/>
                <w:sz w:val="24"/>
                <w:szCs w:val="24"/>
                <w:lang w:eastAsia="lt-LT"/>
              </w:rPr>
              <w:t>0</w:t>
            </w:r>
            <w:bookmarkStart w:id="0" w:name="_GoBack"/>
            <w:bookmarkEnd w:id="0"/>
          </w:p>
        </w:tc>
        <w:tc>
          <w:tcPr>
            <w:tcW w:w="1843" w:type="dxa"/>
            <w:hideMark/>
          </w:tcPr>
          <w:p w14:paraId="134729A0" w14:textId="77777777" w:rsidR="00A4401B" w:rsidRDefault="00A4401B" w:rsidP="00A4401B">
            <w:pPr>
              <w:spacing w:after="0" w:line="240" w:lineRule="auto"/>
              <w:jc w:val="center"/>
              <w:rPr>
                <w:rFonts w:ascii="Times New Roman" w:eastAsia="Times New Roman" w:hAnsi="Times New Roman" w:cs="Times New Roman"/>
                <w:strike/>
                <w:sz w:val="24"/>
                <w:szCs w:val="24"/>
                <w:lang w:eastAsia="lt-LT"/>
              </w:rPr>
            </w:pPr>
            <w:r w:rsidRPr="00BE503E">
              <w:rPr>
                <w:rFonts w:ascii="Times New Roman" w:eastAsia="Times New Roman" w:hAnsi="Times New Roman" w:cs="Times New Roman"/>
                <w:strike/>
                <w:sz w:val="24"/>
                <w:szCs w:val="24"/>
                <w:lang w:eastAsia="lt-LT"/>
              </w:rPr>
              <w:t>19 122 055</w:t>
            </w:r>
          </w:p>
          <w:p w14:paraId="7069A5A2" w14:textId="11813706" w:rsidR="00BE503E" w:rsidRPr="00BE503E" w:rsidRDefault="00A4401B" w:rsidP="00A4401B">
            <w:pPr>
              <w:spacing w:after="0" w:line="240" w:lineRule="auto"/>
              <w:jc w:val="center"/>
              <w:rPr>
                <w:rFonts w:ascii="Times New Roman" w:eastAsia="Times New Roman" w:hAnsi="Times New Roman" w:cs="Times New Roman"/>
                <w:b/>
                <w:bCs/>
                <w:sz w:val="24"/>
                <w:szCs w:val="24"/>
                <w:lang w:eastAsia="lt-LT"/>
              </w:rPr>
            </w:pPr>
            <w:r w:rsidRPr="00A4401B">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 xml:space="preserve"> </w:t>
            </w:r>
            <w:r w:rsidRPr="00A4401B">
              <w:rPr>
                <w:rFonts w:ascii="Times New Roman" w:eastAsia="Times New Roman" w:hAnsi="Times New Roman" w:cs="Times New Roman"/>
                <w:b/>
                <w:bCs/>
                <w:sz w:val="24"/>
                <w:szCs w:val="24"/>
                <w:lang w:eastAsia="lt-LT"/>
              </w:rPr>
              <w:t>422</w:t>
            </w:r>
            <w:r>
              <w:rPr>
                <w:rFonts w:ascii="Times New Roman" w:eastAsia="Times New Roman" w:hAnsi="Times New Roman" w:cs="Times New Roman"/>
                <w:b/>
                <w:bCs/>
                <w:sz w:val="24"/>
                <w:szCs w:val="24"/>
                <w:lang w:eastAsia="lt-LT"/>
              </w:rPr>
              <w:t xml:space="preserve"> </w:t>
            </w:r>
            <w:r w:rsidRPr="00A4401B">
              <w:rPr>
                <w:rFonts w:ascii="Times New Roman" w:eastAsia="Times New Roman" w:hAnsi="Times New Roman" w:cs="Times New Roman"/>
                <w:b/>
                <w:bCs/>
                <w:sz w:val="24"/>
                <w:szCs w:val="24"/>
                <w:lang w:eastAsia="lt-LT"/>
              </w:rPr>
              <w:t>055</w:t>
            </w:r>
          </w:p>
        </w:tc>
      </w:tr>
      <w:tr w:rsidR="00436617" w:rsidRPr="00436617" w14:paraId="315A26B4" w14:textId="77777777" w:rsidTr="004C7788">
        <w:tc>
          <w:tcPr>
            <w:tcW w:w="1345" w:type="dxa"/>
            <w:tcMar>
              <w:top w:w="0" w:type="dxa"/>
              <w:left w:w="108" w:type="dxa"/>
              <w:bottom w:w="0" w:type="dxa"/>
              <w:right w:w="108" w:type="dxa"/>
            </w:tcMar>
          </w:tcPr>
          <w:p w14:paraId="70298BA4" w14:textId="5E9D5489" w:rsidR="00436617" w:rsidRPr="00EF29FE" w:rsidRDefault="00436617" w:rsidP="00436617">
            <w:pPr>
              <w:spacing w:after="0" w:line="240" w:lineRule="auto"/>
              <w:jc w:val="center"/>
              <w:rPr>
                <w:rFonts w:ascii="Times New Roman" w:eastAsia="Times New Roman" w:hAnsi="Times New Roman" w:cs="Times New Roman"/>
                <w:b/>
                <w:bCs/>
                <w:sz w:val="24"/>
                <w:szCs w:val="24"/>
                <w:lang w:val="en-US" w:eastAsia="lt-LT"/>
              </w:rPr>
            </w:pPr>
            <w:r w:rsidRPr="00EF29FE">
              <w:rPr>
                <w:rFonts w:ascii="Times New Roman" w:eastAsia="Times New Roman" w:hAnsi="Times New Roman" w:cs="Times New Roman"/>
                <w:b/>
                <w:bCs/>
                <w:sz w:val="24"/>
                <w:szCs w:val="24"/>
                <w:lang w:eastAsia="lt-LT"/>
              </w:rPr>
              <w:t>P.N.6</w:t>
            </w:r>
            <w:r w:rsidRPr="00EF29FE">
              <w:rPr>
                <w:rFonts w:ascii="Times New Roman" w:eastAsia="Times New Roman" w:hAnsi="Times New Roman" w:cs="Times New Roman"/>
                <w:b/>
                <w:bCs/>
                <w:sz w:val="24"/>
                <w:szCs w:val="24"/>
                <w:lang w:val="en-US" w:eastAsia="lt-LT"/>
              </w:rPr>
              <w:t>13</w:t>
            </w:r>
          </w:p>
        </w:tc>
        <w:tc>
          <w:tcPr>
            <w:tcW w:w="4320" w:type="dxa"/>
            <w:tcMar>
              <w:top w:w="0" w:type="dxa"/>
              <w:left w:w="108" w:type="dxa"/>
              <w:bottom w:w="0" w:type="dxa"/>
              <w:right w:w="108" w:type="dxa"/>
            </w:tcMar>
          </w:tcPr>
          <w:p w14:paraId="04DEFC9B" w14:textId="5E66218B" w:rsidR="00436617" w:rsidRPr="00EF29FE" w:rsidRDefault="00436617" w:rsidP="00436617">
            <w:pPr>
              <w:spacing w:after="0" w:line="240" w:lineRule="auto"/>
              <w:rPr>
                <w:rFonts w:ascii="Times New Roman" w:eastAsia="Times New Roman" w:hAnsi="Times New Roman" w:cs="Times New Roman"/>
                <w:b/>
                <w:bCs/>
                <w:sz w:val="24"/>
                <w:szCs w:val="24"/>
                <w:lang w:eastAsia="lt-LT"/>
              </w:rPr>
            </w:pPr>
            <w:r w:rsidRPr="00EF29FE">
              <w:rPr>
                <w:rFonts w:ascii="Times New Roman" w:hAnsi="Times New Roman" w:cs="Times New Roman"/>
                <w:b/>
                <w:bCs/>
                <w:sz w:val="24"/>
                <w:szCs w:val="24"/>
              </w:rPr>
              <w:t>„Įsigytos medicininės įrangos vertė“</w:t>
            </w:r>
          </w:p>
        </w:tc>
        <w:tc>
          <w:tcPr>
            <w:tcW w:w="1843" w:type="dxa"/>
            <w:tcMar>
              <w:top w:w="0" w:type="dxa"/>
              <w:left w:w="108" w:type="dxa"/>
              <w:bottom w:w="0" w:type="dxa"/>
              <w:right w:w="108" w:type="dxa"/>
            </w:tcMar>
          </w:tcPr>
          <w:p w14:paraId="798D7AAE" w14:textId="75CD0D22" w:rsidR="00436617" w:rsidRPr="00EF29FE" w:rsidRDefault="00436617" w:rsidP="00436617">
            <w:pPr>
              <w:spacing w:after="0" w:line="240" w:lineRule="auto"/>
              <w:jc w:val="center"/>
              <w:rPr>
                <w:rFonts w:ascii="Times New Roman" w:eastAsia="Times New Roman" w:hAnsi="Times New Roman" w:cs="Times New Roman"/>
                <w:b/>
                <w:bCs/>
                <w:sz w:val="24"/>
                <w:szCs w:val="24"/>
                <w:lang w:eastAsia="lt-LT"/>
              </w:rPr>
            </w:pPr>
            <w:r w:rsidRPr="00EF29FE">
              <w:rPr>
                <w:rFonts w:ascii="Times New Roman" w:eastAsia="Times New Roman" w:hAnsi="Times New Roman" w:cs="Times New Roman"/>
                <w:b/>
                <w:bCs/>
                <w:sz w:val="24"/>
                <w:szCs w:val="24"/>
                <w:lang w:eastAsia="lt-LT"/>
              </w:rPr>
              <w:t>Eurai</w:t>
            </w:r>
          </w:p>
        </w:tc>
        <w:tc>
          <w:tcPr>
            <w:tcW w:w="1843" w:type="dxa"/>
            <w:tcMar>
              <w:top w:w="0" w:type="dxa"/>
              <w:left w:w="108" w:type="dxa"/>
              <w:bottom w:w="0" w:type="dxa"/>
              <w:right w:w="108" w:type="dxa"/>
            </w:tcMar>
          </w:tcPr>
          <w:p w14:paraId="43A86424" w14:textId="567DC231" w:rsidR="00436617" w:rsidRPr="00EF29FE" w:rsidRDefault="00436617" w:rsidP="00436617">
            <w:pPr>
              <w:spacing w:after="0" w:line="240" w:lineRule="auto"/>
              <w:jc w:val="center"/>
              <w:rPr>
                <w:rFonts w:ascii="Times New Roman" w:eastAsia="Times New Roman" w:hAnsi="Times New Roman" w:cs="Times New Roman"/>
                <w:b/>
                <w:bCs/>
                <w:sz w:val="24"/>
                <w:szCs w:val="24"/>
                <w:lang w:eastAsia="lt-LT"/>
              </w:rPr>
            </w:pPr>
            <w:r w:rsidRPr="00EF29FE">
              <w:rPr>
                <w:rFonts w:ascii="Times New Roman" w:eastAsia="Times New Roman" w:hAnsi="Times New Roman" w:cs="Times New Roman"/>
                <w:b/>
                <w:bCs/>
                <w:sz w:val="24"/>
                <w:szCs w:val="24"/>
                <w:lang w:eastAsia="lt-LT"/>
              </w:rPr>
              <w:t>0</w:t>
            </w:r>
          </w:p>
        </w:tc>
        <w:tc>
          <w:tcPr>
            <w:tcW w:w="1843" w:type="dxa"/>
          </w:tcPr>
          <w:p w14:paraId="2E168788" w14:textId="27B1D9AB" w:rsidR="00436617" w:rsidRPr="00B33416" w:rsidRDefault="00B33416" w:rsidP="00436617">
            <w:pPr>
              <w:spacing w:after="0" w:line="240" w:lineRule="auto"/>
              <w:jc w:val="center"/>
              <w:rPr>
                <w:rFonts w:ascii="Times New Roman" w:eastAsia="Times New Roman" w:hAnsi="Times New Roman" w:cs="Times New Roman"/>
                <w:b/>
                <w:bCs/>
                <w:sz w:val="24"/>
                <w:szCs w:val="24"/>
                <w:highlight w:val="yellow"/>
                <w:lang w:eastAsia="lt-LT"/>
              </w:rPr>
            </w:pPr>
            <w:bookmarkStart w:id="1" w:name="_Hlk60991428"/>
            <w:r w:rsidRPr="00B33416">
              <w:rPr>
                <w:rFonts w:ascii="Times New Roman" w:eastAsia="Times New Roman" w:hAnsi="Times New Roman" w:cs="Times New Roman"/>
                <w:b/>
                <w:bCs/>
                <w:sz w:val="24"/>
                <w:szCs w:val="24"/>
                <w:lang w:eastAsia="lt-LT"/>
              </w:rPr>
              <w:t>1 300 000</w:t>
            </w:r>
            <w:bookmarkEnd w:id="1"/>
          </w:p>
        </w:tc>
      </w:tr>
    </w:tbl>
    <w:p w14:paraId="37211748" w14:textId="6717323A" w:rsidR="00D8253A" w:rsidRDefault="00436617" w:rsidP="00AE37F5">
      <w:pPr>
        <w:spacing w:after="0" w:line="240" w:lineRule="auto"/>
        <w:rPr>
          <w:rFonts w:ascii="Times New Roman" w:hAnsi="Times New Roman" w:cs="Times New Roman"/>
          <w:color w:val="000000"/>
          <w:sz w:val="24"/>
          <w:szCs w:val="24"/>
        </w:rPr>
      </w:pPr>
      <w:r w:rsidRPr="00436617">
        <w:rPr>
          <w:rFonts w:ascii="Times New Roman" w:eastAsia="Times New Roman" w:hAnsi="Times New Roman" w:cs="Times New Roman"/>
          <w:sz w:val="24"/>
          <w:szCs w:val="24"/>
          <w:lang w:eastAsia="lt-LT"/>
        </w:rPr>
        <w:t> </w:t>
      </w:r>
    </w:p>
    <w:p w14:paraId="6755F51B" w14:textId="7874E373" w:rsidR="005766B9" w:rsidRPr="00FA5AE7" w:rsidRDefault="005766B9" w:rsidP="00AE37F5">
      <w:pPr>
        <w:pStyle w:val="Sraopastraipa"/>
        <w:numPr>
          <w:ilvl w:val="0"/>
          <w:numId w:val="1"/>
        </w:numPr>
        <w:tabs>
          <w:tab w:val="left" w:pos="1134"/>
          <w:tab w:val="left" w:pos="11199"/>
        </w:tabs>
        <w:spacing w:after="0" w:line="240" w:lineRule="auto"/>
        <w:ind w:left="0" w:firstLine="851"/>
        <w:jc w:val="both"/>
        <w:rPr>
          <w:rFonts w:ascii="Times New Roman" w:hAnsi="Times New Roman" w:cs="Times New Roman"/>
          <w:color w:val="000000"/>
          <w:sz w:val="24"/>
          <w:szCs w:val="24"/>
        </w:rPr>
      </w:pPr>
      <w:r w:rsidRPr="00FA5AE7">
        <w:rPr>
          <w:rFonts w:ascii="Times New Roman" w:hAnsi="Times New Roman" w:cs="Times New Roman"/>
          <w:color w:val="000000"/>
          <w:sz w:val="24"/>
          <w:szCs w:val="24"/>
        </w:rPr>
        <w:t xml:space="preserve">Pakeičiu nurodytu įsakymu patvirtintą 2014–2020 metų Europos Sąjungos fondų investicijų veiksmų programos, patvirtintos 2014 m. rugsėjo 8 d. Europos Komisijos sprendimu, 8 prioriteto „Socialinės </w:t>
      </w:r>
      <w:proofErr w:type="spellStart"/>
      <w:r w:rsidRPr="00FA5AE7">
        <w:rPr>
          <w:rFonts w:ascii="Times New Roman" w:hAnsi="Times New Roman" w:cs="Times New Roman"/>
          <w:color w:val="000000"/>
          <w:sz w:val="24"/>
          <w:szCs w:val="24"/>
        </w:rPr>
        <w:t>įtraukties</w:t>
      </w:r>
      <w:proofErr w:type="spellEnd"/>
      <w:r w:rsidRPr="00FA5AE7">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p>
    <w:p w14:paraId="2AC13B3E" w14:textId="40493182" w:rsidR="000628B3" w:rsidRPr="009B1BF0" w:rsidRDefault="005766B9" w:rsidP="00157314">
      <w:pPr>
        <w:pStyle w:val="Sraopastraipa"/>
        <w:numPr>
          <w:ilvl w:val="1"/>
          <w:numId w:val="1"/>
        </w:numPr>
        <w:tabs>
          <w:tab w:val="left" w:pos="1276"/>
          <w:tab w:val="left" w:pos="1418"/>
          <w:tab w:val="left" w:pos="11199"/>
        </w:tabs>
        <w:spacing w:after="0" w:line="240" w:lineRule="auto"/>
        <w:ind w:left="0" w:firstLine="851"/>
        <w:jc w:val="both"/>
        <w:rPr>
          <w:rFonts w:ascii="Times New Roman" w:hAnsi="Times New Roman" w:cs="Times New Roman"/>
          <w:sz w:val="24"/>
          <w:szCs w:val="24"/>
        </w:rPr>
      </w:pPr>
      <w:r w:rsidRPr="009B1BF0">
        <w:rPr>
          <w:rFonts w:ascii="Times New Roman" w:hAnsi="Times New Roman" w:cs="Times New Roman"/>
          <w:color w:val="000000"/>
          <w:sz w:val="24"/>
          <w:szCs w:val="24"/>
        </w:rPr>
        <w:t xml:space="preserve">Pakeičiu rodiklio </w:t>
      </w:r>
      <w:r w:rsidR="00F5413D" w:rsidRPr="009B1BF0">
        <w:rPr>
          <w:rFonts w:ascii="Times New Roman" w:hAnsi="Times New Roman" w:cs="Times New Roman"/>
          <w:color w:val="000000"/>
          <w:sz w:val="24"/>
          <w:szCs w:val="24"/>
        </w:rPr>
        <w:t>P</w:t>
      </w:r>
      <w:r w:rsidRPr="009B1BF0">
        <w:rPr>
          <w:rFonts w:ascii="Times New Roman" w:hAnsi="Times New Roman" w:cs="Times New Roman"/>
          <w:color w:val="000000"/>
          <w:sz w:val="24"/>
          <w:szCs w:val="24"/>
        </w:rPr>
        <w:t>.N.60</w:t>
      </w:r>
      <w:r w:rsidR="00AE37F5" w:rsidRPr="009B1BF0">
        <w:rPr>
          <w:rFonts w:ascii="Times New Roman" w:hAnsi="Times New Roman" w:cs="Times New Roman"/>
          <w:color w:val="000000"/>
          <w:sz w:val="24"/>
          <w:szCs w:val="24"/>
        </w:rPr>
        <w:t>7</w:t>
      </w:r>
      <w:r w:rsidRPr="009B1BF0">
        <w:rPr>
          <w:rFonts w:ascii="Times New Roman" w:hAnsi="Times New Roman" w:cs="Times New Roman"/>
          <w:color w:val="000000"/>
          <w:sz w:val="24"/>
          <w:szCs w:val="24"/>
        </w:rPr>
        <w:t xml:space="preserve"> „</w:t>
      </w:r>
      <w:r w:rsidR="00AE37F5" w:rsidRPr="009B1BF0">
        <w:rPr>
          <w:rFonts w:ascii="Times New Roman" w:eastAsia="Times New Roman" w:hAnsi="Times New Roman" w:cs="Times New Roman"/>
          <w:sz w:val="24"/>
          <w:szCs w:val="24"/>
          <w:lang w:eastAsia="lt-LT"/>
        </w:rPr>
        <w:t>ESF veiksmų, skirtų COVID-19 pandemijos padariniams sumažinti, vertė</w:t>
      </w:r>
      <w:r w:rsidRPr="009B1BF0">
        <w:rPr>
          <w:rFonts w:ascii="Times New Roman" w:hAnsi="Times New Roman" w:cs="Times New Roman"/>
          <w:color w:val="000000"/>
          <w:sz w:val="24"/>
          <w:szCs w:val="24"/>
        </w:rPr>
        <w:t>“ eilutę ir ją išdėstau taip:</w:t>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3"/>
        <w:gridCol w:w="1407"/>
        <w:gridCol w:w="857"/>
        <w:gridCol w:w="2497"/>
        <w:gridCol w:w="1702"/>
        <w:gridCol w:w="1562"/>
        <w:gridCol w:w="1844"/>
        <w:gridCol w:w="1981"/>
        <w:gridCol w:w="1815"/>
      </w:tblGrid>
      <w:tr w:rsidR="009A75CD" w:rsidRPr="00AE37F5" w14:paraId="6AD8620F" w14:textId="77777777" w:rsidTr="009B1BF0">
        <w:trPr>
          <w:trHeight w:val="315"/>
        </w:trPr>
        <w:tc>
          <w:tcPr>
            <w:tcW w:w="310" w:type="pct"/>
          </w:tcPr>
          <w:p w14:paraId="520A81D4" w14:textId="77777777" w:rsidR="000628B3" w:rsidRPr="00AE37F5" w:rsidRDefault="000628B3" w:rsidP="00382DF7">
            <w:pPr>
              <w:overflowPunct w:val="0"/>
              <w:spacing w:after="0"/>
              <w:textAlignment w:val="baseline"/>
              <w:rPr>
                <w:rFonts w:ascii="Times New Roman" w:hAnsi="Times New Roman" w:cs="Times New Roman"/>
                <w:sz w:val="23"/>
                <w:szCs w:val="23"/>
                <w:lang w:eastAsia="lt-LT"/>
              </w:rPr>
            </w:pPr>
            <w:r w:rsidRPr="00AE37F5">
              <w:rPr>
                <w:rFonts w:ascii="Times New Roman" w:hAnsi="Times New Roman" w:cs="Times New Roman"/>
                <w:sz w:val="23"/>
                <w:szCs w:val="23"/>
                <w:lang w:eastAsia="lt-LT"/>
              </w:rPr>
              <w:t>„P.N.607</w:t>
            </w:r>
          </w:p>
        </w:tc>
        <w:tc>
          <w:tcPr>
            <w:tcW w:w="483" w:type="pct"/>
          </w:tcPr>
          <w:p w14:paraId="782386B7" w14:textId="3E3D9F30" w:rsidR="000628B3" w:rsidRPr="00AE37F5" w:rsidDel="00201001" w:rsidRDefault="005614BE" w:rsidP="00382DF7">
            <w:pPr>
              <w:rPr>
                <w:rFonts w:ascii="Times New Roman" w:hAnsi="Times New Roman" w:cs="Times New Roman"/>
                <w:strike/>
                <w:sz w:val="23"/>
                <w:szCs w:val="23"/>
              </w:rPr>
            </w:pPr>
            <w:r w:rsidRPr="00AE37F5">
              <w:rPr>
                <w:rFonts w:ascii="Times New Roman" w:hAnsi="Times New Roman" w:cs="Times New Roman"/>
                <w:sz w:val="24"/>
                <w:szCs w:val="24"/>
              </w:rPr>
              <w:t>„ESF veiksmų, skirtų COVID-19 pandemijos padariniams sumažinti,</w:t>
            </w:r>
            <w:r w:rsidRPr="00AE37F5" w:rsidDel="0027223E">
              <w:rPr>
                <w:rFonts w:ascii="Times New Roman" w:hAnsi="Times New Roman" w:cs="Times New Roman"/>
                <w:sz w:val="24"/>
                <w:szCs w:val="24"/>
              </w:rPr>
              <w:t xml:space="preserve"> </w:t>
            </w:r>
            <w:r w:rsidRPr="00AE37F5">
              <w:rPr>
                <w:rFonts w:ascii="Times New Roman" w:hAnsi="Times New Roman" w:cs="Times New Roman"/>
                <w:sz w:val="24"/>
                <w:szCs w:val="24"/>
              </w:rPr>
              <w:t>vertė“</w:t>
            </w:r>
          </w:p>
        </w:tc>
        <w:tc>
          <w:tcPr>
            <w:tcW w:w="294" w:type="pct"/>
          </w:tcPr>
          <w:p w14:paraId="05F41F7B" w14:textId="77777777" w:rsidR="000628B3" w:rsidRPr="00AE37F5" w:rsidRDefault="000628B3" w:rsidP="00382DF7">
            <w:pPr>
              <w:overflowPunct w:val="0"/>
              <w:spacing w:after="0"/>
              <w:textAlignment w:val="baseline"/>
              <w:rPr>
                <w:rFonts w:ascii="Times New Roman" w:hAnsi="Times New Roman" w:cs="Times New Roman"/>
                <w:sz w:val="23"/>
                <w:szCs w:val="23"/>
                <w:lang w:eastAsia="lt-LT"/>
              </w:rPr>
            </w:pPr>
            <w:r w:rsidRPr="00AE37F5">
              <w:rPr>
                <w:rFonts w:ascii="Times New Roman" w:eastAsia="Times New Roman" w:hAnsi="Times New Roman" w:cs="Times New Roman"/>
                <w:sz w:val="23"/>
                <w:szCs w:val="23"/>
                <w:lang w:eastAsia="lt-LT"/>
              </w:rPr>
              <w:t>Eurai</w:t>
            </w:r>
          </w:p>
        </w:tc>
        <w:tc>
          <w:tcPr>
            <w:tcW w:w="857" w:type="pct"/>
          </w:tcPr>
          <w:p w14:paraId="0168750C" w14:textId="77777777" w:rsidR="000628B3" w:rsidRPr="00AE37F5" w:rsidRDefault="000628B3" w:rsidP="00382DF7">
            <w:pPr>
              <w:spacing w:before="100" w:beforeAutospacing="1" w:after="100" w:afterAutospacing="1" w:line="240" w:lineRule="auto"/>
              <w:rPr>
                <w:rFonts w:ascii="Times New Roman" w:hAnsi="Times New Roman" w:cs="Times New Roman"/>
                <w:sz w:val="23"/>
                <w:szCs w:val="23"/>
              </w:rPr>
            </w:pPr>
            <w:r w:rsidRPr="00AE37F5">
              <w:rPr>
                <w:rFonts w:ascii="Times New Roman" w:hAnsi="Times New Roman" w:cs="Times New Roman"/>
                <w:sz w:val="23"/>
                <w:szCs w:val="23"/>
              </w:rPr>
              <w:t>Europos socialinio fondo lėšomis finansuojamos iniciatyvos / veiksmai – projekto veiklų įgyvendinimo metu suplanuotos priemonės skirtos COVID-19 pandemijos plitimo rizikai suvaldyti  ir neigiamam poveikiui minimizuoti.</w:t>
            </w:r>
          </w:p>
          <w:p w14:paraId="1F5F0C27" w14:textId="77777777" w:rsidR="000628B3" w:rsidRPr="00AE37F5" w:rsidRDefault="000628B3" w:rsidP="00382DF7">
            <w:pPr>
              <w:spacing w:before="100" w:beforeAutospacing="1" w:after="100" w:afterAutospacing="1" w:line="240" w:lineRule="auto"/>
              <w:rPr>
                <w:rFonts w:ascii="Times New Roman" w:hAnsi="Times New Roman" w:cs="Times New Roman"/>
                <w:sz w:val="23"/>
                <w:szCs w:val="23"/>
              </w:rPr>
            </w:pPr>
            <w:r w:rsidRPr="00AE37F5">
              <w:rPr>
                <w:rFonts w:ascii="Times New Roman" w:hAnsi="Times New Roman" w:cs="Times New Roman"/>
                <w:sz w:val="23"/>
                <w:szCs w:val="23"/>
              </w:rPr>
              <w:t>Rodiklis taikomas tik COVID-19 atvejui.</w:t>
            </w:r>
          </w:p>
          <w:p w14:paraId="1C61EFE4" w14:textId="77777777" w:rsidR="000628B3" w:rsidRPr="00AE37F5" w:rsidRDefault="000628B3" w:rsidP="00382DF7">
            <w:pPr>
              <w:spacing w:before="100" w:beforeAutospacing="1" w:after="100" w:afterAutospacing="1" w:line="240" w:lineRule="auto"/>
              <w:rPr>
                <w:rFonts w:ascii="Times New Roman" w:hAnsi="Times New Roman" w:cs="Times New Roman"/>
                <w:sz w:val="23"/>
                <w:szCs w:val="23"/>
              </w:rPr>
            </w:pPr>
            <w:r w:rsidRPr="00AE37F5">
              <w:rPr>
                <w:rFonts w:ascii="Times New Roman" w:hAnsi="Times New Roman" w:cs="Times New Roman"/>
                <w:sz w:val="23"/>
                <w:szCs w:val="23"/>
              </w:rPr>
              <w:t>Skaičiuojamos visos viešosios išlaidos.</w:t>
            </w:r>
          </w:p>
          <w:p w14:paraId="743CB3E3" w14:textId="77777777" w:rsidR="000628B3" w:rsidRPr="00AE37F5" w:rsidDel="002A5EDE" w:rsidRDefault="000628B3" w:rsidP="00382DF7">
            <w:pPr>
              <w:pStyle w:val="rtejustify"/>
              <w:spacing w:before="0" w:beforeAutospacing="0" w:after="0" w:afterAutospacing="0"/>
              <w:rPr>
                <w:strike/>
                <w:sz w:val="23"/>
                <w:szCs w:val="23"/>
              </w:rPr>
            </w:pPr>
          </w:p>
        </w:tc>
        <w:tc>
          <w:tcPr>
            <w:tcW w:w="584" w:type="pct"/>
          </w:tcPr>
          <w:p w14:paraId="57CDFA8B" w14:textId="77777777" w:rsidR="000628B3" w:rsidRPr="00AE37F5" w:rsidRDefault="000628B3" w:rsidP="00382DF7">
            <w:pPr>
              <w:pStyle w:val="normal-p"/>
              <w:spacing w:before="0" w:beforeAutospacing="0" w:after="0" w:afterAutospacing="0"/>
              <w:rPr>
                <w:strike/>
                <w:sz w:val="23"/>
                <w:szCs w:val="23"/>
              </w:rPr>
            </w:pPr>
            <w:r w:rsidRPr="00AE37F5">
              <w:rPr>
                <w:sz w:val="23"/>
                <w:szCs w:val="23"/>
              </w:rPr>
              <w:t>Automatiškai apskaičiuojamas</w:t>
            </w:r>
          </w:p>
        </w:tc>
        <w:tc>
          <w:tcPr>
            <w:tcW w:w="536" w:type="pct"/>
          </w:tcPr>
          <w:p w14:paraId="14119E76" w14:textId="6539BC9F" w:rsidR="000628B3" w:rsidRPr="00AE37F5" w:rsidRDefault="000628B3" w:rsidP="00382DF7">
            <w:pPr>
              <w:spacing w:before="100" w:beforeAutospacing="1" w:after="100" w:afterAutospacing="1" w:line="240" w:lineRule="auto"/>
              <w:rPr>
                <w:rFonts w:ascii="Times New Roman" w:hAnsi="Times New Roman" w:cs="Times New Roman"/>
                <w:strike/>
                <w:sz w:val="23"/>
                <w:szCs w:val="23"/>
                <w:lang w:eastAsia="lt-LT"/>
              </w:rPr>
            </w:pPr>
            <w:r w:rsidRPr="00AE37F5">
              <w:rPr>
                <w:rFonts w:ascii="Times New Roman" w:hAnsi="Times New Roman" w:cs="Times New Roman"/>
                <w:sz w:val="23"/>
                <w:szCs w:val="23"/>
              </w:rPr>
              <w:t>Sumuojamos Europos socialinio fondo lėšos patirtos asmen</w:t>
            </w:r>
            <w:r w:rsidR="009272C4" w:rsidRPr="00AE37F5">
              <w:rPr>
                <w:rFonts w:ascii="Times New Roman" w:hAnsi="Times New Roman" w:cs="Times New Roman"/>
                <w:sz w:val="23"/>
                <w:szCs w:val="23"/>
              </w:rPr>
              <w:t>inė</w:t>
            </w:r>
            <w:r w:rsidRPr="00AE37F5">
              <w:rPr>
                <w:rFonts w:ascii="Times New Roman" w:hAnsi="Times New Roman" w:cs="Times New Roman"/>
                <w:sz w:val="23"/>
                <w:szCs w:val="23"/>
              </w:rPr>
              <w:t xml:space="preserve">s apsaugos ir kitoms priemonėms </w:t>
            </w:r>
            <w:r w:rsidR="00AE37F5">
              <w:rPr>
                <w:rFonts w:ascii="Times New Roman" w:hAnsi="Times New Roman" w:cs="Times New Roman"/>
                <w:b/>
                <w:bCs/>
                <w:sz w:val="23"/>
                <w:szCs w:val="23"/>
              </w:rPr>
              <w:t xml:space="preserve">bei medicininei įrangai </w:t>
            </w:r>
            <w:r w:rsidRPr="00AE37F5">
              <w:rPr>
                <w:rFonts w:ascii="Times New Roman" w:hAnsi="Times New Roman" w:cs="Times New Roman"/>
                <w:sz w:val="23"/>
                <w:szCs w:val="23"/>
              </w:rPr>
              <w:t xml:space="preserve">įsigyti, taip pat lėšos skirtos sveikatos priežiūros ir kitų specialistų mokymo veikloms įgyvendinti“ </w:t>
            </w:r>
          </w:p>
        </w:tc>
        <w:tc>
          <w:tcPr>
            <w:tcW w:w="633" w:type="pct"/>
            <w:shd w:val="clear" w:color="auto" w:fill="FFFFFF"/>
          </w:tcPr>
          <w:p w14:paraId="02F8C0EE" w14:textId="77777777" w:rsidR="000628B3" w:rsidRPr="00AE37F5" w:rsidRDefault="000628B3" w:rsidP="00382DF7">
            <w:pPr>
              <w:spacing w:before="100" w:beforeAutospacing="1" w:after="100" w:afterAutospacing="1" w:line="240" w:lineRule="auto"/>
              <w:rPr>
                <w:rFonts w:ascii="Times New Roman" w:eastAsia="Times New Roman" w:hAnsi="Times New Roman" w:cs="Times New Roman"/>
                <w:sz w:val="23"/>
                <w:szCs w:val="23"/>
                <w:lang w:eastAsia="lt-LT"/>
              </w:rPr>
            </w:pPr>
            <w:r w:rsidRPr="00AE37F5">
              <w:rPr>
                <w:rFonts w:ascii="Times New Roman" w:eastAsia="Times New Roman" w:hAnsi="Times New Roman" w:cs="Times New Roman"/>
                <w:sz w:val="23"/>
                <w:szCs w:val="23"/>
                <w:lang w:eastAsia="lt-LT"/>
              </w:rPr>
              <w:t>Pirminiai šaltiniai:</w:t>
            </w:r>
          </w:p>
          <w:p w14:paraId="1C0E1672" w14:textId="1555B900" w:rsidR="000628B3" w:rsidRPr="00AE37F5" w:rsidRDefault="00A11A8E" w:rsidP="00382DF7">
            <w:pPr>
              <w:spacing w:before="100" w:beforeAutospacing="1" w:after="100" w:afterAutospacing="1" w:line="240" w:lineRule="auto"/>
              <w:rPr>
                <w:rFonts w:ascii="Times New Roman" w:eastAsia="Times New Roman" w:hAnsi="Times New Roman" w:cs="Times New Roman"/>
                <w:sz w:val="23"/>
                <w:szCs w:val="23"/>
                <w:lang w:eastAsia="lt-LT"/>
              </w:rPr>
            </w:pPr>
            <w:r w:rsidRPr="00AE37F5">
              <w:rPr>
                <w:rFonts w:ascii="Times New Roman" w:eastAsia="Times New Roman" w:hAnsi="Times New Roman" w:cs="Times New Roman"/>
                <w:sz w:val="23"/>
                <w:szCs w:val="23"/>
                <w:lang w:eastAsia="lt-LT"/>
              </w:rPr>
              <w:t>p</w:t>
            </w:r>
            <w:r w:rsidR="000628B3" w:rsidRPr="00AE37F5">
              <w:rPr>
                <w:rFonts w:ascii="Times New Roman" w:eastAsia="Times New Roman" w:hAnsi="Times New Roman" w:cs="Times New Roman"/>
                <w:sz w:val="23"/>
                <w:szCs w:val="23"/>
                <w:lang w:eastAsia="lt-LT"/>
              </w:rPr>
              <w:t>rekių / paslaugų perdavimo−priėmimo aktai (kopijos), sąskaitos faktūros (kopijos), kiti apmokėjimo įrodymo dokumentai,  kuriais patvirtinamas prekės / paslaugos įsigijimas ir jos vertė.</w:t>
            </w:r>
          </w:p>
          <w:p w14:paraId="637FDECB" w14:textId="77777777" w:rsidR="000628B3" w:rsidRPr="00AE37F5" w:rsidRDefault="000628B3" w:rsidP="009A75CD">
            <w:pPr>
              <w:spacing w:before="100" w:beforeAutospacing="1" w:after="100" w:afterAutospacing="1" w:line="240" w:lineRule="auto"/>
              <w:textAlignment w:val="baseline"/>
              <w:rPr>
                <w:rFonts w:ascii="Times New Roman" w:eastAsia="Times New Roman" w:hAnsi="Times New Roman" w:cs="Times New Roman"/>
                <w:sz w:val="23"/>
                <w:szCs w:val="23"/>
                <w:lang w:eastAsia="lt-LT"/>
              </w:rPr>
            </w:pPr>
            <w:r w:rsidRPr="00AE37F5">
              <w:rPr>
                <w:rFonts w:ascii="Times New Roman" w:eastAsia="Times New Roman" w:hAnsi="Times New Roman" w:cs="Times New Roman"/>
                <w:sz w:val="23"/>
                <w:szCs w:val="23"/>
                <w:lang w:eastAsia="lt-LT"/>
              </w:rPr>
              <w:t>Antriniai šaltiniai:</w:t>
            </w:r>
          </w:p>
          <w:p w14:paraId="104A7550" w14:textId="3F848534" w:rsidR="000628B3" w:rsidRPr="00AE37F5" w:rsidRDefault="000628B3" w:rsidP="009A75CD">
            <w:pPr>
              <w:spacing w:before="100" w:beforeAutospacing="1" w:after="100" w:afterAutospacing="1" w:line="240" w:lineRule="auto"/>
              <w:textAlignment w:val="baseline"/>
              <w:rPr>
                <w:rFonts w:ascii="Times New Roman" w:hAnsi="Times New Roman" w:cs="Times New Roman"/>
                <w:strike/>
                <w:sz w:val="23"/>
                <w:szCs w:val="23"/>
                <w:u w:val="single"/>
                <w:lang w:eastAsia="lt-LT"/>
              </w:rPr>
            </w:pPr>
            <w:r w:rsidRPr="00AE37F5">
              <w:rPr>
                <w:rFonts w:ascii="Times New Roman" w:eastAsia="Times New Roman" w:hAnsi="Times New Roman" w:cs="Times New Roman"/>
                <w:sz w:val="23"/>
                <w:szCs w:val="23"/>
                <w:lang w:eastAsia="lt-LT"/>
              </w:rPr>
              <w:lastRenderedPageBreak/>
              <w:t>mokėjimo prašymai.</w:t>
            </w:r>
          </w:p>
        </w:tc>
        <w:tc>
          <w:tcPr>
            <w:tcW w:w="680" w:type="pct"/>
            <w:shd w:val="clear" w:color="auto" w:fill="FFFFFF"/>
          </w:tcPr>
          <w:p w14:paraId="13832B2C" w14:textId="77777777" w:rsidR="000628B3" w:rsidRPr="00AE37F5" w:rsidRDefault="000628B3" w:rsidP="00382DF7">
            <w:pPr>
              <w:spacing w:before="100" w:beforeAutospacing="1" w:after="100" w:afterAutospacing="1" w:line="240" w:lineRule="auto"/>
              <w:rPr>
                <w:rFonts w:ascii="Times New Roman" w:hAnsi="Times New Roman" w:cs="Times New Roman"/>
                <w:sz w:val="23"/>
                <w:szCs w:val="23"/>
              </w:rPr>
            </w:pPr>
            <w:r w:rsidRPr="00AE37F5">
              <w:rPr>
                <w:rFonts w:ascii="Times New Roman" w:hAnsi="Times New Roman" w:cs="Times New Roman"/>
                <w:sz w:val="23"/>
                <w:szCs w:val="23"/>
              </w:rPr>
              <w:lastRenderedPageBreak/>
              <w:t>Stebėsenos rodiklis laikomas pasiektu, kai projekto veiklų įgyvendinimo metu kartu su mokėjimo prašymais projekto vykdytojas pateikia dokumentus, kuriais patvirtinama projekte numatytų ir įsigytų prekių / paslaugų vertė.</w:t>
            </w:r>
          </w:p>
          <w:p w14:paraId="2A1BF7CD" w14:textId="77777777" w:rsidR="000628B3" w:rsidRPr="00AE37F5" w:rsidRDefault="000628B3" w:rsidP="00382DF7">
            <w:pPr>
              <w:overflowPunct w:val="0"/>
              <w:spacing w:after="0"/>
              <w:textAlignment w:val="baseline"/>
              <w:rPr>
                <w:rFonts w:ascii="Times New Roman" w:hAnsi="Times New Roman" w:cs="Times New Roman"/>
                <w:strike/>
                <w:sz w:val="23"/>
                <w:szCs w:val="23"/>
                <w:lang w:eastAsia="lt-LT"/>
              </w:rPr>
            </w:pPr>
          </w:p>
        </w:tc>
        <w:tc>
          <w:tcPr>
            <w:tcW w:w="623" w:type="pct"/>
          </w:tcPr>
          <w:p w14:paraId="0DFE2B86" w14:textId="77777777" w:rsidR="000628B3" w:rsidRPr="00AE37F5" w:rsidRDefault="000628B3" w:rsidP="00382DF7">
            <w:pPr>
              <w:spacing w:after="0" w:line="240" w:lineRule="auto"/>
              <w:rPr>
                <w:rFonts w:ascii="Times New Roman" w:hAnsi="Times New Roman" w:cs="Times New Roman"/>
                <w:strike/>
                <w:sz w:val="23"/>
                <w:szCs w:val="23"/>
                <w:lang w:eastAsia="lt-LT"/>
              </w:rPr>
            </w:pPr>
            <w:r w:rsidRPr="00AE37F5">
              <w:rPr>
                <w:rFonts w:ascii="Times New Roman" w:eastAsia="Times New Roman" w:hAnsi="Times New Roman" w:cs="Times New Roman"/>
                <w:sz w:val="23"/>
                <w:szCs w:val="23"/>
                <w:lang w:eastAsia="lt-LT"/>
              </w:rPr>
              <w:t xml:space="preserve"> </w:t>
            </w:r>
            <w:r w:rsidRPr="00AE37F5">
              <w:rPr>
                <w:rFonts w:ascii="Times New Roman" w:hAnsi="Times New Roman" w:cs="Times New Roman"/>
                <w:sz w:val="23"/>
                <w:szCs w:val="23"/>
              </w:rPr>
              <w:t>Už stebėsenos rodiklio pasiekimą ir duomenų apie pasiektą rodiklio reikšmę teikimą antriniuose šaltiniuose yra atsakingas projekto vykdytojas.“</w:t>
            </w:r>
          </w:p>
        </w:tc>
      </w:tr>
    </w:tbl>
    <w:p w14:paraId="1CA5DA73" w14:textId="21BA3D0E" w:rsidR="00DA06D9" w:rsidRDefault="00DA06D9" w:rsidP="00DA06D9">
      <w:pPr>
        <w:pStyle w:val="Sraopastraipa"/>
        <w:tabs>
          <w:tab w:val="left" w:pos="1276"/>
          <w:tab w:val="left" w:pos="11199"/>
        </w:tabs>
        <w:spacing w:after="0" w:line="240" w:lineRule="auto"/>
        <w:ind w:left="851"/>
        <w:jc w:val="both"/>
        <w:rPr>
          <w:rFonts w:ascii="Times New Roman" w:hAnsi="Times New Roman" w:cs="Times New Roman"/>
          <w:sz w:val="24"/>
          <w:szCs w:val="24"/>
        </w:rPr>
      </w:pPr>
    </w:p>
    <w:p w14:paraId="5D9B41B8" w14:textId="74FAA532" w:rsidR="0047184E" w:rsidRPr="00554567" w:rsidRDefault="005766B9" w:rsidP="00554567">
      <w:pPr>
        <w:pStyle w:val="Sraopastraipa"/>
        <w:numPr>
          <w:ilvl w:val="1"/>
          <w:numId w:val="1"/>
        </w:numPr>
        <w:tabs>
          <w:tab w:val="left" w:pos="1276"/>
          <w:tab w:val="left" w:pos="11199"/>
        </w:tabs>
        <w:spacing w:after="0" w:line="240" w:lineRule="auto"/>
        <w:ind w:left="0" w:firstLine="851"/>
        <w:jc w:val="both"/>
        <w:rPr>
          <w:rFonts w:ascii="Times New Roman" w:hAnsi="Times New Roman" w:cs="Times New Roman"/>
          <w:sz w:val="24"/>
          <w:szCs w:val="24"/>
        </w:rPr>
      </w:pPr>
      <w:r w:rsidRPr="00554567">
        <w:rPr>
          <w:rFonts w:ascii="Times New Roman" w:hAnsi="Times New Roman" w:cs="Times New Roman"/>
          <w:color w:val="000000"/>
          <w:sz w:val="24"/>
          <w:szCs w:val="24"/>
        </w:rPr>
        <w:t>Papildau rodiklio P.N.6</w:t>
      </w:r>
      <w:r w:rsidR="009B1BF0" w:rsidRPr="00554567">
        <w:rPr>
          <w:rFonts w:ascii="Times New Roman" w:hAnsi="Times New Roman" w:cs="Times New Roman"/>
          <w:color w:val="000000"/>
          <w:sz w:val="24"/>
          <w:szCs w:val="24"/>
          <w:lang w:val="en-US"/>
        </w:rPr>
        <w:t>1</w:t>
      </w:r>
      <w:r w:rsidR="00554567" w:rsidRPr="00554567">
        <w:rPr>
          <w:rFonts w:ascii="Times New Roman" w:hAnsi="Times New Roman" w:cs="Times New Roman"/>
          <w:color w:val="000000"/>
          <w:sz w:val="24"/>
          <w:szCs w:val="24"/>
          <w:lang w:val="en-US"/>
        </w:rPr>
        <w:t>3</w:t>
      </w:r>
      <w:r w:rsidR="00554567">
        <w:rPr>
          <w:rFonts w:ascii="Times New Roman" w:hAnsi="Times New Roman" w:cs="Times New Roman"/>
          <w:color w:val="000000"/>
          <w:sz w:val="24"/>
          <w:szCs w:val="24"/>
          <w:lang w:val="en-US"/>
        </w:rPr>
        <w:t xml:space="preserve"> </w:t>
      </w:r>
      <w:r w:rsidRPr="00554567">
        <w:rPr>
          <w:rFonts w:ascii="Times New Roman" w:hAnsi="Times New Roman" w:cs="Times New Roman"/>
          <w:sz w:val="24"/>
          <w:szCs w:val="24"/>
        </w:rPr>
        <w:t>„Įsigytos medicininės įrangos</w:t>
      </w:r>
      <w:r w:rsidR="00CF6778" w:rsidRPr="00554567">
        <w:rPr>
          <w:rFonts w:ascii="Times New Roman" w:hAnsi="Times New Roman" w:cs="Times New Roman"/>
          <w:sz w:val="24"/>
          <w:szCs w:val="24"/>
        </w:rPr>
        <w:t xml:space="preserve"> </w:t>
      </w:r>
      <w:r w:rsidRPr="00554567">
        <w:rPr>
          <w:rFonts w:ascii="Times New Roman" w:hAnsi="Times New Roman" w:cs="Times New Roman"/>
          <w:sz w:val="24"/>
          <w:szCs w:val="24"/>
        </w:rPr>
        <w:t>vertė</w:t>
      </w:r>
      <w:r w:rsidRPr="00554567">
        <w:rPr>
          <w:rFonts w:ascii="Times New Roman" w:hAnsi="Times New Roman" w:cs="Times New Roman"/>
          <w:color w:val="000000"/>
          <w:sz w:val="24"/>
          <w:szCs w:val="24"/>
        </w:rPr>
        <w:t>“ eilute:</w:t>
      </w:r>
      <w:r w:rsidR="00554567" w:rsidRPr="00554567">
        <w:rPr>
          <w:rFonts w:ascii="Times New Roman" w:hAnsi="Times New Roman" w:cs="Times New Roman"/>
          <w:color w:val="000000"/>
          <w:sz w:val="24"/>
          <w:szCs w:val="24"/>
        </w:rPr>
        <w:t xml:space="preserve"> </w:t>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4"/>
        <w:gridCol w:w="1466"/>
        <w:gridCol w:w="912"/>
        <w:gridCol w:w="2412"/>
        <w:gridCol w:w="1658"/>
        <w:gridCol w:w="1579"/>
        <w:gridCol w:w="1847"/>
        <w:gridCol w:w="1914"/>
        <w:gridCol w:w="1876"/>
      </w:tblGrid>
      <w:tr w:rsidR="005766B9" w:rsidRPr="00FA5AE7" w14:paraId="7C515BCB" w14:textId="77777777" w:rsidTr="00195292">
        <w:trPr>
          <w:trHeight w:val="1975"/>
        </w:trPr>
        <w:tc>
          <w:tcPr>
            <w:tcW w:w="310" w:type="pct"/>
          </w:tcPr>
          <w:p w14:paraId="7ADF503F" w14:textId="61F008F5" w:rsidR="005766B9" w:rsidRPr="00FA5AE7" w:rsidRDefault="005766B9" w:rsidP="00855ED0">
            <w:pPr>
              <w:overflowPunct w:val="0"/>
              <w:spacing w:after="0"/>
              <w:textAlignment w:val="baseline"/>
              <w:rPr>
                <w:rFonts w:ascii="Times New Roman" w:hAnsi="Times New Roman" w:cs="Times New Roman"/>
                <w:b/>
                <w:bCs/>
                <w:sz w:val="23"/>
                <w:szCs w:val="23"/>
                <w:lang w:eastAsia="lt-LT"/>
              </w:rPr>
            </w:pPr>
            <w:r w:rsidRPr="00FA5AE7">
              <w:rPr>
                <w:rFonts w:ascii="Times New Roman" w:hAnsi="Times New Roman" w:cs="Times New Roman"/>
                <w:b/>
                <w:bCs/>
                <w:sz w:val="23"/>
                <w:szCs w:val="23"/>
                <w:lang w:eastAsia="lt-LT"/>
              </w:rPr>
              <w:t>„P.N.6</w:t>
            </w:r>
            <w:r w:rsidR="00554567">
              <w:rPr>
                <w:rFonts w:ascii="Times New Roman" w:hAnsi="Times New Roman" w:cs="Times New Roman"/>
                <w:b/>
                <w:bCs/>
                <w:sz w:val="23"/>
                <w:szCs w:val="23"/>
                <w:lang w:eastAsia="lt-LT"/>
              </w:rPr>
              <w:t>13</w:t>
            </w:r>
          </w:p>
        </w:tc>
        <w:tc>
          <w:tcPr>
            <w:tcW w:w="503" w:type="pct"/>
          </w:tcPr>
          <w:p w14:paraId="64167D31" w14:textId="6B230305" w:rsidR="005766B9" w:rsidRPr="00FA5AE7" w:rsidDel="00201001" w:rsidRDefault="00B2304B" w:rsidP="00855ED0">
            <w:pPr>
              <w:spacing w:after="0"/>
              <w:rPr>
                <w:rFonts w:ascii="Times New Roman" w:hAnsi="Times New Roman" w:cs="Times New Roman"/>
                <w:b/>
                <w:bCs/>
                <w:strike/>
                <w:sz w:val="23"/>
                <w:szCs w:val="23"/>
              </w:rPr>
            </w:pPr>
            <w:r w:rsidRPr="00FA5AE7">
              <w:rPr>
                <w:rFonts w:ascii="Times New Roman" w:hAnsi="Times New Roman" w:cs="Times New Roman"/>
                <w:b/>
                <w:bCs/>
                <w:sz w:val="23"/>
                <w:szCs w:val="23"/>
              </w:rPr>
              <w:t>„Įsigytos medicininės įrangos vertė“</w:t>
            </w:r>
          </w:p>
        </w:tc>
        <w:tc>
          <w:tcPr>
            <w:tcW w:w="313" w:type="pct"/>
          </w:tcPr>
          <w:p w14:paraId="4DCDA7D4" w14:textId="77777777" w:rsidR="005766B9" w:rsidRPr="00FA5AE7" w:rsidRDefault="005766B9" w:rsidP="00855ED0">
            <w:pPr>
              <w:overflowPunct w:val="0"/>
              <w:spacing w:after="0"/>
              <w:textAlignment w:val="baseline"/>
              <w:rPr>
                <w:rFonts w:ascii="Times New Roman" w:hAnsi="Times New Roman" w:cs="Times New Roman"/>
                <w:b/>
                <w:bCs/>
                <w:color w:val="000000"/>
                <w:sz w:val="23"/>
                <w:szCs w:val="23"/>
                <w:lang w:eastAsia="lt-LT"/>
              </w:rPr>
            </w:pPr>
            <w:r w:rsidRPr="00FA5AE7">
              <w:rPr>
                <w:rFonts w:ascii="Times New Roman" w:hAnsi="Times New Roman" w:cs="Times New Roman"/>
                <w:b/>
                <w:bCs/>
                <w:color w:val="000000"/>
                <w:sz w:val="23"/>
                <w:szCs w:val="23"/>
                <w:lang w:eastAsia="lt-LT"/>
              </w:rPr>
              <w:t>Eurai</w:t>
            </w:r>
          </w:p>
        </w:tc>
        <w:tc>
          <w:tcPr>
            <w:tcW w:w="828" w:type="pct"/>
          </w:tcPr>
          <w:p w14:paraId="65AC407D" w14:textId="77777777" w:rsidR="005766B9" w:rsidRPr="00FA5AE7" w:rsidRDefault="005766B9" w:rsidP="00855ED0">
            <w:pPr>
              <w:pStyle w:val="rtejustify"/>
              <w:spacing w:before="0" w:beforeAutospacing="0" w:after="0" w:afterAutospacing="0"/>
              <w:rPr>
                <w:b/>
                <w:bCs/>
                <w:sz w:val="23"/>
                <w:szCs w:val="23"/>
              </w:rPr>
            </w:pPr>
            <w:r w:rsidRPr="00FA5AE7">
              <w:rPr>
                <w:rStyle w:val="Grietas"/>
                <w:sz w:val="23"/>
                <w:szCs w:val="23"/>
              </w:rPr>
              <w:t xml:space="preserve">Medicininė įranga – tai prietaisas, priemonė, </w:t>
            </w:r>
            <w:r w:rsidRPr="00FA5AE7">
              <w:rPr>
                <w:b/>
                <w:bCs/>
                <w:sz w:val="23"/>
                <w:szCs w:val="23"/>
              </w:rPr>
              <w:t xml:space="preserve"> </w:t>
            </w:r>
            <w:r w:rsidRPr="00FA5AE7">
              <w:rPr>
                <w:rStyle w:val="Emfaz"/>
                <w:b/>
                <w:bCs/>
                <w:i w:val="0"/>
                <w:iCs w:val="0"/>
                <w:sz w:val="23"/>
                <w:szCs w:val="23"/>
              </w:rPr>
              <w:t>instrumentas, aparatas, įtaisas, programinė įranga, medžiaga ar kitas reikmuo</w:t>
            </w:r>
            <w:r w:rsidRPr="00FA5AE7">
              <w:rPr>
                <w:b/>
                <w:bCs/>
                <w:i/>
                <w:iCs/>
                <w:sz w:val="23"/>
                <w:szCs w:val="23"/>
              </w:rPr>
              <w:t>,</w:t>
            </w:r>
            <w:r w:rsidRPr="00FA5AE7">
              <w:rPr>
                <w:b/>
                <w:bCs/>
                <w:sz w:val="23"/>
                <w:szCs w:val="23"/>
              </w:rPr>
              <w:t xml:space="preserve"> naudojamas atskirai ar kartu su kitais reikmenimis, įskaitant programinę įrangą, jos gamintojo specialiai numatytą naudoti diagnostikos ir (arba) gydymo tikslais ir reikalingą tinkamai jam naudoti, ir kurį gamintojas numatė naudoti</w:t>
            </w:r>
          </w:p>
          <w:p w14:paraId="1C32D866" w14:textId="0F0E6065" w:rsidR="005766B9" w:rsidRPr="00FA5AE7" w:rsidRDefault="005766B9" w:rsidP="00855ED0">
            <w:pPr>
              <w:pStyle w:val="rtejustify"/>
              <w:spacing w:before="0" w:beforeAutospacing="0" w:after="0" w:afterAutospacing="0"/>
              <w:rPr>
                <w:b/>
                <w:bCs/>
                <w:sz w:val="23"/>
                <w:szCs w:val="23"/>
              </w:rPr>
            </w:pPr>
            <w:r w:rsidRPr="00FA5AE7">
              <w:rPr>
                <w:b/>
                <w:bCs/>
                <w:sz w:val="23"/>
                <w:szCs w:val="23"/>
              </w:rPr>
              <w:t>-       žmogaus ligai diagnozuoti,</w:t>
            </w:r>
            <w:r w:rsidR="00382DF7">
              <w:rPr>
                <w:b/>
                <w:bCs/>
                <w:sz w:val="23"/>
                <w:szCs w:val="23"/>
              </w:rPr>
              <w:t xml:space="preserve"> gydyti ar palengvinti,</w:t>
            </w:r>
            <w:r w:rsidRPr="00FA5AE7">
              <w:rPr>
                <w:b/>
                <w:bCs/>
                <w:sz w:val="23"/>
                <w:szCs w:val="23"/>
              </w:rPr>
              <w:t xml:space="preserve"> jos plitimui sustabdyti, eigai stebėti;</w:t>
            </w:r>
          </w:p>
          <w:p w14:paraId="65A4847D" w14:textId="08F222F8" w:rsidR="005766B9" w:rsidRPr="00FA5AE7" w:rsidRDefault="005766B9" w:rsidP="00855ED0">
            <w:pPr>
              <w:pStyle w:val="rtejustify"/>
              <w:spacing w:before="0" w:beforeAutospacing="0" w:after="0" w:afterAutospacing="0"/>
              <w:rPr>
                <w:b/>
                <w:bCs/>
                <w:sz w:val="23"/>
                <w:szCs w:val="23"/>
              </w:rPr>
            </w:pPr>
            <w:r w:rsidRPr="00FA5AE7">
              <w:rPr>
                <w:b/>
                <w:bCs/>
                <w:sz w:val="23"/>
                <w:szCs w:val="23"/>
              </w:rPr>
              <w:t>-       traumai ar negaliai diagnozuoti, gydyti, palengvinti ar kompensuoti</w:t>
            </w:r>
            <w:r w:rsidR="00382DF7">
              <w:rPr>
                <w:b/>
                <w:bCs/>
                <w:sz w:val="23"/>
                <w:szCs w:val="23"/>
              </w:rPr>
              <w:t xml:space="preserve"> bei stebėti;</w:t>
            </w:r>
          </w:p>
          <w:p w14:paraId="737B9B87" w14:textId="05E8A583" w:rsidR="005766B9" w:rsidRPr="00FA5AE7" w:rsidRDefault="005766B9" w:rsidP="00855ED0">
            <w:pPr>
              <w:pStyle w:val="rtejustify"/>
              <w:spacing w:before="0" w:beforeAutospacing="0" w:after="0" w:afterAutospacing="0"/>
              <w:rPr>
                <w:b/>
                <w:bCs/>
                <w:sz w:val="23"/>
                <w:szCs w:val="23"/>
              </w:rPr>
            </w:pPr>
            <w:r w:rsidRPr="00FA5AE7">
              <w:rPr>
                <w:b/>
                <w:bCs/>
                <w:sz w:val="23"/>
                <w:szCs w:val="23"/>
              </w:rPr>
              <w:t xml:space="preserve">-       anatomijai ar fiziologiniam procesui </w:t>
            </w:r>
            <w:r w:rsidRPr="00FA5AE7">
              <w:rPr>
                <w:b/>
                <w:bCs/>
                <w:sz w:val="23"/>
                <w:szCs w:val="23"/>
              </w:rPr>
              <w:lastRenderedPageBreak/>
              <w:t>tirti, pakeisti ar modifikuoti</w:t>
            </w:r>
          </w:p>
          <w:p w14:paraId="680A8E5D" w14:textId="77777777" w:rsidR="005766B9" w:rsidRPr="00FA5AE7" w:rsidRDefault="005766B9" w:rsidP="00855ED0">
            <w:pPr>
              <w:pStyle w:val="rtejustify"/>
              <w:spacing w:before="0" w:beforeAutospacing="0" w:after="0" w:afterAutospacing="0"/>
              <w:rPr>
                <w:b/>
                <w:bCs/>
                <w:sz w:val="23"/>
                <w:szCs w:val="23"/>
              </w:rPr>
            </w:pPr>
            <w:r w:rsidRPr="00FA5AE7">
              <w:rPr>
                <w:b/>
                <w:bCs/>
                <w:sz w:val="23"/>
                <w:szCs w:val="23"/>
              </w:rPr>
              <w:t xml:space="preserve">ir kurio naudojimas pagal paskirtį neveikia žmogaus organizmo iš vidaus ar išoriškai farmakologinėmis, imunologinėmis ar </w:t>
            </w:r>
            <w:proofErr w:type="spellStart"/>
            <w:r w:rsidRPr="00FA5AE7">
              <w:rPr>
                <w:b/>
                <w:bCs/>
                <w:sz w:val="23"/>
                <w:szCs w:val="23"/>
              </w:rPr>
              <w:t>metabolinėmis</w:t>
            </w:r>
            <w:proofErr w:type="spellEnd"/>
            <w:r w:rsidRPr="00FA5AE7">
              <w:rPr>
                <w:b/>
                <w:bCs/>
                <w:sz w:val="23"/>
                <w:szCs w:val="23"/>
              </w:rPr>
              <w:t xml:space="preserve"> priemonėmis, tačiau šios priemonės gali būti naudojamos kaip pagalbinės veikimo priemonės. </w:t>
            </w:r>
          </w:p>
          <w:p w14:paraId="78047D98" w14:textId="3B17CECB" w:rsidR="005766B9" w:rsidRPr="00FA5AE7" w:rsidRDefault="005766B9" w:rsidP="00855ED0">
            <w:pPr>
              <w:pStyle w:val="rtejustify"/>
              <w:spacing w:before="0" w:beforeAutospacing="0" w:after="0" w:afterAutospacing="0"/>
              <w:rPr>
                <w:b/>
                <w:bCs/>
                <w:sz w:val="23"/>
                <w:szCs w:val="23"/>
              </w:rPr>
            </w:pPr>
            <w:r w:rsidRPr="00FA5AE7">
              <w:rPr>
                <w:b/>
                <w:bCs/>
                <w:sz w:val="23"/>
                <w:szCs w:val="23"/>
              </w:rPr>
              <w:t>Rodiklis taikomas tik įrangos</w:t>
            </w:r>
            <w:r w:rsidR="009272C4">
              <w:rPr>
                <w:b/>
                <w:bCs/>
                <w:sz w:val="23"/>
                <w:szCs w:val="23"/>
              </w:rPr>
              <w:t>,</w:t>
            </w:r>
            <w:r w:rsidRPr="00FA5AE7">
              <w:rPr>
                <w:b/>
                <w:bCs/>
                <w:sz w:val="23"/>
                <w:szCs w:val="23"/>
              </w:rPr>
              <w:t xml:space="preserve"> įsigyjam</w:t>
            </w:r>
            <w:r w:rsidR="009272C4">
              <w:rPr>
                <w:b/>
                <w:bCs/>
                <w:sz w:val="23"/>
                <w:szCs w:val="23"/>
              </w:rPr>
              <w:t>os</w:t>
            </w:r>
            <w:r w:rsidRPr="00FA5AE7">
              <w:rPr>
                <w:b/>
                <w:bCs/>
                <w:sz w:val="23"/>
                <w:szCs w:val="23"/>
              </w:rPr>
              <w:t xml:space="preserve"> COVID-19 infekcijos diagnostikos ir gydymo reikmėms</w:t>
            </w:r>
            <w:r w:rsidR="009272C4">
              <w:rPr>
                <w:b/>
                <w:bCs/>
                <w:sz w:val="23"/>
                <w:szCs w:val="23"/>
              </w:rPr>
              <w:t>, vertei apskaičiuoti.</w:t>
            </w:r>
          </w:p>
          <w:p w14:paraId="4CB83FE9" w14:textId="32868465" w:rsidR="001C57D4" w:rsidRDefault="001C57D4" w:rsidP="001C57D4">
            <w:pPr>
              <w:pStyle w:val="rtejustify"/>
              <w:spacing w:before="0" w:beforeAutospacing="0" w:after="0" w:afterAutospacing="0"/>
              <w:rPr>
                <w:b/>
                <w:bCs/>
                <w:sz w:val="23"/>
                <w:szCs w:val="23"/>
              </w:rPr>
            </w:pPr>
          </w:p>
          <w:p w14:paraId="1121B5F6" w14:textId="77777777" w:rsidR="00554567" w:rsidRDefault="00554567" w:rsidP="00554567">
            <w:pPr>
              <w:pStyle w:val="rtejustify"/>
              <w:spacing w:before="0" w:beforeAutospacing="0" w:after="0" w:afterAutospacing="0"/>
              <w:rPr>
                <w:b/>
                <w:bCs/>
                <w:sz w:val="23"/>
                <w:szCs w:val="23"/>
              </w:rPr>
            </w:pPr>
            <w:r w:rsidRPr="00FA5AE7">
              <w:rPr>
                <w:b/>
                <w:bCs/>
                <w:sz w:val="23"/>
                <w:szCs w:val="23"/>
              </w:rPr>
              <w:t xml:space="preserve">Skaičiuojamos visos viešosios išlaidos. </w:t>
            </w:r>
          </w:p>
          <w:p w14:paraId="5B6AFD5B" w14:textId="77777777" w:rsidR="00554567" w:rsidRPr="00FA5AE7" w:rsidRDefault="00554567" w:rsidP="001C57D4">
            <w:pPr>
              <w:pStyle w:val="rtejustify"/>
              <w:spacing w:before="0" w:beforeAutospacing="0" w:after="0" w:afterAutospacing="0"/>
              <w:rPr>
                <w:b/>
                <w:bCs/>
                <w:sz w:val="23"/>
                <w:szCs w:val="23"/>
              </w:rPr>
            </w:pPr>
          </w:p>
          <w:p w14:paraId="4B8C2EA4" w14:textId="67D8CFA1" w:rsidR="00554567" w:rsidRPr="00FA5AE7" w:rsidRDefault="00554567" w:rsidP="00554567">
            <w:pPr>
              <w:pStyle w:val="normal-p"/>
              <w:tabs>
                <w:tab w:val="left" w:pos="312"/>
              </w:tabs>
              <w:spacing w:before="0" w:beforeAutospacing="0" w:after="0" w:afterAutospacing="0"/>
              <w:ind w:left="28" w:right="-19"/>
              <w:rPr>
                <w:b/>
                <w:bCs/>
                <w:sz w:val="23"/>
                <w:szCs w:val="23"/>
              </w:rPr>
            </w:pPr>
            <w:r w:rsidRPr="00FA5AE7">
              <w:rPr>
                <w:b/>
                <w:bCs/>
                <w:sz w:val="23"/>
                <w:szCs w:val="23"/>
              </w:rPr>
              <w:t xml:space="preserve">Rodiklis taikomas: </w:t>
            </w:r>
          </w:p>
          <w:p w14:paraId="5BE6322D" w14:textId="77777777" w:rsidR="00554567" w:rsidRPr="00FA5AE7" w:rsidRDefault="00554567" w:rsidP="00554567">
            <w:pPr>
              <w:pStyle w:val="normal-p"/>
              <w:numPr>
                <w:ilvl w:val="0"/>
                <w:numId w:val="26"/>
              </w:numPr>
              <w:tabs>
                <w:tab w:val="left" w:pos="312"/>
              </w:tabs>
              <w:spacing w:before="0" w:beforeAutospacing="0" w:after="0" w:afterAutospacing="0"/>
              <w:ind w:right="-19"/>
              <w:rPr>
                <w:b/>
                <w:bCs/>
                <w:strike/>
                <w:sz w:val="23"/>
                <w:szCs w:val="23"/>
              </w:rPr>
            </w:pPr>
            <w:r w:rsidRPr="00FA5AE7">
              <w:rPr>
                <w:b/>
                <w:bCs/>
                <w:sz w:val="23"/>
                <w:szCs w:val="23"/>
              </w:rPr>
              <w:t>tik COVID-19 atvejui įsigyjamai įrangai</w:t>
            </w:r>
            <w:r>
              <w:rPr>
                <w:b/>
                <w:bCs/>
                <w:sz w:val="23"/>
                <w:szCs w:val="23"/>
              </w:rPr>
              <w:t>;</w:t>
            </w:r>
          </w:p>
          <w:p w14:paraId="5D601ED8" w14:textId="19BE6C09" w:rsidR="00554567" w:rsidRDefault="00554567" w:rsidP="00554567">
            <w:pPr>
              <w:pStyle w:val="rtejustify"/>
              <w:numPr>
                <w:ilvl w:val="0"/>
                <w:numId w:val="26"/>
              </w:numPr>
              <w:spacing w:before="0" w:beforeAutospacing="0" w:after="0" w:afterAutospacing="0"/>
              <w:rPr>
                <w:b/>
                <w:bCs/>
                <w:sz w:val="23"/>
                <w:szCs w:val="23"/>
              </w:rPr>
            </w:pPr>
            <w:r w:rsidRPr="00FA5AE7">
              <w:rPr>
                <w:b/>
                <w:bCs/>
                <w:sz w:val="23"/>
                <w:szCs w:val="23"/>
              </w:rPr>
              <w:t xml:space="preserve">tik Europos </w:t>
            </w:r>
            <w:r>
              <w:rPr>
                <w:b/>
                <w:bCs/>
                <w:sz w:val="23"/>
                <w:szCs w:val="23"/>
              </w:rPr>
              <w:t xml:space="preserve">socialinio </w:t>
            </w:r>
            <w:r w:rsidRPr="00FA5AE7">
              <w:rPr>
                <w:b/>
                <w:bCs/>
                <w:sz w:val="23"/>
                <w:szCs w:val="23"/>
              </w:rPr>
              <w:t>fondo lėšomis finansuojamo</w:t>
            </w:r>
            <w:r>
              <w:rPr>
                <w:b/>
                <w:bCs/>
                <w:sz w:val="23"/>
                <w:szCs w:val="23"/>
              </w:rPr>
              <w:t>ms</w:t>
            </w:r>
            <w:r w:rsidRPr="00FA5AE7">
              <w:rPr>
                <w:b/>
                <w:bCs/>
                <w:sz w:val="23"/>
                <w:szCs w:val="23"/>
              </w:rPr>
              <w:t xml:space="preserve"> veiklo</w:t>
            </w:r>
            <w:r>
              <w:rPr>
                <w:b/>
                <w:bCs/>
                <w:sz w:val="23"/>
                <w:szCs w:val="23"/>
              </w:rPr>
              <w:t>ms</w:t>
            </w:r>
            <w:r w:rsidRPr="00FA5AE7">
              <w:rPr>
                <w:b/>
                <w:bCs/>
                <w:sz w:val="23"/>
                <w:szCs w:val="23"/>
              </w:rPr>
              <w:t>.</w:t>
            </w:r>
          </w:p>
          <w:p w14:paraId="6D405970" w14:textId="3FB6A837" w:rsidR="001C57D4" w:rsidRPr="00FA5AE7" w:rsidRDefault="001C57D4" w:rsidP="001C57D4">
            <w:pPr>
              <w:pStyle w:val="rtejustify"/>
              <w:spacing w:before="0" w:beforeAutospacing="0" w:after="0" w:afterAutospacing="0"/>
              <w:rPr>
                <w:b/>
                <w:bCs/>
                <w:sz w:val="23"/>
                <w:szCs w:val="23"/>
              </w:rPr>
            </w:pPr>
            <w:r w:rsidRPr="00FA5AE7">
              <w:rPr>
                <w:b/>
                <w:bCs/>
                <w:sz w:val="23"/>
                <w:szCs w:val="23"/>
              </w:rPr>
              <w:lastRenderedPageBreak/>
              <w:t>Išlaidos</w:t>
            </w:r>
            <w:r w:rsidR="009272C4">
              <w:rPr>
                <w:b/>
                <w:bCs/>
                <w:sz w:val="23"/>
                <w:szCs w:val="23"/>
              </w:rPr>
              <w:t>,</w:t>
            </w:r>
            <w:r w:rsidRPr="00FA5AE7">
              <w:rPr>
                <w:b/>
                <w:bCs/>
                <w:sz w:val="23"/>
                <w:szCs w:val="23"/>
              </w:rPr>
              <w:t xml:space="preserve"> patirtos įsigyjant medicininę įrangą</w:t>
            </w:r>
            <w:r w:rsidR="009272C4">
              <w:rPr>
                <w:b/>
                <w:bCs/>
                <w:sz w:val="23"/>
                <w:szCs w:val="23"/>
              </w:rPr>
              <w:t>,</w:t>
            </w:r>
            <w:r w:rsidRPr="00FA5AE7">
              <w:rPr>
                <w:b/>
                <w:bCs/>
                <w:sz w:val="23"/>
                <w:szCs w:val="23"/>
              </w:rPr>
              <w:t xml:space="preserve"> skirtą medicinos (klinikinei) laboratorijai</w:t>
            </w:r>
            <w:r w:rsidR="009272C4">
              <w:rPr>
                <w:b/>
                <w:bCs/>
                <w:sz w:val="23"/>
                <w:szCs w:val="23"/>
              </w:rPr>
              <w:t>,</w:t>
            </w:r>
            <w:r w:rsidRPr="00FA5AE7">
              <w:rPr>
                <w:b/>
                <w:bCs/>
                <w:sz w:val="23"/>
                <w:szCs w:val="23"/>
              </w:rPr>
              <w:t xml:space="preserve"> šiame rodiklyje neskaičiuojamos.</w:t>
            </w:r>
          </w:p>
          <w:p w14:paraId="5F531B11" w14:textId="21AB2F21" w:rsidR="005766B9" w:rsidRPr="00FA5AE7" w:rsidDel="002A5EDE" w:rsidRDefault="005766B9" w:rsidP="00554567">
            <w:pPr>
              <w:pStyle w:val="rtejustify"/>
              <w:spacing w:before="0" w:beforeAutospacing="0" w:after="0" w:afterAutospacing="0"/>
              <w:rPr>
                <w:b/>
                <w:bCs/>
                <w:strike/>
                <w:sz w:val="23"/>
                <w:szCs w:val="23"/>
              </w:rPr>
            </w:pPr>
          </w:p>
        </w:tc>
        <w:tc>
          <w:tcPr>
            <w:tcW w:w="569" w:type="pct"/>
          </w:tcPr>
          <w:p w14:paraId="124235EB" w14:textId="77777777" w:rsidR="005766B9" w:rsidRPr="00FA5AE7" w:rsidRDefault="005766B9" w:rsidP="00855ED0">
            <w:pPr>
              <w:pStyle w:val="normal-p"/>
              <w:spacing w:after="0" w:afterAutospacing="0"/>
              <w:rPr>
                <w:b/>
                <w:bCs/>
                <w:strike/>
                <w:sz w:val="23"/>
                <w:szCs w:val="23"/>
              </w:rPr>
            </w:pPr>
            <w:r w:rsidRPr="00FA5AE7">
              <w:rPr>
                <w:b/>
                <w:bCs/>
                <w:color w:val="000000"/>
                <w:sz w:val="23"/>
                <w:szCs w:val="23"/>
              </w:rPr>
              <w:lastRenderedPageBreak/>
              <w:t>Automatiškai apskaičiuojamas</w:t>
            </w:r>
          </w:p>
        </w:tc>
        <w:tc>
          <w:tcPr>
            <w:tcW w:w="542" w:type="pct"/>
          </w:tcPr>
          <w:p w14:paraId="111B2A94" w14:textId="027E6702"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 xml:space="preserve">Skaičiuojamas sumuojant visas lėšas, patirtas medicinos įrangai įsigyti </w:t>
            </w:r>
          </w:p>
          <w:p w14:paraId="74C3271C" w14:textId="77777777" w:rsidR="005766B9" w:rsidRPr="00FA5AE7" w:rsidRDefault="005766B9" w:rsidP="001C57D4">
            <w:pPr>
              <w:pStyle w:val="rtejustify"/>
              <w:spacing w:before="0" w:beforeAutospacing="0" w:after="0" w:afterAutospacing="0"/>
              <w:rPr>
                <w:b/>
                <w:bCs/>
                <w:strike/>
                <w:sz w:val="23"/>
                <w:szCs w:val="23"/>
              </w:rPr>
            </w:pPr>
          </w:p>
        </w:tc>
        <w:tc>
          <w:tcPr>
            <w:tcW w:w="634" w:type="pct"/>
            <w:shd w:val="clear" w:color="auto" w:fill="FFFFFF"/>
          </w:tcPr>
          <w:p w14:paraId="7DC04B63" w14:textId="77777777" w:rsidR="005766B9" w:rsidRPr="00FA5AE7" w:rsidRDefault="005766B9" w:rsidP="00855ED0">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Pirminiai šaltiniai:</w:t>
            </w:r>
          </w:p>
          <w:p w14:paraId="55191CA9" w14:textId="77777777" w:rsidR="005766B9" w:rsidRPr="00FA5AE7" w:rsidRDefault="005766B9" w:rsidP="00855ED0">
            <w:pPr>
              <w:spacing w:before="100" w:beforeAutospacing="1" w:after="100" w:afterAutospacing="1" w:line="240" w:lineRule="auto"/>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prekių perdavimo− priėmimo aktai (kopijos), sąskaitos faktūros (kopijos), kiti apmokėjimo įrodymo dokumentai,  kuriais patvirtinamas prekės įsigijimas ir jos vertė.</w:t>
            </w:r>
          </w:p>
          <w:p w14:paraId="3F6D5770" w14:textId="77777777" w:rsidR="005766B9" w:rsidRPr="00FA5AE7" w:rsidRDefault="005766B9" w:rsidP="00855ED0">
            <w:pPr>
              <w:spacing w:before="100" w:beforeAutospacing="1" w:after="100" w:afterAutospacing="1" w:line="240" w:lineRule="auto"/>
              <w:textAlignment w:val="baseline"/>
              <w:rPr>
                <w:rFonts w:ascii="Times New Roman" w:eastAsia="Times New Roman" w:hAnsi="Times New Roman" w:cs="Times New Roman"/>
                <w:b/>
                <w:bCs/>
                <w:sz w:val="23"/>
                <w:szCs w:val="23"/>
                <w:lang w:eastAsia="lt-LT"/>
              </w:rPr>
            </w:pPr>
            <w:r w:rsidRPr="00FA5AE7">
              <w:rPr>
                <w:rFonts w:ascii="Times New Roman" w:eastAsia="Times New Roman" w:hAnsi="Times New Roman" w:cs="Times New Roman"/>
                <w:b/>
                <w:bCs/>
                <w:sz w:val="23"/>
                <w:szCs w:val="23"/>
                <w:lang w:eastAsia="lt-LT"/>
              </w:rPr>
              <w:t>Antriniai šaltiniai:</w:t>
            </w:r>
          </w:p>
          <w:p w14:paraId="46BAFB9B" w14:textId="5BA95CBF" w:rsidR="005766B9" w:rsidRPr="00FA5AE7" w:rsidRDefault="005766B9" w:rsidP="009A75CD">
            <w:pPr>
              <w:spacing w:before="100" w:beforeAutospacing="1" w:after="100" w:afterAutospacing="1" w:line="240" w:lineRule="auto"/>
              <w:textAlignment w:val="baseline"/>
              <w:rPr>
                <w:rFonts w:ascii="Times New Roman" w:hAnsi="Times New Roman" w:cs="Times New Roman"/>
                <w:b/>
                <w:bCs/>
                <w:strike/>
                <w:color w:val="000000"/>
                <w:sz w:val="23"/>
                <w:szCs w:val="23"/>
                <w:u w:val="single"/>
                <w:lang w:eastAsia="lt-LT"/>
              </w:rPr>
            </w:pPr>
            <w:r w:rsidRPr="00FA5AE7">
              <w:rPr>
                <w:rFonts w:ascii="Times New Roman" w:eastAsia="Times New Roman" w:hAnsi="Times New Roman" w:cs="Times New Roman"/>
                <w:b/>
                <w:bCs/>
                <w:sz w:val="23"/>
                <w:szCs w:val="23"/>
                <w:lang w:eastAsia="lt-LT"/>
              </w:rPr>
              <w:t xml:space="preserve">mokėjimo prašymai. </w:t>
            </w:r>
          </w:p>
        </w:tc>
        <w:tc>
          <w:tcPr>
            <w:tcW w:w="657" w:type="pct"/>
            <w:shd w:val="clear" w:color="auto" w:fill="FFFFFF"/>
          </w:tcPr>
          <w:p w14:paraId="0E5354E9" w14:textId="6161282C"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 xml:space="preserve">Stebėsenos rodiklis laikomas pasiektu, kai projekto veiklų įgyvendinimo metu kartu su mokėjimo prašymais projekto vykdytojas pateikia dokumentus, kuriais patvirtinama projekte numatytų ir įsigytų </w:t>
            </w:r>
            <w:r w:rsidRPr="00483E15">
              <w:rPr>
                <w:rFonts w:ascii="Times New Roman" w:hAnsi="Times New Roman" w:cs="Times New Roman"/>
                <w:b/>
                <w:bCs/>
                <w:sz w:val="23"/>
                <w:szCs w:val="23"/>
              </w:rPr>
              <w:t>medicinos</w:t>
            </w:r>
            <w:r w:rsidR="00483E15" w:rsidRPr="00483E15">
              <w:rPr>
                <w:rFonts w:ascii="Times New Roman" w:hAnsi="Times New Roman" w:cs="Times New Roman"/>
                <w:b/>
                <w:bCs/>
                <w:sz w:val="23"/>
                <w:szCs w:val="23"/>
              </w:rPr>
              <w:t xml:space="preserve"> </w:t>
            </w:r>
            <w:r w:rsidR="00483E15" w:rsidRPr="00483E15">
              <w:rPr>
                <w:rFonts w:ascii="Times New Roman" w:hAnsi="Times New Roman" w:cs="Times New Roman"/>
                <w:b/>
                <w:bCs/>
                <w:sz w:val="20"/>
                <w:szCs w:val="20"/>
              </w:rPr>
              <w:t xml:space="preserve"> </w:t>
            </w:r>
            <w:r w:rsidR="00483E15" w:rsidRPr="00483E15">
              <w:rPr>
                <w:rFonts w:ascii="Times New Roman" w:hAnsi="Times New Roman" w:cs="Times New Roman"/>
                <w:b/>
                <w:bCs/>
                <w:sz w:val="23"/>
                <w:szCs w:val="23"/>
              </w:rPr>
              <w:t>priemonių (prietaisų) vertė</w:t>
            </w:r>
            <w:r w:rsidR="00E43A36">
              <w:rPr>
                <w:rFonts w:ascii="Times New Roman" w:hAnsi="Times New Roman" w:cs="Times New Roman"/>
                <w:b/>
                <w:bCs/>
                <w:sz w:val="23"/>
                <w:szCs w:val="23"/>
              </w:rPr>
              <w:t>.</w:t>
            </w:r>
          </w:p>
        </w:tc>
        <w:tc>
          <w:tcPr>
            <w:tcW w:w="645" w:type="pct"/>
          </w:tcPr>
          <w:p w14:paraId="2DED1BD4" w14:textId="77777777" w:rsidR="005766B9" w:rsidRPr="00FA5AE7" w:rsidRDefault="005766B9" w:rsidP="00855ED0">
            <w:pPr>
              <w:overflowPunct w:val="0"/>
              <w:spacing w:after="0"/>
              <w:textAlignment w:val="baseline"/>
              <w:rPr>
                <w:rFonts w:ascii="Times New Roman" w:hAnsi="Times New Roman" w:cs="Times New Roman"/>
                <w:b/>
                <w:bCs/>
                <w:strike/>
                <w:color w:val="000000"/>
                <w:sz w:val="23"/>
                <w:szCs w:val="23"/>
                <w:lang w:eastAsia="lt-LT"/>
              </w:rPr>
            </w:pPr>
            <w:r w:rsidRPr="00FA5AE7">
              <w:rPr>
                <w:rFonts w:ascii="Times New Roman" w:hAnsi="Times New Roman" w:cs="Times New Roman"/>
                <w:b/>
                <w:bCs/>
                <w:sz w:val="23"/>
                <w:szCs w:val="23"/>
              </w:rPr>
              <w:t>Už stebėsenos rodiklio pasiekimą ir duomenų apie pasiektą rodiklio reikšmę teikimą antriniuose šaltiniuose yra atsakingas projekto vykdytojas.“</w:t>
            </w:r>
          </w:p>
        </w:tc>
      </w:tr>
    </w:tbl>
    <w:p w14:paraId="52AB5A10" w14:textId="77777777" w:rsidR="00951358" w:rsidRPr="00951358" w:rsidRDefault="00951358" w:rsidP="00951358">
      <w:pPr>
        <w:pStyle w:val="Sraopastraipa"/>
        <w:spacing w:after="0" w:line="240" w:lineRule="auto"/>
        <w:ind w:left="1271"/>
        <w:jc w:val="both"/>
        <w:rPr>
          <w:rFonts w:ascii="Times New Roman" w:hAnsi="Times New Roman" w:cs="Times New Roman"/>
          <w:sz w:val="24"/>
          <w:szCs w:val="24"/>
        </w:rPr>
      </w:pPr>
    </w:p>
    <w:p w14:paraId="6A498D84" w14:textId="36AC6FB8" w:rsidR="005766B9" w:rsidRDefault="005766B9" w:rsidP="005766B9">
      <w:pPr>
        <w:jc w:val="both"/>
        <w:rPr>
          <w:rFonts w:ascii="Times New Roman" w:hAnsi="Times New Roman" w:cs="Times New Roman"/>
          <w:sz w:val="24"/>
          <w:szCs w:val="24"/>
        </w:rPr>
      </w:pPr>
      <w:r w:rsidRPr="00FA5AE7">
        <w:rPr>
          <w:rFonts w:ascii="Times New Roman" w:hAnsi="Times New Roman" w:cs="Times New Roman"/>
          <w:sz w:val="24"/>
          <w:szCs w:val="24"/>
        </w:rPr>
        <w:t>Sveikatos apsaugos ministras</w:t>
      </w:r>
    </w:p>
    <w:p w14:paraId="4CDC3C40" w14:textId="4FEB0CD6" w:rsidR="005924AF" w:rsidRDefault="005924AF" w:rsidP="005766B9">
      <w:pPr>
        <w:jc w:val="both"/>
        <w:rPr>
          <w:rFonts w:ascii="Times New Roman" w:hAnsi="Times New Roman" w:cs="Times New Roman"/>
          <w:sz w:val="24"/>
          <w:szCs w:val="24"/>
        </w:rPr>
      </w:pPr>
    </w:p>
    <w:p w14:paraId="07584AE2" w14:textId="613D6B1C" w:rsidR="00CA59A5" w:rsidRDefault="00CA59A5" w:rsidP="005766B9">
      <w:pPr>
        <w:jc w:val="both"/>
        <w:rPr>
          <w:rFonts w:ascii="Times New Roman" w:hAnsi="Times New Roman" w:cs="Times New Roman"/>
          <w:sz w:val="24"/>
          <w:szCs w:val="24"/>
        </w:rPr>
      </w:pPr>
    </w:p>
    <w:p w14:paraId="0C42F50E" w14:textId="7FBFD26E" w:rsidR="00CA59A5" w:rsidRDefault="00CA59A5" w:rsidP="005766B9">
      <w:pPr>
        <w:jc w:val="both"/>
        <w:rPr>
          <w:rFonts w:ascii="Times New Roman" w:hAnsi="Times New Roman" w:cs="Times New Roman"/>
          <w:sz w:val="24"/>
          <w:szCs w:val="24"/>
        </w:rPr>
      </w:pPr>
    </w:p>
    <w:p w14:paraId="7CF8B693" w14:textId="6C8125E7" w:rsidR="00CA59A5" w:rsidRDefault="00CA59A5" w:rsidP="005766B9">
      <w:pPr>
        <w:jc w:val="both"/>
        <w:rPr>
          <w:rFonts w:ascii="Times New Roman" w:hAnsi="Times New Roman" w:cs="Times New Roman"/>
          <w:sz w:val="24"/>
          <w:szCs w:val="24"/>
        </w:rPr>
      </w:pPr>
    </w:p>
    <w:p w14:paraId="3197FC8A" w14:textId="2EC00A15" w:rsidR="00CA59A5" w:rsidRDefault="00CA59A5" w:rsidP="005766B9">
      <w:pPr>
        <w:jc w:val="both"/>
        <w:rPr>
          <w:rFonts w:ascii="Times New Roman" w:hAnsi="Times New Roman" w:cs="Times New Roman"/>
          <w:sz w:val="24"/>
          <w:szCs w:val="24"/>
        </w:rPr>
      </w:pPr>
    </w:p>
    <w:p w14:paraId="184F9A34" w14:textId="40DB76CF" w:rsidR="00CA59A5" w:rsidRDefault="00CA59A5" w:rsidP="005766B9">
      <w:pPr>
        <w:jc w:val="both"/>
        <w:rPr>
          <w:rFonts w:ascii="Times New Roman" w:hAnsi="Times New Roman" w:cs="Times New Roman"/>
          <w:sz w:val="24"/>
          <w:szCs w:val="24"/>
        </w:rPr>
      </w:pPr>
    </w:p>
    <w:p w14:paraId="3E69CCB3" w14:textId="7BDEBF46" w:rsidR="00CA59A5" w:rsidRDefault="00CA59A5" w:rsidP="005766B9">
      <w:pPr>
        <w:jc w:val="both"/>
        <w:rPr>
          <w:rFonts w:ascii="Times New Roman" w:hAnsi="Times New Roman" w:cs="Times New Roman"/>
          <w:sz w:val="24"/>
          <w:szCs w:val="24"/>
        </w:rPr>
      </w:pPr>
    </w:p>
    <w:p w14:paraId="2B5CCEE0" w14:textId="22793753" w:rsidR="00CA59A5" w:rsidRDefault="00CA59A5" w:rsidP="005766B9">
      <w:pPr>
        <w:jc w:val="both"/>
        <w:rPr>
          <w:rFonts w:ascii="Times New Roman" w:hAnsi="Times New Roman" w:cs="Times New Roman"/>
          <w:sz w:val="24"/>
          <w:szCs w:val="24"/>
        </w:rPr>
      </w:pPr>
    </w:p>
    <w:p w14:paraId="1F4C3DBA" w14:textId="4AE8C27D" w:rsidR="00CA59A5" w:rsidRDefault="00CA59A5" w:rsidP="005766B9">
      <w:pPr>
        <w:jc w:val="both"/>
        <w:rPr>
          <w:rFonts w:ascii="Times New Roman" w:hAnsi="Times New Roman" w:cs="Times New Roman"/>
          <w:sz w:val="24"/>
          <w:szCs w:val="24"/>
        </w:rPr>
      </w:pPr>
    </w:p>
    <w:p w14:paraId="5E7A1EE8" w14:textId="0E00A0E5" w:rsidR="00CA59A5" w:rsidRDefault="00CA59A5" w:rsidP="005766B9">
      <w:pPr>
        <w:jc w:val="both"/>
        <w:rPr>
          <w:rFonts w:ascii="Times New Roman" w:hAnsi="Times New Roman" w:cs="Times New Roman"/>
          <w:sz w:val="24"/>
          <w:szCs w:val="24"/>
        </w:rPr>
      </w:pPr>
    </w:p>
    <w:p w14:paraId="20186DA3" w14:textId="6432CD65" w:rsidR="00195292" w:rsidRDefault="00195292" w:rsidP="005766B9">
      <w:pPr>
        <w:jc w:val="both"/>
        <w:rPr>
          <w:rFonts w:ascii="Times New Roman" w:hAnsi="Times New Roman" w:cs="Times New Roman"/>
          <w:sz w:val="24"/>
          <w:szCs w:val="24"/>
        </w:rPr>
      </w:pPr>
    </w:p>
    <w:p w14:paraId="7A7F80AE" w14:textId="08789F8E" w:rsidR="005924AF" w:rsidRDefault="005924AF" w:rsidP="005766B9">
      <w:pPr>
        <w:jc w:val="both"/>
        <w:rPr>
          <w:rFonts w:ascii="Times New Roman" w:hAnsi="Times New Roman" w:cs="Times New Roman"/>
          <w:sz w:val="24"/>
          <w:szCs w:val="24"/>
        </w:rPr>
      </w:pPr>
    </w:p>
    <w:p w14:paraId="49F40242" w14:textId="77777777" w:rsidR="005924AF" w:rsidRDefault="005924AF" w:rsidP="005924AF">
      <w:pPr>
        <w:spacing w:after="0"/>
        <w:jc w:val="both"/>
        <w:rPr>
          <w:rFonts w:ascii="Times New Roman" w:hAnsi="Times New Roman" w:cs="Times New Roman"/>
          <w:sz w:val="24"/>
          <w:szCs w:val="24"/>
        </w:rPr>
      </w:pPr>
      <w:r>
        <w:rPr>
          <w:rFonts w:ascii="Times New Roman" w:hAnsi="Times New Roman" w:cs="Times New Roman"/>
          <w:sz w:val="24"/>
          <w:szCs w:val="24"/>
        </w:rPr>
        <w:t>S</w:t>
      </w:r>
      <w:r w:rsidRPr="00934C2E">
        <w:rPr>
          <w:rFonts w:ascii="Times New Roman" w:hAnsi="Times New Roman" w:cs="Times New Roman"/>
          <w:sz w:val="24"/>
          <w:szCs w:val="24"/>
        </w:rPr>
        <w:t>. Jarašiūnienė, 266 1494</w:t>
      </w:r>
    </w:p>
    <w:p w14:paraId="6B5228CC" w14:textId="77777777" w:rsidR="005924AF" w:rsidRPr="00FA5AE7" w:rsidRDefault="005924AF" w:rsidP="005766B9">
      <w:pPr>
        <w:jc w:val="both"/>
        <w:rPr>
          <w:rFonts w:ascii="Times New Roman" w:hAnsi="Times New Roman" w:cs="Times New Roman"/>
          <w:sz w:val="24"/>
          <w:szCs w:val="24"/>
        </w:rPr>
      </w:pPr>
    </w:p>
    <w:sectPr w:rsidR="005924AF" w:rsidRPr="00FA5AE7" w:rsidSect="00855ED0">
      <w:headerReference w:type="default" r:id="rId7"/>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84265" w14:textId="77777777" w:rsidR="004656BC" w:rsidRDefault="004656BC">
      <w:pPr>
        <w:spacing w:after="0" w:line="240" w:lineRule="auto"/>
      </w:pPr>
      <w:r>
        <w:separator/>
      </w:r>
    </w:p>
  </w:endnote>
  <w:endnote w:type="continuationSeparator" w:id="0">
    <w:p w14:paraId="61FDCB21" w14:textId="77777777" w:rsidR="004656BC" w:rsidRDefault="0046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7F634" w14:textId="77777777" w:rsidR="004656BC" w:rsidRDefault="004656BC">
      <w:pPr>
        <w:spacing w:after="0" w:line="240" w:lineRule="auto"/>
      </w:pPr>
      <w:r>
        <w:separator/>
      </w:r>
    </w:p>
  </w:footnote>
  <w:footnote w:type="continuationSeparator" w:id="0">
    <w:p w14:paraId="2A0379B3" w14:textId="77777777" w:rsidR="004656BC" w:rsidRDefault="0046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376907"/>
      <w:docPartObj>
        <w:docPartGallery w:val="Page Numbers (Top of Page)"/>
        <w:docPartUnique/>
      </w:docPartObj>
    </w:sdtPr>
    <w:sdtEndPr/>
    <w:sdtContent>
      <w:p w14:paraId="47335B7E" w14:textId="77777777" w:rsidR="00436617" w:rsidRDefault="00436617">
        <w:pPr>
          <w:pStyle w:val="Antrats"/>
          <w:jc w:val="center"/>
        </w:pPr>
        <w:r>
          <w:fldChar w:fldCharType="begin"/>
        </w:r>
        <w:r>
          <w:instrText>PAGE   \* MERGEFORMAT</w:instrText>
        </w:r>
        <w:r>
          <w:fldChar w:fldCharType="separate"/>
        </w:r>
        <w:r>
          <w:rPr>
            <w:noProof/>
          </w:rPr>
          <w:t>23</w:t>
        </w:r>
        <w:r>
          <w:fldChar w:fldCharType="end"/>
        </w:r>
      </w:p>
    </w:sdtContent>
  </w:sdt>
  <w:p w14:paraId="1849C12D" w14:textId="77777777" w:rsidR="00436617" w:rsidRDefault="004366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F54"/>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27789"/>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3"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5F04E17"/>
    <w:multiLevelType w:val="multilevel"/>
    <w:tmpl w:val="205CF46A"/>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164F1006"/>
    <w:multiLevelType w:val="multilevel"/>
    <w:tmpl w:val="D12C38CC"/>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6" w15:restartNumberingAfterBreak="0">
    <w:nsid w:val="16EC1524"/>
    <w:multiLevelType w:val="multilevel"/>
    <w:tmpl w:val="8FEA8938"/>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8"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9F753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C9460BC"/>
    <w:multiLevelType w:val="hybridMultilevel"/>
    <w:tmpl w:val="711CD16C"/>
    <w:lvl w:ilvl="0" w:tplc="A17485E0">
      <w:start w:val="1"/>
      <w:numFmt w:val="decimal"/>
      <w:lvlText w:val="%1)"/>
      <w:lvlJc w:val="left"/>
      <w:pPr>
        <w:ind w:left="388" w:hanging="360"/>
      </w:pPr>
      <w:rPr>
        <w:rFonts w:hint="default"/>
        <w:strike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1" w15:restartNumberingAfterBreak="0">
    <w:nsid w:val="2D82106A"/>
    <w:multiLevelType w:val="hybridMultilevel"/>
    <w:tmpl w:val="FD8C94AA"/>
    <w:lvl w:ilvl="0" w:tplc="A802F106">
      <w:start w:val="1"/>
      <w:numFmt w:val="decimal"/>
      <w:lvlText w:val="%1)"/>
      <w:lvlJc w:val="left"/>
      <w:pPr>
        <w:ind w:left="720" w:hanging="360"/>
      </w:pPr>
      <w:rPr>
        <w:rFonts w:ascii="Times New Roman" w:hAnsi="Times New Roman" w:cs="Times New Roman" w:hint="default"/>
        <w:b/>
        <w:bCs w:val="0"/>
        <w:strike w:val="0"/>
        <w:color w:val="auto"/>
        <w:sz w:val="23"/>
        <w:szCs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7011DE"/>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4" w15:restartNumberingAfterBreak="0">
    <w:nsid w:val="39AB169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3A84113F"/>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6" w15:restartNumberingAfterBreak="0">
    <w:nsid w:val="3B562469"/>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9E0E48"/>
    <w:multiLevelType w:val="hybridMultilevel"/>
    <w:tmpl w:val="7848E396"/>
    <w:lvl w:ilvl="0" w:tplc="83DE657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24A62A8"/>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50EC4200"/>
    <w:multiLevelType w:val="hybridMultilevel"/>
    <w:tmpl w:val="4E547C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F16DD0"/>
    <w:multiLevelType w:val="hybridMultilevel"/>
    <w:tmpl w:val="903CEEF4"/>
    <w:lvl w:ilvl="0" w:tplc="CE3E9834">
      <w:start w:val="8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89046D"/>
    <w:multiLevelType w:val="hybridMultilevel"/>
    <w:tmpl w:val="8AEAA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5" w15:restartNumberingAfterBreak="0">
    <w:nsid w:val="594321A8"/>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6" w15:restartNumberingAfterBreak="0">
    <w:nsid w:val="5CA32E14"/>
    <w:multiLevelType w:val="hybridMultilevel"/>
    <w:tmpl w:val="D5D01FCC"/>
    <w:lvl w:ilvl="0" w:tplc="2BCA42A2">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27" w15:restartNumberingAfterBreak="0">
    <w:nsid w:val="65F3610B"/>
    <w:multiLevelType w:val="multilevel"/>
    <w:tmpl w:val="847CE92A"/>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8" w15:restartNumberingAfterBreak="0">
    <w:nsid w:val="73BD7172"/>
    <w:multiLevelType w:val="multilevel"/>
    <w:tmpl w:val="6A7C7DEC"/>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b w:val="0"/>
        <w:bCs w:val="0"/>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9" w15:restartNumberingAfterBreak="0">
    <w:nsid w:val="740D603A"/>
    <w:multiLevelType w:val="hybridMultilevel"/>
    <w:tmpl w:val="A5100524"/>
    <w:lvl w:ilvl="0" w:tplc="7FE4B03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6422D1"/>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7B5A06ED"/>
    <w:multiLevelType w:val="hybridMultilevel"/>
    <w:tmpl w:val="1E3EBB1A"/>
    <w:lvl w:ilvl="0" w:tplc="44FCEB8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921758"/>
    <w:multiLevelType w:val="hybridMultilevel"/>
    <w:tmpl w:val="C6E280B4"/>
    <w:lvl w:ilvl="0" w:tplc="9A60C4A0">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24"/>
  </w:num>
  <w:num w:numId="6">
    <w:abstractNumId w:val="23"/>
  </w:num>
  <w:num w:numId="7">
    <w:abstractNumId w:val="14"/>
  </w:num>
  <w:num w:numId="8">
    <w:abstractNumId w:val="3"/>
  </w:num>
  <w:num w:numId="9">
    <w:abstractNumId w:val="17"/>
  </w:num>
  <w:num w:numId="10">
    <w:abstractNumId w:val="1"/>
  </w:num>
  <w:num w:numId="11">
    <w:abstractNumId w:val="9"/>
  </w:num>
  <w:num w:numId="12">
    <w:abstractNumId w:val="16"/>
  </w:num>
  <w:num w:numId="13">
    <w:abstractNumId w:val="18"/>
  </w:num>
  <w:num w:numId="14">
    <w:abstractNumId w:val="19"/>
  </w:num>
  <w:num w:numId="15">
    <w:abstractNumId w:val="30"/>
  </w:num>
  <w:num w:numId="16">
    <w:abstractNumId w:val="6"/>
  </w:num>
  <w:num w:numId="17">
    <w:abstractNumId w:val="4"/>
  </w:num>
  <w:num w:numId="18">
    <w:abstractNumId w:val="5"/>
  </w:num>
  <w:num w:numId="19">
    <w:abstractNumId w:val="27"/>
  </w:num>
  <w:num w:numId="20">
    <w:abstractNumId w:val="15"/>
  </w:num>
  <w:num w:numId="21">
    <w:abstractNumId w:val="25"/>
  </w:num>
  <w:num w:numId="22">
    <w:abstractNumId w:val="11"/>
  </w:num>
  <w:num w:numId="23">
    <w:abstractNumId w:val="31"/>
  </w:num>
  <w:num w:numId="24">
    <w:abstractNumId w:val="26"/>
  </w:num>
  <w:num w:numId="25">
    <w:abstractNumId w:val="28"/>
  </w:num>
  <w:num w:numId="26">
    <w:abstractNumId w:val="10"/>
  </w:num>
  <w:num w:numId="27">
    <w:abstractNumId w:val="29"/>
  </w:num>
  <w:num w:numId="28">
    <w:abstractNumId w:val="20"/>
  </w:num>
  <w:num w:numId="29">
    <w:abstractNumId w:val="0"/>
  </w:num>
  <w:num w:numId="30">
    <w:abstractNumId w:val="21"/>
  </w:num>
  <w:num w:numId="31">
    <w:abstractNumId w:val="22"/>
  </w:num>
  <w:num w:numId="32">
    <w:abstractNumId w:val="1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9"/>
    <w:rsid w:val="000106DB"/>
    <w:rsid w:val="00015D7E"/>
    <w:rsid w:val="00046B8A"/>
    <w:rsid w:val="00062072"/>
    <w:rsid w:val="000628B3"/>
    <w:rsid w:val="0008744E"/>
    <w:rsid w:val="0012185A"/>
    <w:rsid w:val="001719B5"/>
    <w:rsid w:val="00177B08"/>
    <w:rsid w:val="00186724"/>
    <w:rsid w:val="00195292"/>
    <w:rsid w:val="001C57D4"/>
    <w:rsid w:val="00202F2C"/>
    <w:rsid w:val="00236AE0"/>
    <w:rsid w:val="00250A99"/>
    <w:rsid w:val="00307860"/>
    <w:rsid w:val="00331F40"/>
    <w:rsid w:val="0035217C"/>
    <w:rsid w:val="0035262A"/>
    <w:rsid w:val="00382361"/>
    <w:rsid w:val="00382DF7"/>
    <w:rsid w:val="003D6AF6"/>
    <w:rsid w:val="003F38D6"/>
    <w:rsid w:val="00436617"/>
    <w:rsid w:val="0045443D"/>
    <w:rsid w:val="0045772A"/>
    <w:rsid w:val="004656BC"/>
    <w:rsid w:val="00466580"/>
    <w:rsid w:val="0047184E"/>
    <w:rsid w:val="00483E15"/>
    <w:rsid w:val="004C7788"/>
    <w:rsid w:val="005026E3"/>
    <w:rsid w:val="00516D9D"/>
    <w:rsid w:val="00526880"/>
    <w:rsid w:val="00554567"/>
    <w:rsid w:val="005614BE"/>
    <w:rsid w:val="00563710"/>
    <w:rsid w:val="005766B9"/>
    <w:rsid w:val="005854F6"/>
    <w:rsid w:val="005924AF"/>
    <w:rsid w:val="00592E87"/>
    <w:rsid w:val="005A0E90"/>
    <w:rsid w:val="005F4B30"/>
    <w:rsid w:val="006134A5"/>
    <w:rsid w:val="00615C68"/>
    <w:rsid w:val="0064620E"/>
    <w:rsid w:val="00670C38"/>
    <w:rsid w:val="006F6C95"/>
    <w:rsid w:val="00720EF2"/>
    <w:rsid w:val="007346C3"/>
    <w:rsid w:val="007350BC"/>
    <w:rsid w:val="007A738A"/>
    <w:rsid w:val="007E2B3B"/>
    <w:rsid w:val="007E5132"/>
    <w:rsid w:val="008219E3"/>
    <w:rsid w:val="00831091"/>
    <w:rsid w:val="00843620"/>
    <w:rsid w:val="00855ED0"/>
    <w:rsid w:val="009272C4"/>
    <w:rsid w:val="00951358"/>
    <w:rsid w:val="00955597"/>
    <w:rsid w:val="00992BB3"/>
    <w:rsid w:val="009A75CD"/>
    <w:rsid w:val="009B1BF0"/>
    <w:rsid w:val="00A11A8E"/>
    <w:rsid w:val="00A141BA"/>
    <w:rsid w:val="00A4401B"/>
    <w:rsid w:val="00A74619"/>
    <w:rsid w:val="00A76C95"/>
    <w:rsid w:val="00A77772"/>
    <w:rsid w:val="00AE37F5"/>
    <w:rsid w:val="00B2304B"/>
    <w:rsid w:val="00B33416"/>
    <w:rsid w:val="00B8000B"/>
    <w:rsid w:val="00BE503E"/>
    <w:rsid w:val="00C306AE"/>
    <w:rsid w:val="00C40059"/>
    <w:rsid w:val="00C52BF8"/>
    <w:rsid w:val="00C86B06"/>
    <w:rsid w:val="00CA59A5"/>
    <w:rsid w:val="00CD5B19"/>
    <w:rsid w:val="00CF6778"/>
    <w:rsid w:val="00D8253A"/>
    <w:rsid w:val="00DA06D9"/>
    <w:rsid w:val="00DC7C8A"/>
    <w:rsid w:val="00DD1C03"/>
    <w:rsid w:val="00E142A5"/>
    <w:rsid w:val="00E215A3"/>
    <w:rsid w:val="00E43A36"/>
    <w:rsid w:val="00E45498"/>
    <w:rsid w:val="00EB6C18"/>
    <w:rsid w:val="00ED0801"/>
    <w:rsid w:val="00EE31AB"/>
    <w:rsid w:val="00EF29FE"/>
    <w:rsid w:val="00F34993"/>
    <w:rsid w:val="00F425D4"/>
    <w:rsid w:val="00F5413D"/>
    <w:rsid w:val="00F55628"/>
    <w:rsid w:val="00FA5AE7"/>
    <w:rsid w:val="00FB2E83"/>
    <w:rsid w:val="00FB6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8600"/>
  <w15:chartTrackingRefBased/>
  <w15:docId w15:val="{62F9CD3C-A588-4ED2-BC0B-135281C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2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2A5"/>
    <w:rPr>
      <w:rFonts w:ascii="Segoe UI" w:hAnsi="Segoe UI" w:cs="Segoe UI"/>
      <w:sz w:val="18"/>
      <w:szCs w:val="18"/>
    </w:rPr>
  </w:style>
  <w:style w:type="paragraph" w:styleId="Sraopastraipa">
    <w:name w:val="List Paragraph"/>
    <w:basedOn w:val="prastasis"/>
    <w:uiPriority w:val="34"/>
    <w:qFormat/>
    <w:rsid w:val="00E142A5"/>
    <w:pPr>
      <w:spacing w:after="200" w:line="276" w:lineRule="auto"/>
      <w:ind w:left="720"/>
      <w:contextualSpacing/>
    </w:pPr>
  </w:style>
  <w:style w:type="character" w:styleId="Komentaronuoroda">
    <w:name w:val="annotation reference"/>
    <w:basedOn w:val="Numatytasispastraiposriftas"/>
    <w:uiPriority w:val="99"/>
    <w:semiHidden/>
    <w:unhideWhenUsed/>
    <w:rsid w:val="00E142A5"/>
    <w:rPr>
      <w:sz w:val="16"/>
      <w:szCs w:val="16"/>
    </w:rPr>
  </w:style>
  <w:style w:type="paragraph" w:styleId="Komentarotekstas">
    <w:name w:val="annotation text"/>
    <w:basedOn w:val="prastasis"/>
    <w:link w:val="KomentarotekstasDiagrama"/>
    <w:uiPriority w:val="99"/>
    <w:unhideWhenUsed/>
    <w:rsid w:val="00E142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42A5"/>
    <w:rPr>
      <w:sz w:val="20"/>
      <w:szCs w:val="20"/>
    </w:rPr>
  </w:style>
  <w:style w:type="paragraph" w:styleId="HTMLiankstoformatuotas">
    <w:name w:val="HTML Preformatted"/>
    <w:basedOn w:val="prastasis"/>
    <w:link w:val="HTMLiankstoformatuotasDiagrama"/>
    <w:uiPriority w:val="99"/>
    <w:unhideWhenUsed/>
    <w:rsid w:val="00E14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2A5"/>
    <w:rPr>
      <w:rFonts w:ascii="Courier New" w:eastAsia="Times New Roman" w:hAnsi="Courier New" w:cs="Courier New"/>
      <w:sz w:val="20"/>
      <w:szCs w:val="20"/>
      <w:lang w:eastAsia="lt-LT"/>
    </w:rPr>
  </w:style>
  <w:style w:type="paragraph" w:styleId="Betarp">
    <w:name w:val="No Spacing"/>
    <w:uiPriority w:val="1"/>
    <w:qFormat/>
    <w:rsid w:val="005766B9"/>
    <w:pPr>
      <w:spacing w:after="0" w:line="240" w:lineRule="auto"/>
    </w:pPr>
  </w:style>
  <w:style w:type="character" w:styleId="Hipersaitas">
    <w:name w:val="Hyperlink"/>
    <w:basedOn w:val="Numatytasispastraiposriftas"/>
    <w:uiPriority w:val="99"/>
    <w:unhideWhenUsed/>
    <w:rsid w:val="005766B9"/>
    <w:rPr>
      <w:color w:val="0563C1" w:themeColor="hyperlink"/>
      <w:u w:val="single"/>
    </w:rPr>
  </w:style>
  <w:style w:type="paragraph" w:styleId="Antrats">
    <w:name w:val="header"/>
    <w:basedOn w:val="prastasis"/>
    <w:link w:val="AntratsDiagrama"/>
    <w:uiPriority w:val="99"/>
    <w:unhideWhenUsed/>
    <w:rsid w:val="005766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6B9"/>
  </w:style>
  <w:style w:type="paragraph" w:styleId="Porat">
    <w:name w:val="footer"/>
    <w:basedOn w:val="prastasis"/>
    <w:link w:val="PoratDiagrama"/>
    <w:uiPriority w:val="99"/>
    <w:unhideWhenUsed/>
    <w:rsid w:val="005766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6B9"/>
  </w:style>
  <w:style w:type="paragraph" w:customStyle="1" w:styleId="Default">
    <w:name w:val="Default"/>
    <w:rsid w:val="005766B9"/>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5766B9"/>
    <w:rPr>
      <w:b/>
      <w:bCs/>
    </w:rPr>
  </w:style>
  <w:style w:type="character" w:customStyle="1" w:styleId="KomentarotemaDiagrama">
    <w:name w:val="Komentaro tema Diagrama"/>
    <w:basedOn w:val="KomentarotekstasDiagrama"/>
    <w:link w:val="Komentarotema"/>
    <w:uiPriority w:val="99"/>
    <w:semiHidden/>
    <w:rsid w:val="005766B9"/>
    <w:rPr>
      <w:b/>
      <w:bCs/>
      <w:sz w:val="20"/>
      <w:szCs w:val="20"/>
    </w:rPr>
  </w:style>
  <w:style w:type="paragraph" w:styleId="Pataisymai">
    <w:name w:val="Revision"/>
    <w:hidden/>
    <w:uiPriority w:val="99"/>
    <w:semiHidden/>
    <w:rsid w:val="005766B9"/>
    <w:pPr>
      <w:spacing w:after="0" w:line="240" w:lineRule="auto"/>
    </w:pPr>
  </w:style>
  <w:style w:type="paragraph" w:customStyle="1" w:styleId="normal-p">
    <w:name w:val="normal-p"/>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5766B9"/>
  </w:style>
  <w:style w:type="paragraph" w:customStyle="1" w:styleId="rtejustify">
    <w:name w:val="rtejustify"/>
    <w:basedOn w:val="prastasis"/>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766B9"/>
    <w:rPr>
      <w:b/>
      <w:bCs/>
    </w:rPr>
  </w:style>
  <w:style w:type="character" w:styleId="Emfaz">
    <w:name w:val="Emphasis"/>
    <w:basedOn w:val="Numatytasispastraiposriftas"/>
    <w:uiPriority w:val="20"/>
    <w:qFormat/>
    <w:rsid w:val="005766B9"/>
    <w:rPr>
      <w:i/>
      <w:iCs/>
    </w:rPr>
  </w:style>
  <w:style w:type="character" w:customStyle="1" w:styleId="bold">
    <w:name w:val="bold"/>
    <w:basedOn w:val="Numatytasispastraiposriftas"/>
    <w:rsid w:val="005766B9"/>
  </w:style>
  <w:style w:type="paragraph" w:styleId="prastasiniatinklio">
    <w:name w:val="Normal (Web)"/>
    <w:basedOn w:val="prastasis"/>
    <w:uiPriority w:val="99"/>
    <w:unhideWhenUsed/>
    <w:rsid w:val="005766B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985660">
      <w:bodyDiv w:val="1"/>
      <w:marLeft w:val="0"/>
      <w:marRight w:val="0"/>
      <w:marTop w:val="0"/>
      <w:marBottom w:val="0"/>
      <w:divBdr>
        <w:top w:val="none" w:sz="0" w:space="0" w:color="auto"/>
        <w:left w:val="none" w:sz="0" w:space="0" w:color="auto"/>
        <w:bottom w:val="none" w:sz="0" w:space="0" w:color="auto"/>
        <w:right w:val="none" w:sz="0" w:space="0" w:color="auto"/>
      </w:divBdr>
    </w:div>
    <w:div w:id="20158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5164</Words>
  <Characters>2945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5</cp:revision>
  <cp:lastPrinted>2020-09-29T06:42:00Z</cp:lastPrinted>
  <dcterms:created xsi:type="dcterms:W3CDTF">2021-01-08T07:31:00Z</dcterms:created>
  <dcterms:modified xsi:type="dcterms:W3CDTF">2021-01-08T08:36:00Z</dcterms:modified>
</cp:coreProperties>
</file>