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62A" w:rsidRDefault="0036662A" w:rsidP="0036662A">
      <w:pPr>
        <w:jc w:val="center"/>
        <w:rPr>
          <w:b/>
          <w:bCs/>
        </w:rPr>
      </w:pPr>
      <w:r>
        <w:rPr>
          <w:b/>
          <w:bCs/>
        </w:rPr>
        <w:t>LIET</w:t>
      </w:r>
      <w:r w:rsidR="00BE2051">
        <w:rPr>
          <w:b/>
          <w:bCs/>
        </w:rPr>
        <w:t>UVOS RESPUBLIKOS ŠVIETIMO,</w:t>
      </w:r>
      <w:r w:rsidR="009E02DD">
        <w:rPr>
          <w:b/>
          <w:bCs/>
        </w:rPr>
        <w:t xml:space="preserve"> MOKSLO IR SPORTO</w:t>
      </w:r>
      <w:r>
        <w:rPr>
          <w:b/>
          <w:bCs/>
        </w:rPr>
        <w:t xml:space="preserve"> MINISTERIJA</w:t>
      </w:r>
    </w:p>
    <w:p w:rsidR="0036662A" w:rsidRDefault="0036662A" w:rsidP="0036662A">
      <w:pPr>
        <w:jc w:val="center"/>
        <w:rPr>
          <w:b/>
          <w:bCs/>
        </w:rPr>
      </w:pPr>
    </w:p>
    <w:p w:rsidR="0036662A" w:rsidRDefault="0036662A" w:rsidP="0036662A">
      <w:pPr>
        <w:jc w:val="center"/>
        <w:rPr>
          <w:b/>
          <w:bCs/>
        </w:rPr>
      </w:pPr>
      <w:r>
        <w:rPr>
          <w:b/>
          <w:bCs/>
        </w:rPr>
        <w:t>SOCIALINIŲ IR EKONOMINIŲ PARTNERIŲ PATEIKTŲ PASTABŲ IR PASIŪLYMŲ DĖL 2014–2020 METŲ EUROPOS SĄJUNGOS FONDŲ INVE</w:t>
      </w:r>
      <w:r w:rsidR="009E02DD">
        <w:rPr>
          <w:b/>
          <w:bCs/>
        </w:rPr>
        <w:t>STICIJŲ VEIKSMŲ PROGRAMOS 1</w:t>
      </w:r>
      <w:r>
        <w:rPr>
          <w:b/>
          <w:bCs/>
        </w:rPr>
        <w:t xml:space="preserve"> PRIORITETO „</w:t>
      </w:r>
      <w:r w:rsidR="009E02DD" w:rsidRPr="009E02DD">
        <w:rPr>
          <w:b/>
          <w:bCs/>
        </w:rPr>
        <w:t>MOKSLINIŲ TYRIMŲ, EKSPERIMENTINĖS PLĖTROS IR INOVACIJŲ SKATINIMAS</w:t>
      </w:r>
      <w:r w:rsidR="005F5DA5">
        <w:rPr>
          <w:b/>
          <w:bCs/>
        </w:rPr>
        <w:t xml:space="preserve">“ </w:t>
      </w:r>
      <w:r w:rsidR="005F5DA5" w:rsidRPr="005F5DA5">
        <w:rPr>
          <w:b/>
          <w:kern w:val="16"/>
          <w:lang w:eastAsia="en-US"/>
        </w:rPr>
        <w:t>01.2.2-LMT-K-718 PRIEMONĖS „TIKSLINIAI MOKSLINIAI TYRIMAI SUMANIOS SPECIALIZACIJOS SRITYJE“</w:t>
      </w:r>
      <w:r w:rsidR="00CA02F9">
        <w:rPr>
          <w:b/>
          <w:bCs/>
        </w:rPr>
        <w:t xml:space="preserve"> </w:t>
      </w:r>
      <w:r w:rsidR="00954F55">
        <w:rPr>
          <w:b/>
          <w:bCs/>
        </w:rPr>
        <w:t>PROJEKTŲ FINANSAVIMO SĄLYGŲ AP</w:t>
      </w:r>
      <w:r w:rsidR="00F33018">
        <w:rPr>
          <w:b/>
          <w:bCs/>
        </w:rPr>
        <w:t xml:space="preserve">RAŠO NR. </w:t>
      </w:r>
      <w:r w:rsidR="00F33018" w:rsidRPr="006B207E">
        <w:rPr>
          <w:b/>
          <w:bCs/>
        </w:rPr>
        <w:t>4</w:t>
      </w:r>
      <w:r w:rsidR="00F33018">
        <w:rPr>
          <w:b/>
          <w:bCs/>
        </w:rPr>
        <w:t xml:space="preserve"> </w:t>
      </w:r>
      <w:r w:rsidR="00954F55">
        <w:rPr>
          <w:b/>
          <w:bCs/>
        </w:rPr>
        <w:t>(TOLIAU –</w:t>
      </w:r>
      <w:r w:rsidR="00162876">
        <w:rPr>
          <w:b/>
          <w:bCs/>
        </w:rPr>
        <w:t xml:space="preserve"> APRAŠAS</w:t>
      </w:r>
      <w:r w:rsidR="00954F55" w:rsidRPr="006B207E">
        <w:rPr>
          <w:b/>
          <w:bCs/>
        </w:rPr>
        <w:t xml:space="preserve">) </w:t>
      </w:r>
      <w:r w:rsidR="00F33018">
        <w:rPr>
          <w:b/>
          <w:bCs/>
        </w:rPr>
        <w:t>PROJEKTO</w:t>
      </w:r>
      <w:r>
        <w:rPr>
          <w:b/>
          <w:bCs/>
        </w:rPr>
        <w:t xml:space="preserve"> DERINIMAS</w:t>
      </w:r>
    </w:p>
    <w:p w:rsidR="0036662A" w:rsidRDefault="0036662A" w:rsidP="0036662A">
      <w:pPr>
        <w:rPr>
          <w:b/>
          <w:bCs/>
        </w:rPr>
      </w:pPr>
    </w:p>
    <w:tbl>
      <w:tblPr>
        <w:tblStyle w:val="Lentelstinklelis"/>
        <w:tblW w:w="14742" w:type="dxa"/>
        <w:tblInd w:w="108" w:type="dxa"/>
        <w:tblLook w:val="04A0" w:firstRow="1" w:lastRow="0" w:firstColumn="1" w:lastColumn="0" w:noHBand="0" w:noVBand="1"/>
      </w:tblPr>
      <w:tblGrid>
        <w:gridCol w:w="6804"/>
        <w:gridCol w:w="7938"/>
      </w:tblGrid>
      <w:tr w:rsidR="0036662A" w:rsidTr="00335D39">
        <w:tc>
          <w:tcPr>
            <w:tcW w:w="6804" w:type="dxa"/>
          </w:tcPr>
          <w:p w:rsidR="0036662A" w:rsidRPr="00DC6A9A" w:rsidRDefault="0036662A" w:rsidP="00335D39">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p>
        </w:tc>
        <w:tc>
          <w:tcPr>
            <w:tcW w:w="7938" w:type="dxa"/>
          </w:tcPr>
          <w:p w:rsidR="0036662A" w:rsidRDefault="00F33018" w:rsidP="00335D39">
            <w:pPr>
              <w:rPr>
                <w:szCs w:val="24"/>
              </w:rPr>
            </w:pPr>
            <w:r>
              <w:rPr>
                <w:szCs w:val="24"/>
              </w:rPr>
              <w:t>20</w:t>
            </w:r>
            <w:r>
              <w:rPr>
                <w:szCs w:val="24"/>
                <w:lang w:val="en-GB"/>
              </w:rPr>
              <w:t>20</w:t>
            </w:r>
            <w:r>
              <w:rPr>
                <w:szCs w:val="24"/>
              </w:rPr>
              <w:t>-</w:t>
            </w:r>
            <w:r w:rsidR="00CA02F9">
              <w:rPr>
                <w:szCs w:val="24"/>
                <w:lang w:val="en-GB"/>
              </w:rPr>
              <w:t>12</w:t>
            </w:r>
            <w:r w:rsidR="00CA02F9">
              <w:rPr>
                <w:szCs w:val="24"/>
              </w:rPr>
              <w:t>-15</w:t>
            </w:r>
          </w:p>
        </w:tc>
      </w:tr>
      <w:tr w:rsidR="0036662A" w:rsidTr="00335D39">
        <w:tc>
          <w:tcPr>
            <w:tcW w:w="6804" w:type="dxa"/>
          </w:tcPr>
          <w:p w:rsidR="0036662A" w:rsidRDefault="0036662A" w:rsidP="00335D39">
            <w:pPr>
              <w:rPr>
                <w:b/>
                <w:szCs w:val="24"/>
              </w:rPr>
            </w:pPr>
            <w:r w:rsidRPr="00DC6A9A">
              <w:rPr>
                <w:b/>
                <w:szCs w:val="24"/>
              </w:rPr>
              <w:t>Ar gauta pastabų</w:t>
            </w:r>
            <w:r>
              <w:rPr>
                <w:b/>
                <w:szCs w:val="24"/>
              </w:rPr>
              <w:t xml:space="preserve"> ir (ar) pasiūlymų</w:t>
            </w:r>
            <w:r w:rsidRPr="00DC6A9A">
              <w:rPr>
                <w:b/>
                <w:szCs w:val="24"/>
              </w:rPr>
              <w:t>?</w:t>
            </w:r>
          </w:p>
          <w:p w:rsidR="0036662A" w:rsidRPr="0036662A" w:rsidRDefault="0036662A" w:rsidP="0036662A">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Pr>
          <w:p w:rsidR="0036662A" w:rsidRPr="007070FE" w:rsidRDefault="006A6417" w:rsidP="009E02DD">
            <w:sdt>
              <w:sdtPr>
                <w:id w:val="1312749902"/>
              </w:sdtPr>
              <w:sdtEndPr/>
              <w:sdtContent>
                <w:r w:rsidR="009E02DD">
                  <w:t>X</w:t>
                </w:r>
                <w:r w:rsidR="0036662A">
                  <w:t xml:space="preserve"> </w:t>
                </w:r>
              </w:sdtContent>
            </w:sdt>
            <w:r w:rsidR="0036662A">
              <w:rPr>
                <w:szCs w:val="24"/>
              </w:rPr>
              <w:t xml:space="preserve">Taip </w:t>
            </w:r>
            <w:sdt>
              <w:sdtPr>
                <w:rPr>
                  <w:szCs w:val="24"/>
                </w:rPr>
                <w:id w:val="164368749"/>
              </w:sdtPr>
              <w:sdtEndPr/>
              <w:sdtContent>
                <w:r w:rsidR="0036662A" w:rsidRPr="0036662A">
                  <w:rPr>
                    <w:szCs w:val="24"/>
                  </w:rPr>
                  <w:fldChar w:fldCharType="begin">
                    <w:ffData>
                      <w:name w:val="Check1"/>
                      <w:enabled/>
                      <w:calcOnExit w:val="0"/>
                      <w:checkBox>
                        <w:sizeAuto/>
                        <w:default w:val="0"/>
                      </w:checkBox>
                    </w:ffData>
                  </w:fldChar>
                </w:r>
                <w:r w:rsidR="0036662A" w:rsidRPr="0036662A">
                  <w:rPr>
                    <w:szCs w:val="24"/>
                  </w:rPr>
                  <w:instrText xml:space="preserve"> FORMCHECKBOX </w:instrText>
                </w:r>
                <w:r>
                  <w:rPr>
                    <w:szCs w:val="24"/>
                  </w:rPr>
                </w:r>
                <w:r>
                  <w:rPr>
                    <w:szCs w:val="24"/>
                  </w:rPr>
                  <w:fldChar w:fldCharType="separate"/>
                </w:r>
                <w:r w:rsidR="0036662A" w:rsidRPr="0036662A">
                  <w:rPr>
                    <w:szCs w:val="24"/>
                  </w:rPr>
                  <w:fldChar w:fldCharType="end"/>
                </w:r>
                <w:r w:rsidR="0036662A" w:rsidRPr="0036662A">
                  <w:rPr>
                    <w:szCs w:val="24"/>
                  </w:rPr>
                  <w:t xml:space="preserve"> </w:t>
                </w:r>
              </w:sdtContent>
            </w:sdt>
            <w:r w:rsidR="0036662A">
              <w:rPr>
                <w:szCs w:val="24"/>
              </w:rPr>
              <w:t xml:space="preserve"> Ne</w:t>
            </w:r>
            <w:r w:rsidR="0036662A">
              <w:rPr>
                <w:szCs w:val="24"/>
              </w:rPr>
              <w:fldChar w:fldCharType="begin"/>
            </w:r>
            <w:r w:rsidR="0036662A">
              <w:rPr>
                <w:szCs w:val="24"/>
              </w:rPr>
              <w:instrText xml:space="preserve"> FILLIN   \* MERGEFORMAT </w:instrText>
            </w:r>
            <w:r w:rsidR="0036662A">
              <w:rPr>
                <w:szCs w:val="24"/>
              </w:rPr>
              <w:fldChar w:fldCharType="end"/>
            </w:r>
          </w:p>
        </w:tc>
      </w:tr>
      <w:tr w:rsidR="0036662A" w:rsidTr="00335D39">
        <w:tc>
          <w:tcPr>
            <w:tcW w:w="6804" w:type="dxa"/>
          </w:tcPr>
          <w:p w:rsidR="0036662A" w:rsidRDefault="0036662A" w:rsidP="00335D39">
            <w:pPr>
              <w:rPr>
                <w:b/>
                <w:szCs w:val="24"/>
              </w:rPr>
            </w:pPr>
            <w:r w:rsidRPr="00DC6A9A">
              <w:rPr>
                <w:b/>
                <w:szCs w:val="24"/>
              </w:rPr>
              <w:t xml:space="preserve">Ar į visas pastabas </w:t>
            </w:r>
            <w:r>
              <w:rPr>
                <w:b/>
                <w:szCs w:val="24"/>
              </w:rPr>
              <w:t xml:space="preserve">ir (ar) pasiūlymus </w:t>
            </w:r>
            <w:r w:rsidRPr="00DC6A9A">
              <w:rPr>
                <w:b/>
                <w:szCs w:val="24"/>
              </w:rPr>
              <w:t>atsižvelgta?</w:t>
            </w:r>
          </w:p>
          <w:p w:rsidR="0036662A" w:rsidRPr="00E7584D" w:rsidRDefault="0036662A" w:rsidP="00335D39">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Pr>
          <w:p w:rsidR="0036662A" w:rsidRDefault="006A6417" w:rsidP="009E02DD">
            <w:pPr>
              <w:rPr>
                <w:szCs w:val="24"/>
              </w:rPr>
            </w:pPr>
            <w:sdt>
              <w:sdtPr>
                <w:id w:val="-1548671976"/>
              </w:sdtPr>
              <w:sdtEndPr/>
              <w:sdtContent>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sdtContent>
            </w:sdt>
            <w:r w:rsidR="0036662A">
              <w:rPr>
                <w:szCs w:val="24"/>
              </w:rPr>
              <w:t xml:space="preserve"> Taip </w:t>
            </w:r>
            <w:sdt>
              <w:sdtPr>
                <w:id w:val="-338542889"/>
              </w:sdtPr>
              <w:sdtEndPr/>
              <w:sdtContent>
                <w:r w:rsidR="009E02DD" w:rsidRPr="009E02DD">
                  <w:rPr>
                    <w:b/>
                  </w:rPr>
                  <w:t>X</w:t>
                </w:r>
              </w:sdtContent>
            </w:sdt>
            <w:r w:rsidR="0036662A">
              <w:rPr>
                <w:szCs w:val="24"/>
              </w:rPr>
              <w:t xml:space="preserve"> Ne </w:t>
            </w:r>
          </w:p>
        </w:tc>
      </w:tr>
    </w:tbl>
    <w:p w:rsidR="0036662A" w:rsidRDefault="0036662A" w:rsidP="0036662A">
      <w:pPr>
        <w:rPr>
          <w:szCs w:val="24"/>
        </w:rPr>
      </w:pPr>
    </w:p>
    <w:p w:rsidR="001647E3" w:rsidRPr="00781CA4" w:rsidRDefault="001647E3" w:rsidP="0036662A">
      <w:pPr>
        <w:rPr>
          <w:szCs w:val="24"/>
        </w:rPr>
      </w:pPr>
    </w:p>
    <w:tbl>
      <w:tblPr>
        <w:tblStyle w:val="Lentelstinklelis"/>
        <w:tblW w:w="14742" w:type="dxa"/>
        <w:tblInd w:w="108" w:type="dxa"/>
        <w:tblLayout w:type="fixed"/>
        <w:tblLook w:val="04A0" w:firstRow="1" w:lastRow="0" w:firstColumn="1" w:lastColumn="0" w:noHBand="0" w:noVBand="1"/>
      </w:tblPr>
      <w:tblGrid>
        <w:gridCol w:w="567"/>
        <w:gridCol w:w="1985"/>
        <w:gridCol w:w="6266"/>
        <w:gridCol w:w="5924"/>
      </w:tblGrid>
      <w:tr w:rsidR="0036662A" w:rsidRPr="00781CA4" w:rsidTr="00FA6DD3">
        <w:tc>
          <w:tcPr>
            <w:tcW w:w="567" w:type="dxa"/>
          </w:tcPr>
          <w:p w:rsidR="0036662A" w:rsidRPr="00781CA4" w:rsidRDefault="0036662A" w:rsidP="00335D39">
            <w:pPr>
              <w:jc w:val="center"/>
              <w:rPr>
                <w:b/>
                <w:szCs w:val="24"/>
              </w:rPr>
            </w:pPr>
            <w:r w:rsidRPr="00781CA4">
              <w:rPr>
                <w:b/>
                <w:szCs w:val="24"/>
              </w:rPr>
              <w:t>Nr.</w:t>
            </w:r>
          </w:p>
        </w:tc>
        <w:tc>
          <w:tcPr>
            <w:tcW w:w="1985" w:type="dxa"/>
          </w:tcPr>
          <w:p w:rsidR="0036662A" w:rsidRPr="00781CA4" w:rsidRDefault="0036662A" w:rsidP="00335D39">
            <w:pPr>
              <w:jc w:val="center"/>
              <w:rPr>
                <w:b/>
                <w:szCs w:val="24"/>
              </w:rPr>
            </w:pPr>
            <w:r w:rsidRPr="00781CA4">
              <w:rPr>
                <w:b/>
                <w:szCs w:val="24"/>
              </w:rPr>
              <w:t>Institucija</w:t>
            </w:r>
          </w:p>
        </w:tc>
        <w:tc>
          <w:tcPr>
            <w:tcW w:w="6266" w:type="dxa"/>
          </w:tcPr>
          <w:p w:rsidR="0036662A" w:rsidRPr="00781CA4" w:rsidRDefault="0036662A" w:rsidP="00335D39">
            <w:pPr>
              <w:jc w:val="center"/>
              <w:rPr>
                <w:b/>
                <w:szCs w:val="24"/>
              </w:rPr>
            </w:pPr>
            <w:r>
              <w:rPr>
                <w:b/>
                <w:bCs/>
              </w:rPr>
              <w:t>Pastabos ir pasiūlymai</w:t>
            </w:r>
          </w:p>
        </w:tc>
        <w:tc>
          <w:tcPr>
            <w:tcW w:w="5924" w:type="dxa"/>
          </w:tcPr>
          <w:p w:rsidR="0036662A" w:rsidRPr="00781CA4" w:rsidRDefault="0036662A" w:rsidP="00335D39">
            <w:pPr>
              <w:jc w:val="center"/>
              <w:rPr>
                <w:b/>
                <w:szCs w:val="24"/>
              </w:rPr>
            </w:pPr>
            <w:r>
              <w:rPr>
                <w:b/>
                <w:bCs/>
              </w:rPr>
              <w:t>Pastabų ir pasiūlymų vertinimas ir (jei taikoma) argumentai, kodėl neatsižvelgta į pastabas ar pasiūlymus</w:t>
            </w:r>
          </w:p>
        </w:tc>
      </w:tr>
      <w:tr w:rsidR="00673A1F" w:rsidRPr="00781CA4" w:rsidTr="00FA6DD3">
        <w:tc>
          <w:tcPr>
            <w:tcW w:w="567" w:type="dxa"/>
          </w:tcPr>
          <w:p w:rsidR="00673A1F" w:rsidRPr="0038099D" w:rsidRDefault="00673A1F" w:rsidP="0036662A">
            <w:pPr>
              <w:pStyle w:val="Sraopastraipa"/>
              <w:numPr>
                <w:ilvl w:val="0"/>
                <w:numId w:val="1"/>
              </w:numPr>
              <w:jc w:val="both"/>
            </w:pPr>
          </w:p>
        </w:tc>
        <w:tc>
          <w:tcPr>
            <w:tcW w:w="1985" w:type="dxa"/>
            <w:vMerge w:val="restart"/>
          </w:tcPr>
          <w:p w:rsidR="00673A1F" w:rsidRDefault="00673A1F" w:rsidP="00335D39">
            <w:r>
              <w:t>Vilniaus universitetas</w:t>
            </w:r>
          </w:p>
          <w:p w:rsidR="00673A1F" w:rsidRDefault="00673A1F" w:rsidP="00335D39">
            <w:r>
              <w:t>(pateikta</w:t>
            </w:r>
          </w:p>
          <w:p w:rsidR="00673A1F" w:rsidRPr="0038099D" w:rsidRDefault="00673A1F" w:rsidP="00335D39">
            <w:r>
              <w:t>20</w:t>
            </w:r>
            <w:r>
              <w:rPr>
                <w:lang w:val="en-GB"/>
              </w:rPr>
              <w:t>20-12</w:t>
            </w:r>
            <w:r>
              <w:t>-31)</w:t>
            </w:r>
          </w:p>
        </w:tc>
        <w:tc>
          <w:tcPr>
            <w:tcW w:w="6266" w:type="dxa"/>
          </w:tcPr>
          <w:p w:rsidR="00673A1F" w:rsidRPr="00673A1F" w:rsidRDefault="00673A1F" w:rsidP="00673A1F">
            <w:pPr>
              <w:spacing w:before="100" w:beforeAutospacing="1" w:after="100" w:afterAutospacing="1"/>
              <w:jc w:val="both"/>
              <w:rPr>
                <w:color w:val="000000"/>
                <w:szCs w:val="24"/>
                <w:lang w:eastAsia="en-GB"/>
              </w:rPr>
            </w:pPr>
            <w:r w:rsidRPr="00CA02F9">
              <w:rPr>
                <w:color w:val="000000"/>
                <w:szCs w:val="24"/>
                <w:lang w:eastAsia="en-GB"/>
              </w:rPr>
              <w:t xml:space="preserve">Dėl pačios tematikos - paties viruso ir /ar jo padarinių tyrimai ----&gt;siūlytumėm praplėsti pačią tematiką, įtraukti ir </w:t>
            </w:r>
            <w:r w:rsidRPr="00CA02F9">
              <w:rPr>
                <w:b/>
                <w:bCs/>
                <w:color w:val="000000"/>
                <w:szCs w:val="24"/>
                <w:lang w:eastAsia="en-GB"/>
              </w:rPr>
              <w:t>naujas bekontaktes priemones ir pan.</w:t>
            </w:r>
            <w:r w:rsidRPr="00CA02F9">
              <w:rPr>
                <w:color w:val="000000"/>
                <w:szCs w:val="24"/>
                <w:lang w:eastAsia="en-GB"/>
              </w:rPr>
              <w:t xml:space="preserve"> (tai juk galėtų būti karantiną lengvinanti priemonė). </w:t>
            </w:r>
          </w:p>
        </w:tc>
        <w:tc>
          <w:tcPr>
            <w:tcW w:w="5924" w:type="dxa"/>
          </w:tcPr>
          <w:p w:rsidR="00673A1F" w:rsidRPr="008B02E7" w:rsidRDefault="00673A1F" w:rsidP="008B02E7">
            <w:pPr>
              <w:jc w:val="both"/>
            </w:pPr>
            <w:r w:rsidRPr="006A6417">
              <w:t>Neatsižvelgta.</w:t>
            </w:r>
            <w:r>
              <w:t xml:space="preserve"> </w:t>
            </w:r>
            <w:r w:rsidRPr="00673A1F">
              <w:t>Aprašo 12 punkte nurodoma, jog veiklos tikslas “&lt;…&gt; plėtoti taikomąsias žinias, prisidedančias įgyvendinant mokslinių tyrimų ir eksperimentinės plėtros ir inovacijų raidos (sumaniosios specializacijos) prioritetų įgyvendinimo programą, ir skatinti mokslo ir studijų institucijas vykdyti  MTEP projektus, skirtus COVID-19 viruso ir/arba jo padarinių tyrimams.“ Pabrėžtina, kad ši veikla yra specifinė, skirta tirti COVID-19 pandemijos priežastis arba jos padarinius ir siūlyti sprendimus padarinių žalai mažinti. Visgi, šios veiklos projektai taip pat privalo atitikti Sumanios specializacijos prioritetus, o pastaboje nurodyta tematika gali atitikti Informacinių ryšių ir technologijų arba Naujų gamybos procesų, medžiag</w:t>
            </w:r>
            <w:r w:rsidR="00595647">
              <w:t>ų ir technologijų prioritetus, t</w:t>
            </w:r>
            <w:r w:rsidRPr="00673A1F">
              <w:t>odėl nėra būtinybės išskirti atskiras technologijas kaip priemonės tikslą.</w:t>
            </w:r>
          </w:p>
        </w:tc>
      </w:tr>
      <w:tr w:rsidR="00673A1F" w:rsidRPr="00781CA4" w:rsidTr="00FA6DD3">
        <w:tc>
          <w:tcPr>
            <w:tcW w:w="567" w:type="dxa"/>
          </w:tcPr>
          <w:p w:rsidR="00673A1F" w:rsidRPr="0038099D" w:rsidRDefault="00673A1F" w:rsidP="0036662A">
            <w:pPr>
              <w:pStyle w:val="Sraopastraipa"/>
              <w:numPr>
                <w:ilvl w:val="0"/>
                <w:numId w:val="1"/>
              </w:numPr>
              <w:jc w:val="both"/>
            </w:pPr>
          </w:p>
        </w:tc>
        <w:tc>
          <w:tcPr>
            <w:tcW w:w="1985" w:type="dxa"/>
            <w:vMerge/>
          </w:tcPr>
          <w:p w:rsidR="00673A1F" w:rsidRPr="0038099D" w:rsidRDefault="00673A1F" w:rsidP="00335D39"/>
        </w:tc>
        <w:tc>
          <w:tcPr>
            <w:tcW w:w="6266" w:type="dxa"/>
          </w:tcPr>
          <w:p w:rsidR="00673A1F" w:rsidRPr="00673A1F" w:rsidRDefault="00673A1F" w:rsidP="00673A1F">
            <w:pPr>
              <w:jc w:val="both"/>
            </w:pPr>
            <w:r w:rsidRPr="00673A1F">
              <w:t>Taip pat klausimas - kodėl 19 punkte tiek apribojimų mokslinio tyrimo vadovui? Siūlome lengvinti sąlygas.</w:t>
            </w:r>
          </w:p>
        </w:tc>
        <w:tc>
          <w:tcPr>
            <w:tcW w:w="5924" w:type="dxa"/>
          </w:tcPr>
          <w:p w:rsidR="00673A1F" w:rsidRPr="006A6417" w:rsidRDefault="00673A1F" w:rsidP="009F43EB">
            <w:pPr>
              <w:jc w:val="both"/>
            </w:pPr>
            <w:r w:rsidRPr="006A6417">
              <w:t>Neatsižvelgta. Aprašo 19 punkte išvardintus apribojimus numatoma taikyti atsiž</w:t>
            </w:r>
            <w:r w:rsidR="00F51546" w:rsidRPr="006A6417">
              <w:t>velgiant į būtinybę mažinti d</w:t>
            </w:r>
            <w:r w:rsidRPr="006A6417">
              <w:t>vigubo finansavimo riziką – t.</w:t>
            </w:r>
            <w:r w:rsidR="00F51546" w:rsidRPr="006A6417">
              <w:t xml:space="preserve"> </w:t>
            </w:r>
            <w:r w:rsidRPr="006A6417">
              <w:t>y</w:t>
            </w:r>
            <w:r w:rsidR="00F51546" w:rsidRPr="006A6417">
              <w:t>.</w:t>
            </w:r>
            <w:r w:rsidRPr="006A6417">
              <w:t>, siekiant išvengti rizikos, kad tos pačios veiklos (tyrimai) būtų finansuojamos daugiau nei vieną kartą.</w:t>
            </w:r>
          </w:p>
        </w:tc>
      </w:tr>
      <w:tr w:rsidR="00673A1F" w:rsidRPr="00C70D14" w:rsidTr="00FA6DD3">
        <w:tc>
          <w:tcPr>
            <w:tcW w:w="567" w:type="dxa"/>
          </w:tcPr>
          <w:p w:rsidR="00673A1F" w:rsidRPr="0038099D" w:rsidRDefault="00673A1F" w:rsidP="0036662A">
            <w:pPr>
              <w:pStyle w:val="Sraopastraipa"/>
              <w:numPr>
                <w:ilvl w:val="0"/>
                <w:numId w:val="1"/>
              </w:numPr>
              <w:jc w:val="both"/>
            </w:pPr>
          </w:p>
        </w:tc>
        <w:tc>
          <w:tcPr>
            <w:tcW w:w="1985" w:type="dxa"/>
            <w:vMerge/>
          </w:tcPr>
          <w:p w:rsidR="00673A1F" w:rsidRPr="00C70D14" w:rsidRDefault="00673A1F" w:rsidP="00335D39"/>
        </w:tc>
        <w:tc>
          <w:tcPr>
            <w:tcW w:w="6266" w:type="dxa"/>
          </w:tcPr>
          <w:p w:rsidR="00673A1F" w:rsidRPr="00673A1F" w:rsidRDefault="00673A1F" w:rsidP="00673A1F">
            <w:pPr>
              <w:jc w:val="both"/>
            </w:pPr>
            <w:r w:rsidRPr="00673A1F">
              <w:t>Dalis punktų nekoreliuoja - tikslas, nurodytas 12 punkte su 23.2 punktu.</w:t>
            </w:r>
          </w:p>
        </w:tc>
        <w:tc>
          <w:tcPr>
            <w:tcW w:w="5924" w:type="dxa"/>
          </w:tcPr>
          <w:p w:rsidR="00F51546" w:rsidRPr="00F51546" w:rsidRDefault="00F51546" w:rsidP="00F51546">
            <w:pPr>
              <w:jc w:val="both"/>
              <w:rPr>
                <w:rFonts w:eastAsia="Calibri"/>
                <w:szCs w:val="24"/>
                <w:lang w:eastAsia="en-US"/>
              </w:rPr>
            </w:pPr>
            <w:r w:rsidRPr="006A6417">
              <w:t>Atsižvelgta.</w:t>
            </w:r>
            <w:r>
              <w:t xml:space="preserve"> </w:t>
            </w:r>
            <w:r w:rsidRPr="00F51546">
              <w:rPr>
                <w:rFonts w:eastAsia="Calibri"/>
                <w:szCs w:val="24"/>
                <w:lang w:eastAsia="en-US"/>
              </w:rPr>
              <w:t>Aprašo 12 punktas bus patikslintas ir išdėstytas taip:</w:t>
            </w:r>
          </w:p>
          <w:p w:rsidR="00673A1F" w:rsidRPr="00162876" w:rsidRDefault="00F51546" w:rsidP="00F51546">
            <w:pPr>
              <w:jc w:val="both"/>
            </w:pPr>
            <w:r w:rsidRPr="00F51546">
              <w:rPr>
                <w:rFonts w:eastAsia="Calibri"/>
                <w:szCs w:val="24"/>
                <w:lang w:eastAsia="en-US"/>
              </w:rPr>
              <w:t xml:space="preserve">“12. Aprašo 11 punkte nurodytos veiklos tikslas – plėtoti taikomąsias žinias, prisidedančias įgyvendinant mokslinių tyrimų ir eksperimentinės plėtros ir inovacijų raidos (sumaniosios specializacijos) prioritetų įgyvendinimo programą, ir skatinti mokslo ir studijų institucijas vykdyti  MTEP projektus, </w:t>
            </w:r>
            <w:r w:rsidRPr="00F51546">
              <w:rPr>
                <w:rFonts w:eastAsia="Calibri"/>
                <w:b/>
                <w:i/>
                <w:szCs w:val="24"/>
                <w:lang w:eastAsia="en-US"/>
              </w:rPr>
              <w:t>prisidedančius prie COVID-19 viruso sukeliamų problemų mažinimo/sprendimo ir visuomenės atsparumo panašioms galimoms krizėms didinimo</w:t>
            </w:r>
            <w:r w:rsidRPr="00F51546">
              <w:rPr>
                <w:rFonts w:eastAsia="Calibri"/>
                <w:szCs w:val="24"/>
                <w:lang w:eastAsia="en-US"/>
              </w:rPr>
              <w:t>.”</w:t>
            </w:r>
          </w:p>
        </w:tc>
      </w:tr>
      <w:tr w:rsidR="00673A1F" w:rsidRPr="00C70D14" w:rsidTr="00FA6DD3">
        <w:tc>
          <w:tcPr>
            <w:tcW w:w="567" w:type="dxa"/>
          </w:tcPr>
          <w:p w:rsidR="00673A1F" w:rsidRPr="0038099D" w:rsidRDefault="00673A1F" w:rsidP="00177C66">
            <w:pPr>
              <w:pStyle w:val="Sraopastraipa"/>
              <w:numPr>
                <w:ilvl w:val="0"/>
                <w:numId w:val="1"/>
              </w:numPr>
              <w:jc w:val="both"/>
            </w:pPr>
          </w:p>
        </w:tc>
        <w:tc>
          <w:tcPr>
            <w:tcW w:w="1985" w:type="dxa"/>
            <w:vMerge/>
          </w:tcPr>
          <w:p w:rsidR="00673A1F" w:rsidRPr="00C70D14" w:rsidRDefault="00673A1F" w:rsidP="00177C66"/>
        </w:tc>
        <w:tc>
          <w:tcPr>
            <w:tcW w:w="6266" w:type="dxa"/>
          </w:tcPr>
          <w:p w:rsidR="00673A1F" w:rsidRPr="00673A1F" w:rsidRDefault="00673A1F" w:rsidP="00673A1F">
            <w:pPr>
              <w:spacing w:before="100" w:beforeAutospacing="1" w:after="100" w:afterAutospacing="1"/>
              <w:jc w:val="both"/>
              <w:rPr>
                <w:color w:val="000000"/>
                <w:szCs w:val="24"/>
                <w:lang w:eastAsia="en-GB"/>
              </w:rPr>
            </w:pPr>
            <w:r w:rsidRPr="00CA02F9">
              <w:rPr>
                <w:b/>
                <w:bCs/>
                <w:color w:val="000000"/>
                <w:szCs w:val="24"/>
                <w:lang w:eastAsia="en-GB"/>
              </w:rPr>
              <w:t xml:space="preserve">4.8 </w:t>
            </w:r>
            <w:r w:rsidRPr="00CA02F9">
              <w:rPr>
                <w:color w:val="000000"/>
                <w:szCs w:val="24"/>
                <w:lang w:eastAsia="en-GB"/>
              </w:rPr>
              <w:t>punkte du taškai; </w:t>
            </w:r>
            <w:r w:rsidRPr="00CA02F9">
              <w:rPr>
                <w:b/>
                <w:bCs/>
                <w:color w:val="000000"/>
                <w:szCs w:val="24"/>
                <w:lang w:eastAsia="en-GB"/>
              </w:rPr>
              <w:t>23.3.4</w:t>
            </w:r>
            <w:r w:rsidR="00595647">
              <w:rPr>
                <w:color w:val="000000"/>
                <w:szCs w:val="24"/>
                <w:lang w:eastAsia="en-GB"/>
              </w:rPr>
              <w:t xml:space="preserve"> punktas praleistas.</w:t>
            </w:r>
          </w:p>
        </w:tc>
        <w:tc>
          <w:tcPr>
            <w:tcW w:w="5924" w:type="dxa"/>
          </w:tcPr>
          <w:p w:rsidR="00673A1F" w:rsidRPr="006A6417" w:rsidRDefault="00F51546" w:rsidP="00CA02F9">
            <w:pPr>
              <w:jc w:val="both"/>
            </w:pPr>
            <w:r w:rsidRPr="006A6417">
              <w:t>Atsižvelgta.</w:t>
            </w:r>
          </w:p>
        </w:tc>
      </w:tr>
      <w:tr w:rsidR="00673A1F" w:rsidRPr="00C70D14" w:rsidTr="00FA6DD3">
        <w:tc>
          <w:tcPr>
            <w:tcW w:w="567" w:type="dxa"/>
          </w:tcPr>
          <w:p w:rsidR="00673A1F" w:rsidRPr="004A010A" w:rsidRDefault="00673A1F" w:rsidP="00566FB5">
            <w:pPr>
              <w:jc w:val="both"/>
            </w:pPr>
            <w:r w:rsidRPr="004A010A">
              <w:t>5.</w:t>
            </w:r>
          </w:p>
        </w:tc>
        <w:tc>
          <w:tcPr>
            <w:tcW w:w="1985" w:type="dxa"/>
            <w:vMerge/>
          </w:tcPr>
          <w:p w:rsidR="00673A1F" w:rsidRDefault="00673A1F" w:rsidP="009E02DD"/>
        </w:tc>
        <w:tc>
          <w:tcPr>
            <w:tcW w:w="6266" w:type="dxa"/>
          </w:tcPr>
          <w:p w:rsidR="00673A1F" w:rsidRPr="00673A1F" w:rsidRDefault="00673A1F" w:rsidP="00673A1F">
            <w:pPr>
              <w:spacing w:after="20"/>
              <w:contextualSpacing/>
              <w:jc w:val="both"/>
              <w:rPr>
                <w:szCs w:val="24"/>
              </w:rPr>
            </w:pPr>
            <w:r w:rsidRPr="00CA02F9">
              <w:rPr>
                <w:color w:val="000000"/>
                <w:szCs w:val="24"/>
                <w:lang w:eastAsia="en-GB"/>
              </w:rPr>
              <w:t xml:space="preserve">Klausimas dėl projektų trukmės - yra tik apribojimas, kad veiklos turi būti baigtos ne vėliau nei </w:t>
            </w:r>
            <w:r w:rsidRPr="00CA02F9">
              <w:rPr>
                <w:b/>
                <w:bCs/>
                <w:color w:val="000000"/>
                <w:szCs w:val="24"/>
                <w:lang w:eastAsia="en-GB"/>
              </w:rPr>
              <w:t>iki 2023 m. rugsėjo 1 d.</w:t>
            </w:r>
          </w:p>
        </w:tc>
        <w:tc>
          <w:tcPr>
            <w:tcW w:w="5924" w:type="dxa"/>
          </w:tcPr>
          <w:p w:rsidR="00673A1F" w:rsidRDefault="00F51546" w:rsidP="00277AAA">
            <w:pPr>
              <w:jc w:val="both"/>
            </w:pPr>
            <w:r>
              <w:t>Teikiamas p</w:t>
            </w:r>
            <w:r w:rsidRPr="00F51546">
              <w:t>aaiškinimas: Apraše nenustatyta mažiausia galima projekto trukmė – atsižvelgiant į tai, kad projektams įgyvendinti skirta nedaug laiko, nustatoma tik projekto veiklų įgyvendinimo pabaigos data.</w:t>
            </w:r>
          </w:p>
        </w:tc>
      </w:tr>
      <w:tr w:rsidR="00673A1F" w:rsidRPr="00C70D14" w:rsidTr="00FA6DD3">
        <w:tc>
          <w:tcPr>
            <w:tcW w:w="567" w:type="dxa"/>
          </w:tcPr>
          <w:p w:rsidR="00673A1F" w:rsidRPr="0038099D" w:rsidRDefault="00673A1F" w:rsidP="00566FB5">
            <w:pPr>
              <w:jc w:val="both"/>
            </w:pPr>
            <w:r>
              <w:t>6.</w:t>
            </w:r>
          </w:p>
        </w:tc>
        <w:tc>
          <w:tcPr>
            <w:tcW w:w="1985" w:type="dxa"/>
            <w:vMerge/>
          </w:tcPr>
          <w:p w:rsidR="00673A1F" w:rsidRDefault="00673A1F" w:rsidP="009E02DD"/>
        </w:tc>
        <w:tc>
          <w:tcPr>
            <w:tcW w:w="6266" w:type="dxa"/>
          </w:tcPr>
          <w:p w:rsidR="00673A1F" w:rsidRPr="00CA02F9" w:rsidRDefault="00673A1F" w:rsidP="00673A1F">
            <w:pPr>
              <w:spacing w:before="100" w:beforeAutospacing="1" w:after="100" w:afterAutospacing="1"/>
              <w:jc w:val="both"/>
              <w:rPr>
                <w:color w:val="000000"/>
                <w:szCs w:val="24"/>
                <w:lang w:eastAsia="en-GB"/>
              </w:rPr>
            </w:pPr>
            <w:r w:rsidRPr="00CA02F9">
              <w:rPr>
                <w:color w:val="000000"/>
                <w:szCs w:val="24"/>
                <w:lang w:eastAsia="en-GB"/>
              </w:rPr>
              <w:t>32 punktas atkartoja</w:t>
            </w:r>
            <w:r w:rsidRPr="00CA02F9">
              <w:rPr>
                <w:b/>
                <w:bCs/>
                <w:color w:val="000000"/>
                <w:szCs w:val="24"/>
                <w:lang w:eastAsia="en-GB"/>
              </w:rPr>
              <w:t xml:space="preserve"> 23.4.</w:t>
            </w:r>
          </w:p>
          <w:p w:rsidR="00673A1F" w:rsidRPr="00673A1F" w:rsidRDefault="00673A1F" w:rsidP="00673A1F">
            <w:pPr>
              <w:spacing w:after="20"/>
              <w:contextualSpacing/>
              <w:jc w:val="both"/>
              <w:rPr>
                <w:szCs w:val="24"/>
              </w:rPr>
            </w:pPr>
          </w:p>
        </w:tc>
        <w:tc>
          <w:tcPr>
            <w:tcW w:w="5924" w:type="dxa"/>
          </w:tcPr>
          <w:p w:rsidR="00673A1F" w:rsidRDefault="00F51546" w:rsidP="00A048F9">
            <w:pPr>
              <w:jc w:val="both"/>
            </w:pPr>
            <w:r>
              <w:t>Teikiamas p</w:t>
            </w:r>
            <w:r w:rsidRPr="00F51546">
              <w:t>aaiškini</w:t>
            </w:r>
            <w:r>
              <w:t>mas: Aprašo 23 punkte nurodomi s</w:t>
            </w:r>
            <w:r w:rsidRPr="00F51546">
              <w:t>pecialieji projektų atrankos kriterijai, nustatyti Stebė</w:t>
            </w:r>
            <w:r>
              <w:t>senos komiteto sprendimu</w:t>
            </w:r>
            <w:r w:rsidR="00595647">
              <w:t>, o</w:t>
            </w:r>
            <w:r w:rsidRPr="00F51546">
              <w:t xml:space="preserve"> Aprašo 32 punktas nurodo </w:t>
            </w:r>
            <w:proofErr w:type="spellStart"/>
            <w:r w:rsidR="0024693D" w:rsidRPr="00595647">
              <w:t>parengtumo</w:t>
            </w:r>
            <w:proofErr w:type="spellEnd"/>
            <w:r w:rsidR="0024693D" w:rsidRPr="00595647">
              <w:t xml:space="preserve"> reikalavimus, kuriuos pareiškėjas turi atitikti iki paraiškos pateikimo. Reikalavimas dubliuojasi, tačiau jis atitinka įprastą projektų finansavimo aprašų rengimo formą.</w:t>
            </w:r>
          </w:p>
        </w:tc>
      </w:tr>
      <w:tr w:rsidR="00673A1F" w:rsidRPr="00C70D14" w:rsidTr="00FA6DD3">
        <w:tc>
          <w:tcPr>
            <w:tcW w:w="567" w:type="dxa"/>
          </w:tcPr>
          <w:p w:rsidR="00673A1F" w:rsidRPr="0038099D" w:rsidRDefault="00673A1F" w:rsidP="00566FB5">
            <w:pPr>
              <w:jc w:val="both"/>
            </w:pPr>
            <w:r>
              <w:t>7.</w:t>
            </w:r>
          </w:p>
        </w:tc>
        <w:tc>
          <w:tcPr>
            <w:tcW w:w="1985" w:type="dxa"/>
            <w:vMerge/>
          </w:tcPr>
          <w:p w:rsidR="00673A1F" w:rsidRDefault="00673A1F" w:rsidP="009E02DD"/>
        </w:tc>
        <w:tc>
          <w:tcPr>
            <w:tcW w:w="6266" w:type="dxa"/>
          </w:tcPr>
          <w:p w:rsidR="00673A1F" w:rsidRPr="00CA02F9" w:rsidRDefault="00673A1F" w:rsidP="00673A1F">
            <w:pPr>
              <w:spacing w:before="100" w:beforeAutospacing="1" w:after="100" w:afterAutospacing="1"/>
              <w:jc w:val="both"/>
              <w:rPr>
                <w:color w:val="000000"/>
                <w:szCs w:val="24"/>
                <w:lang w:eastAsia="en-GB"/>
              </w:rPr>
            </w:pPr>
            <w:r w:rsidRPr="00CA02F9">
              <w:rPr>
                <w:color w:val="000000"/>
                <w:szCs w:val="24"/>
                <w:lang w:eastAsia="en-GB"/>
              </w:rPr>
              <w:t xml:space="preserve">65 punktas. Jeigu vadovaujantis Aprašo 63 </w:t>
            </w:r>
            <w:r w:rsidRPr="00CA02F9">
              <w:rPr>
                <w:b/>
                <w:bCs/>
                <w:color w:val="000000"/>
                <w:szCs w:val="24"/>
                <w:lang w:eastAsia="en-GB"/>
              </w:rPr>
              <w:t>(ne 63, o 64)</w:t>
            </w:r>
            <w:r w:rsidRPr="00CA02F9">
              <w:rPr>
                <w:color w:val="000000"/>
                <w:szCs w:val="24"/>
                <w:lang w:eastAsia="en-GB"/>
              </w:rPr>
              <w:t xml:space="preserve"> punktu paraiška teikiama raštu, ji gali būti teikiama vienu iš šių būdų.</w:t>
            </w:r>
          </w:p>
          <w:p w:rsidR="00673A1F" w:rsidRPr="00673A1F" w:rsidRDefault="00673A1F" w:rsidP="00673A1F">
            <w:pPr>
              <w:spacing w:after="20"/>
              <w:contextualSpacing/>
              <w:jc w:val="both"/>
              <w:rPr>
                <w:szCs w:val="24"/>
              </w:rPr>
            </w:pPr>
          </w:p>
        </w:tc>
        <w:tc>
          <w:tcPr>
            <w:tcW w:w="5924" w:type="dxa"/>
          </w:tcPr>
          <w:p w:rsidR="00F51546" w:rsidRPr="00F51546" w:rsidRDefault="00F51546" w:rsidP="00F51546">
            <w:pPr>
              <w:pStyle w:val="Komentarotekstas"/>
              <w:jc w:val="both"/>
              <w:rPr>
                <w:sz w:val="24"/>
                <w:szCs w:val="24"/>
              </w:rPr>
            </w:pPr>
            <w:r w:rsidRPr="006A6417">
              <w:rPr>
                <w:sz w:val="24"/>
                <w:szCs w:val="24"/>
              </w:rPr>
              <w:t>Atsižvelgta.</w:t>
            </w:r>
            <w:r>
              <w:rPr>
                <w:sz w:val="24"/>
                <w:szCs w:val="24"/>
              </w:rPr>
              <w:t xml:space="preserve"> </w:t>
            </w:r>
            <w:r w:rsidRPr="00F51546">
              <w:rPr>
                <w:sz w:val="24"/>
                <w:szCs w:val="24"/>
              </w:rPr>
              <w:t>Aprašo 65 punktas bus patikslintas ir išdėstytas taip:</w:t>
            </w:r>
          </w:p>
          <w:p w:rsidR="00673A1F" w:rsidRPr="00F51546" w:rsidRDefault="00F51546" w:rsidP="00F51546">
            <w:pPr>
              <w:pStyle w:val="Komentarotekstas"/>
              <w:jc w:val="both"/>
              <w:rPr>
                <w:sz w:val="24"/>
                <w:szCs w:val="24"/>
              </w:rPr>
            </w:pPr>
            <w:r w:rsidRPr="00F51546">
              <w:rPr>
                <w:sz w:val="24"/>
                <w:szCs w:val="24"/>
              </w:rPr>
              <w:t>„65. Jeigu vadovaujantis Aprašo 64 punktu paraiška teikiama raštu, ji gali būti teikiama vienu iš šių būdų &lt;…&gt;”</w:t>
            </w:r>
          </w:p>
        </w:tc>
      </w:tr>
      <w:tr w:rsidR="00673A1F" w:rsidRPr="00C70D14" w:rsidTr="00FA6DD3">
        <w:tc>
          <w:tcPr>
            <w:tcW w:w="567" w:type="dxa"/>
          </w:tcPr>
          <w:p w:rsidR="00673A1F" w:rsidRPr="0038099D" w:rsidRDefault="00673A1F" w:rsidP="00566FB5">
            <w:pPr>
              <w:jc w:val="both"/>
            </w:pPr>
            <w:r>
              <w:t>8.</w:t>
            </w:r>
          </w:p>
        </w:tc>
        <w:tc>
          <w:tcPr>
            <w:tcW w:w="1985" w:type="dxa"/>
            <w:vMerge/>
          </w:tcPr>
          <w:p w:rsidR="00673A1F" w:rsidRDefault="00673A1F" w:rsidP="009E02DD"/>
        </w:tc>
        <w:tc>
          <w:tcPr>
            <w:tcW w:w="6266" w:type="dxa"/>
          </w:tcPr>
          <w:p w:rsidR="00673A1F" w:rsidRPr="00CA02F9" w:rsidRDefault="00673A1F" w:rsidP="00673A1F">
            <w:pPr>
              <w:spacing w:before="100" w:beforeAutospacing="1" w:after="100" w:afterAutospacing="1"/>
              <w:jc w:val="both"/>
              <w:rPr>
                <w:color w:val="000000"/>
                <w:szCs w:val="24"/>
                <w:lang w:eastAsia="en-GB"/>
              </w:rPr>
            </w:pPr>
            <w:r w:rsidRPr="00CA02F9">
              <w:rPr>
                <w:color w:val="000000"/>
                <w:szCs w:val="24"/>
                <w:lang w:eastAsia="en-GB"/>
              </w:rPr>
              <w:t xml:space="preserve">70.5. mokslinio tyrimo grupės narių svarbiausių mokslo publikacijų ir kitos mokslinės produkcijos sąrašus (su išsamia bibliografine informacija, nuorodomis į </w:t>
            </w:r>
            <w:proofErr w:type="spellStart"/>
            <w:r w:rsidRPr="00CA02F9">
              <w:rPr>
                <w:i/>
                <w:iCs/>
                <w:color w:val="000000"/>
                <w:szCs w:val="24"/>
                <w:lang w:eastAsia="en-GB"/>
              </w:rPr>
              <w:t>Clarivate</w:t>
            </w:r>
            <w:proofErr w:type="spellEnd"/>
            <w:r w:rsidRPr="00CA02F9">
              <w:rPr>
                <w:i/>
                <w:iCs/>
                <w:color w:val="000000"/>
                <w:szCs w:val="24"/>
                <w:lang w:eastAsia="en-GB"/>
              </w:rPr>
              <w:t xml:space="preserve"> Analytics </w:t>
            </w:r>
            <w:proofErr w:type="spellStart"/>
            <w:r w:rsidRPr="00CA02F9">
              <w:rPr>
                <w:i/>
                <w:iCs/>
                <w:color w:val="000000"/>
                <w:szCs w:val="24"/>
                <w:lang w:eastAsia="en-GB"/>
              </w:rPr>
              <w:t>Web</w:t>
            </w:r>
            <w:proofErr w:type="spellEnd"/>
            <w:r w:rsidRPr="00CA02F9">
              <w:rPr>
                <w:i/>
                <w:iCs/>
                <w:color w:val="000000"/>
                <w:szCs w:val="24"/>
                <w:lang w:eastAsia="en-GB"/>
              </w:rPr>
              <w:t xml:space="preserve"> </w:t>
            </w:r>
            <w:proofErr w:type="spellStart"/>
            <w:r w:rsidRPr="00CA02F9">
              <w:rPr>
                <w:i/>
                <w:iCs/>
                <w:color w:val="000000"/>
                <w:szCs w:val="24"/>
                <w:lang w:eastAsia="en-GB"/>
              </w:rPr>
              <w:t>of</w:t>
            </w:r>
            <w:proofErr w:type="spellEnd"/>
            <w:r w:rsidRPr="00CA02F9">
              <w:rPr>
                <w:i/>
                <w:iCs/>
                <w:color w:val="000000"/>
                <w:szCs w:val="24"/>
                <w:lang w:eastAsia="en-GB"/>
              </w:rPr>
              <w:t xml:space="preserve"> </w:t>
            </w:r>
            <w:proofErr w:type="spellStart"/>
            <w:r w:rsidRPr="00CA02F9">
              <w:rPr>
                <w:i/>
                <w:iCs/>
                <w:color w:val="000000"/>
                <w:szCs w:val="24"/>
                <w:lang w:eastAsia="en-GB"/>
              </w:rPr>
              <w:t>Science</w:t>
            </w:r>
            <w:proofErr w:type="spellEnd"/>
            <w:r w:rsidRPr="00CA02F9">
              <w:rPr>
                <w:color w:val="000000"/>
                <w:szCs w:val="24"/>
                <w:lang w:eastAsia="en-GB"/>
              </w:rPr>
              <w:t xml:space="preserve"> ar kitą duomenų bazę ar viešai prieinamą šaltinį, </w:t>
            </w:r>
            <w:r w:rsidRPr="00CA02F9">
              <w:rPr>
                <w:color w:val="000000"/>
                <w:szCs w:val="24"/>
                <w:lang w:eastAsia="en-GB"/>
              </w:rPr>
              <w:lastRenderedPageBreak/>
              <w:t xml:space="preserve">kuris leistų patikrinti pateikiamą informaciją) (originalo kalba) - </w:t>
            </w:r>
            <w:r w:rsidRPr="00CA02F9">
              <w:rPr>
                <w:b/>
                <w:bCs/>
                <w:color w:val="000000"/>
                <w:szCs w:val="24"/>
                <w:lang w:eastAsia="en-GB"/>
              </w:rPr>
              <w:t>o koks produkcijos limitas?</w:t>
            </w:r>
          </w:p>
          <w:p w:rsidR="00673A1F" w:rsidRPr="00673A1F" w:rsidRDefault="00673A1F" w:rsidP="00673A1F">
            <w:pPr>
              <w:spacing w:after="20"/>
              <w:contextualSpacing/>
              <w:jc w:val="both"/>
              <w:rPr>
                <w:szCs w:val="24"/>
              </w:rPr>
            </w:pPr>
          </w:p>
        </w:tc>
        <w:tc>
          <w:tcPr>
            <w:tcW w:w="5924" w:type="dxa"/>
          </w:tcPr>
          <w:p w:rsidR="00673A1F" w:rsidRPr="00BF1E95" w:rsidRDefault="00F51546" w:rsidP="007431B6">
            <w:pPr>
              <w:jc w:val="both"/>
            </w:pPr>
            <w:r>
              <w:lastRenderedPageBreak/>
              <w:t>Teikiamas paaiškinimas</w:t>
            </w:r>
            <w:r w:rsidRPr="00F51546">
              <w:t xml:space="preserve">: Apraše nėra nurodomas privalomas pateikti publikacijų (ar kitos mokslinės produkcijos) skaičius. Šiuose sąrašuose pateikiamos svarbiausios publikacijos. Visgi, būtina atkreipti dėmesį, </w:t>
            </w:r>
            <w:r w:rsidRPr="00F51546">
              <w:lastRenderedPageBreak/>
              <w:t>kad Aprašo 2 ir 3 priedų  2-ojo kriterijaus vertinimo aspektų aprašyme nurodoma, jog “pagal šį kriterijų vertinami mokslinio tyrimo projekto vadovo pastarųjų 10 metų iki paraiškų pateikimo termino pabaigos moksliniai pasiekimai tarptautiniame kontekste, patirtis vykdyti ir vadovauti moksliniams tyrimams bei pajėgumas įgyvendinti teikiamą projektą. Projekto vadovo mokslinė kompetencija vertinama pagal gyvenimo aprašymą bei pateiktų mokslinių publikacijų ir kitos mokslinės produkcijos sąrašą”. Todėl pildant svarbiausių mokslo publikacijų sąrašą, būtina atsižvelgti į Aprašo 2 ir 3 prieduose pateikiamus vertinimo aprašymus.</w:t>
            </w:r>
          </w:p>
        </w:tc>
      </w:tr>
      <w:tr w:rsidR="00673A1F" w:rsidRPr="00C70D14" w:rsidTr="00FA6DD3">
        <w:tc>
          <w:tcPr>
            <w:tcW w:w="567" w:type="dxa"/>
          </w:tcPr>
          <w:p w:rsidR="00673A1F" w:rsidRPr="005B19A1" w:rsidRDefault="00673A1F" w:rsidP="00566FB5">
            <w:pPr>
              <w:jc w:val="both"/>
              <w:rPr>
                <w:lang w:val="en-GB"/>
              </w:rPr>
            </w:pPr>
            <w:r>
              <w:rPr>
                <w:lang w:val="en-GB"/>
              </w:rPr>
              <w:lastRenderedPageBreak/>
              <w:t>9.</w:t>
            </w:r>
          </w:p>
        </w:tc>
        <w:tc>
          <w:tcPr>
            <w:tcW w:w="1985" w:type="dxa"/>
            <w:vMerge/>
          </w:tcPr>
          <w:p w:rsidR="00673A1F" w:rsidRDefault="00673A1F" w:rsidP="005B19A1"/>
        </w:tc>
        <w:tc>
          <w:tcPr>
            <w:tcW w:w="6266" w:type="dxa"/>
          </w:tcPr>
          <w:p w:rsidR="00673A1F" w:rsidRPr="00CA02F9" w:rsidRDefault="00673A1F" w:rsidP="00673A1F">
            <w:pPr>
              <w:spacing w:before="100" w:beforeAutospacing="1" w:after="100" w:afterAutospacing="1"/>
              <w:jc w:val="both"/>
              <w:rPr>
                <w:color w:val="000000"/>
                <w:szCs w:val="24"/>
                <w:lang w:eastAsia="en-GB"/>
              </w:rPr>
            </w:pPr>
            <w:r w:rsidRPr="00CA02F9">
              <w:rPr>
                <w:color w:val="000000"/>
                <w:szCs w:val="24"/>
                <w:lang w:eastAsia="en-GB"/>
              </w:rPr>
              <w:t xml:space="preserve">72. Įgyvendinančioji institucija atlieka projekto tinkamumo finansuoti vertinimą Projektų taisyklių 14 ir 15 skirsniuose nustatyta tvarka pagal Aprašo 1 priede nustatytus reikalavimus, taip pat projekto naudos ir kokybės vertinimą Projektų taisyklių 14 ir 16 skirsniuose nustatyta tvarka pagal Aprašo 2 priede nustatytus reikalavimus. Visų pagal kvietimą teikti paraiškas pateiktų projektų tinkamumo finansuoti vertinimo rezultatai nurodomi projektų tinkamumo finansuoti vertinimo atskaitoje. - </w:t>
            </w:r>
            <w:r w:rsidRPr="00CA02F9">
              <w:rPr>
                <w:b/>
                <w:bCs/>
                <w:color w:val="000000"/>
                <w:szCs w:val="24"/>
                <w:lang w:eastAsia="en-GB"/>
              </w:rPr>
              <w:t>O Aprašo 3 priedo reikalavimai?</w:t>
            </w:r>
          </w:p>
          <w:p w:rsidR="00673A1F" w:rsidRPr="00673A1F" w:rsidRDefault="00673A1F" w:rsidP="00673A1F">
            <w:pPr>
              <w:spacing w:after="20"/>
              <w:contextualSpacing/>
              <w:jc w:val="both"/>
              <w:rPr>
                <w:bCs/>
              </w:rPr>
            </w:pPr>
          </w:p>
        </w:tc>
        <w:tc>
          <w:tcPr>
            <w:tcW w:w="5924" w:type="dxa"/>
          </w:tcPr>
          <w:p w:rsidR="00F51546" w:rsidRPr="00F51546" w:rsidRDefault="00F51546" w:rsidP="00F51546">
            <w:pPr>
              <w:jc w:val="both"/>
              <w:rPr>
                <w:rFonts w:eastAsia="Calibri"/>
                <w:szCs w:val="24"/>
                <w:lang w:eastAsia="en-US"/>
              </w:rPr>
            </w:pPr>
            <w:r w:rsidRPr="006A6417">
              <w:rPr>
                <w:rFonts w:eastAsia="Calibri"/>
                <w:szCs w:val="24"/>
                <w:lang w:eastAsia="en-US"/>
              </w:rPr>
              <w:t>Atsižvelgta.</w:t>
            </w:r>
            <w:r>
              <w:rPr>
                <w:rFonts w:eastAsia="Calibri"/>
                <w:b/>
                <w:szCs w:val="24"/>
                <w:lang w:eastAsia="en-US"/>
              </w:rPr>
              <w:t xml:space="preserve"> </w:t>
            </w:r>
            <w:r w:rsidRPr="00F51546">
              <w:rPr>
                <w:rFonts w:eastAsia="Calibri"/>
                <w:szCs w:val="24"/>
                <w:lang w:eastAsia="en-US"/>
              </w:rPr>
              <w:t>Aprašo 72 punktas bus patikslintas ir išdėstytas taip:</w:t>
            </w:r>
          </w:p>
          <w:p w:rsidR="00673A1F" w:rsidRPr="00927183" w:rsidRDefault="00F51546" w:rsidP="00F51546">
            <w:pPr>
              <w:jc w:val="both"/>
            </w:pPr>
            <w:r w:rsidRPr="00F51546">
              <w:rPr>
                <w:rFonts w:eastAsia="Calibri"/>
                <w:szCs w:val="24"/>
                <w:lang w:eastAsia="en-US"/>
              </w:rPr>
              <w:t xml:space="preserve">„72. </w:t>
            </w:r>
            <w:r w:rsidRPr="00F51546">
              <w:rPr>
                <w:color w:val="000000"/>
                <w:szCs w:val="24"/>
                <w:lang w:eastAsia="en-US"/>
              </w:rPr>
              <w:t xml:space="preserve">Įgyvendinančioji institucija atlieka projekto tinkamumo finansuoti vertinimą Projektų taisyklių 14 ir 15 skirsniuose nustatyta tvarka pagal Aprašo 1 priede nustatytus reikalavimus, taip pat projekto naudos ir kokybės vertinimą Projektų taisyklių 14 ir 16 skirsniuose nustatyta tvarka pagal Aprašo 2 </w:t>
            </w:r>
            <w:r w:rsidRPr="00F51546">
              <w:rPr>
                <w:i/>
                <w:color w:val="000000"/>
                <w:szCs w:val="24"/>
                <w:lang w:eastAsia="en-US"/>
              </w:rPr>
              <w:t>arba 3 prieduose</w:t>
            </w:r>
            <w:r w:rsidRPr="00F51546">
              <w:rPr>
                <w:color w:val="000000"/>
                <w:szCs w:val="24"/>
                <w:lang w:eastAsia="en-US"/>
              </w:rPr>
              <w:t xml:space="preserve"> nustatytus reikalavimus </w:t>
            </w:r>
            <w:r w:rsidRPr="00F51546">
              <w:rPr>
                <w:i/>
                <w:color w:val="000000"/>
                <w:szCs w:val="24"/>
                <w:lang w:eastAsia="en-US"/>
              </w:rPr>
              <w:t>(Aprašo 2 priedas taikomas vertinant socialinių arba humanitarinių mokslų sričių projektus; Aprašo 3 priedas taikomas vertinant gamtoms, technologijos, medicinos ir sveikatos bei žemės ūkio mokslų sričių projektus)</w:t>
            </w:r>
            <w:r w:rsidRPr="00F51546">
              <w:rPr>
                <w:color w:val="000000"/>
                <w:szCs w:val="24"/>
                <w:lang w:eastAsia="en-US"/>
              </w:rPr>
              <w:t>. Visų pagal kvietimą teikti paraiškas pateiktų projektų tinkamumo finansuoti vertinimo rezultatai nurodomi projektų tinkamumo finansuoti vertinimo atskaitoje.</w:t>
            </w:r>
          </w:p>
        </w:tc>
      </w:tr>
      <w:tr w:rsidR="00673A1F" w:rsidRPr="00C70D14" w:rsidTr="00FA6DD3">
        <w:tc>
          <w:tcPr>
            <w:tcW w:w="567" w:type="dxa"/>
          </w:tcPr>
          <w:p w:rsidR="00673A1F" w:rsidRDefault="00673A1F" w:rsidP="00566FB5">
            <w:pPr>
              <w:jc w:val="both"/>
            </w:pPr>
            <w:r>
              <w:t>10.</w:t>
            </w:r>
          </w:p>
        </w:tc>
        <w:tc>
          <w:tcPr>
            <w:tcW w:w="1985" w:type="dxa"/>
            <w:vMerge/>
          </w:tcPr>
          <w:p w:rsidR="00673A1F" w:rsidRDefault="00673A1F" w:rsidP="009E02DD"/>
        </w:tc>
        <w:tc>
          <w:tcPr>
            <w:tcW w:w="6266" w:type="dxa"/>
          </w:tcPr>
          <w:p w:rsidR="00673A1F" w:rsidRPr="00673A1F" w:rsidRDefault="00673A1F" w:rsidP="00673A1F">
            <w:pPr>
              <w:spacing w:after="20"/>
              <w:contextualSpacing/>
              <w:jc w:val="both"/>
              <w:rPr>
                <w:bCs/>
              </w:rPr>
            </w:pPr>
            <w:r w:rsidRPr="00673A1F">
              <w:rPr>
                <w:bCs/>
              </w:rPr>
              <w:t xml:space="preserve">79.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w:t>
            </w:r>
            <w:r w:rsidRPr="00673A1F">
              <w:rPr>
                <w:bCs/>
              </w:rPr>
              <w:lastRenderedPageBreak/>
              <w:t xml:space="preserve">sprendimu.  Apie naują paraiškų vertinimo terminą įgyvendinančioji institucija turi informuoti pareiškėjus per DMS ir </w:t>
            </w:r>
            <w:r w:rsidRPr="005F5DA5">
              <w:rPr>
                <w:b/>
                <w:bCs/>
              </w:rPr>
              <w:t>ministeriją</w:t>
            </w:r>
            <w:r w:rsidRPr="00673A1F">
              <w:rPr>
                <w:bCs/>
              </w:rPr>
              <w:t xml:space="preserve"> raštu.</w:t>
            </w:r>
          </w:p>
        </w:tc>
        <w:tc>
          <w:tcPr>
            <w:tcW w:w="5924" w:type="dxa"/>
          </w:tcPr>
          <w:p w:rsidR="00673A1F" w:rsidRPr="0024693D" w:rsidRDefault="0024693D" w:rsidP="00E47ADE">
            <w:pPr>
              <w:jc w:val="both"/>
            </w:pPr>
            <w:r w:rsidRPr="006A6417">
              <w:lastRenderedPageBreak/>
              <w:t>Atsižvelgta.</w:t>
            </w:r>
            <w:r w:rsidRPr="00595647">
              <w:t xml:space="preserve"> Tekstas patikslintas pagal 5 p. nurodytą santrumpą.</w:t>
            </w:r>
          </w:p>
        </w:tc>
      </w:tr>
      <w:tr w:rsidR="00673A1F" w:rsidRPr="00C70D14" w:rsidTr="00FA6DD3">
        <w:tc>
          <w:tcPr>
            <w:tcW w:w="567" w:type="dxa"/>
          </w:tcPr>
          <w:p w:rsidR="00673A1F" w:rsidRDefault="00673A1F" w:rsidP="00566FB5">
            <w:pPr>
              <w:jc w:val="both"/>
            </w:pPr>
            <w:r>
              <w:t>11.</w:t>
            </w:r>
          </w:p>
        </w:tc>
        <w:tc>
          <w:tcPr>
            <w:tcW w:w="1985" w:type="dxa"/>
            <w:vMerge/>
          </w:tcPr>
          <w:p w:rsidR="00673A1F" w:rsidRDefault="00673A1F" w:rsidP="009E02DD"/>
        </w:tc>
        <w:tc>
          <w:tcPr>
            <w:tcW w:w="6266" w:type="dxa"/>
          </w:tcPr>
          <w:p w:rsidR="00673A1F" w:rsidRPr="00673A1F" w:rsidRDefault="00673A1F" w:rsidP="00673A1F">
            <w:pPr>
              <w:spacing w:before="100" w:beforeAutospacing="1" w:after="100" w:afterAutospacing="1"/>
              <w:jc w:val="both"/>
              <w:rPr>
                <w:color w:val="000000"/>
                <w:szCs w:val="24"/>
                <w:lang w:eastAsia="en-GB"/>
              </w:rPr>
            </w:pPr>
            <w:r w:rsidRPr="00CA02F9">
              <w:rPr>
                <w:color w:val="000000"/>
                <w:szCs w:val="24"/>
                <w:lang w:eastAsia="en-GB"/>
              </w:rPr>
              <w:t>80 punktas. Neminimas 25 Aprašo punktas.</w:t>
            </w:r>
          </w:p>
        </w:tc>
        <w:tc>
          <w:tcPr>
            <w:tcW w:w="5924" w:type="dxa"/>
          </w:tcPr>
          <w:p w:rsidR="00673A1F" w:rsidRPr="005F5DA5" w:rsidRDefault="005F5DA5" w:rsidP="00A048F9">
            <w:pPr>
              <w:jc w:val="both"/>
              <w:rPr>
                <w:b/>
              </w:rPr>
            </w:pPr>
            <w:r w:rsidRPr="006A6417">
              <w:t>Neatsižvelgta.</w:t>
            </w:r>
            <w:r w:rsidRPr="005F5DA5">
              <w:rPr>
                <w:rFonts w:eastAsia="Calibri"/>
                <w:szCs w:val="24"/>
                <w:lang w:eastAsia="en-US"/>
              </w:rPr>
              <w:t xml:space="preserve"> Aprašo 80 punktas nurodo, kad paraiška atmetama dėl priežasčių, nurodytų Aprašo 20 punkte arba punkte arba Projektų taisyklių 14–16 skirsniuose. Projektų taisyklių 14 skirsnis nustato Paraiškų vertinimo organizavimo tvarką; Projektų taisyklių 15 skirsnis nustato projektų tinkamumo finansuoti vertinimo tvarką; Projektų taisyklių 16 skirsnis nustato Projektų naudos ir kokybės vertinimo tvarką – šiuose skirsniuose taip pat aptariamos ir paraiškų atmetimo taisyklės ir sąlygos, todėl Apraše nebekartojamos.</w:t>
            </w:r>
          </w:p>
        </w:tc>
      </w:tr>
      <w:tr w:rsidR="00261039" w:rsidRPr="00C70D14" w:rsidTr="00FA6DD3">
        <w:tc>
          <w:tcPr>
            <w:tcW w:w="567" w:type="dxa"/>
          </w:tcPr>
          <w:p w:rsidR="00261039" w:rsidRPr="00261039" w:rsidRDefault="00261039" w:rsidP="00566FB5">
            <w:pPr>
              <w:jc w:val="both"/>
              <w:rPr>
                <w:lang w:val="en-GB"/>
              </w:rPr>
            </w:pPr>
            <w:r>
              <w:rPr>
                <w:lang w:val="en-GB"/>
              </w:rPr>
              <w:t>12.</w:t>
            </w:r>
          </w:p>
        </w:tc>
        <w:tc>
          <w:tcPr>
            <w:tcW w:w="1985" w:type="dxa"/>
            <w:vMerge w:val="restart"/>
          </w:tcPr>
          <w:p w:rsidR="00261039" w:rsidRDefault="00261039" w:rsidP="009E02DD"/>
        </w:tc>
        <w:tc>
          <w:tcPr>
            <w:tcW w:w="6266" w:type="dxa"/>
          </w:tcPr>
          <w:p w:rsidR="00261039" w:rsidRPr="00673A1F" w:rsidRDefault="00CA02F9" w:rsidP="00673A1F">
            <w:pPr>
              <w:spacing w:before="100" w:beforeAutospacing="1" w:after="100" w:afterAutospacing="1"/>
              <w:jc w:val="both"/>
              <w:rPr>
                <w:color w:val="000000"/>
                <w:szCs w:val="24"/>
                <w:lang w:eastAsia="en-GB"/>
              </w:rPr>
            </w:pPr>
            <w:r w:rsidRPr="00CA02F9">
              <w:rPr>
                <w:color w:val="000000"/>
                <w:szCs w:val="24"/>
                <w:lang w:eastAsia="en-GB"/>
              </w:rPr>
              <w:t>88. Įgyvendinančioji institucija, suderinusi su Ministerija, gali neorganizuoti baigiamojo paraiškų vertinimo rezultatų aptarimo, numatyto Aprašo 90 punkte, jei visoms pagal kvietimą teikti paraiškas naudos ir kokybės vertinimo metu pripažintoms galimomis finansuoti paraiškoms finansuoti užtenka kvietimui teikti paraiškas skirtos lėšų sumos. (</w:t>
            </w:r>
            <w:r w:rsidRPr="00CA02F9">
              <w:rPr>
                <w:b/>
                <w:bCs/>
                <w:color w:val="000000"/>
                <w:szCs w:val="24"/>
                <w:lang w:eastAsia="en-GB"/>
              </w:rPr>
              <w:t>ne 90 punktas</w:t>
            </w:r>
            <w:r w:rsidRPr="00CA02F9">
              <w:rPr>
                <w:color w:val="000000"/>
                <w:szCs w:val="24"/>
                <w:lang w:eastAsia="en-GB"/>
              </w:rPr>
              <w:t>)</w:t>
            </w:r>
            <w:r w:rsidR="005F5DA5">
              <w:rPr>
                <w:color w:val="000000"/>
                <w:szCs w:val="24"/>
                <w:lang w:eastAsia="en-GB"/>
              </w:rPr>
              <w:t>.</w:t>
            </w:r>
          </w:p>
        </w:tc>
        <w:tc>
          <w:tcPr>
            <w:tcW w:w="5924" w:type="dxa"/>
          </w:tcPr>
          <w:p w:rsidR="005F5DA5" w:rsidRPr="005F5DA5" w:rsidRDefault="005F5DA5" w:rsidP="00595647">
            <w:pPr>
              <w:spacing w:line="259" w:lineRule="auto"/>
              <w:jc w:val="both"/>
              <w:rPr>
                <w:rFonts w:eastAsia="Calibri"/>
                <w:szCs w:val="24"/>
                <w:lang w:eastAsia="en-US"/>
              </w:rPr>
            </w:pPr>
            <w:r w:rsidRPr="006A6417">
              <w:rPr>
                <w:rFonts w:eastAsia="Calibri"/>
                <w:szCs w:val="24"/>
                <w:lang w:eastAsia="en-US"/>
              </w:rPr>
              <w:t>Atsižvelgta.</w:t>
            </w:r>
            <w:r>
              <w:rPr>
                <w:rFonts w:eastAsia="Calibri"/>
                <w:szCs w:val="24"/>
                <w:lang w:eastAsia="en-US"/>
              </w:rPr>
              <w:t xml:space="preserve"> </w:t>
            </w:r>
            <w:r w:rsidRPr="005F5DA5">
              <w:rPr>
                <w:rFonts w:eastAsia="Calibri"/>
                <w:szCs w:val="24"/>
                <w:lang w:eastAsia="en-US"/>
              </w:rPr>
              <w:t>Aprašo 88 punktas bus patikslintas ir išdėstytas taip:</w:t>
            </w:r>
          </w:p>
          <w:p w:rsidR="009713F3" w:rsidRPr="00915D64" w:rsidRDefault="005F5DA5" w:rsidP="00595647">
            <w:pPr>
              <w:jc w:val="both"/>
              <w:rPr>
                <w:sz w:val="16"/>
                <w:szCs w:val="16"/>
              </w:rPr>
            </w:pPr>
            <w:r w:rsidRPr="005F5DA5">
              <w:rPr>
                <w:rFonts w:eastAsia="Calibri"/>
                <w:szCs w:val="24"/>
                <w:lang w:eastAsia="en-US"/>
              </w:rPr>
              <w:t xml:space="preserve">„88. Įgyvendinančioji institucija, suderinusi su Ministerija, gali neorganizuoti baigiamojo paraiškų vertinimo rezultatų aptarimo, numatyto </w:t>
            </w:r>
            <w:r w:rsidRPr="005F5DA5">
              <w:rPr>
                <w:rFonts w:eastAsia="Calibri"/>
                <w:i/>
                <w:szCs w:val="24"/>
                <w:lang w:eastAsia="en-US"/>
              </w:rPr>
              <w:t>Aprašo 87</w:t>
            </w:r>
            <w:r w:rsidRPr="005F5DA5">
              <w:rPr>
                <w:rFonts w:eastAsia="Calibri"/>
                <w:szCs w:val="24"/>
                <w:lang w:eastAsia="en-US"/>
              </w:rPr>
              <w:t xml:space="preserve"> punkte, jei visoms pagal kvietimą teikti paraiškas naudos ir kokybės vertinimo metu pripažintoms galimomis finansuoti paraiškoms finansuoti užtenka kvietimui teikti paraiškas skirtos lėšų sumos.“</w:t>
            </w:r>
          </w:p>
        </w:tc>
      </w:tr>
      <w:tr w:rsidR="00261039" w:rsidRPr="00C70D14" w:rsidTr="00673A1F">
        <w:trPr>
          <w:trHeight w:val="70"/>
        </w:trPr>
        <w:tc>
          <w:tcPr>
            <w:tcW w:w="567" w:type="dxa"/>
          </w:tcPr>
          <w:p w:rsidR="00261039" w:rsidRDefault="00261039" w:rsidP="00566FB5">
            <w:pPr>
              <w:jc w:val="both"/>
            </w:pPr>
            <w:r>
              <w:t>13.</w:t>
            </w:r>
          </w:p>
        </w:tc>
        <w:tc>
          <w:tcPr>
            <w:tcW w:w="1985" w:type="dxa"/>
            <w:vMerge/>
          </w:tcPr>
          <w:p w:rsidR="00261039" w:rsidRDefault="00261039" w:rsidP="009E02DD"/>
        </w:tc>
        <w:tc>
          <w:tcPr>
            <w:tcW w:w="6266" w:type="dxa"/>
          </w:tcPr>
          <w:p w:rsidR="00261039" w:rsidRPr="00673A1F" w:rsidRDefault="00CA02F9" w:rsidP="00673A1F">
            <w:pPr>
              <w:spacing w:before="100" w:beforeAutospacing="1" w:after="100" w:afterAutospacing="1"/>
              <w:jc w:val="both"/>
              <w:rPr>
                <w:color w:val="000000"/>
                <w:szCs w:val="24"/>
                <w:lang w:eastAsia="en-GB"/>
              </w:rPr>
            </w:pPr>
            <w:r w:rsidRPr="00CA02F9">
              <w:rPr>
                <w:color w:val="000000"/>
                <w:szCs w:val="24"/>
                <w:lang w:eastAsia="en-GB"/>
              </w:rPr>
              <w:t xml:space="preserve">90. Pareiškėjas per 3 darbo dienas nuo informacijos apie atrinktų projektų ataskaitos patvirtinimą išsiuntimo dienos turi teisę pateikti apeliaciją dėl paraiškos naudos ir kokybės vertinimo įgyvendinančiajai institucijai Konkursinio finansavimo taisyklėse nustatyta tvarka (taisyklės skelbiamos įgyvendinančiosios institucijos tinklalapyje </w:t>
            </w:r>
            <w:hyperlink r:id="rId5" w:history="1">
              <w:r w:rsidRPr="00673A1F">
                <w:rPr>
                  <w:color w:val="0000FF"/>
                  <w:szCs w:val="24"/>
                  <w:u w:val="single"/>
                  <w:lang w:eastAsia="en-GB"/>
                </w:rPr>
                <w:t>www.lmt.lt</w:t>
              </w:r>
            </w:hyperlink>
            <w:r w:rsidRPr="00CA02F9">
              <w:rPr>
                <w:color w:val="000000"/>
                <w:szCs w:val="24"/>
                <w:lang w:eastAsia="en-GB"/>
              </w:rPr>
              <w:t>). (</w:t>
            </w:r>
            <w:r w:rsidRPr="00CA02F9">
              <w:rPr>
                <w:b/>
                <w:bCs/>
                <w:color w:val="000000"/>
                <w:szCs w:val="24"/>
                <w:lang w:eastAsia="en-GB"/>
              </w:rPr>
              <w:t>siūlome ilginti terminą iki 5 d.</w:t>
            </w:r>
            <w:r w:rsidR="005F5DA5">
              <w:rPr>
                <w:b/>
                <w:bCs/>
                <w:color w:val="000000"/>
                <w:szCs w:val="24"/>
                <w:lang w:eastAsia="en-GB"/>
              </w:rPr>
              <w:t xml:space="preserve"> </w:t>
            </w:r>
            <w:r w:rsidRPr="00CA02F9">
              <w:rPr>
                <w:b/>
                <w:bCs/>
                <w:color w:val="000000"/>
                <w:szCs w:val="24"/>
                <w:lang w:eastAsia="en-GB"/>
              </w:rPr>
              <w:t>d.</w:t>
            </w:r>
            <w:r w:rsidRPr="00CA02F9">
              <w:rPr>
                <w:color w:val="000000"/>
                <w:szCs w:val="24"/>
                <w:lang w:eastAsia="en-GB"/>
              </w:rPr>
              <w:t>)</w:t>
            </w:r>
            <w:r w:rsidR="005F5DA5">
              <w:rPr>
                <w:color w:val="000000"/>
                <w:szCs w:val="24"/>
                <w:lang w:eastAsia="en-GB"/>
              </w:rPr>
              <w:t>.</w:t>
            </w:r>
          </w:p>
        </w:tc>
        <w:tc>
          <w:tcPr>
            <w:tcW w:w="5924" w:type="dxa"/>
          </w:tcPr>
          <w:p w:rsidR="00261039" w:rsidRPr="00927183" w:rsidRDefault="005F5DA5" w:rsidP="00A048F9">
            <w:pPr>
              <w:jc w:val="both"/>
            </w:pPr>
            <w:bookmarkStart w:id="0" w:name="_GoBack"/>
            <w:r w:rsidRPr="006A6417">
              <w:t>Neatsižvelgta.</w:t>
            </w:r>
            <w:bookmarkEnd w:id="0"/>
            <w:r>
              <w:t xml:space="preserve"> </w:t>
            </w:r>
            <w:r w:rsidRPr="005F5DA5">
              <w:rPr>
                <w:rFonts w:eastAsia="Calibri"/>
                <w:szCs w:val="24"/>
                <w:lang w:eastAsia="en-US"/>
              </w:rPr>
              <w:t>Apeliacijų teikimo bei nagrinėjimo tvarka nustatyta  Lietuvos mokslo tarybos pirmininko 2019 m. balandžio 4 d. įsakymu Nr. V-176 patvirtintų Lietuvos mokslo tarybos mokslo ir sklaidos projektų konkursinio finansavimo taisyklių IV skyriuje. Šių taisyklių 38 punktas nustato, jog “Apeliaciją apeliantas gali pateikti ne vėliau kaip per tris darbo dienas, einančias po pranešimo apie Tarybos pirmininko sprendimą dėl paraiškos administracinės patikros arba paraiškos ar ataskaitos ekspertinio įvertinimo išsiuntimo dienos.”</w:t>
            </w:r>
          </w:p>
        </w:tc>
      </w:tr>
    </w:tbl>
    <w:p w:rsidR="005C5ECB" w:rsidRPr="0036662A" w:rsidRDefault="005C5ECB">
      <w:pPr>
        <w:rPr>
          <w:b/>
          <w:bCs/>
          <w:caps/>
          <w:szCs w:val="24"/>
        </w:rPr>
      </w:pPr>
    </w:p>
    <w:sectPr w:rsidR="005C5ECB" w:rsidRPr="0036662A" w:rsidSect="0036662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6312"/>
    <w:multiLevelType w:val="multilevel"/>
    <w:tmpl w:val="DAD4A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783A78"/>
    <w:multiLevelType w:val="multilevel"/>
    <w:tmpl w:val="DAD4A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5F4A7C"/>
    <w:multiLevelType w:val="multilevel"/>
    <w:tmpl w:val="DAD4A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AE55C73"/>
    <w:multiLevelType w:val="multilevel"/>
    <w:tmpl w:val="DAD4A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AF52353"/>
    <w:multiLevelType w:val="multilevel"/>
    <w:tmpl w:val="DAD4A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1A07E67"/>
    <w:multiLevelType w:val="multilevel"/>
    <w:tmpl w:val="DAD4A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C104A4A"/>
    <w:multiLevelType w:val="multilevel"/>
    <w:tmpl w:val="DAD4A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01720F6"/>
    <w:multiLevelType w:val="hybridMultilevel"/>
    <w:tmpl w:val="845C2DCA"/>
    <w:lvl w:ilvl="0" w:tplc="22B841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1C2348"/>
    <w:multiLevelType w:val="multilevel"/>
    <w:tmpl w:val="6EEA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8E3D79"/>
    <w:multiLevelType w:val="hybridMultilevel"/>
    <w:tmpl w:val="220EC582"/>
    <w:lvl w:ilvl="0" w:tplc="49628CEE">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33D6AEE"/>
    <w:multiLevelType w:val="multilevel"/>
    <w:tmpl w:val="DAD4A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3904B88"/>
    <w:multiLevelType w:val="hybridMultilevel"/>
    <w:tmpl w:val="85AEECA6"/>
    <w:lvl w:ilvl="0" w:tplc="39D05E2E">
      <w:start w:val="1"/>
      <w:numFmt w:val="decimal"/>
      <w:lvlText w:val="%1)"/>
      <w:lvlJc w:val="left"/>
      <w:pPr>
        <w:ind w:left="1967" w:hanging="360"/>
      </w:pPr>
      <w:rPr>
        <w:rFonts w:hint="default"/>
      </w:r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12"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7D5206B3"/>
    <w:multiLevelType w:val="multilevel"/>
    <w:tmpl w:val="DAD4A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F6F1A94"/>
    <w:multiLevelType w:val="hybridMultilevel"/>
    <w:tmpl w:val="3138AFBC"/>
    <w:lvl w:ilvl="0" w:tplc="B57E2FF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1"/>
  </w:num>
  <w:num w:numId="3">
    <w:abstractNumId w:val="14"/>
  </w:num>
  <w:num w:numId="4">
    <w:abstractNumId w:val="9"/>
  </w:num>
  <w:num w:numId="5">
    <w:abstractNumId w:val="7"/>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3"/>
  </w:num>
  <w:num w:numId="10">
    <w:abstractNumId w:val="5"/>
  </w:num>
  <w:num w:numId="11">
    <w:abstractNumId w:val="1"/>
  </w:num>
  <w:num w:numId="12">
    <w:abstractNumId w:val="3"/>
  </w:num>
  <w:num w:numId="13">
    <w:abstractNumId w:val="0"/>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1428A"/>
    <w:rsid w:val="00016435"/>
    <w:rsid w:val="000240C4"/>
    <w:rsid w:val="00032985"/>
    <w:rsid w:val="00046DFE"/>
    <w:rsid w:val="00050427"/>
    <w:rsid w:val="00053D41"/>
    <w:rsid w:val="00070ED6"/>
    <w:rsid w:val="000A3FD2"/>
    <w:rsid w:val="000B1AF5"/>
    <w:rsid w:val="000B2D7C"/>
    <w:rsid w:val="000B753B"/>
    <w:rsid w:val="000D3EFE"/>
    <w:rsid w:val="000E1F0C"/>
    <w:rsid w:val="000E275C"/>
    <w:rsid w:val="000E7A99"/>
    <w:rsid w:val="000F5CE6"/>
    <w:rsid w:val="00105F91"/>
    <w:rsid w:val="00115372"/>
    <w:rsid w:val="001427D5"/>
    <w:rsid w:val="00156C8F"/>
    <w:rsid w:val="001577E4"/>
    <w:rsid w:val="00162876"/>
    <w:rsid w:val="001647E3"/>
    <w:rsid w:val="001745D6"/>
    <w:rsid w:val="00177946"/>
    <w:rsid w:val="00177C66"/>
    <w:rsid w:val="0018373E"/>
    <w:rsid w:val="00184FC3"/>
    <w:rsid w:val="00194702"/>
    <w:rsid w:val="001A5935"/>
    <w:rsid w:val="001C2F60"/>
    <w:rsid w:val="001D6507"/>
    <w:rsid w:val="001E4CE7"/>
    <w:rsid w:val="001E6748"/>
    <w:rsid w:val="001E67A5"/>
    <w:rsid w:val="0020434A"/>
    <w:rsid w:val="00210F85"/>
    <w:rsid w:val="00234AE2"/>
    <w:rsid w:val="00241C69"/>
    <w:rsid w:val="0024693D"/>
    <w:rsid w:val="00247BB5"/>
    <w:rsid w:val="00261039"/>
    <w:rsid w:val="00270AE5"/>
    <w:rsid w:val="00277AAA"/>
    <w:rsid w:val="002923A6"/>
    <w:rsid w:val="00296F21"/>
    <w:rsid w:val="002A27A2"/>
    <w:rsid w:val="002A7760"/>
    <w:rsid w:val="002C79BA"/>
    <w:rsid w:val="002D1973"/>
    <w:rsid w:val="002D4D56"/>
    <w:rsid w:val="002E1B28"/>
    <w:rsid w:val="002E249F"/>
    <w:rsid w:val="002F0881"/>
    <w:rsid w:val="00302056"/>
    <w:rsid w:val="003226E0"/>
    <w:rsid w:val="00330EC9"/>
    <w:rsid w:val="00333B27"/>
    <w:rsid w:val="003347E3"/>
    <w:rsid w:val="00341230"/>
    <w:rsid w:val="003529B3"/>
    <w:rsid w:val="00366151"/>
    <w:rsid w:val="0036662A"/>
    <w:rsid w:val="003865B8"/>
    <w:rsid w:val="003902F7"/>
    <w:rsid w:val="00397073"/>
    <w:rsid w:val="003A1AD9"/>
    <w:rsid w:val="003B2FAE"/>
    <w:rsid w:val="003E77A4"/>
    <w:rsid w:val="003F5676"/>
    <w:rsid w:val="004117D8"/>
    <w:rsid w:val="004136A8"/>
    <w:rsid w:val="00416F5E"/>
    <w:rsid w:val="004378EE"/>
    <w:rsid w:val="00452AAF"/>
    <w:rsid w:val="00475E13"/>
    <w:rsid w:val="00482B56"/>
    <w:rsid w:val="00491290"/>
    <w:rsid w:val="004972B9"/>
    <w:rsid w:val="004A010A"/>
    <w:rsid w:val="004A5F41"/>
    <w:rsid w:val="004C44BD"/>
    <w:rsid w:val="004D11D5"/>
    <w:rsid w:val="004E6B69"/>
    <w:rsid w:val="005004F3"/>
    <w:rsid w:val="0054453C"/>
    <w:rsid w:val="00547C74"/>
    <w:rsid w:val="005516A5"/>
    <w:rsid w:val="005533C2"/>
    <w:rsid w:val="00566FB5"/>
    <w:rsid w:val="00571253"/>
    <w:rsid w:val="00581B51"/>
    <w:rsid w:val="00592B0E"/>
    <w:rsid w:val="00593EE0"/>
    <w:rsid w:val="00595647"/>
    <w:rsid w:val="005B1293"/>
    <w:rsid w:val="005B19A1"/>
    <w:rsid w:val="005B79FB"/>
    <w:rsid w:val="005C5B4A"/>
    <w:rsid w:val="005C5ECB"/>
    <w:rsid w:val="005D7619"/>
    <w:rsid w:val="005E0604"/>
    <w:rsid w:val="005E7217"/>
    <w:rsid w:val="005F038F"/>
    <w:rsid w:val="005F0F88"/>
    <w:rsid w:val="005F5DA5"/>
    <w:rsid w:val="0060577E"/>
    <w:rsid w:val="006106A7"/>
    <w:rsid w:val="00630A28"/>
    <w:rsid w:val="00665BE2"/>
    <w:rsid w:val="00673A1F"/>
    <w:rsid w:val="00677B1E"/>
    <w:rsid w:val="006824CC"/>
    <w:rsid w:val="006A17CD"/>
    <w:rsid w:val="006A1E78"/>
    <w:rsid w:val="006A22E2"/>
    <w:rsid w:val="006A6417"/>
    <w:rsid w:val="006B0D85"/>
    <w:rsid w:val="006B207E"/>
    <w:rsid w:val="006B526A"/>
    <w:rsid w:val="006B75D2"/>
    <w:rsid w:val="006C0163"/>
    <w:rsid w:val="006C5CAB"/>
    <w:rsid w:val="006E16C9"/>
    <w:rsid w:val="00707C95"/>
    <w:rsid w:val="00717B29"/>
    <w:rsid w:val="00725988"/>
    <w:rsid w:val="0072623F"/>
    <w:rsid w:val="00741C32"/>
    <w:rsid w:val="00742585"/>
    <w:rsid w:val="007431B6"/>
    <w:rsid w:val="00747BC9"/>
    <w:rsid w:val="007537EC"/>
    <w:rsid w:val="00755C21"/>
    <w:rsid w:val="00761496"/>
    <w:rsid w:val="007769FC"/>
    <w:rsid w:val="00785A98"/>
    <w:rsid w:val="007B3E81"/>
    <w:rsid w:val="007D3038"/>
    <w:rsid w:val="007F5F38"/>
    <w:rsid w:val="0080172F"/>
    <w:rsid w:val="00807C2A"/>
    <w:rsid w:val="008359DC"/>
    <w:rsid w:val="008425EB"/>
    <w:rsid w:val="0085384B"/>
    <w:rsid w:val="00856EDA"/>
    <w:rsid w:val="008576A6"/>
    <w:rsid w:val="00860D08"/>
    <w:rsid w:val="00865C80"/>
    <w:rsid w:val="008663E3"/>
    <w:rsid w:val="0086799E"/>
    <w:rsid w:val="00876DBD"/>
    <w:rsid w:val="00885C3D"/>
    <w:rsid w:val="008933F5"/>
    <w:rsid w:val="008A53CB"/>
    <w:rsid w:val="008B02E7"/>
    <w:rsid w:val="008C3DAE"/>
    <w:rsid w:val="008D5F38"/>
    <w:rsid w:val="008E3C68"/>
    <w:rsid w:val="008F38C3"/>
    <w:rsid w:val="00915D64"/>
    <w:rsid w:val="00922AC2"/>
    <w:rsid w:val="00926630"/>
    <w:rsid w:val="00927183"/>
    <w:rsid w:val="00932F26"/>
    <w:rsid w:val="00933886"/>
    <w:rsid w:val="00933FED"/>
    <w:rsid w:val="00947C9D"/>
    <w:rsid w:val="00954EEB"/>
    <w:rsid w:val="00954F55"/>
    <w:rsid w:val="00956C1E"/>
    <w:rsid w:val="009626C5"/>
    <w:rsid w:val="009713F3"/>
    <w:rsid w:val="0097341D"/>
    <w:rsid w:val="00976162"/>
    <w:rsid w:val="00986DE4"/>
    <w:rsid w:val="0099342A"/>
    <w:rsid w:val="009A662F"/>
    <w:rsid w:val="009B3957"/>
    <w:rsid w:val="009B4714"/>
    <w:rsid w:val="009D3B8E"/>
    <w:rsid w:val="009D3BAD"/>
    <w:rsid w:val="009E02DD"/>
    <w:rsid w:val="009E1857"/>
    <w:rsid w:val="009E69E2"/>
    <w:rsid w:val="009F43EB"/>
    <w:rsid w:val="00A00DB1"/>
    <w:rsid w:val="00A048F9"/>
    <w:rsid w:val="00A17288"/>
    <w:rsid w:val="00A24DB0"/>
    <w:rsid w:val="00A2721F"/>
    <w:rsid w:val="00A35603"/>
    <w:rsid w:val="00A4128B"/>
    <w:rsid w:val="00A47552"/>
    <w:rsid w:val="00A47E71"/>
    <w:rsid w:val="00A52C00"/>
    <w:rsid w:val="00A54BBD"/>
    <w:rsid w:val="00A6632E"/>
    <w:rsid w:val="00A80ADA"/>
    <w:rsid w:val="00A845D7"/>
    <w:rsid w:val="00A91F0C"/>
    <w:rsid w:val="00AC4B6C"/>
    <w:rsid w:val="00AD5789"/>
    <w:rsid w:val="00AF0A0D"/>
    <w:rsid w:val="00AF25D0"/>
    <w:rsid w:val="00AF2A89"/>
    <w:rsid w:val="00B0591B"/>
    <w:rsid w:val="00B06DF8"/>
    <w:rsid w:val="00B14AA0"/>
    <w:rsid w:val="00B26628"/>
    <w:rsid w:val="00B46548"/>
    <w:rsid w:val="00B7378D"/>
    <w:rsid w:val="00B75709"/>
    <w:rsid w:val="00B9676C"/>
    <w:rsid w:val="00BA3F54"/>
    <w:rsid w:val="00BB0B01"/>
    <w:rsid w:val="00BB11F7"/>
    <w:rsid w:val="00BB138B"/>
    <w:rsid w:val="00BC5BDA"/>
    <w:rsid w:val="00BD17AE"/>
    <w:rsid w:val="00BE1E8F"/>
    <w:rsid w:val="00BE2051"/>
    <w:rsid w:val="00BE6468"/>
    <w:rsid w:val="00BE6CC1"/>
    <w:rsid w:val="00BF1E95"/>
    <w:rsid w:val="00BF587A"/>
    <w:rsid w:val="00C1020A"/>
    <w:rsid w:val="00C25B44"/>
    <w:rsid w:val="00C3317D"/>
    <w:rsid w:val="00C33E49"/>
    <w:rsid w:val="00C35591"/>
    <w:rsid w:val="00C41BD5"/>
    <w:rsid w:val="00C41EDB"/>
    <w:rsid w:val="00C535B1"/>
    <w:rsid w:val="00C6260A"/>
    <w:rsid w:val="00C916C8"/>
    <w:rsid w:val="00C94B40"/>
    <w:rsid w:val="00C97E60"/>
    <w:rsid w:val="00CA02F9"/>
    <w:rsid w:val="00CA2E85"/>
    <w:rsid w:val="00CA6AE7"/>
    <w:rsid w:val="00CB2790"/>
    <w:rsid w:val="00CB505F"/>
    <w:rsid w:val="00CB5128"/>
    <w:rsid w:val="00CC0613"/>
    <w:rsid w:val="00CC78B0"/>
    <w:rsid w:val="00CD4886"/>
    <w:rsid w:val="00CE53AB"/>
    <w:rsid w:val="00CF105F"/>
    <w:rsid w:val="00CF2C5D"/>
    <w:rsid w:val="00CF7C87"/>
    <w:rsid w:val="00D05FBD"/>
    <w:rsid w:val="00D36CB5"/>
    <w:rsid w:val="00D548C8"/>
    <w:rsid w:val="00D54ED4"/>
    <w:rsid w:val="00D66763"/>
    <w:rsid w:val="00DA2D92"/>
    <w:rsid w:val="00DB3586"/>
    <w:rsid w:val="00DC5385"/>
    <w:rsid w:val="00DC7728"/>
    <w:rsid w:val="00DC7AB7"/>
    <w:rsid w:val="00DE1BD0"/>
    <w:rsid w:val="00DE693B"/>
    <w:rsid w:val="00E307F8"/>
    <w:rsid w:val="00E314FC"/>
    <w:rsid w:val="00E4515A"/>
    <w:rsid w:val="00E478D3"/>
    <w:rsid w:val="00E47926"/>
    <w:rsid w:val="00E47ADE"/>
    <w:rsid w:val="00E506C7"/>
    <w:rsid w:val="00E53DCA"/>
    <w:rsid w:val="00E548B1"/>
    <w:rsid w:val="00E55628"/>
    <w:rsid w:val="00E63582"/>
    <w:rsid w:val="00E6399A"/>
    <w:rsid w:val="00E642E4"/>
    <w:rsid w:val="00E71627"/>
    <w:rsid w:val="00E83C1C"/>
    <w:rsid w:val="00E95B1A"/>
    <w:rsid w:val="00EC036E"/>
    <w:rsid w:val="00EC0828"/>
    <w:rsid w:val="00EC6B07"/>
    <w:rsid w:val="00EF0A83"/>
    <w:rsid w:val="00EF5D3D"/>
    <w:rsid w:val="00F16636"/>
    <w:rsid w:val="00F17A0F"/>
    <w:rsid w:val="00F33018"/>
    <w:rsid w:val="00F43952"/>
    <w:rsid w:val="00F449CA"/>
    <w:rsid w:val="00F45F44"/>
    <w:rsid w:val="00F46B15"/>
    <w:rsid w:val="00F51546"/>
    <w:rsid w:val="00F56078"/>
    <w:rsid w:val="00F74AD4"/>
    <w:rsid w:val="00F7759E"/>
    <w:rsid w:val="00F8394C"/>
    <w:rsid w:val="00F85CC2"/>
    <w:rsid w:val="00FA1C73"/>
    <w:rsid w:val="00FA2FE9"/>
    <w:rsid w:val="00FA6DD3"/>
    <w:rsid w:val="00FB5749"/>
    <w:rsid w:val="00FD0EAB"/>
    <w:rsid w:val="00FE2A36"/>
    <w:rsid w:val="00FF15ED"/>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621DE0-12CE-47FE-9ED4-9E550B1C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662A"/>
    <w:pPr>
      <w:spacing w:after="0"/>
      <w:jc w:val="left"/>
    </w:pPr>
    <w:rPr>
      <w:rFonts w:eastAsia="Times New Roman"/>
      <w:szCs w:val="20"/>
      <w:lang w:eastAsia="lt-LT"/>
    </w:rPr>
  </w:style>
  <w:style w:type="paragraph" w:styleId="Antrat3">
    <w:name w:val="heading 3"/>
    <w:basedOn w:val="prastasis"/>
    <w:link w:val="Antrat3Diagrama"/>
    <w:uiPriority w:val="9"/>
    <w:qFormat/>
    <w:rsid w:val="00341230"/>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D05FBD"/>
    <w:rPr>
      <w:sz w:val="16"/>
      <w:szCs w:val="16"/>
    </w:rPr>
  </w:style>
  <w:style w:type="paragraph" w:styleId="Komentarotekstas">
    <w:name w:val="annotation text"/>
    <w:basedOn w:val="prastasis"/>
    <w:link w:val="KomentarotekstasDiagrama"/>
    <w:uiPriority w:val="99"/>
    <w:unhideWhenUsed/>
    <w:rsid w:val="00D05FBD"/>
    <w:rPr>
      <w:sz w:val="20"/>
    </w:rPr>
  </w:style>
  <w:style w:type="character" w:customStyle="1" w:styleId="KomentarotekstasDiagrama">
    <w:name w:val="Komentaro tekstas Diagrama"/>
    <w:basedOn w:val="Numatytasispastraiposriftas"/>
    <w:link w:val="Komentarotekstas"/>
    <w:uiPriority w:val="99"/>
    <w:rsid w:val="00D05FBD"/>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05FBD"/>
    <w:rPr>
      <w:b/>
      <w:bCs/>
    </w:rPr>
  </w:style>
  <w:style w:type="character" w:customStyle="1" w:styleId="KomentarotemaDiagrama">
    <w:name w:val="Komentaro tema Diagrama"/>
    <w:basedOn w:val="KomentarotekstasDiagrama"/>
    <w:link w:val="Komentarotema"/>
    <w:uiPriority w:val="99"/>
    <w:semiHidden/>
    <w:rsid w:val="00D05FBD"/>
    <w:rPr>
      <w:rFonts w:eastAsia="Times New Roman"/>
      <w:b/>
      <w:bCs/>
      <w:sz w:val="20"/>
      <w:szCs w:val="20"/>
      <w:lang w:eastAsia="lt-LT"/>
    </w:rPr>
  </w:style>
  <w:style w:type="character" w:styleId="Hipersaitas">
    <w:name w:val="Hyperlink"/>
    <w:basedOn w:val="Numatytasispastraiposriftas"/>
    <w:uiPriority w:val="99"/>
    <w:unhideWhenUsed/>
    <w:rsid w:val="00D05FBD"/>
    <w:rPr>
      <w:color w:val="0000FF" w:themeColor="hyperlink"/>
      <w:u w:val="single"/>
    </w:rPr>
  </w:style>
  <w:style w:type="paragraph" w:styleId="prastasiniatinklio">
    <w:name w:val="Normal (Web)"/>
    <w:basedOn w:val="prastasis"/>
    <w:uiPriority w:val="99"/>
    <w:semiHidden/>
    <w:unhideWhenUsed/>
    <w:rsid w:val="00986DE4"/>
    <w:pPr>
      <w:spacing w:before="100" w:beforeAutospacing="1" w:after="100" w:afterAutospacing="1"/>
    </w:pPr>
    <w:rPr>
      <w:szCs w:val="24"/>
    </w:rPr>
  </w:style>
  <w:style w:type="character" w:styleId="Emfaz">
    <w:name w:val="Emphasis"/>
    <w:basedOn w:val="Numatytasispastraiposriftas"/>
    <w:uiPriority w:val="20"/>
    <w:qFormat/>
    <w:rsid w:val="00986DE4"/>
    <w:rPr>
      <w:i/>
      <w:iCs/>
    </w:rPr>
  </w:style>
  <w:style w:type="character" w:styleId="Grietas">
    <w:name w:val="Strong"/>
    <w:basedOn w:val="Numatytasispastraiposriftas"/>
    <w:uiPriority w:val="22"/>
    <w:qFormat/>
    <w:rsid w:val="00986DE4"/>
    <w:rPr>
      <w:b/>
      <w:bCs/>
    </w:rPr>
  </w:style>
  <w:style w:type="character" w:customStyle="1" w:styleId="Antrat3Diagrama">
    <w:name w:val="Antraštė 3 Diagrama"/>
    <w:basedOn w:val="Numatytasispastraiposriftas"/>
    <w:link w:val="Antrat3"/>
    <w:uiPriority w:val="9"/>
    <w:rsid w:val="00341230"/>
    <w:rPr>
      <w:rFonts w:eastAsia="Times New Roman"/>
      <w:b/>
      <w:bCs/>
      <w:sz w:val="27"/>
      <w:szCs w:val="27"/>
      <w:lang w:eastAsia="lt-LT"/>
    </w:rPr>
  </w:style>
  <w:style w:type="character" w:customStyle="1" w:styleId="mw-headline">
    <w:name w:val="mw-headline"/>
    <w:basedOn w:val="Numatytasispastraiposriftas"/>
    <w:rsid w:val="00341230"/>
  </w:style>
  <w:style w:type="character" w:customStyle="1" w:styleId="mw-editsection">
    <w:name w:val="mw-editsection"/>
    <w:basedOn w:val="Numatytasispastraiposriftas"/>
    <w:rsid w:val="00341230"/>
  </w:style>
  <w:style w:type="character" w:customStyle="1" w:styleId="mw-editsection-bracket">
    <w:name w:val="mw-editsection-bracket"/>
    <w:basedOn w:val="Numatytasispastraiposriftas"/>
    <w:rsid w:val="00341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48686">
      <w:bodyDiv w:val="1"/>
      <w:marLeft w:val="0"/>
      <w:marRight w:val="0"/>
      <w:marTop w:val="0"/>
      <w:marBottom w:val="0"/>
      <w:divBdr>
        <w:top w:val="none" w:sz="0" w:space="0" w:color="auto"/>
        <w:left w:val="none" w:sz="0" w:space="0" w:color="auto"/>
        <w:bottom w:val="none" w:sz="0" w:space="0" w:color="auto"/>
        <w:right w:val="none" w:sz="0" w:space="0" w:color="auto"/>
      </w:divBdr>
    </w:div>
    <w:div w:id="271401994">
      <w:bodyDiv w:val="1"/>
      <w:marLeft w:val="0"/>
      <w:marRight w:val="0"/>
      <w:marTop w:val="0"/>
      <w:marBottom w:val="0"/>
      <w:divBdr>
        <w:top w:val="none" w:sz="0" w:space="0" w:color="auto"/>
        <w:left w:val="none" w:sz="0" w:space="0" w:color="auto"/>
        <w:bottom w:val="none" w:sz="0" w:space="0" w:color="auto"/>
        <w:right w:val="none" w:sz="0" w:space="0" w:color="auto"/>
      </w:divBdr>
    </w:div>
    <w:div w:id="435488286">
      <w:bodyDiv w:val="1"/>
      <w:marLeft w:val="0"/>
      <w:marRight w:val="0"/>
      <w:marTop w:val="0"/>
      <w:marBottom w:val="0"/>
      <w:divBdr>
        <w:top w:val="none" w:sz="0" w:space="0" w:color="auto"/>
        <w:left w:val="none" w:sz="0" w:space="0" w:color="auto"/>
        <w:bottom w:val="none" w:sz="0" w:space="0" w:color="auto"/>
        <w:right w:val="none" w:sz="0" w:space="0" w:color="auto"/>
      </w:divBdr>
    </w:div>
    <w:div w:id="462575952">
      <w:bodyDiv w:val="1"/>
      <w:marLeft w:val="0"/>
      <w:marRight w:val="0"/>
      <w:marTop w:val="0"/>
      <w:marBottom w:val="0"/>
      <w:divBdr>
        <w:top w:val="none" w:sz="0" w:space="0" w:color="auto"/>
        <w:left w:val="none" w:sz="0" w:space="0" w:color="auto"/>
        <w:bottom w:val="none" w:sz="0" w:space="0" w:color="auto"/>
        <w:right w:val="none" w:sz="0" w:space="0" w:color="auto"/>
      </w:divBdr>
    </w:div>
    <w:div w:id="1072695750">
      <w:bodyDiv w:val="1"/>
      <w:marLeft w:val="0"/>
      <w:marRight w:val="0"/>
      <w:marTop w:val="0"/>
      <w:marBottom w:val="0"/>
      <w:divBdr>
        <w:top w:val="none" w:sz="0" w:space="0" w:color="auto"/>
        <w:left w:val="none" w:sz="0" w:space="0" w:color="auto"/>
        <w:bottom w:val="none" w:sz="0" w:space="0" w:color="auto"/>
        <w:right w:val="none" w:sz="0" w:space="0" w:color="auto"/>
      </w:divBdr>
    </w:div>
    <w:div w:id="1115714907">
      <w:bodyDiv w:val="1"/>
      <w:marLeft w:val="0"/>
      <w:marRight w:val="0"/>
      <w:marTop w:val="0"/>
      <w:marBottom w:val="0"/>
      <w:divBdr>
        <w:top w:val="none" w:sz="0" w:space="0" w:color="auto"/>
        <w:left w:val="none" w:sz="0" w:space="0" w:color="auto"/>
        <w:bottom w:val="none" w:sz="0" w:space="0" w:color="auto"/>
        <w:right w:val="none" w:sz="0" w:space="0" w:color="auto"/>
      </w:divBdr>
    </w:div>
    <w:div w:id="172362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m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1424</Words>
  <Characters>8118</Characters>
  <Application>Microsoft Office Word</Application>
  <DocSecurity>0</DocSecurity>
  <Lines>67</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Gaidamavičienė Agnė</dc:creator>
  <cp:lastModifiedBy>Gaidamavičienė Agnė | ŠMSM</cp:lastModifiedBy>
  <cp:revision>6</cp:revision>
  <dcterms:created xsi:type="dcterms:W3CDTF">2021-01-08T09:37:00Z</dcterms:created>
  <dcterms:modified xsi:type="dcterms:W3CDTF">2021-01-12T09:24:00Z</dcterms:modified>
</cp:coreProperties>
</file>