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28AB3" w14:textId="4143A912" w:rsidR="00B97BA0" w:rsidRPr="002E6F65" w:rsidRDefault="00B97BA0" w:rsidP="00B97B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E6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Projektas</w:t>
      </w:r>
      <w:r w:rsidR="009464DA" w:rsidRPr="002E6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</w:p>
    <w:p w14:paraId="398FDAEE" w14:textId="77777777" w:rsidR="00B97BA0" w:rsidRPr="002E6F65" w:rsidRDefault="00B97BA0" w:rsidP="00B97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5ECEB77F" w14:textId="77777777" w:rsidR="00B97BA0" w:rsidRPr="002E6F65" w:rsidRDefault="00B97BA0" w:rsidP="00B97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E6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DVIDEŠIMT TREČIASIS SKIRSNIS</w:t>
      </w:r>
    </w:p>
    <w:p w14:paraId="3B627793" w14:textId="478305A9" w:rsidR="00B97BA0" w:rsidRPr="002E6F65" w:rsidRDefault="00B97BA0" w:rsidP="00B97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E6F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PRIEMONĖ NR. </w:t>
      </w:r>
      <w:r w:rsidR="007773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Pr="002E6F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3.3.1-L</w:t>
      </w:r>
      <w:r w:rsidR="00ED7595" w:rsidRPr="002E6F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VPA-</w:t>
      </w:r>
      <w:r w:rsidR="00CD661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</w:t>
      </w:r>
      <w:r w:rsidR="00ED7595" w:rsidRPr="002E6F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</w:t>
      </w:r>
      <w:r w:rsidR="00225D01" w:rsidRPr="002E6F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861 „</w:t>
      </w:r>
      <w:r w:rsidR="00225D01" w:rsidRPr="002E6F65">
        <w:rPr>
          <w:rFonts w:ascii="Times New Roman" w:hAnsi="Times New Roman" w:cs="Times New Roman"/>
          <w:b/>
          <w:bCs/>
          <w:sz w:val="24"/>
          <w:szCs w:val="24"/>
        </w:rPr>
        <w:t>Kūrybiniai čekiai COVID-19</w:t>
      </w:r>
      <w:r w:rsidR="00225D01" w:rsidRPr="002E6F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4B922695" w14:textId="77777777" w:rsidR="00B97BA0" w:rsidRPr="002E6F65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E6F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bookmarkStart w:id="0" w:name="_GoBack"/>
      <w:bookmarkEnd w:id="0"/>
    </w:p>
    <w:p w14:paraId="40DEF659" w14:textId="77777777" w:rsidR="00B97BA0" w:rsidRPr="002E6F65" w:rsidRDefault="00B97BA0" w:rsidP="00B97B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1" w:name="part_1273d9ae3846413896676827a83826cf"/>
      <w:bookmarkEnd w:id="1"/>
      <w:r w:rsidRPr="002E6F65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</w:tblGrid>
      <w:tr w:rsidR="00B97BA0" w:rsidRPr="00F05037" w14:paraId="6C5574CA" w14:textId="77777777" w:rsidTr="3EE1821D">
        <w:trPr>
          <w:trHeight w:val="288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D9477" w14:textId="377D52EC" w:rsidR="00B97BA0" w:rsidRPr="002E6F65" w:rsidRDefault="00B97BA0" w:rsidP="00FC72EF">
            <w:pPr>
              <w:spacing w:after="0" w:line="240" w:lineRule="auto"/>
              <w:ind w:left="2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6F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r</w:t>
            </w:r>
            <w:r w:rsidR="0053355A" w:rsidRPr="002E6F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egioninės plėtros fondo lėšomis</w:t>
            </w:r>
            <w:r w:rsidR="007E0085" w:rsidRPr="002E6F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bookmarkStart w:id="2" w:name="_Hlk55459841"/>
            <w:r w:rsidR="00433A24" w:rsidRPr="002E6F65">
              <w:rPr>
                <w:rFonts w:ascii="Times New Roman" w:hAnsi="Times New Roman" w:cs="Times New Roman"/>
                <w:sz w:val="24"/>
                <w:szCs w:val="24"/>
              </w:rPr>
              <w:t xml:space="preserve">pagal 2014–2020 m. Europos Sąjungos fondų investicijų veiksmų programos </w:t>
            </w:r>
            <w:r w:rsidR="00433A24" w:rsidRPr="002E6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 </w:t>
            </w:r>
            <w:proofErr w:type="spellStart"/>
            <w:r w:rsidR="00433A24" w:rsidRPr="002E6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prioritetą</w:t>
            </w:r>
            <w:proofErr w:type="spellEnd"/>
            <w:r w:rsidR="00433A24" w:rsidRPr="002E6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3A24" w:rsidRPr="002E6F6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33A24" w:rsidRPr="002E6F65">
              <w:rPr>
                <w:rFonts w:ascii="Times New Roman" w:hAnsi="Times New Roman" w:cs="Times New Roman"/>
                <w:iCs/>
                <w:sz w:val="24"/>
                <w:szCs w:val="24"/>
              </w:rPr>
              <w:t>Ekonomikos atsigavimo dėl COVID-19 skatinimas ir pasirengimas žaliajai skaitmeninei ekonomikos transformacijai</w:t>
            </w:r>
            <w:r w:rsidR="00433A24" w:rsidRPr="002E6F65">
              <w:rPr>
                <w:rFonts w:ascii="Times New Roman" w:hAnsi="Times New Roman" w:cs="Times New Roman"/>
                <w:sz w:val="24"/>
                <w:szCs w:val="24"/>
              </w:rPr>
              <w:t>“ 13.1.2 konkretų uždavinį „</w:t>
            </w:r>
            <w:r w:rsidR="00433A24" w:rsidRPr="002E6F65">
              <w:rPr>
                <w:rFonts w:ascii="Times New Roman" w:hAnsi="Times New Roman" w:cs="Times New Roman"/>
                <w:bCs/>
                <w:sz w:val="24"/>
                <w:szCs w:val="24"/>
              </w:rPr>
              <w:t>Skatinti skaitmeninimą ir inovacijas, siekiant įveikti COVID-19 pandemijos sukeltas pasekmes ekonomikai</w:t>
            </w:r>
            <w:r w:rsidR="00433A24" w:rsidRPr="002E6F65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  <w:bookmarkEnd w:id="2"/>
          </w:p>
        </w:tc>
      </w:tr>
      <w:tr w:rsidR="00B97BA0" w:rsidRPr="00F05037" w14:paraId="17A1B392" w14:textId="77777777" w:rsidTr="3EE1821D">
        <w:trPr>
          <w:trHeight w:val="564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683D" w14:textId="70A58111" w:rsidR="00B97BA0" w:rsidRPr="00F05037" w:rsidRDefault="3EE1821D" w:rsidP="00B97BA0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EE182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</w:t>
            </w:r>
            <w:r w:rsidRPr="3EE1821D">
              <w:rPr>
                <w:rFonts w:ascii="Times New Roman" w:eastAsia="Calibri" w:hAnsi="Times New Roman" w:cs="Times New Roman"/>
                <w:sz w:val="24"/>
                <w:szCs w:val="24"/>
              </w:rPr>
              <w:t>Skatinti skaitmeninimą ir inovacijas, siekiant įveikti COVID-19 pandemijos sukeltas pasekmes ekonomikai</w:t>
            </w:r>
            <w:r w:rsidRPr="3EE182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3EE18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3EE182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3EE18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</w:t>
            </w:r>
          </w:p>
        </w:tc>
      </w:tr>
      <w:tr w:rsidR="00B97BA0" w:rsidRPr="00F05037" w14:paraId="155D41C6" w14:textId="77777777" w:rsidTr="3EE1821D">
        <w:trPr>
          <w:trHeight w:val="638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29F7D" w14:textId="48316F82" w:rsidR="00B97BA0" w:rsidRPr="00F05037" w:rsidRDefault="00B97BA0" w:rsidP="00EE3B3B">
            <w:pPr>
              <w:autoSpaceDE w:val="0"/>
              <w:autoSpaceDN w:val="0"/>
              <w:adjustRightInd w:val="0"/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1.3. </w:t>
            </w:r>
            <w:r w:rsidR="004521A3" w:rsidRPr="00A0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Remiama veikla </w:t>
            </w:r>
            <w:r w:rsidR="00751D6F" w:rsidRPr="00A0309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4521A3" w:rsidRPr="00F05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4DD9" w:rsidRPr="00F05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originalių </w:t>
            </w:r>
            <w:r w:rsidR="002F5724" w:rsidRPr="00F05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produktų </w:t>
            </w:r>
            <w:r w:rsidR="00E04DD9" w:rsidRPr="00F05037">
              <w:rPr>
                <w:rFonts w:ascii="Times New Roman" w:eastAsia="Times New Roman" w:hAnsi="Times New Roman" w:cs="Times New Roman"/>
                <w:sz w:val="24"/>
                <w:szCs w:val="24"/>
              </w:rPr>
              <w:t>sprendimų (</w:t>
            </w:r>
            <w:r w:rsidR="00846DD7" w:rsidRPr="00F05037">
              <w:rPr>
                <w:rFonts w:ascii="Times New Roman" w:hAnsi="Times New Roman" w:cs="Times New Roman"/>
                <w:sz w:val="24"/>
                <w:szCs w:val="24"/>
              </w:rPr>
              <w:t>netechnologinių inovacijų</w:t>
            </w:r>
            <w:r w:rsidR="00E04DD9" w:rsidRPr="00F050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6DD7" w:rsidRPr="00F0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DD9" w:rsidRPr="00F05037">
              <w:rPr>
                <w:rFonts w:ascii="Times New Roman" w:hAnsi="Times New Roman" w:cs="Times New Roman"/>
                <w:sz w:val="24"/>
                <w:szCs w:val="24"/>
              </w:rPr>
              <w:t xml:space="preserve">sukūrimas </w:t>
            </w:r>
            <w:r w:rsidR="004C7F80" w:rsidRPr="00F05037">
              <w:rPr>
                <w:rFonts w:ascii="Times New Roman" w:hAnsi="Times New Roman" w:cs="Times New Roman"/>
                <w:sz w:val="24"/>
                <w:szCs w:val="24"/>
              </w:rPr>
              <w:t>ir diegimas</w:t>
            </w:r>
            <w:r w:rsidR="00FA262A" w:rsidRPr="00F05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BA0" w:rsidRPr="00F05037" w14:paraId="0D43F806" w14:textId="77777777" w:rsidTr="3EE1821D">
        <w:trPr>
          <w:trHeight w:val="60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107B8" w14:textId="4BAECD42" w:rsidR="00B97BA0" w:rsidRPr="00F05037" w:rsidRDefault="00B97BA0" w:rsidP="00EE3B3B">
            <w:pPr>
              <w:tabs>
                <w:tab w:val="left" w:pos="284"/>
              </w:tabs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6F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1.4. Galimi pareiškėjai – </w:t>
            </w:r>
            <w:r w:rsidR="00346F0F" w:rsidRPr="00A030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labai mažos, mažos ir vidutinės įmonės (toliau – </w:t>
            </w:r>
            <w:r w:rsidR="004E14C3" w:rsidRPr="00A03091">
              <w:rPr>
                <w:rFonts w:ascii="Times New Roman" w:hAnsi="Times New Roman" w:cs="Times New Roman"/>
                <w:iCs/>
                <w:sz w:val="24"/>
                <w:szCs w:val="24"/>
              </w:rPr>
              <w:t>MVĮ</w:t>
            </w:r>
            <w:r w:rsidR="00346F0F" w:rsidRPr="00F05037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484027" w:rsidRPr="00F0503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381FFEC" w14:textId="77777777" w:rsidR="00DF6D98" w:rsidRPr="00F05037" w:rsidRDefault="00DF6D98" w:rsidP="00E271E7">
            <w:pPr>
              <w:tabs>
                <w:tab w:val="left" w:pos="284"/>
              </w:tabs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03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1.5. </w:t>
            </w:r>
            <w:proofErr w:type="spellStart"/>
            <w:r w:rsidR="00ED7595" w:rsidRPr="00F0503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Partneriai</w:t>
            </w:r>
            <w:proofErr w:type="spellEnd"/>
            <w:r w:rsidR="00ED7595" w:rsidRPr="00F0503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D7595" w:rsidRPr="00F0503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negalimi</w:t>
            </w:r>
            <w:proofErr w:type="spellEnd"/>
            <w:r w:rsidR="00ED7595" w:rsidRPr="00F0503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.</w:t>
            </w:r>
          </w:p>
        </w:tc>
      </w:tr>
    </w:tbl>
    <w:p w14:paraId="038EB841" w14:textId="77777777" w:rsidR="00B97BA0" w:rsidRPr="00A03091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E6F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53F4053" w14:textId="77777777" w:rsidR="00B97BA0" w:rsidRPr="00F05037" w:rsidRDefault="00B97BA0" w:rsidP="00B97BA0">
      <w:pPr>
        <w:spacing w:after="0" w:line="240" w:lineRule="auto"/>
        <w:ind w:left="644" w:firstLine="6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3" w:name="part_5f395afa16bf4c2c90c2552a1b6c1088"/>
      <w:bookmarkEnd w:id="3"/>
      <w:r w:rsidRPr="00F05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B97BA0" w:rsidRPr="00F05037" w14:paraId="527585B9" w14:textId="77777777" w:rsidTr="00B97BA0">
        <w:trPr>
          <w:trHeight w:val="338"/>
        </w:trPr>
        <w:tc>
          <w:tcPr>
            <w:tcW w:w="9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7829" w14:textId="77777777" w:rsidR="00B97BA0" w:rsidRPr="00F05037" w:rsidRDefault="00545385" w:rsidP="00545385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</w:t>
            </w:r>
            <w:r w:rsidR="00B97BA0"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rąžinamoji subsidija</w:t>
            </w:r>
          </w:p>
        </w:tc>
      </w:tr>
    </w:tbl>
    <w:p w14:paraId="0197F954" w14:textId="77777777" w:rsidR="00B97BA0" w:rsidRPr="00A03091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E6F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E44CD4E" w14:textId="77777777" w:rsidR="00B97BA0" w:rsidRPr="00F05037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4" w:name="part_b288cccaad044e01a7cf782543f06347"/>
      <w:bookmarkEnd w:id="4"/>
      <w:r w:rsidRPr="00F05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B97BA0" w:rsidRPr="00F05037" w14:paraId="36DB14E3" w14:textId="77777777" w:rsidTr="00B97BA0">
        <w:tc>
          <w:tcPr>
            <w:tcW w:w="9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F3E" w14:textId="3B83CB30" w:rsidR="00B97BA0" w:rsidRPr="00F05037" w:rsidRDefault="0067387C" w:rsidP="00545385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545385"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rojektų </w:t>
            </w: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konkursas</w:t>
            </w:r>
          </w:p>
        </w:tc>
      </w:tr>
    </w:tbl>
    <w:p w14:paraId="0DBD0995" w14:textId="77777777" w:rsidR="00B97BA0" w:rsidRPr="00A03091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E6F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82546B0" w14:textId="77777777" w:rsidR="00B97BA0" w:rsidRPr="00F05037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5" w:name="part_ee656ea4f695485cabe46f071e40dbbb"/>
      <w:bookmarkEnd w:id="5"/>
      <w:r w:rsidRPr="00F05037"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B97BA0" w:rsidRPr="00F05037" w14:paraId="0B967437" w14:textId="77777777" w:rsidTr="00B97BA0">
        <w:tc>
          <w:tcPr>
            <w:tcW w:w="9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9233" w14:textId="77777777" w:rsidR="00B97BA0" w:rsidRPr="00F05037" w:rsidRDefault="00B97BA0" w:rsidP="00B97BA0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Lietuvos verslo paramos agentūra</w:t>
            </w:r>
          </w:p>
        </w:tc>
      </w:tr>
    </w:tbl>
    <w:p w14:paraId="25F5129C" w14:textId="77777777" w:rsidR="00B97BA0" w:rsidRPr="00A03091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E6F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5D7C017" w14:textId="77777777" w:rsidR="00B97BA0" w:rsidRPr="00F05037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6" w:name="part_c4881bb09621489685ff14c04bd19396"/>
      <w:bookmarkEnd w:id="6"/>
      <w:r w:rsidRPr="00F0503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B97BA0" w:rsidRPr="00F05037" w14:paraId="3AD5272E" w14:textId="77777777" w:rsidTr="00B97BA0">
        <w:tc>
          <w:tcPr>
            <w:tcW w:w="9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10EE5" w14:textId="77777777" w:rsidR="00B97BA0" w:rsidRPr="00F05037" w:rsidRDefault="00B97BA0" w:rsidP="00B97BA0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</w:t>
            </w:r>
          </w:p>
        </w:tc>
      </w:tr>
    </w:tbl>
    <w:p w14:paraId="1E4CEE33" w14:textId="77777777" w:rsidR="00B97BA0" w:rsidRPr="00A03091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E6F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85ADB58" w14:textId="77777777" w:rsidR="00B97BA0" w:rsidRPr="00F05037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7" w:name="part_9603cbd1a29848038ea882407a8e3205"/>
      <w:bookmarkEnd w:id="7"/>
      <w:r w:rsidRPr="00F05037">
        <w:rPr>
          <w:rFonts w:ascii="Times New Roman" w:eastAsia="Times New Roman" w:hAnsi="Times New Roman" w:cs="Times New Roman"/>
          <w:sz w:val="24"/>
          <w:szCs w:val="24"/>
          <w:lang w:eastAsia="lt-LT"/>
        </w:rPr>
        <w:t>6. Priemonės įgyvendinimo stebėsenos rodikliai</w:t>
      </w:r>
    </w:p>
    <w:tbl>
      <w:tblPr>
        <w:tblW w:w="963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775"/>
        <w:gridCol w:w="1270"/>
        <w:gridCol w:w="1774"/>
        <w:gridCol w:w="1926"/>
      </w:tblGrid>
      <w:tr w:rsidR="00B97BA0" w:rsidRPr="00F05037" w14:paraId="695B9ECC" w14:textId="77777777" w:rsidTr="00A03091">
        <w:trPr>
          <w:trHeight w:val="84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7704" w14:textId="77777777" w:rsidR="00B97BA0" w:rsidRPr="00A03091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30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BA932" w14:textId="77777777" w:rsidR="00B97BA0" w:rsidRPr="00A03091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30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CDB7" w14:textId="77777777" w:rsidR="00B97BA0" w:rsidRPr="00A03091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30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EA431" w14:textId="77777777" w:rsidR="00B97BA0" w:rsidRPr="00A03091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30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657DED46" w14:textId="77777777" w:rsidR="00B97BA0" w:rsidRPr="00A03091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30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91D7" w14:textId="77777777" w:rsidR="00B97BA0" w:rsidRPr="00A03091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30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B80244" w:rsidRPr="00F05037" w14:paraId="1909AADD" w14:textId="77777777" w:rsidTr="00A03091">
        <w:trPr>
          <w:trHeight w:val="84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9D1E" w14:textId="2B8FA54B" w:rsidR="00B80244" w:rsidRPr="00A03091" w:rsidRDefault="004665EF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6F65">
              <w:rPr>
                <w:rFonts w:ascii="Times New Roman" w:hAnsi="Times New Roman" w:cs="Times New Roman"/>
                <w:sz w:val="24"/>
                <w:szCs w:val="24"/>
              </w:rPr>
              <w:t>R.N.84</w:t>
            </w:r>
            <w:r w:rsidR="00FA2686" w:rsidRPr="00A03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5D3D" w14:textId="17EF8639" w:rsidR="00B80244" w:rsidRPr="00F05037" w:rsidRDefault="00B80244" w:rsidP="00E27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309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F5724" w:rsidRPr="00A03091">
              <w:rPr>
                <w:rFonts w:ascii="Times New Roman" w:hAnsi="Times New Roman" w:cs="Times New Roman"/>
                <w:sz w:val="24"/>
                <w:szCs w:val="24"/>
              </w:rPr>
              <w:t>Investicijas gavusioje įmonėje</w:t>
            </w:r>
            <w:r w:rsidR="00217CF9" w:rsidRPr="00F050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5724" w:rsidRPr="00F05037">
              <w:rPr>
                <w:rFonts w:ascii="Times New Roman" w:hAnsi="Times New Roman" w:cs="Times New Roman"/>
                <w:sz w:val="24"/>
                <w:szCs w:val="24"/>
              </w:rPr>
              <w:t xml:space="preserve"> gaminyje ir (ar) paslaugoje įdiegtų </w:t>
            </w:r>
            <w:r w:rsidR="00BA4642" w:rsidRPr="00F05037">
              <w:rPr>
                <w:rFonts w:ascii="Times New Roman" w:hAnsi="Times New Roman" w:cs="Times New Roman"/>
                <w:sz w:val="24"/>
                <w:szCs w:val="24"/>
              </w:rPr>
              <w:t>dizaino ar rinkodaros inovacijų</w:t>
            </w:r>
            <w:r w:rsidR="002F5724" w:rsidRPr="00F05037">
              <w:rPr>
                <w:rFonts w:ascii="Times New Roman" w:hAnsi="Times New Roman" w:cs="Times New Roman"/>
                <w:sz w:val="24"/>
                <w:szCs w:val="24"/>
              </w:rPr>
              <w:t xml:space="preserve"> skaičius</w:t>
            </w:r>
            <w:r w:rsidRPr="00F0503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E917" w14:textId="77777777" w:rsidR="00B80244" w:rsidRPr="00F05037" w:rsidRDefault="00B80244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01D4" w14:textId="77777777" w:rsidR="00B80244" w:rsidRPr="00F05037" w:rsidRDefault="00B80244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0021" w14:textId="77777777" w:rsidR="00B80244" w:rsidRPr="00F05037" w:rsidRDefault="00DB04A8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</w:t>
            </w:r>
          </w:p>
        </w:tc>
      </w:tr>
      <w:tr w:rsidR="009A1F50" w:rsidRPr="00F05037" w14:paraId="62C74259" w14:textId="77777777" w:rsidTr="00A03091">
        <w:trPr>
          <w:trHeight w:val="84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F653" w14:textId="16570C9C" w:rsidR="009A1F50" w:rsidRPr="00A03091" w:rsidRDefault="009A1F50" w:rsidP="00B8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F65">
              <w:rPr>
                <w:rFonts w:ascii="Times New Roman" w:hAnsi="Times New Roman" w:cs="Times New Roman"/>
                <w:sz w:val="24"/>
                <w:szCs w:val="24"/>
              </w:rPr>
              <w:t>R.N.</w:t>
            </w:r>
            <w:r w:rsidRPr="00A03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842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B8B3" w14:textId="0B969F0A" w:rsidR="009A1F50" w:rsidRPr="00F05037" w:rsidRDefault="008D77B2" w:rsidP="00E27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6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03091">
              <w:rPr>
                <w:rFonts w:ascii="Times New Roman" w:hAnsi="Times New Roman" w:cs="Times New Roman"/>
                <w:sz w:val="24"/>
                <w:szCs w:val="24"/>
              </w:rPr>
              <w:t>Investicijas gavusios įmonės pajamų padidėjimas“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901B" w14:textId="368C98C0" w:rsidR="009A1F50" w:rsidRPr="00F05037" w:rsidRDefault="008D77B2" w:rsidP="00B8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37">
              <w:rPr>
                <w:rFonts w:ascii="Times New Roman" w:hAnsi="Times New Roman" w:cs="Times New Roman"/>
                <w:sz w:val="24"/>
                <w:szCs w:val="24"/>
              </w:rPr>
              <w:t>Procentai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36EC" w14:textId="4ACCCB27" w:rsidR="009A1F50" w:rsidRPr="00A03091" w:rsidRDefault="008D77B2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D0C7" w14:textId="16D4A396" w:rsidR="009A1F50" w:rsidRPr="00A03091" w:rsidRDefault="008D77B2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6F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B80244" w:rsidRPr="00F05037" w14:paraId="5CDDEBFC" w14:textId="77777777" w:rsidTr="00A03091">
        <w:trPr>
          <w:trHeight w:val="84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8E98" w14:textId="77777777" w:rsidR="00B80244" w:rsidRPr="00A03091" w:rsidRDefault="00B80244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6F65">
              <w:rPr>
                <w:rFonts w:ascii="Times New Roman" w:hAnsi="Times New Roman" w:cs="Times New Roman"/>
                <w:sz w:val="24"/>
                <w:szCs w:val="24"/>
              </w:rPr>
              <w:t>P.B.206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1A6F" w14:textId="77777777" w:rsidR="00B80244" w:rsidRPr="00A03091" w:rsidRDefault="00B80244" w:rsidP="00E27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091">
              <w:rPr>
                <w:rFonts w:ascii="Times New Roman" w:hAnsi="Times New Roman" w:cs="Times New Roman"/>
                <w:sz w:val="24"/>
                <w:szCs w:val="24"/>
              </w:rPr>
              <w:t>„Privačios investicijos, atitinkančios viešąją paramą įmonėms (subsidijos)“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FD86" w14:textId="77777777" w:rsidR="00B80244" w:rsidRPr="00F05037" w:rsidRDefault="00B80244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0503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D86B" w14:textId="77777777" w:rsidR="00B80244" w:rsidRPr="00F05037" w:rsidRDefault="00B80244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5970" w14:textId="37D6FD02" w:rsidR="00B80244" w:rsidRPr="00F05037" w:rsidRDefault="00622788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699</w:t>
            </w:r>
            <w:r w:rsidR="001A7899"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999</w:t>
            </w:r>
          </w:p>
        </w:tc>
      </w:tr>
      <w:tr w:rsidR="00B97BA0" w:rsidRPr="00F05037" w14:paraId="39482C84" w14:textId="77777777" w:rsidTr="00A03091">
        <w:trPr>
          <w:trHeight w:val="979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1BA1" w14:textId="77777777" w:rsidR="00B97BA0" w:rsidRPr="00A03091" w:rsidRDefault="000A3508" w:rsidP="008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6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P.B.202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DDB6" w14:textId="77777777" w:rsidR="00B97BA0" w:rsidRPr="00A03091" w:rsidRDefault="000A3508" w:rsidP="00AD6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3091">
              <w:rPr>
                <w:rFonts w:ascii="Times New Roman" w:hAnsi="Times New Roman" w:cs="Times New Roman"/>
                <w:sz w:val="24"/>
                <w:szCs w:val="24"/>
              </w:rPr>
              <w:t>Subsidijas gaunančių įmonių skaičius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4A02" w14:textId="77777777" w:rsidR="00B97BA0" w:rsidRPr="00F05037" w:rsidRDefault="000A3508" w:rsidP="0024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2617" w14:textId="77777777" w:rsidR="00B97BA0" w:rsidRPr="00F05037" w:rsidRDefault="000A3508" w:rsidP="0024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0178" w14:textId="77777777" w:rsidR="00B97BA0" w:rsidRPr="00F05037" w:rsidRDefault="007772BD" w:rsidP="0024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63</w:t>
            </w:r>
          </w:p>
        </w:tc>
      </w:tr>
    </w:tbl>
    <w:p w14:paraId="20E08837" w14:textId="77777777" w:rsidR="004F0546" w:rsidRPr="002E6F65" w:rsidRDefault="004F0546" w:rsidP="00E27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D66BA9" w14:textId="77777777" w:rsidR="00B97BA0" w:rsidRPr="00F05037" w:rsidRDefault="00B97BA0" w:rsidP="00B97B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8" w:name="part_0f2d90fa8f1d4964971031850dbbb2c4"/>
      <w:bookmarkEnd w:id="8"/>
      <w:r w:rsidRPr="00F05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Priemonės finansavimo šaltiniai                                                                        </w:t>
      </w:r>
    </w:p>
    <w:p w14:paraId="1CED2FC1" w14:textId="77777777" w:rsidR="00B97BA0" w:rsidRPr="00F05037" w:rsidRDefault="00B97BA0" w:rsidP="00B97BA0">
      <w:pPr>
        <w:spacing w:after="0" w:line="240" w:lineRule="auto"/>
        <w:ind w:left="709" w:firstLine="752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F05037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494"/>
        <w:gridCol w:w="1383"/>
        <w:gridCol w:w="1422"/>
        <w:gridCol w:w="1129"/>
        <w:gridCol w:w="1134"/>
        <w:gridCol w:w="1699"/>
      </w:tblGrid>
      <w:tr w:rsidR="00B97BA0" w:rsidRPr="00F05037" w14:paraId="191DD8E3" w14:textId="77777777" w:rsidTr="00E271E7">
        <w:trPr>
          <w:trHeight w:val="460"/>
        </w:trPr>
        <w:tc>
          <w:tcPr>
            <w:tcW w:w="2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AE2B" w14:textId="77777777" w:rsidR="00B97BA0" w:rsidRPr="00F0503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7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8429" w14:textId="77777777" w:rsidR="00B97BA0" w:rsidRPr="00F0503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B97BA0" w:rsidRPr="00F05037" w14:paraId="152EDFE2" w14:textId="77777777" w:rsidTr="00E271E7">
        <w:trPr>
          <w:trHeight w:val="460"/>
        </w:trPr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63496" w14:textId="77777777" w:rsidR="00B97BA0" w:rsidRPr="00F0503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6F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53EC3A34" w14:textId="77777777" w:rsidR="00B97BA0" w:rsidRPr="00F0503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1C352" w14:textId="77777777" w:rsidR="00B97BA0" w:rsidRPr="00F0503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B97BA0" w:rsidRPr="00F05037" w14:paraId="3DBB0189" w14:textId="77777777" w:rsidTr="00E271E7">
        <w:trPr>
          <w:trHeight w:val="7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F9254" w14:textId="77777777" w:rsidR="00B97BA0" w:rsidRPr="00F05037" w:rsidRDefault="00B97BA0" w:rsidP="00B9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8752" w14:textId="77777777" w:rsidR="00B97BA0" w:rsidRPr="00F0503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D105B" w14:textId="77777777" w:rsidR="00B97BA0" w:rsidRPr="00F0503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50D95C69" w14:textId="77777777" w:rsidR="00B97BA0" w:rsidRPr="00F0503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B97BA0" w:rsidRPr="00F05037" w14:paraId="597C8751" w14:textId="77777777" w:rsidTr="00E271E7">
        <w:trPr>
          <w:trHeight w:val="10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6B2FF" w14:textId="77777777" w:rsidR="00B97BA0" w:rsidRPr="00F05037" w:rsidRDefault="00B97BA0" w:rsidP="00B9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DAC64" w14:textId="77777777" w:rsidR="00B97BA0" w:rsidRPr="00F05037" w:rsidRDefault="00B97BA0" w:rsidP="00B9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444F" w14:textId="77777777" w:rsidR="00B97BA0" w:rsidRPr="00F0503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4537" w14:textId="77777777" w:rsidR="00B97BA0" w:rsidRPr="00F0503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49DD" w14:textId="77777777" w:rsidR="00B97BA0" w:rsidRPr="00F0503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Savival-dybės</w:t>
            </w:r>
            <w:proofErr w:type="spellEnd"/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biudžeto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29002" w14:textId="77777777" w:rsidR="00B97BA0" w:rsidRPr="00F0503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65C8" w14:textId="77777777" w:rsidR="00B97BA0" w:rsidRPr="00F0503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B97BA0" w:rsidRPr="00F05037" w14:paraId="1474A704" w14:textId="77777777" w:rsidTr="00E271E7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0A37" w14:textId="77777777" w:rsidR="00B97BA0" w:rsidRPr="00F05037" w:rsidRDefault="00B97BA0" w:rsidP="00B97BA0">
            <w:pPr>
              <w:spacing w:after="0" w:line="240" w:lineRule="auto"/>
              <w:ind w:firstLine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6F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Priemonės finansavimo </w:t>
            </w:r>
            <w:r w:rsidRPr="00A030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šaltiniai, neįskaitant veiklos lėšų rezervo ir jam finansuoti skiriamų lėšų</w:t>
            </w:r>
            <w:r w:rsidR="005370C8" w:rsidRPr="00A03091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="005370C8" w:rsidRPr="002E6F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 Ateities ekonomikos DNR plano veiksmams ir projektams įgyvendinti skiriamų lėšų</w:t>
            </w:r>
          </w:p>
        </w:tc>
      </w:tr>
      <w:tr w:rsidR="00B97BA0" w:rsidRPr="00F05037" w14:paraId="6D29823D" w14:textId="77777777" w:rsidTr="00E271E7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FF6C" w14:textId="77777777" w:rsidR="00B97BA0" w:rsidRPr="00A03091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6F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EAA34" w14:textId="77777777" w:rsidR="00B97BA0" w:rsidRPr="00F05037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49CF" w14:textId="77777777" w:rsidR="00B97BA0" w:rsidRPr="00F05037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5787" w14:textId="77777777" w:rsidR="00B97BA0" w:rsidRPr="00F05037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9AE7" w14:textId="77777777" w:rsidR="00B97BA0" w:rsidRPr="00F05037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66FC" w14:textId="77777777" w:rsidR="00B97BA0" w:rsidRPr="00F05037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ADEE" w14:textId="77777777" w:rsidR="00B97BA0" w:rsidRPr="00F05037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B97BA0" w:rsidRPr="00F05037" w14:paraId="103D9382" w14:textId="77777777" w:rsidTr="00E271E7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644E2" w14:textId="77777777" w:rsidR="00B97BA0" w:rsidRPr="00A03091" w:rsidRDefault="00B97BA0" w:rsidP="00B97BA0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6F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97BA0" w:rsidRPr="00F05037" w14:paraId="3831A13E" w14:textId="77777777" w:rsidTr="00E271E7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8A04" w14:textId="77777777" w:rsidR="00B97BA0" w:rsidRPr="00A03091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6F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803D" w14:textId="77777777" w:rsidR="00B97BA0" w:rsidRPr="00F05037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7443" w14:textId="77777777" w:rsidR="00B97BA0" w:rsidRPr="00F05037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E87C" w14:textId="77777777" w:rsidR="00B97BA0" w:rsidRPr="00F05037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B516" w14:textId="77777777" w:rsidR="00B97BA0" w:rsidRPr="00F05037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DF73D" w14:textId="77777777" w:rsidR="00B97BA0" w:rsidRPr="00F05037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CEBC" w14:textId="77777777" w:rsidR="00B97BA0" w:rsidRPr="00F05037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B1307" w:rsidRPr="00F05037" w14:paraId="1D6C2BAF" w14:textId="77777777" w:rsidTr="001B1307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A209" w14:textId="77777777" w:rsidR="001B1307" w:rsidRPr="00A03091" w:rsidRDefault="001B1307" w:rsidP="00B075F3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6F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A0309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1</w:t>
            </w:r>
            <w:r w:rsidRPr="00A030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Ateities ekonomikos DNR plano veiksmams ir projektams įgyvendinti skiriamos lėšos</w:t>
            </w:r>
          </w:p>
        </w:tc>
      </w:tr>
      <w:tr w:rsidR="001B1307" w:rsidRPr="00F05037" w14:paraId="6290ACC2" w14:textId="77777777" w:rsidTr="00E271E7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8814" w14:textId="77777777" w:rsidR="001B1307" w:rsidRPr="00A03091" w:rsidRDefault="00E919A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6F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5370C8" w:rsidRPr="00A030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000</w:t>
            </w:r>
            <w:r w:rsidR="00D119C7" w:rsidRPr="00A030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5370C8" w:rsidRPr="00A030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4740" w14:textId="77777777" w:rsidR="001B1307" w:rsidRPr="00F05037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2FE0" w14:textId="77777777" w:rsidR="001B1307" w:rsidRPr="00F05037" w:rsidRDefault="00E271E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777 777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851D" w14:textId="77777777" w:rsidR="001B1307" w:rsidRPr="00F05037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49C1" w14:textId="77777777" w:rsidR="001B1307" w:rsidRPr="00F05037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4F01" w14:textId="77777777" w:rsidR="001B1307" w:rsidRPr="00F05037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488CB" w14:textId="77777777" w:rsidR="001B1307" w:rsidRPr="00F05037" w:rsidRDefault="00E271E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777 777</w:t>
            </w:r>
          </w:p>
        </w:tc>
      </w:tr>
      <w:tr w:rsidR="00B97BA0" w:rsidRPr="00F05037" w14:paraId="3D7808DA" w14:textId="77777777" w:rsidTr="00E271E7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8696" w14:textId="77777777" w:rsidR="00B97BA0" w:rsidRPr="00A03091" w:rsidRDefault="00B97BA0" w:rsidP="00B97BA0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6F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B97BA0" w:rsidRPr="00F05037" w14:paraId="3A9B0C5E" w14:textId="77777777" w:rsidTr="00E271E7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5D4D" w14:textId="77777777" w:rsidR="00B97BA0" w:rsidRPr="00A03091" w:rsidRDefault="00E919A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6F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D119C7" w:rsidRPr="00A030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000 000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1F1A" w14:textId="77777777" w:rsidR="00B97BA0" w:rsidRPr="00F05037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F0E6" w14:textId="77777777" w:rsidR="00B97BA0" w:rsidRPr="00F05037" w:rsidRDefault="00E271E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777 777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79A32" w14:textId="77777777" w:rsidR="00B97BA0" w:rsidRPr="00F05037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468F" w14:textId="77777777" w:rsidR="00B97BA0" w:rsidRPr="00F05037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9FFB" w14:textId="77777777" w:rsidR="00B97BA0" w:rsidRPr="00F05037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5DB0" w14:textId="77777777" w:rsidR="00B97BA0" w:rsidRPr="00F05037" w:rsidRDefault="00E271E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50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777 777</w:t>
            </w:r>
          </w:p>
        </w:tc>
      </w:tr>
    </w:tbl>
    <w:p w14:paraId="69364D69" w14:textId="77777777" w:rsidR="00846DD7" w:rsidRPr="00F05037" w:rsidRDefault="00846DD7">
      <w:pPr>
        <w:rPr>
          <w:rFonts w:ascii="Times New Roman" w:hAnsi="Times New Roman" w:cs="Times New Roman"/>
          <w:sz w:val="24"/>
          <w:szCs w:val="24"/>
        </w:rPr>
        <w:sectPr w:rsidR="00846DD7" w:rsidRPr="00F05037" w:rsidSect="005E2D38">
          <w:headerReference w:type="default" r:id="rId7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  <w:bookmarkStart w:id="9" w:name="part_9dcae183e49f42a99d33cf7d82cb7161"/>
      <w:bookmarkStart w:id="10" w:name="part_7e46ff09d9994dcd85582814657bac11"/>
      <w:bookmarkStart w:id="11" w:name="part_2bd7075e78a74c5e8994cb7bfa6b5363"/>
      <w:bookmarkStart w:id="12" w:name="part_788798c38ba3462d8d4e85bba7c6f1b9"/>
      <w:bookmarkStart w:id="13" w:name="part_b1f3977075fa422b8e82b002934c41b2"/>
      <w:bookmarkStart w:id="14" w:name="part_51c2589f5e0b4895ab0bd082a8794944"/>
      <w:bookmarkStart w:id="15" w:name="part_518503f5be9a4b5eb23e22d3b8563e3e"/>
      <w:bookmarkStart w:id="16" w:name="part_6e99adf19cfa4532bf138987b5a7d55b"/>
      <w:bookmarkStart w:id="17" w:name="part_4b400aac5f894a2cae51ff1451ef73ea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3"/>
        <w:gridCol w:w="1534"/>
        <w:gridCol w:w="1159"/>
        <w:gridCol w:w="2977"/>
        <w:gridCol w:w="1559"/>
        <w:gridCol w:w="1276"/>
        <w:gridCol w:w="1842"/>
        <w:gridCol w:w="1701"/>
        <w:gridCol w:w="1418"/>
      </w:tblGrid>
      <w:tr w:rsidR="00CE6CAA" w:rsidRPr="00594ABF" w14:paraId="3CE68139" w14:textId="77777777" w:rsidTr="00E5789A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CF61" w14:textId="77777777" w:rsidR="00CE6CAA" w:rsidRPr="00594ABF" w:rsidRDefault="00CE6CAA" w:rsidP="00594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Eil.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61A0" w14:textId="77777777" w:rsidR="00CE6CAA" w:rsidRPr="00594ABF" w:rsidRDefault="00CE6CAA" w:rsidP="00594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Rodiklio kodas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2979" w14:textId="77777777" w:rsidR="00CE6CAA" w:rsidRPr="00594ABF" w:rsidRDefault="00CE6CAA" w:rsidP="00594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Rodiklio pavadinimas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B21E" w14:textId="77777777" w:rsidR="00CE6CAA" w:rsidRPr="00594ABF" w:rsidRDefault="00CE6CAA" w:rsidP="00594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Matavimo vienetai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5F459" w14:textId="77777777" w:rsidR="00CE6CAA" w:rsidRPr="00594ABF" w:rsidRDefault="00CE6CAA" w:rsidP="00594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Sąvokų apibrėžtys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F72B" w14:textId="77777777" w:rsidR="00CE6CAA" w:rsidRPr="00594ABF" w:rsidRDefault="00CE6CAA" w:rsidP="00594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Apskaičiavimo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D169" w14:textId="77777777" w:rsidR="00CE6CAA" w:rsidRPr="00594ABF" w:rsidRDefault="00CE6CAA" w:rsidP="00594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Skaičiavimo būdas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8A1C" w14:textId="77777777" w:rsidR="00CE6CAA" w:rsidRPr="00594ABF" w:rsidRDefault="00CE6CAA" w:rsidP="00594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Duomenų šaltinis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F9EF" w14:textId="77777777" w:rsidR="00CE6CAA" w:rsidRPr="00594ABF" w:rsidRDefault="00CE6CAA" w:rsidP="00594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Pasiekimo momentas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34A5" w14:textId="77777777" w:rsidR="00CE6CAA" w:rsidRPr="00594ABF" w:rsidRDefault="00CE6CAA" w:rsidP="00594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Institucija</w:t>
            </w:r>
          </w:p>
        </w:tc>
      </w:tr>
      <w:tr w:rsidR="00CE6CAA" w:rsidRPr="00594ABF" w14:paraId="0E9F047F" w14:textId="77777777" w:rsidTr="00E5789A">
        <w:trPr>
          <w:trHeight w:val="88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3508" w14:textId="077234C3" w:rsidR="00CE6CAA" w:rsidRPr="00594ABF" w:rsidRDefault="00CE6CA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108.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5F21" w14:textId="120B09E8" w:rsidR="00CE6CAA" w:rsidRPr="00594ABF" w:rsidRDefault="00CE6CA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R.N.841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4C21" w14:textId="74709B9C" w:rsidR="00CE6CAA" w:rsidRPr="00594ABF" w:rsidRDefault="00CE6CA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„</w:t>
            </w: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 xml:space="preserve">Investicijas gavusioje įmonėje gaminyje ir (ar) paslaugoje įdiegtų </w:t>
            </w:r>
            <w:r w:rsidR="00297DD6" w:rsidRPr="00594ABF">
              <w:rPr>
                <w:rFonts w:ascii="Times New Roman" w:hAnsi="Times New Roman" w:cs="Times New Roman"/>
                <w:sz w:val="20"/>
                <w:szCs w:val="20"/>
              </w:rPr>
              <w:t xml:space="preserve">dizaino ar rinkodaros inovacijų </w:t>
            </w: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skaičius“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7157" w14:textId="17C242AF" w:rsidR="00CE6CAA" w:rsidRPr="00594ABF" w:rsidRDefault="00BD4BB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Skaičius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E3F62" w14:textId="77777777" w:rsidR="00BD4BBA" w:rsidRPr="00594ABF" w:rsidRDefault="00BD4BBA" w:rsidP="0059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Įmonė suprantama taip, kaip ji apibrėžta Smulkiojo ir vidutinio verslo plėtros įstatyme.</w:t>
            </w:r>
          </w:p>
          <w:p w14:paraId="6F527E45" w14:textId="77777777" w:rsidR="00BD4BBA" w:rsidRPr="00594ABF" w:rsidRDefault="00BD4BBA" w:rsidP="0059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4AC31E05" w14:textId="77777777" w:rsidR="00BD4BBA" w:rsidRPr="00594ABF" w:rsidRDefault="00BD4BBA" w:rsidP="0059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Investicijas gavusi įmonė – įmonė, gavusi bet kokios formos paramą iš Europos regioninės plėtros fondo.</w:t>
            </w:r>
          </w:p>
          <w:p w14:paraId="3A637085" w14:textId="77777777" w:rsidR="00BD4BBA" w:rsidRPr="00594ABF" w:rsidRDefault="00BD4BBA" w:rsidP="0059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7CFB7CC3" w14:textId="731AB7BC" w:rsidR="00BD4BBA" w:rsidRPr="00594ABF" w:rsidRDefault="00BD4BB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Produktas suprantamas kaip </w:t>
            </w: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gaminys ir (arba) paslauga.</w:t>
            </w:r>
          </w:p>
          <w:p w14:paraId="25FB41DE" w14:textId="77777777" w:rsidR="00BD4BBA" w:rsidRPr="00594ABF" w:rsidRDefault="00BD4BBA" w:rsidP="0059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331AB0EC" w14:textId="77777777" w:rsidR="00BD4BBA" w:rsidRPr="00594ABF" w:rsidRDefault="00BD4BBA" w:rsidP="0059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Gaminys suprantamas kaip pramoniniu būdu arba rankomis pagamintas daiktas, įskaitant sudėtiniam gaminiui sukonstruoti skirtas sudedamąsias dalis, pakuotę, apipavidalinimą, grafinius simbolius ir spaustuvės šriftus, išskyrus kompiuterių programas.</w:t>
            </w:r>
          </w:p>
          <w:p w14:paraId="22022E52" w14:textId="77777777" w:rsidR="00BD4BBA" w:rsidRPr="00594ABF" w:rsidRDefault="00BD4BBA" w:rsidP="0059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48B7B86F" w14:textId="77777777" w:rsidR="00BD4BBA" w:rsidRPr="00594ABF" w:rsidRDefault="00BD4BBA" w:rsidP="0059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Sudėtinis gaminys</w:t>
            </w:r>
            <w:r w:rsidRPr="00594A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– </w:t>
            </w:r>
            <w:r w:rsidRPr="00594AB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gaminys, susidedantis iš sudedamųjų dalių, kurias galima pakeisti tą gaminį išardant ir vėl jį surenkant (daiktų rinkiniai, kompozicijos).</w:t>
            </w:r>
          </w:p>
          <w:p w14:paraId="4B2B6073" w14:textId="77777777" w:rsidR="00BD4BBA" w:rsidRPr="00594ABF" w:rsidRDefault="00BD4BBA" w:rsidP="0059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33FFF5DF" w14:textId="5E8EE829" w:rsidR="00CE6CAA" w:rsidRPr="00594ABF" w:rsidRDefault="1C5EAE2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Paslauga –</w:t>
            </w:r>
            <w:r w:rsidR="00514F0C" w:rsidRPr="00594ABF">
              <w:rPr>
                <w:rFonts w:ascii="Times New Roman" w:hAnsi="Times New Roman" w:cs="Times New Roman"/>
                <w:sz w:val="20"/>
                <w:szCs w:val="20"/>
              </w:rPr>
              <w:t xml:space="preserve"> veiklos už atlygį, kurioje dalyvauja klientas (vartotojas), rezultatas, darantis poveikį klientui (vartotojui), jo nuosavybei arba palengvinantis produktų, įskaitant finansinį turtą, mainus.</w:t>
            </w:r>
          </w:p>
          <w:p w14:paraId="2B6D4F6D" w14:textId="77777777" w:rsidR="00364396" w:rsidRPr="00594ABF" w:rsidRDefault="00364396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A34FE" w14:textId="7174C47B" w:rsidR="008A15BC" w:rsidRPr="00594ABF" w:rsidRDefault="008A15BC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 xml:space="preserve">Dizainas – inovacinė veikla, kuria siekiama suplanuoti ir suprojektuoti naujiems </w:t>
            </w:r>
            <w:r w:rsidRPr="00594A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produktams bei verslo procesams skirtas procedūras</w:t>
            </w:r>
            <w:r w:rsidR="000A5020" w:rsidRPr="00594ABF">
              <w:rPr>
                <w:rFonts w:ascii="Times New Roman" w:hAnsi="Times New Roman" w:cs="Times New Roman"/>
                <w:sz w:val="20"/>
                <w:szCs w:val="20"/>
              </w:rPr>
              <w:t>, technines specifikacijas bei kitas su naudotojais susijusias ir techninio pobūdžio charakteristikas. Dizainas apima įva</w:t>
            </w:r>
            <w:r w:rsidR="00923AAF" w:rsidRPr="00594AB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A5020" w:rsidRPr="00594ABF">
              <w:rPr>
                <w:rFonts w:ascii="Times New Roman" w:hAnsi="Times New Roman" w:cs="Times New Roman"/>
                <w:sz w:val="20"/>
                <w:szCs w:val="20"/>
              </w:rPr>
              <w:t>rias veiklos rūšis, skirtas naujai ar pakeistai prekių, paslaugų ar procesų (įskaitant pačios įmonės naudojamus verslo procesus) funkcijai, formai ar išvaizdai sukurti.</w:t>
            </w:r>
          </w:p>
          <w:p w14:paraId="5C298C5D" w14:textId="7D149374" w:rsidR="004727E4" w:rsidRPr="00594ABF" w:rsidRDefault="000A5020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 xml:space="preserve">Rinkodaros inovacija </w:t>
            </w:r>
            <w:r w:rsidR="00AB3600" w:rsidRPr="00594A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F20F6" w:rsidRPr="00594ABF">
              <w:rPr>
                <w:rFonts w:ascii="Times New Roman" w:hAnsi="Times New Roman" w:cs="Times New Roman"/>
                <w:sz w:val="20"/>
                <w:szCs w:val="20"/>
              </w:rPr>
              <w:t xml:space="preserve"> naujų ar iš esmės patobulintų rinkodaros metodų įgyvendinimas, siekiant padidinti produkcijos ar paslaugų patrauklumą ar plėtoti verslą naujose rinkose.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A088" w14:textId="77777777" w:rsidR="00CE6CAA" w:rsidRPr="00594ABF" w:rsidRDefault="00CE6CA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Automatiškai apskaičiuojamas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4597" w14:textId="76814FC7" w:rsidR="00CE6CAA" w:rsidRPr="00594ABF" w:rsidRDefault="00BD4BB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Skaičiuoja-</w:t>
            </w:r>
            <w:proofErr w:type="spellStart"/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mas</w:t>
            </w:r>
            <w:proofErr w:type="spellEnd"/>
            <w:r w:rsidRPr="00594ABF">
              <w:rPr>
                <w:rFonts w:ascii="Times New Roman" w:hAnsi="Times New Roman" w:cs="Times New Roman"/>
                <w:sz w:val="20"/>
                <w:szCs w:val="20"/>
              </w:rPr>
              <w:t xml:space="preserve"> investicijas gavusioje įmonėje </w:t>
            </w:r>
            <w:r w:rsidR="00765DE0" w:rsidRPr="00594ABF">
              <w:rPr>
                <w:rFonts w:ascii="Times New Roman" w:hAnsi="Times New Roman" w:cs="Times New Roman"/>
                <w:sz w:val="20"/>
                <w:szCs w:val="20"/>
              </w:rPr>
              <w:t xml:space="preserve">gaminyje ir (ar) paslaugoje </w:t>
            </w: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 xml:space="preserve">įdiegtų </w:t>
            </w:r>
            <w:r w:rsidR="00765DE0" w:rsidRPr="00594ABF">
              <w:rPr>
                <w:rFonts w:ascii="Times New Roman" w:hAnsi="Times New Roman" w:cs="Times New Roman"/>
                <w:sz w:val="20"/>
                <w:szCs w:val="20"/>
              </w:rPr>
              <w:t>originalių sprendimų</w:t>
            </w: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 xml:space="preserve"> skaičius per projekto veiklų įgyvendini-</w:t>
            </w:r>
            <w:proofErr w:type="spellStart"/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594ABF">
              <w:rPr>
                <w:rFonts w:ascii="Times New Roman" w:hAnsi="Times New Roman" w:cs="Times New Roman"/>
                <w:sz w:val="20"/>
                <w:szCs w:val="20"/>
              </w:rPr>
              <w:t xml:space="preserve"> laikotarpį ir (ar) per 1 metus po projekto </w:t>
            </w:r>
            <w:proofErr w:type="spellStart"/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finansavimopabaigos</w:t>
            </w:r>
            <w:proofErr w:type="spellEnd"/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96EF" w14:textId="6E41A285" w:rsidR="00CE6CAA" w:rsidRPr="00594ABF" w:rsidRDefault="00CE6CA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Pirminiai šaltiniai: </w:t>
            </w: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13EDD"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originalių produktų sprendimų</w:t>
            </w:r>
            <w:r w:rsidR="00765DE0"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įdiegimą įmonėje įrodantys dokumentai (pvz., sąskaitos faktūros, perdavimo</w:t>
            </w:r>
            <w:r w:rsidR="000071F7"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765DE0"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priėmimo aktai, sertifikatai, įdiegtų </w:t>
            </w:r>
            <w:r w:rsidR="00A13EDD"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originalių produktų sprendimų</w:t>
            </w:r>
            <w:r w:rsidR="00765DE0"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fotonuotraukos ir pan.).</w:t>
            </w:r>
            <w:r w:rsidR="00765DE0"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765DE0"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Antriniai šaltiniai:</w:t>
            </w:r>
            <w:r w:rsidR="00765DE0"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mokėjimo prašymai, ataskaita po projekto finansavimo pabaigos.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29F1" w14:textId="6704AEE4" w:rsidR="00CE6CAA" w:rsidRPr="00594ABF" w:rsidRDefault="00A13EDD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Stebėsenos rodiklis laikomas pasiektu, kai pateikiami dokumentai (pvz., sąskaitos faktūros, perdavimo</w:t>
            </w:r>
            <w:r w:rsidR="00043320" w:rsidRPr="00594AB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priėmimo aktai, sertifikatai, įdiegtų originalių produktų sprendimų fotonuotraukos ir pan.), patvirtinantys projekto veiklų įgyvendinimo metu arba per 1 metus nuo projekto finansavimo pabaigos pasiektą stebėsenos rodiklio reikšmę</w:t>
            </w:r>
            <w:r w:rsidR="004C2599"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B13B" w14:textId="77777777" w:rsidR="00CE6CAA" w:rsidRPr="00594ABF" w:rsidRDefault="00CE6CA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Už stebėsenos rodiklio pasiekimą ir duomenų </w:t>
            </w:r>
            <w:r w:rsidRPr="00594ABF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apie pasiektą stebėsenos rodiklio reikšmę </w:t>
            </w:r>
            <w:r w:rsidRPr="00594AB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teikimą antriniuose šaltiniuose yra atsakingas projekto vykdytojas.</w:t>
            </w:r>
          </w:p>
        </w:tc>
      </w:tr>
      <w:tr w:rsidR="00E5789A" w:rsidRPr="00594ABF" w14:paraId="30E908D7" w14:textId="77777777" w:rsidTr="00F05037">
        <w:trPr>
          <w:trHeight w:val="6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989" w14:textId="0114C57C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3BB3" w14:textId="4D7CB70A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R.N.842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478D" w14:textId="4486E508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„</w:t>
            </w: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Investicijas gavusios įmonės pajamų padidėjimas</w:t>
            </w:r>
            <w:r w:rsidRPr="00594A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“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BA13" w14:textId="060D3B0D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Procentai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F1EB7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Investicijas gavusi įmonė – įmonė, gavusi bet kokios formos paramą iš Europos regioninės plėtros fondo.</w:t>
            </w:r>
          </w:p>
          <w:p w14:paraId="276A26C7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E6108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Įmonė suprantama taip, kaip ji apibrėžta Smulkiojo ir vidutinio verslo plėtros įstatyme.</w:t>
            </w:r>
          </w:p>
          <w:p w14:paraId="75BD4758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6FA32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Pajamos –</w:t>
            </w:r>
            <w:r w:rsidRPr="00594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ekonominės naudos padidėjimas dėl veiklų, tiesiogiai susijusių su įgyvendinamu projektu.</w:t>
            </w:r>
          </w:p>
          <w:p w14:paraId="7E993A7C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59DA8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5E248C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30FF3A2D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B0EE" w14:textId="66AD0BFD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Automatiškai apskaičiuojamas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CFF0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Investicijas gavusios</w:t>
            </w: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įmonės pajamų padidėjimas skaičiuojamas pagal formulę:</w:t>
            </w:r>
          </w:p>
          <w:p w14:paraId="1B82FAAA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F=P/B*100 proc.,</w:t>
            </w: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 xml:space="preserve">kur: </w:t>
            </w:r>
          </w:p>
          <w:p w14:paraId="0AD70262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F – investicijas gavusios</w:t>
            </w: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įmonės pajamų padidėjimas </w:t>
            </w: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procentais;</w:t>
            </w:r>
          </w:p>
          <w:p w14:paraId="75832D09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P – rodiklis R.N.842-2;</w:t>
            </w:r>
          </w:p>
          <w:p w14:paraId="06FB7979" w14:textId="2789D778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B – rodiklis R.N.842-1.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D6B8" w14:textId="3672080D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Pirminiai šaltiniai: projekto vykdytojo finansinės atskaitomybės dokumentai, pajamų pažymos ar kiti pajamų rodiklį fiksuojantys dokumentai.</w:t>
            </w: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Antriniai šaltiniai:, ataskaita po projekto finansavimo pabaigos.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40C9" w14:textId="4FABB383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 xml:space="preserve">Stebėsenos rodiklis laikomas pasiektu, </w:t>
            </w: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 pateikiami finansinės atskaitomybės dokumentai, pažymos ir kiti dokumentai, patvirtinantys per 1 metus po projekto finansavimo pabaigos pasiektą stebėsenos rodiklio reikšmę.</w:t>
            </w: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473F" w14:textId="09128BCC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Už stebėsenos rodiklio pasiekimą ir duomenų </w:t>
            </w:r>
            <w:r w:rsidRPr="00594ABF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apie pasiektą stebėsenos rodiklio reikšmę </w:t>
            </w:r>
            <w:r w:rsidRPr="00594AB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teikimą yra atsakingas projekto vykdytojas.</w:t>
            </w:r>
          </w:p>
        </w:tc>
      </w:tr>
      <w:tr w:rsidR="00E5789A" w:rsidRPr="00594ABF" w14:paraId="5E97AA06" w14:textId="77777777" w:rsidTr="00F05037">
        <w:trPr>
          <w:trHeight w:val="4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1818" w14:textId="62B9E6EA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339F" w14:textId="10DC7794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R.N.842-1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10B3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 </w:t>
            </w: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– b</w:t>
            </w: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azinis rezultato rodiklis (fiksuotasis):</w:t>
            </w:r>
          </w:p>
          <w:p w14:paraId="6C619C1C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AECC63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„Įmonės, dalyvausiančios </w:t>
            </w:r>
          </w:p>
          <w:p w14:paraId="07E3F9AA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projekto veiklose, pajamos paraiškos pateikimo metais“</w:t>
            </w:r>
          </w:p>
          <w:p w14:paraId="4FEDA06F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051FA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96EC" w14:textId="6A30AC92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Eurai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94C9B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Rodiklio reikšmė įtraukiama į projekto finansavimo ir administravimo sutartį. Šis rodiklis yra pagalbinis, siekiant atsiskaityti už rezultato rodiklį „Investicijas gavusios įmonės pajamų padidėjimas“.</w:t>
            </w:r>
          </w:p>
          <w:p w14:paraId="19CBB0EE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6218" w14:textId="44DCC1E8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Automatiškai apskaičiuojamas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FF13" w14:textId="6407B4D3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Nurodomos įmonės pajamos paraiškos pateikimo metais (pagal su paraiška pateiktų paraiškos pateikimo metų finansinės atskaitomybės dokumentų duomenis).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32E6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87D5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CDE6" w14:textId="77777777" w:rsidR="00E5789A" w:rsidRPr="00594ABF" w:rsidRDefault="00E5789A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E6F65" w:rsidRPr="00594ABF" w14:paraId="4146B2CA" w14:textId="77777777" w:rsidTr="00F05037">
        <w:trPr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CD8D" w14:textId="4B96BCA6" w:rsidR="002E6F65" w:rsidRPr="00594ABF" w:rsidRDefault="002E6F65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861E" w14:textId="70CFF9B4" w:rsidR="002E6F65" w:rsidRPr="00594ABF" w:rsidRDefault="002E6F65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R.N.842-2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6094" w14:textId="77777777" w:rsidR="002E6F65" w:rsidRPr="00594ABF" w:rsidRDefault="002E6F65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 </w:t>
            </w: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– p</w:t>
            </w: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okyčio rezultato rodiklis (kintamasis):</w:t>
            </w:r>
          </w:p>
          <w:p w14:paraId="4AA50713" w14:textId="77777777" w:rsidR="002E6F65" w:rsidRPr="00594ABF" w:rsidRDefault="002E6F65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0D40BD" w14:textId="77777777" w:rsidR="002E6F65" w:rsidRPr="00594ABF" w:rsidRDefault="002E6F65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„Įmonės, dalyvavusios </w:t>
            </w:r>
          </w:p>
          <w:p w14:paraId="41211C51" w14:textId="6F796E85" w:rsidR="002E6F65" w:rsidRPr="00594ABF" w:rsidRDefault="002E6F65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projekto veiklose, pajamų pokytis“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2D16" w14:textId="2091D8AF" w:rsidR="002E6F65" w:rsidRPr="00594ABF" w:rsidRDefault="002E6F65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Eurai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680C8" w14:textId="16326880" w:rsidR="002E6F65" w:rsidRPr="00594ABF" w:rsidRDefault="002E6F65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Planuojama (per 1 metus po projekto finansavimo pabaigos) rodiklio reikšmė įtraukiama į projekto finansavimo ir administravimo sutartį. Šis rodiklis yra pagalbinis, siekiant atsiskaityti už rezultato rodiklį „Investicijas gavusios įmonės pajamų padidėjimas“.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3FB1" w14:textId="26DFAF73" w:rsidR="002E6F65" w:rsidRPr="00594ABF" w:rsidRDefault="002E6F65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sz w:val="20"/>
                <w:szCs w:val="20"/>
              </w:rPr>
              <w:t>Automatiškai apskaičiuojamas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840D" w14:textId="77777777" w:rsidR="002E6F65" w:rsidRPr="00594ABF" w:rsidRDefault="002E6F65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Nurodomas įmonės, </w:t>
            </w:r>
          </w:p>
          <w:p w14:paraId="2188C62F" w14:textId="77777777" w:rsidR="002E6F65" w:rsidRPr="00594ABF" w:rsidRDefault="002E6F65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dalyvavusios projekto </w:t>
            </w:r>
          </w:p>
          <w:p w14:paraId="79132444" w14:textId="1727BC70" w:rsidR="002E6F65" w:rsidRPr="00594ABF" w:rsidRDefault="002E6F65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veiklose, pajamų pokytis, kuris apskaičiuojamas kaip skirtumas tarp pajamų per 1 metus po projekto finansavimo pabaigos ir pajamų paraiškos pateikimo metais.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4308" w14:textId="77777777" w:rsidR="002E6F65" w:rsidRPr="00594ABF" w:rsidRDefault="002E6F65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6D55" w14:textId="77777777" w:rsidR="002E6F65" w:rsidRPr="00594ABF" w:rsidRDefault="002E6F65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5794" w14:textId="77777777" w:rsidR="002E6F65" w:rsidRPr="00594ABF" w:rsidRDefault="002E6F65" w:rsidP="0059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98CDB71" w14:textId="77777777" w:rsidR="00AE3A58" w:rsidRPr="002E6F65" w:rsidRDefault="00AE3A58" w:rsidP="006E229F">
      <w:pPr>
        <w:rPr>
          <w:rFonts w:ascii="Times New Roman" w:hAnsi="Times New Roman" w:cs="Times New Roman"/>
          <w:sz w:val="24"/>
          <w:szCs w:val="24"/>
        </w:rPr>
      </w:pPr>
    </w:p>
    <w:sectPr w:rsidR="00AE3A58" w:rsidRPr="002E6F65" w:rsidSect="00AE3A5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A658611" w16cex:dateUtc="2020-10-02T06:26:54.361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6158AE" w16cid:durableId="23A21A1D"/>
  <w16cid:commentId w16cid:paraId="66C9EF02" w16cid:durableId="23A00C08"/>
  <w16cid:commentId w16cid:paraId="0B83FC77" w16cid:durableId="23A21A1F"/>
  <w16cid:commentId w16cid:paraId="5F9303F2" w16cid:durableId="23A00C09"/>
  <w16cid:commentId w16cid:paraId="23B2D020" w16cid:durableId="23A21A21"/>
  <w16cid:commentId w16cid:paraId="25A9EB12" w16cid:durableId="23A21A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B33E8" w14:textId="77777777" w:rsidR="000A392D" w:rsidRDefault="000A392D" w:rsidP="004C2599">
      <w:pPr>
        <w:spacing w:after="0" w:line="240" w:lineRule="auto"/>
      </w:pPr>
      <w:r>
        <w:separator/>
      </w:r>
    </w:p>
  </w:endnote>
  <w:endnote w:type="continuationSeparator" w:id="0">
    <w:p w14:paraId="7A3EE4E2" w14:textId="77777777" w:rsidR="000A392D" w:rsidRDefault="000A392D" w:rsidP="004C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D9875" w14:textId="77777777" w:rsidR="000A392D" w:rsidRDefault="000A392D" w:rsidP="004C2599">
      <w:pPr>
        <w:spacing w:after="0" w:line="240" w:lineRule="auto"/>
      </w:pPr>
      <w:r>
        <w:separator/>
      </w:r>
    </w:p>
  </w:footnote>
  <w:footnote w:type="continuationSeparator" w:id="0">
    <w:p w14:paraId="1739B989" w14:textId="77777777" w:rsidR="000A392D" w:rsidRDefault="000A392D" w:rsidP="004C2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88130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517049B" w14:textId="0B8A06D1" w:rsidR="004C2599" w:rsidRPr="005E2D38" w:rsidRDefault="004C2599">
        <w:pPr>
          <w:pStyle w:val="Header"/>
          <w:jc w:val="center"/>
          <w:rPr>
            <w:rFonts w:ascii="Times New Roman" w:hAnsi="Times New Roman" w:cs="Times New Roman"/>
          </w:rPr>
        </w:pPr>
        <w:r w:rsidRPr="005E2D38">
          <w:rPr>
            <w:rFonts w:ascii="Times New Roman" w:hAnsi="Times New Roman" w:cs="Times New Roman"/>
          </w:rPr>
          <w:fldChar w:fldCharType="begin"/>
        </w:r>
        <w:r w:rsidRPr="005E2D38">
          <w:rPr>
            <w:rFonts w:ascii="Times New Roman" w:hAnsi="Times New Roman" w:cs="Times New Roman"/>
          </w:rPr>
          <w:instrText xml:space="preserve"> PAGE   \* MERGEFORMAT </w:instrText>
        </w:r>
        <w:r w:rsidRPr="005E2D38">
          <w:rPr>
            <w:rFonts w:ascii="Times New Roman" w:hAnsi="Times New Roman" w:cs="Times New Roman"/>
          </w:rPr>
          <w:fldChar w:fldCharType="separate"/>
        </w:r>
        <w:r w:rsidR="007773DE">
          <w:rPr>
            <w:rFonts w:ascii="Times New Roman" w:hAnsi="Times New Roman" w:cs="Times New Roman"/>
            <w:noProof/>
          </w:rPr>
          <w:t>2</w:t>
        </w:r>
        <w:r w:rsidRPr="005E2D3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A8A45B4" w14:textId="77777777" w:rsidR="004C2599" w:rsidRDefault="004C25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E36BF"/>
    <w:multiLevelType w:val="hybridMultilevel"/>
    <w:tmpl w:val="55BC92B8"/>
    <w:lvl w:ilvl="0" w:tplc="7820C0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A0"/>
    <w:rsid w:val="00005629"/>
    <w:rsid w:val="000071F7"/>
    <w:rsid w:val="00043320"/>
    <w:rsid w:val="00084CF9"/>
    <w:rsid w:val="00092763"/>
    <w:rsid w:val="000A3508"/>
    <w:rsid w:val="000A392D"/>
    <w:rsid w:val="000A5020"/>
    <w:rsid w:val="000C560D"/>
    <w:rsid w:val="000E03AC"/>
    <w:rsid w:val="00105F92"/>
    <w:rsid w:val="00161938"/>
    <w:rsid w:val="0016667F"/>
    <w:rsid w:val="00166E84"/>
    <w:rsid w:val="0017046C"/>
    <w:rsid w:val="00176272"/>
    <w:rsid w:val="001A7899"/>
    <w:rsid w:val="001B1307"/>
    <w:rsid w:val="001D40BA"/>
    <w:rsid w:val="001F4F63"/>
    <w:rsid w:val="00207AD8"/>
    <w:rsid w:val="00217CF9"/>
    <w:rsid w:val="00225D01"/>
    <w:rsid w:val="00246594"/>
    <w:rsid w:val="00297DD6"/>
    <w:rsid w:val="002B21D2"/>
    <w:rsid w:val="002E6F65"/>
    <w:rsid w:val="002F5724"/>
    <w:rsid w:val="0031735F"/>
    <w:rsid w:val="00346F0F"/>
    <w:rsid w:val="00364396"/>
    <w:rsid w:val="003C6F2F"/>
    <w:rsid w:val="00433A24"/>
    <w:rsid w:val="004521A3"/>
    <w:rsid w:val="004665EF"/>
    <w:rsid w:val="004727E4"/>
    <w:rsid w:val="00484027"/>
    <w:rsid w:val="004A6F87"/>
    <w:rsid w:val="004C0A06"/>
    <w:rsid w:val="004C2599"/>
    <w:rsid w:val="004C7F80"/>
    <w:rsid w:val="004D7CAE"/>
    <w:rsid w:val="004E0447"/>
    <w:rsid w:val="004E14C3"/>
    <w:rsid w:val="004F0546"/>
    <w:rsid w:val="004F1000"/>
    <w:rsid w:val="0050240D"/>
    <w:rsid w:val="00514F0C"/>
    <w:rsid w:val="00517769"/>
    <w:rsid w:val="00527032"/>
    <w:rsid w:val="0053355A"/>
    <w:rsid w:val="0053564A"/>
    <w:rsid w:val="005370C8"/>
    <w:rsid w:val="00545385"/>
    <w:rsid w:val="0055095E"/>
    <w:rsid w:val="00562EDD"/>
    <w:rsid w:val="00584FEA"/>
    <w:rsid w:val="00594ABF"/>
    <w:rsid w:val="005E2D38"/>
    <w:rsid w:val="00622788"/>
    <w:rsid w:val="0063362E"/>
    <w:rsid w:val="00636FF3"/>
    <w:rsid w:val="0067387C"/>
    <w:rsid w:val="00682790"/>
    <w:rsid w:val="006B4E30"/>
    <w:rsid w:val="006D3516"/>
    <w:rsid w:val="006E08DA"/>
    <w:rsid w:val="006E229F"/>
    <w:rsid w:val="006F23D2"/>
    <w:rsid w:val="007249CF"/>
    <w:rsid w:val="00742B06"/>
    <w:rsid w:val="00751D6F"/>
    <w:rsid w:val="00765DE0"/>
    <w:rsid w:val="007772BD"/>
    <w:rsid w:val="007773DE"/>
    <w:rsid w:val="007C67F5"/>
    <w:rsid w:val="007E0085"/>
    <w:rsid w:val="007E3CC8"/>
    <w:rsid w:val="008128D1"/>
    <w:rsid w:val="00823224"/>
    <w:rsid w:val="00846DD7"/>
    <w:rsid w:val="0085101C"/>
    <w:rsid w:val="00862498"/>
    <w:rsid w:val="00865482"/>
    <w:rsid w:val="00882F63"/>
    <w:rsid w:val="008A15BC"/>
    <w:rsid w:val="008B0E46"/>
    <w:rsid w:val="008C6766"/>
    <w:rsid w:val="008D77B2"/>
    <w:rsid w:val="008F4D41"/>
    <w:rsid w:val="008F5672"/>
    <w:rsid w:val="008F73F1"/>
    <w:rsid w:val="009212BC"/>
    <w:rsid w:val="00923AAF"/>
    <w:rsid w:val="00924F42"/>
    <w:rsid w:val="00927D32"/>
    <w:rsid w:val="00942B63"/>
    <w:rsid w:val="009464DA"/>
    <w:rsid w:val="00947781"/>
    <w:rsid w:val="0095129B"/>
    <w:rsid w:val="0098036B"/>
    <w:rsid w:val="00996360"/>
    <w:rsid w:val="009A1F50"/>
    <w:rsid w:val="009B0B60"/>
    <w:rsid w:val="009E6140"/>
    <w:rsid w:val="00A03091"/>
    <w:rsid w:val="00A13EDD"/>
    <w:rsid w:val="00A17437"/>
    <w:rsid w:val="00A20F6E"/>
    <w:rsid w:val="00A65A59"/>
    <w:rsid w:val="00AB3600"/>
    <w:rsid w:val="00AD55E6"/>
    <w:rsid w:val="00AD6576"/>
    <w:rsid w:val="00AE3A58"/>
    <w:rsid w:val="00B33E03"/>
    <w:rsid w:val="00B466B9"/>
    <w:rsid w:val="00B75A1C"/>
    <w:rsid w:val="00B80244"/>
    <w:rsid w:val="00B97BA0"/>
    <w:rsid w:val="00BA08F3"/>
    <w:rsid w:val="00BA4642"/>
    <w:rsid w:val="00BB0D7B"/>
    <w:rsid w:val="00BD3341"/>
    <w:rsid w:val="00BD4BBA"/>
    <w:rsid w:val="00BE38D3"/>
    <w:rsid w:val="00BF20F6"/>
    <w:rsid w:val="00C14BD8"/>
    <w:rsid w:val="00C20D0D"/>
    <w:rsid w:val="00C42166"/>
    <w:rsid w:val="00C84B74"/>
    <w:rsid w:val="00CC58D8"/>
    <w:rsid w:val="00CD6611"/>
    <w:rsid w:val="00CE6CAA"/>
    <w:rsid w:val="00D119C7"/>
    <w:rsid w:val="00D62DF1"/>
    <w:rsid w:val="00D642AE"/>
    <w:rsid w:val="00DA16D9"/>
    <w:rsid w:val="00DB04A8"/>
    <w:rsid w:val="00DC34D3"/>
    <w:rsid w:val="00DE6038"/>
    <w:rsid w:val="00DF6D98"/>
    <w:rsid w:val="00E01E81"/>
    <w:rsid w:val="00E029FD"/>
    <w:rsid w:val="00E04DD9"/>
    <w:rsid w:val="00E2045D"/>
    <w:rsid w:val="00E271E7"/>
    <w:rsid w:val="00E5789A"/>
    <w:rsid w:val="00E84E8D"/>
    <w:rsid w:val="00E919A8"/>
    <w:rsid w:val="00ED7595"/>
    <w:rsid w:val="00EE3B3B"/>
    <w:rsid w:val="00EE5FCB"/>
    <w:rsid w:val="00EE7D85"/>
    <w:rsid w:val="00F05037"/>
    <w:rsid w:val="00F075AB"/>
    <w:rsid w:val="00F174D8"/>
    <w:rsid w:val="00F47458"/>
    <w:rsid w:val="00F921E3"/>
    <w:rsid w:val="00F94D3C"/>
    <w:rsid w:val="00FA262A"/>
    <w:rsid w:val="00FA2686"/>
    <w:rsid w:val="00FC0F61"/>
    <w:rsid w:val="00FC72EF"/>
    <w:rsid w:val="00FD0AE6"/>
    <w:rsid w:val="00FE2CE0"/>
    <w:rsid w:val="1C5EAE2A"/>
    <w:rsid w:val="3EE18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51B3"/>
  <w15:docId w15:val="{C7E69DFD-196B-48B5-AF1F-E0E9E982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F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F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3E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259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599"/>
  </w:style>
  <w:style w:type="paragraph" w:styleId="Footer">
    <w:name w:val="footer"/>
    <w:basedOn w:val="Normal"/>
    <w:link w:val="FooterChar"/>
    <w:uiPriority w:val="99"/>
    <w:unhideWhenUsed/>
    <w:rsid w:val="004C259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599"/>
  </w:style>
  <w:style w:type="character" w:styleId="Strong">
    <w:name w:val="Strong"/>
    <w:basedOn w:val="DefaultParagraphFont"/>
    <w:uiPriority w:val="22"/>
    <w:qFormat/>
    <w:rsid w:val="006E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17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2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6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0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ff192c24d04b4415" Type="http://schemas.microsoft.com/office/2018/08/relationships/commentsExtensible" Target="commentsExtensi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5043</Words>
  <Characters>2876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Rudakaite-Saukstel Edita</dc:creator>
  <cp:lastModifiedBy>Viluniene Jurgita</cp:lastModifiedBy>
  <cp:revision>3</cp:revision>
  <dcterms:created xsi:type="dcterms:W3CDTF">2021-01-21T10:15:00Z</dcterms:created>
  <dcterms:modified xsi:type="dcterms:W3CDTF">2021-01-22T10:35:00Z</dcterms:modified>
</cp:coreProperties>
</file>