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CE6A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color w:val="0000FF"/>
          <w:sz w:val="24"/>
          <w:szCs w:val="24"/>
        </w:rPr>
        <w:tab/>
        <w:t xml:space="preserve">           </w:t>
      </w: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sz w:val="24"/>
          <w:szCs w:val="24"/>
        </w:rPr>
        <w:t>Projekto</w:t>
      </w:r>
    </w:p>
    <w:p w14:paraId="19F3A109" w14:textId="77777777" w:rsidR="005C435F" w:rsidRPr="003E17B0" w:rsidRDefault="005C435F" w:rsidP="00767CB4">
      <w:pPr>
        <w:pStyle w:val="Antrat"/>
        <w:ind w:left="5192" w:firstLine="1298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lyginamasis variantas</w:t>
      </w:r>
    </w:p>
    <w:p w14:paraId="327598BB" w14:textId="77777777" w:rsidR="005C435F" w:rsidRPr="003E17B0" w:rsidRDefault="005C435F" w:rsidP="00767CB4">
      <w:pPr>
        <w:pStyle w:val="Antrat"/>
        <w:jc w:val="right"/>
        <w:rPr>
          <w:noProof/>
          <w:sz w:val="24"/>
          <w:szCs w:val="24"/>
        </w:rPr>
      </w:pPr>
    </w:p>
    <w:p w14:paraId="64711C31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2A7A638A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LIETUVOS RESPUBLIKOS VIDAUS REIKALŲ MINISTRO 2015 M. 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GRUODŽIO 18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 D. ĮSAKYMO NR. 1V-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1024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„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05961"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II“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PROJEKTŲ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1FABBA3A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201</w:t>
      </w:r>
      <w:r w:rsidR="00514F52">
        <w:rPr>
          <w:rFonts w:ascii="Times New Roman" w:hAnsi="Times New Roman"/>
          <w:noProof/>
          <w:sz w:val="24"/>
          <w:szCs w:val="24"/>
          <w:lang w:eastAsia="en-US"/>
        </w:rPr>
        <w:t>8</w:t>
      </w: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 m.                     d. 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32A151C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6078BE05" w14:textId="77777777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ab/>
      </w:r>
    </w:p>
    <w:p w14:paraId="3EF7F977" w14:textId="4CB7F20C" w:rsidR="00405961" w:rsidRPr="00514F52" w:rsidRDefault="00514F52" w:rsidP="00405961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</w:t>
      </w:r>
      <w:r w:rsidRPr="00A33D94">
        <w:rPr>
          <w:rFonts w:ascii="Times New Roman" w:hAnsi="Times New Roman"/>
          <w:noProof/>
          <w:sz w:val="24"/>
          <w:szCs w:val="24"/>
        </w:rPr>
        <w:t>“ projektų finansavimo sąlygų apraš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>, patvirtint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</w:t>
      </w:r>
      <w:r w:rsidR="00405961">
        <w:rPr>
          <w:rFonts w:ascii="Times New Roman" w:hAnsi="Times New Roman"/>
          <w:noProof/>
          <w:sz w:val="24"/>
          <w:szCs w:val="24"/>
        </w:rPr>
        <w:t>gruodžio</w:t>
      </w:r>
      <w:r w:rsidRPr="00A33D94"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>18</w:t>
      </w:r>
      <w:r w:rsidRPr="00A33D94">
        <w:rPr>
          <w:rFonts w:ascii="Times New Roman" w:hAnsi="Times New Roman"/>
          <w:noProof/>
          <w:sz w:val="24"/>
          <w:szCs w:val="24"/>
        </w:rPr>
        <w:t xml:space="preserve"> d. įsakymu Nr. 1V-</w:t>
      </w:r>
      <w:r w:rsidR="00405961">
        <w:rPr>
          <w:rFonts w:ascii="Times New Roman" w:hAnsi="Times New Roman"/>
          <w:noProof/>
          <w:sz w:val="24"/>
          <w:szCs w:val="24"/>
        </w:rPr>
        <w:t>1024</w:t>
      </w:r>
      <w:r w:rsidRPr="00A33D94">
        <w:rPr>
          <w:rFonts w:ascii="Times New Roman" w:hAnsi="Times New Roman"/>
          <w:noProof/>
          <w:sz w:val="24"/>
          <w:szCs w:val="24"/>
        </w:rPr>
        <w:t xml:space="preserve"> „Dėl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</w:t>
      </w:r>
      <w:r w:rsidR="00405961" w:rsidRPr="00A33D94">
        <w:rPr>
          <w:rFonts w:ascii="Times New Roman" w:hAnsi="Times New Roman"/>
          <w:noProof/>
          <w:sz w:val="24"/>
          <w:szCs w:val="24"/>
        </w:rPr>
        <w:t>“</w:t>
      </w:r>
      <w:r w:rsidRPr="00A33D94">
        <w:rPr>
          <w:rFonts w:ascii="Times New Roman" w:hAnsi="Times New Roman"/>
          <w:noProof/>
          <w:sz w:val="24"/>
          <w:szCs w:val="24"/>
        </w:rPr>
        <w:t xml:space="preserve"> projektų finansavimo sąlygų aprašo patvirtinimo“</w:t>
      </w:r>
      <w:r w:rsidR="00405961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 xml:space="preserve">ir 20 punktą </w:t>
      </w:r>
      <w:r w:rsidR="00405961" w:rsidRPr="00514F52">
        <w:rPr>
          <w:rFonts w:ascii="Times New Roman" w:hAnsi="Times New Roman"/>
          <w:noProof/>
          <w:sz w:val="24"/>
          <w:szCs w:val="24"/>
        </w:rPr>
        <w:t>išdėstau taip:</w:t>
      </w:r>
    </w:p>
    <w:p w14:paraId="4A2A0DBE" w14:textId="0EED70C7" w:rsidR="00405961" w:rsidRPr="00514F52" w:rsidRDefault="00405961" w:rsidP="00405961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514F52">
        <w:rPr>
          <w:rFonts w:ascii="Times New Roman" w:hAnsi="Times New Roman"/>
          <w:noProof/>
          <w:sz w:val="24"/>
          <w:szCs w:val="24"/>
        </w:rPr>
        <w:t>„</w:t>
      </w:r>
      <w:r>
        <w:rPr>
          <w:rFonts w:ascii="Times New Roman" w:hAnsi="Times New Roman"/>
          <w:noProof/>
          <w:sz w:val="24"/>
          <w:szCs w:val="24"/>
        </w:rPr>
        <w:t>20</w:t>
      </w:r>
      <w:r w:rsidRPr="00514F52">
        <w:rPr>
          <w:rFonts w:ascii="Times New Roman" w:hAnsi="Times New Roman"/>
          <w:noProof/>
          <w:sz w:val="24"/>
          <w:szCs w:val="24"/>
        </w:rPr>
        <w:t xml:space="preserve">. Teikiamų pagal Aprašą projektų veiklos turi būti baigtos ne vėliau nei </w:t>
      </w:r>
      <w:r w:rsidRPr="00405961">
        <w:rPr>
          <w:rFonts w:ascii="Times New Roman" w:hAnsi="Times New Roman"/>
          <w:noProof/>
          <w:sz w:val="24"/>
          <w:szCs w:val="24"/>
        </w:rPr>
        <w:t>2018 m. spalio 1 d.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05961">
        <w:rPr>
          <w:rFonts w:ascii="Times New Roman" w:hAnsi="Times New Roman"/>
          <w:b/>
          <w:noProof/>
          <w:sz w:val="24"/>
          <w:szCs w:val="24"/>
        </w:rPr>
        <w:t xml:space="preserve">Dėl objektyvių priežasčių, kurių projekto vykdytojas negalėjo numatyti projekto įgyvendinimo metu, projekto veiklų užbaigimo terminas gali būti pratęstas Projektų taisyklių nustatyta tvarka, bet ne ilgiau kaip iki </w:t>
      </w:r>
      <w:r w:rsidR="005F1999" w:rsidRPr="005F1999">
        <w:rPr>
          <w:rFonts w:ascii="Times New Roman" w:hAnsi="Times New Roman"/>
          <w:b/>
          <w:noProof/>
          <w:sz w:val="24"/>
          <w:szCs w:val="24"/>
        </w:rPr>
        <w:t xml:space="preserve">2020 m. birželio 30 </w:t>
      </w:r>
      <w:r w:rsidRPr="00405961">
        <w:rPr>
          <w:rFonts w:ascii="Times New Roman" w:hAnsi="Times New Roman"/>
          <w:b/>
          <w:noProof/>
          <w:sz w:val="24"/>
          <w:szCs w:val="24"/>
        </w:rPr>
        <w:t xml:space="preserve"> d.</w:t>
      </w:r>
      <w:bookmarkStart w:id="0" w:name="_GoBack"/>
      <w:r w:rsidRPr="005F1999">
        <w:rPr>
          <w:rFonts w:ascii="Times New Roman" w:hAnsi="Times New Roman"/>
          <w:noProof/>
          <w:sz w:val="24"/>
          <w:szCs w:val="24"/>
        </w:rPr>
        <w:t>“</w:t>
      </w:r>
      <w:bookmarkEnd w:id="0"/>
    </w:p>
    <w:p w14:paraId="6ED6F91A" w14:textId="77777777" w:rsidR="00B93FD3" w:rsidRPr="003E17B0" w:rsidRDefault="00B93FD3" w:rsidP="00B93FD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" w:name="_Hlk484524184"/>
    </w:p>
    <w:bookmarkEnd w:id="1"/>
    <w:p w14:paraId="7B4E5390" w14:textId="77777777" w:rsidR="00B442D6" w:rsidRPr="003E17B0" w:rsidRDefault="00B442D6" w:rsidP="00B442D6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2C164C44" w14:textId="6C8311CA" w:rsidR="00B442D6" w:rsidRPr="003E17B0" w:rsidRDefault="00B442D6" w:rsidP="00B442D6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3E17B0">
        <w:rPr>
          <w:rFonts w:ascii="Times New Roman" w:hAnsi="Times New Roman"/>
          <w:bCs/>
          <w:noProof/>
          <w:sz w:val="24"/>
          <w:szCs w:val="24"/>
        </w:rPr>
        <w:t>Vidaus reikalų ministras</w:t>
      </w:r>
    </w:p>
    <w:p w14:paraId="68D10163" w14:textId="512EE295" w:rsidR="00DB4BC0" w:rsidRPr="003E17B0" w:rsidRDefault="00DB4BC0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38CC5" w14:textId="77777777" w:rsidR="00976B38" w:rsidRDefault="00976B38" w:rsidP="00E736C5">
      <w:pPr>
        <w:spacing w:after="0" w:line="240" w:lineRule="auto"/>
      </w:pPr>
      <w:r>
        <w:separator/>
      </w:r>
    </w:p>
  </w:endnote>
  <w:endnote w:type="continuationSeparator" w:id="0">
    <w:p w14:paraId="206FA4CB" w14:textId="77777777" w:rsidR="00976B38" w:rsidRDefault="00976B38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4C32E" w14:textId="77777777" w:rsidR="00976B38" w:rsidRDefault="00976B38" w:rsidP="00E736C5">
      <w:pPr>
        <w:spacing w:after="0" w:line="240" w:lineRule="auto"/>
      </w:pPr>
      <w:r>
        <w:separator/>
      </w:r>
    </w:p>
  </w:footnote>
  <w:footnote w:type="continuationSeparator" w:id="0">
    <w:p w14:paraId="635AE72E" w14:textId="77777777" w:rsidR="00976B38" w:rsidRDefault="00976B38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52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25D2B"/>
    <w:rsid w:val="00040D6F"/>
    <w:rsid w:val="00043AFF"/>
    <w:rsid w:val="00046FE6"/>
    <w:rsid w:val="00052272"/>
    <w:rsid w:val="0005709E"/>
    <w:rsid w:val="000622C1"/>
    <w:rsid w:val="00075291"/>
    <w:rsid w:val="00081D9C"/>
    <w:rsid w:val="000865A0"/>
    <w:rsid w:val="00096327"/>
    <w:rsid w:val="000C18F5"/>
    <w:rsid w:val="000C63AA"/>
    <w:rsid w:val="000D3858"/>
    <w:rsid w:val="000D7AB8"/>
    <w:rsid w:val="000F2811"/>
    <w:rsid w:val="001061BA"/>
    <w:rsid w:val="00107460"/>
    <w:rsid w:val="00107C4A"/>
    <w:rsid w:val="00183531"/>
    <w:rsid w:val="00183F1B"/>
    <w:rsid w:val="0018417B"/>
    <w:rsid w:val="001848E4"/>
    <w:rsid w:val="00186C3B"/>
    <w:rsid w:val="001E5F2B"/>
    <w:rsid w:val="001E6B67"/>
    <w:rsid w:val="001E6D5D"/>
    <w:rsid w:val="001E7C37"/>
    <w:rsid w:val="002170A4"/>
    <w:rsid w:val="00217F1C"/>
    <w:rsid w:val="00223473"/>
    <w:rsid w:val="00265853"/>
    <w:rsid w:val="0027653E"/>
    <w:rsid w:val="002A5161"/>
    <w:rsid w:val="002B25BA"/>
    <w:rsid w:val="002B5A53"/>
    <w:rsid w:val="002D23CB"/>
    <w:rsid w:val="00316880"/>
    <w:rsid w:val="00351A37"/>
    <w:rsid w:val="0035461D"/>
    <w:rsid w:val="003B1839"/>
    <w:rsid w:val="003B5DFD"/>
    <w:rsid w:val="003B6760"/>
    <w:rsid w:val="003B71DC"/>
    <w:rsid w:val="003C12F3"/>
    <w:rsid w:val="003D331B"/>
    <w:rsid w:val="003E17B0"/>
    <w:rsid w:val="003E3559"/>
    <w:rsid w:val="003E45A3"/>
    <w:rsid w:val="003F3CAE"/>
    <w:rsid w:val="00405961"/>
    <w:rsid w:val="00410B66"/>
    <w:rsid w:val="00411A37"/>
    <w:rsid w:val="0041699A"/>
    <w:rsid w:val="004352C2"/>
    <w:rsid w:val="00442939"/>
    <w:rsid w:val="00443F93"/>
    <w:rsid w:val="00473612"/>
    <w:rsid w:val="0047685A"/>
    <w:rsid w:val="004A2861"/>
    <w:rsid w:val="004B465A"/>
    <w:rsid w:val="004B5446"/>
    <w:rsid w:val="004D1546"/>
    <w:rsid w:val="004D1790"/>
    <w:rsid w:val="004E06A0"/>
    <w:rsid w:val="004F4235"/>
    <w:rsid w:val="0051390D"/>
    <w:rsid w:val="0051448B"/>
    <w:rsid w:val="00514F52"/>
    <w:rsid w:val="00515D37"/>
    <w:rsid w:val="005500D0"/>
    <w:rsid w:val="00591885"/>
    <w:rsid w:val="00592DBB"/>
    <w:rsid w:val="005B54F9"/>
    <w:rsid w:val="005C435F"/>
    <w:rsid w:val="005D2115"/>
    <w:rsid w:val="005D2652"/>
    <w:rsid w:val="005E014D"/>
    <w:rsid w:val="005E2677"/>
    <w:rsid w:val="005F1999"/>
    <w:rsid w:val="005F2F2F"/>
    <w:rsid w:val="006036F6"/>
    <w:rsid w:val="0063149E"/>
    <w:rsid w:val="00657227"/>
    <w:rsid w:val="00691B22"/>
    <w:rsid w:val="00695B54"/>
    <w:rsid w:val="0069679C"/>
    <w:rsid w:val="006B424E"/>
    <w:rsid w:val="006B463A"/>
    <w:rsid w:val="006D192F"/>
    <w:rsid w:val="006E3C8D"/>
    <w:rsid w:val="006F214E"/>
    <w:rsid w:val="006F7B0A"/>
    <w:rsid w:val="007322D9"/>
    <w:rsid w:val="00755651"/>
    <w:rsid w:val="00761181"/>
    <w:rsid w:val="00767CB4"/>
    <w:rsid w:val="00792D18"/>
    <w:rsid w:val="00794482"/>
    <w:rsid w:val="007A3C18"/>
    <w:rsid w:val="007E3D1F"/>
    <w:rsid w:val="00807AE9"/>
    <w:rsid w:val="00820A64"/>
    <w:rsid w:val="008344FF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D18F9"/>
    <w:rsid w:val="008E17D2"/>
    <w:rsid w:val="0090049D"/>
    <w:rsid w:val="00913268"/>
    <w:rsid w:val="009327C2"/>
    <w:rsid w:val="009460CB"/>
    <w:rsid w:val="00953478"/>
    <w:rsid w:val="009732E6"/>
    <w:rsid w:val="00973D3C"/>
    <w:rsid w:val="00976128"/>
    <w:rsid w:val="00976B38"/>
    <w:rsid w:val="00992AA1"/>
    <w:rsid w:val="009B4BDC"/>
    <w:rsid w:val="009C6E01"/>
    <w:rsid w:val="009C6F70"/>
    <w:rsid w:val="00A058EF"/>
    <w:rsid w:val="00A05F58"/>
    <w:rsid w:val="00A36F79"/>
    <w:rsid w:val="00A43371"/>
    <w:rsid w:val="00A937D3"/>
    <w:rsid w:val="00A970AA"/>
    <w:rsid w:val="00AA29A6"/>
    <w:rsid w:val="00AA7D39"/>
    <w:rsid w:val="00AB7DF0"/>
    <w:rsid w:val="00AE5C84"/>
    <w:rsid w:val="00AF7F71"/>
    <w:rsid w:val="00B02C73"/>
    <w:rsid w:val="00B27D13"/>
    <w:rsid w:val="00B442D6"/>
    <w:rsid w:val="00B457E4"/>
    <w:rsid w:val="00B938F5"/>
    <w:rsid w:val="00B93FD3"/>
    <w:rsid w:val="00B964A3"/>
    <w:rsid w:val="00BB1B35"/>
    <w:rsid w:val="00BD1E09"/>
    <w:rsid w:val="00BD523F"/>
    <w:rsid w:val="00BD67E6"/>
    <w:rsid w:val="00BE6CAD"/>
    <w:rsid w:val="00C0560A"/>
    <w:rsid w:val="00C1029F"/>
    <w:rsid w:val="00C350EF"/>
    <w:rsid w:val="00C4795F"/>
    <w:rsid w:val="00C50EDA"/>
    <w:rsid w:val="00C52782"/>
    <w:rsid w:val="00C75CE2"/>
    <w:rsid w:val="00C94F80"/>
    <w:rsid w:val="00C9781D"/>
    <w:rsid w:val="00CD4C90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A1D58"/>
    <w:rsid w:val="00DA6D98"/>
    <w:rsid w:val="00DB16D4"/>
    <w:rsid w:val="00DB4BC0"/>
    <w:rsid w:val="00DD1432"/>
    <w:rsid w:val="00E342E4"/>
    <w:rsid w:val="00E72A85"/>
    <w:rsid w:val="00E736C5"/>
    <w:rsid w:val="00E83C06"/>
    <w:rsid w:val="00EA4851"/>
    <w:rsid w:val="00EC2944"/>
    <w:rsid w:val="00EE2C47"/>
    <w:rsid w:val="00EE3193"/>
    <w:rsid w:val="00EE38E6"/>
    <w:rsid w:val="00F15E7D"/>
    <w:rsid w:val="00F32C0A"/>
    <w:rsid w:val="00F3640A"/>
    <w:rsid w:val="00F51E59"/>
    <w:rsid w:val="00F64F04"/>
    <w:rsid w:val="00FA0F66"/>
    <w:rsid w:val="00FE1B63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7D90-ADBF-4D4B-B214-BB8C437F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Mindaugas Kauzonas</cp:lastModifiedBy>
  <cp:revision>6</cp:revision>
  <cp:lastPrinted>2016-11-14T07:51:00Z</cp:lastPrinted>
  <dcterms:created xsi:type="dcterms:W3CDTF">2017-10-10T11:36:00Z</dcterms:created>
  <dcterms:modified xsi:type="dcterms:W3CDTF">2018-08-21T09:53:00Z</dcterms:modified>
</cp:coreProperties>
</file>